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4C256" w14:textId="77777777" w:rsidR="00133A45" w:rsidRDefault="00133A45" w:rsidP="000E29BE">
      <w:pPr>
        <w:spacing w:after="720"/>
      </w:pPr>
      <w:bookmarkStart w:id="0" w:name="_Hlk115782520"/>
    </w:p>
    <w:p w14:paraId="3C9533CA" w14:textId="1280AE40" w:rsidR="490A766D" w:rsidRDefault="490A766D" w:rsidP="490A766D">
      <w:pPr>
        <w:spacing w:after="720"/>
        <w:sectPr w:rsidR="490A766D" w:rsidSect="00297AC4">
          <w:headerReference w:type="default" r:id="rId11"/>
          <w:footerReference w:type="default" r:id="rId12"/>
          <w:footerReference w:type="first" r:id="rId13"/>
          <w:type w:val="continuous"/>
          <w:pgSz w:w="11906" w:h="16838"/>
          <w:pgMar w:top="1135" w:right="991" w:bottom="1276" w:left="1440" w:header="0" w:footer="283" w:gutter="0"/>
          <w:cols w:space="708"/>
          <w:titlePg/>
          <w:docGrid w:linePitch="360"/>
        </w:sectPr>
      </w:pPr>
    </w:p>
    <w:p w14:paraId="1BE02E51" w14:textId="6267FC5D" w:rsidR="00B041CB" w:rsidRPr="00E42B3F" w:rsidRDefault="1BB025E0" w:rsidP="00E42B3F">
      <w:pPr>
        <w:pStyle w:val="Heading1"/>
      </w:pPr>
      <w:bookmarkStart w:id="1" w:name="_GoBack"/>
      <w:r>
        <w:t xml:space="preserve">Independent </w:t>
      </w:r>
      <w:r w:rsidR="2BEC4B68">
        <w:t>r</w:t>
      </w:r>
      <w:r>
        <w:t>eview of Infrastructure Australia</w:t>
      </w:r>
    </w:p>
    <w:bookmarkEnd w:id="1"/>
    <w:p w14:paraId="025DA170" w14:textId="77777777" w:rsidR="00B041CB" w:rsidRPr="00B041CB" w:rsidRDefault="1BB025E0" w:rsidP="000E29BE">
      <w:pPr>
        <w:pStyle w:val="Subtitle"/>
        <w:ind w:left="567"/>
      </w:pPr>
      <w:r>
        <w:t>Nicole Lockwood and Mike Mrdak AO</w:t>
      </w:r>
    </w:p>
    <w:p w14:paraId="5D06E827" w14:textId="0BBF26E8" w:rsidR="00B041CB" w:rsidRPr="00B041CB" w:rsidRDefault="1BB025E0" w:rsidP="4F9F5C11">
      <w:pPr>
        <w:suppressAutoHyphens/>
        <w:spacing w:before="160" w:after="80"/>
        <w:ind w:left="567"/>
        <w:rPr>
          <w:rFonts w:eastAsia="Calibri" w:cs="Times New Roman"/>
          <w:b/>
          <w:bCs/>
          <w:color w:val="081E3E"/>
          <w:kern w:val="12"/>
          <w:sz w:val="20"/>
          <w:szCs w:val="20"/>
        </w:rPr>
      </w:pPr>
      <w:r w:rsidRPr="4F9F5C11">
        <w:rPr>
          <w:rFonts w:eastAsia="Calibri" w:cs="Times New Roman"/>
          <w:b/>
          <w:bCs/>
          <w:color w:val="081E3E"/>
          <w:kern w:val="12"/>
          <w:sz w:val="20"/>
          <w:szCs w:val="20"/>
        </w:rPr>
        <w:t>October</w:t>
      </w:r>
      <w:r w:rsidR="0759909C" w:rsidRPr="4F9F5C11">
        <w:rPr>
          <w:rFonts w:eastAsia="Calibri" w:cs="Times New Roman"/>
          <w:b/>
          <w:bCs/>
          <w:color w:val="081E3E"/>
          <w:kern w:val="12"/>
          <w:sz w:val="20"/>
          <w:szCs w:val="20"/>
        </w:rPr>
        <w:t xml:space="preserve"> 2022</w:t>
      </w:r>
    </w:p>
    <w:p w14:paraId="6D050F49" w14:textId="77777777" w:rsidR="009C1ECD" w:rsidRDefault="64A9D067" w:rsidP="009C1ECD">
      <w:pPr>
        <w:jc w:val="right"/>
        <w:rPr>
          <w:rFonts w:eastAsia="Calibri" w:cs="Times New Roman"/>
          <w:color w:val="000000"/>
          <w:kern w:val="12"/>
          <w:sz w:val="20"/>
          <w:szCs w:val="20"/>
        </w:rPr>
      </w:pPr>
      <w:r>
        <w:rPr>
          <w:noProof/>
        </w:rPr>
        <w:drawing>
          <wp:inline distT="0" distB="0" distL="0" distR="0" wp14:anchorId="62B6682A" wp14:editId="3ED850B2">
            <wp:extent cx="5062782" cy="3589069"/>
            <wp:effectExtent l="0" t="0" r="5080" b="0"/>
            <wp:docPr id="15" name="Picture 15" descr="Image of someone pointing to the word 'Assessment' on a virtual gri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62782" cy="3589069"/>
                    </a:xfrm>
                    <a:prstGeom prst="rect">
                      <a:avLst/>
                    </a:prstGeom>
                  </pic:spPr>
                </pic:pic>
              </a:graphicData>
            </a:graphic>
          </wp:inline>
        </w:drawing>
      </w:r>
    </w:p>
    <w:p w14:paraId="762862AB" w14:textId="77777777" w:rsidR="009C1ECD" w:rsidRDefault="009C1ECD">
      <w:pPr>
        <w:spacing w:line="259" w:lineRule="auto"/>
        <w:rPr>
          <w:rFonts w:eastAsia="Calibri" w:cs="Times New Roman"/>
          <w:color w:val="000000"/>
          <w:kern w:val="12"/>
          <w:sz w:val="20"/>
          <w:szCs w:val="20"/>
        </w:rPr>
      </w:pPr>
      <w:r w:rsidRPr="4F9F5C11">
        <w:rPr>
          <w:rFonts w:eastAsia="Calibri" w:cs="Times New Roman"/>
          <w:color w:val="000000" w:themeColor="text1"/>
          <w:sz w:val="20"/>
          <w:szCs w:val="20"/>
        </w:rPr>
        <w:br w:type="page"/>
      </w:r>
    </w:p>
    <w:p w14:paraId="065E43C5" w14:textId="0C147EBB" w:rsidR="009C1ECD" w:rsidRPr="009C1ECD" w:rsidRDefault="613284AB" w:rsidP="009C1ECD">
      <w:pPr>
        <w:suppressAutoHyphens/>
        <w:spacing w:before="120" w:after="80"/>
        <w:contextualSpacing/>
        <w:rPr>
          <w:rFonts w:eastAsia="Calibri" w:cs="Times New Roman"/>
          <w:color w:val="000000"/>
          <w:kern w:val="12"/>
          <w:sz w:val="20"/>
          <w:szCs w:val="20"/>
        </w:rPr>
      </w:pPr>
      <w:r w:rsidRPr="009C1ECD">
        <w:rPr>
          <w:rFonts w:eastAsia="Calibri" w:cs="Times New Roman"/>
          <w:color w:val="000000"/>
          <w:kern w:val="12"/>
          <w:sz w:val="20"/>
          <w:szCs w:val="20"/>
        </w:rPr>
        <w:lastRenderedPageBreak/>
        <w:t>© Commonwealth of Australia 2022</w:t>
      </w:r>
    </w:p>
    <w:p w14:paraId="695A839A" w14:textId="70C3E733" w:rsidR="009C1ECD" w:rsidRPr="009C1ECD" w:rsidRDefault="613284AB" w:rsidP="009C1ECD">
      <w:pPr>
        <w:suppressAutoHyphens/>
        <w:spacing w:before="120" w:after="80"/>
        <w:contextualSpacing/>
        <w:rPr>
          <w:rFonts w:eastAsia="Calibri" w:cs="Times New Roman"/>
          <w:color w:val="000000"/>
          <w:kern w:val="12"/>
          <w:sz w:val="20"/>
          <w:szCs w:val="20"/>
        </w:rPr>
      </w:pPr>
      <w:r w:rsidRPr="00107C23">
        <w:rPr>
          <w:rFonts w:eastAsia="Calibri" w:cs="Times New Roman"/>
          <w:color w:val="000000"/>
          <w:kern w:val="12"/>
          <w:sz w:val="20"/>
          <w:szCs w:val="20"/>
        </w:rPr>
        <w:t xml:space="preserve">ISBN </w:t>
      </w:r>
      <w:r w:rsidR="00107C23" w:rsidRPr="00107C23">
        <w:rPr>
          <w:rFonts w:eastAsia="Calibri" w:cs="Times New Roman"/>
          <w:color w:val="000000"/>
          <w:kern w:val="12"/>
          <w:sz w:val="20"/>
          <w:szCs w:val="20"/>
        </w:rPr>
        <w:t xml:space="preserve">978-1-922521-82-8 </w:t>
      </w:r>
    </w:p>
    <w:p w14:paraId="50779D23" w14:textId="1655B057" w:rsidR="009C1ECD" w:rsidRPr="009C1ECD" w:rsidRDefault="009A23F0" w:rsidP="009C1ECD">
      <w:pPr>
        <w:suppressAutoHyphens/>
        <w:spacing w:before="120" w:after="80"/>
        <w:contextualSpacing/>
        <w:rPr>
          <w:rFonts w:eastAsia="Calibri" w:cs="Times New Roman"/>
          <w:color w:val="000000"/>
          <w:kern w:val="12"/>
          <w:sz w:val="20"/>
          <w:szCs w:val="20"/>
        </w:rPr>
      </w:pPr>
      <w:r w:rsidRPr="009A23F0">
        <w:rPr>
          <w:rFonts w:eastAsia="Calibri" w:cs="Times New Roman"/>
          <w:color w:val="000000"/>
          <w:kern w:val="12"/>
          <w:sz w:val="20"/>
          <w:szCs w:val="20"/>
        </w:rPr>
        <w:t xml:space="preserve">December </w:t>
      </w:r>
      <w:r w:rsidR="613284AB" w:rsidRPr="009A23F0">
        <w:rPr>
          <w:rFonts w:eastAsia="Calibri" w:cs="Times New Roman"/>
          <w:color w:val="000000"/>
          <w:kern w:val="12"/>
          <w:sz w:val="20"/>
          <w:szCs w:val="20"/>
        </w:rPr>
        <w:t>2022 / INFRASTRUCTURE 2022</w:t>
      </w:r>
    </w:p>
    <w:p w14:paraId="17D41AAA" w14:textId="77777777" w:rsidR="009C1ECD" w:rsidRPr="009C1ECD" w:rsidRDefault="613284AB" w:rsidP="009C1ECD">
      <w:pPr>
        <w:pStyle w:val="Heading2notshowing"/>
      </w:pPr>
      <w:r>
        <w:t>Ownership of intellectual property rights in this publication</w:t>
      </w:r>
    </w:p>
    <w:p w14:paraId="3F0FA228" w14:textId="47466B61" w:rsidR="009C1ECD" w:rsidRDefault="613284AB" w:rsidP="009C1ECD">
      <w:r>
        <w:t>Unless otherwise noted, copyright (and any other intellectual property rights, if any) in this publication is owned by the</w:t>
      </w:r>
      <w:r w:rsidRPr="4F9F5C11">
        <w:rPr>
          <w:lang w:val="en-US"/>
        </w:rPr>
        <w:t xml:space="preserve"> </w:t>
      </w:r>
      <w:r>
        <w:t>Commonwealth of Australia (referred to below as the Commonwealth).</w:t>
      </w:r>
      <w:r w:rsidR="005D1F5A">
        <w:t xml:space="preserve"> </w:t>
      </w:r>
    </w:p>
    <w:p w14:paraId="73925209" w14:textId="616ECA65" w:rsidR="005D1F5A" w:rsidRPr="005D1F5A" w:rsidRDefault="005D1F5A" w:rsidP="009C1ECD">
      <w:pPr>
        <w:rPr>
          <w:color w:val="1F497D"/>
        </w:rPr>
      </w:pPr>
      <w:r w:rsidRPr="005D1F5A">
        <w:t xml:space="preserve">With the exception of the Commonwealth Coat of Arms and where otherwise noted all material presented in this document is provided under a Creative Commons Attribution 3.0 Australia license: </w:t>
      </w:r>
      <w:hyperlink r:id="rId15" w:history="1">
        <w:r>
          <w:rPr>
            <w:rStyle w:val="Hyperlink"/>
          </w:rPr>
          <w:t>http://creativecommons.org/licenses/by/3.0/au/</w:t>
        </w:r>
      </w:hyperlink>
      <w:r>
        <w:rPr>
          <w:color w:val="1F497D"/>
        </w:rPr>
        <w:t>.</w:t>
      </w:r>
    </w:p>
    <w:p w14:paraId="55CCAD6D" w14:textId="77777777" w:rsidR="009C1ECD" w:rsidRPr="009C1ECD" w:rsidRDefault="613284AB" w:rsidP="009C1ECD">
      <w:pPr>
        <w:pStyle w:val="Heading2notshowing"/>
      </w:pPr>
      <w:r>
        <w:t>Disclaimer</w:t>
      </w:r>
    </w:p>
    <w:p w14:paraId="282600B9" w14:textId="77777777" w:rsidR="009C1ECD" w:rsidRPr="009C1ECD" w:rsidRDefault="613284AB" w:rsidP="009C1ECD">
      <w:r>
        <w:t>The material contained in this publication is made available on the understanding that the Commonwealth is not</w:t>
      </w:r>
      <w:r w:rsidRPr="4F9F5C11">
        <w:rPr>
          <w:lang w:val="en-US"/>
        </w:rPr>
        <w:t xml:space="preserve"> </w:t>
      </w:r>
      <w:r>
        <w:t>providing professional advice, and that users exercise their own skill and care with respect to its use, and seek</w:t>
      </w:r>
      <w:r w:rsidRPr="4F9F5C11">
        <w:rPr>
          <w:lang w:val="en-US"/>
        </w:rPr>
        <w:t xml:space="preserve"> </w:t>
      </w:r>
      <w:r>
        <w:t>independent advice if necessary.</w:t>
      </w:r>
    </w:p>
    <w:p w14:paraId="54F66FAE" w14:textId="77777777" w:rsidR="009C1ECD" w:rsidRPr="009C1ECD" w:rsidRDefault="613284AB" w:rsidP="009C1ECD">
      <w:r>
        <w:t>The Commonwealth makes no representations or warranties as to the contents or accuracy of the information contained</w:t>
      </w:r>
      <w:r w:rsidRPr="4F9F5C11">
        <w:rPr>
          <w:lang w:val="en-US"/>
        </w:rPr>
        <w:t xml:space="preserve"> </w:t>
      </w:r>
      <w:r>
        <w:t>in this publication. To the extent permitted by law, the Commonwealth disclaims liability to any person or organisation in</w:t>
      </w:r>
      <w:r w:rsidRPr="4F9F5C11">
        <w:rPr>
          <w:lang w:val="en-US"/>
        </w:rPr>
        <w:t xml:space="preserve"> </w:t>
      </w:r>
      <w:r>
        <w:t>respect of anything done, or omitted to be done, in reliance upon information contained in this publication.</w:t>
      </w:r>
    </w:p>
    <w:p w14:paraId="0D274214" w14:textId="77777777" w:rsidR="009C1ECD" w:rsidRPr="009C1ECD" w:rsidRDefault="613284AB" w:rsidP="009C1ECD">
      <w:pPr>
        <w:pStyle w:val="Heading2notshowing"/>
      </w:pPr>
      <w:r>
        <w:t>Use of the Coat of Arms</w:t>
      </w:r>
    </w:p>
    <w:p w14:paraId="361EA0E7" w14:textId="72577B60" w:rsidR="009C1ECD" w:rsidRPr="009C1ECD" w:rsidRDefault="613284AB" w:rsidP="009C1ECD">
      <w:r>
        <w:t>The Department of the Prime Minister and Cabinet sets the terms under which the Coat of Arms is used. Please refer to</w:t>
      </w:r>
      <w:r w:rsidRPr="4F9F5C11">
        <w:rPr>
          <w:lang w:val="en-US"/>
        </w:rPr>
        <w:t xml:space="preserve"> </w:t>
      </w:r>
      <w:r>
        <w:t xml:space="preserve">the Commonwealth Coat of Arms - Information and Guidelines publication available at </w:t>
      </w:r>
      <w:hyperlink r:id="rId16">
        <w:r w:rsidRPr="4F9F5C11">
          <w:rPr>
            <w:rStyle w:val="Hyperlink"/>
          </w:rPr>
          <w:t>http://www.pmc.gov.au</w:t>
        </w:r>
      </w:hyperlink>
      <w:r>
        <w:t>.</w:t>
      </w:r>
    </w:p>
    <w:p w14:paraId="500F9B21" w14:textId="77777777" w:rsidR="009C1ECD" w:rsidRPr="009C1ECD" w:rsidRDefault="613284AB" w:rsidP="009C1ECD">
      <w:pPr>
        <w:rPr>
          <w:lang w:val="en-US"/>
        </w:rPr>
      </w:pPr>
      <w:r w:rsidRPr="4F9F5C11">
        <w:rPr>
          <w:lang w:val="en-US"/>
        </w:rPr>
        <w:t xml:space="preserve">The publication owner is strongly advised to seek advice from the department’s Legal Services Branch about the copyright </w:t>
      </w:r>
      <w:proofErr w:type="spellStart"/>
      <w:r w:rsidRPr="4F9F5C11">
        <w:rPr>
          <w:lang w:val="en-US"/>
        </w:rPr>
        <w:t>licencing</w:t>
      </w:r>
      <w:proofErr w:type="spellEnd"/>
      <w:r w:rsidRPr="4F9F5C11">
        <w:rPr>
          <w:lang w:val="en-US"/>
        </w:rPr>
        <w:t xml:space="preserve"> information appropriate for their publication to include here. </w:t>
      </w:r>
    </w:p>
    <w:p w14:paraId="01BF1955" w14:textId="77777777" w:rsidR="009C1ECD" w:rsidRPr="009C1ECD" w:rsidRDefault="613284AB" w:rsidP="009C1ECD">
      <w:pPr>
        <w:pStyle w:val="Heading2notshowing"/>
      </w:pPr>
      <w:r>
        <w:t>Contact us</w:t>
      </w:r>
    </w:p>
    <w:p w14:paraId="1B3B8B47" w14:textId="563FD784" w:rsidR="009C1ECD" w:rsidRPr="005D1F5A" w:rsidRDefault="613284AB" w:rsidP="009C1ECD">
      <w:r>
        <w:t xml:space="preserve">This publication is available in </w:t>
      </w:r>
      <w:r w:rsidRPr="00511E45">
        <w:rPr>
          <w:iCs/>
        </w:rPr>
        <w:t>PDF format</w:t>
      </w:r>
      <w:r w:rsidR="00511E45" w:rsidRPr="00511E45">
        <w:rPr>
          <w:iCs/>
          <w:lang w:val="en-US"/>
        </w:rPr>
        <w:t xml:space="preserve"> and </w:t>
      </w:r>
      <w:r w:rsidRPr="00511E45">
        <w:rPr>
          <w:iCs/>
          <w:lang w:val="en-US"/>
        </w:rPr>
        <w:t>Word format</w:t>
      </w:r>
      <w:r>
        <w:t>. All other rights are reserved, including in relation to any</w:t>
      </w:r>
      <w:r w:rsidRPr="4F9F5C11">
        <w:rPr>
          <w:lang w:val="en-US"/>
        </w:rPr>
        <w:t xml:space="preserve"> departmental</w:t>
      </w:r>
      <w:r>
        <w:t xml:space="preserve"> logos or trademarks which may exist. For enquiries regarding the </w:t>
      </w:r>
      <w:r w:rsidRPr="005D1F5A">
        <w:t>licence and any use of this publication,</w:t>
      </w:r>
      <w:r w:rsidRPr="005D1F5A">
        <w:rPr>
          <w:lang w:val="en-US"/>
        </w:rPr>
        <w:t xml:space="preserve"> </w:t>
      </w:r>
      <w:r w:rsidRPr="005D1F5A">
        <w:t>please contact:</w:t>
      </w:r>
    </w:p>
    <w:p w14:paraId="19AE48D2" w14:textId="77777777" w:rsidR="007D68BA" w:rsidRPr="005D1F5A" w:rsidRDefault="18471CA2" w:rsidP="007D68BA">
      <w:r w:rsidRPr="005D1F5A">
        <w:t>Director – Creative Services</w:t>
      </w:r>
      <w:r w:rsidR="007D68BA" w:rsidRPr="005D1F5A">
        <w:br/>
      </w:r>
      <w:r w:rsidRPr="005D1F5A">
        <w:t>Communication Branch</w:t>
      </w:r>
      <w:r w:rsidR="007D68BA" w:rsidRPr="005D1F5A">
        <w:br/>
      </w:r>
      <w:r w:rsidRPr="005D1F5A">
        <w:t>Department of Infrastructure, Transport, Regional Development and Communications</w:t>
      </w:r>
      <w:r w:rsidR="007D68BA" w:rsidRPr="005D1F5A">
        <w:br/>
      </w:r>
      <w:r w:rsidRPr="005D1F5A">
        <w:t>GPO Box 594</w:t>
      </w:r>
      <w:r w:rsidR="007D68BA" w:rsidRPr="005D1F5A">
        <w:br/>
      </w:r>
      <w:r w:rsidRPr="005D1F5A">
        <w:t>Canberra ACT 2601</w:t>
      </w:r>
      <w:r w:rsidR="007D68BA" w:rsidRPr="005D1F5A">
        <w:br/>
      </w:r>
      <w:r w:rsidRPr="005D1F5A">
        <w:t>Australia</w:t>
      </w:r>
    </w:p>
    <w:p w14:paraId="3C6B0FE7" w14:textId="24956DA3" w:rsidR="007D68BA" w:rsidRPr="005D1F5A" w:rsidRDefault="18471CA2" w:rsidP="4F9F5C11">
      <w:r w:rsidRPr="005D1F5A">
        <w:t xml:space="preserve">Email: </w:t>
      </w:r>
      <w:hyperlink r:id="rId17">
        <w:r w:rsidRPr="000F7862">
          <w:rPr>
            <w:rStyle w:val="Hyperlink"/>
          </w:rPr>
          <w:t>publishing@infrastructure.gov.au</w:t>
        </w:r>
        <w:r w:rsidR="007D68BA" w:rsidRPr="005D1F5A">
          <w:br/>
        </w:r>
      </w:hyperlink>
      <w:r w:rsidRPr="005D1F5A">
        <w:t xml:space="preserve">Website: </w:t>
      </w:r>
      <w:hyperlink r:id="rId18">
        <w:r w:rsidRPr="000F7862">
          <w:rPr>
            <w:rStyle w:val="Hyperlink"/>
          </w:rPr>
          <w:t>www.infrastructure.gov.au</w:t>
        </w:r>
      </w:hyperlink>
    </w:p>
    <w:p w14:paraId="1BAA861D" w14:textId="77777777" w:rsidR="00243F99" w:rsidRPr="000F7862" w:rsidRDefault="00243F99" w:rsidP="000F7862">
      <w:r w:rsidRPr="000F7862">
        <w:br w:type="page"/>
      </w:r>
    </w:p>
    <w:p w14:paraId="58314ED5" w14:textId="359120F7" w:rsidR="007D68BA" w:rsidRPr="000F7862" w:rsidRDefault="18471CA2" w:rsidP="000F7862">
      <w:pPr>
        <w:pStyle w:val="Heading2notshowing"/>
        <w:rPr>
          <w:sz w:val="32"/>
          <w:szCs w:val="32"/>
        </w:rPr>
      </w:pPr>
      <w:r w:rsidRPr="000F7862">
        <w:rPr>
          <w:sz w:val="32"/>
          <w:szCs w:val="32"/>
        </w:rPr>
        <w:lastRenderedPageBreak/>
        <w:t>Table of contents</w:t>
      </w:r>
    </w:p>
    <w:p w14:paraId="449877CC" w14:textId="32FEFD9A" w:rsidR="00204096" w:rsidRDefault="006E5952">
      <w:pPr>
        <w:pStyle w:val="TOC1"/>
        <w:rPr>
          <w:rFonts w:asciiTheme="minorHAnsi" w:eastAsiaTheme="minorEastAsia" w:hAnsiTheme="minorHAnsi"/>
          <w:b w:val="0"/>
          <w:noProof/>
          <w:color w:val="auto"/>
          <w:u w:val="none"/>
          <w:lang w:eastAsia="zh-CN"/>
        </w:rPr>
      </w:pPr>
      <w:r w:rsidRPr="4F9F5C11">
        <w:rPr>
          <w:b w:val="0"/>
        </w:rPr>
        <w:fldChar w:fldCharType="begin"/>
      </w:r>
      <w:r>
        <w:rPr>
          <w:b w:val="0"/>
        </w:rPr>
        <w:instrText xml:space="preserve"> TOC \h \z \t "Heading 2,1,Heading 3,2,Heading 4,3" </w:instrText>
      </w:r>
      <w:r w:rsidRPr="4F9F5C11">
        <w:rPr>
          <w:b w:val="0"/>
        </w:rPr>
        <w:fldChar w:fldCharType="separate"/>
      </w:r>
      <w:hyperlink w:anchor="_Toc124783590" w:history="1">
        <w:r w:rsidR="00204096" w:rsidRPr="0046147D">
          <w:rPr>
            <w:rStyle w:val="Hyperlink"/>
            <w:noProof/>
          </w:rPr>
          <w:t>List of acronyms</w:t>
        </w:r>
        <w:r w:rsidR="00204096">
          <w:rPr>
            <w:noProof/>
            <w:webHidden/>
          </w:rPr>
          <w:tab/>
        </w:r>
        <w:r w:rsidR="00204096">
          <w:rPr>
            <w:noProof/>
            <w:webHidden/>
          </w:rPr>
          <w:fldChar w:fldCharType="begin"/>
        </w:r>
        <w:r w:rsidR="00204096">
          <w:rPr>
            <w:noProof/>
            <w:webHidden/>
          </w:rPr>
          <w:instrText xml:space="preserve"> PAGEREF _Toc124783590 \h </w:instrText>
        </w:r>
        <w:r w:rsidR="00204096">
          <w:rPr>
            <w:noProof/>
            <w:webHidden/>
          </w:rPr>
        </w:r>
        <w:r w:rsidR="00204096">
          <w:rPr>
            <w:noProof/>
            <w:webHidden/>
          </w:rPr>
          <w:fldChar w:fldCharType="separate"/>
        </w:r>
        <w:r w:rsidR="00204096">
          <w:rPr>
            <w:noProof/>
            <w:webHidden/>
          </w:rPr>
          <w:t>4</w:t>
        </w:r>
        <w:r w:rsidR="00204096">
          <w:rPr>
            <w:noProof/>
            <w:webHidden/>
          </w:rPr>
          <w:fldChar w:fldCharType="end"/>
        </w:r>
      </w:hyperlink>
    </w:p>
    <w:p w14:paraId="2838A8AC" w14:textId="52FF93F6" w:rsidR="00204096" w:rsidRDefault="00204096">
      <w:pPr>
        <w:pStyle w:val="TOC1"/>
        <w:rPr>
          <w:rFonts w:asciiTheme="minorHAnsi" w:eastAsiaTheme="minorEastAsia" w:hAnsiTheme="minorHAnsi"/>
          <w:b w:val="0"/>
          <w:noProof/>
          <w:color w:val="auto"/>
          <w:u w:val="none"/>
          <w:lang w:eastAsia="zh-CN"/>
        </w:rPr>
      </w:pPr>
      <w:hyperlink w:anchor="_Toc124783591" w:history="1">
        <w:r w:rsidRPr="0046147D">
          <w:rPr>
            <w:rStyle w:val="Hyperlink"/>
            <w:noProof/>
          </w:rPr>
          <w:t>Executive summary, findings and recommendations</w:t>
        </w:r>
        <w:r>
          <w:rPr>
            <w:noProof/>
            <w:webHidden/>
          </w:rPr>
          <w:tab/>
        </w:r>
        <w:r>
          <w:rPr>
            <w:noProof/>
            <w:webHidden/>
          </w:rPr>
          <w:fldChar w:fldCharType="begin"/>
        </w:r>
        <w:r>
          <w:rPr>
            <w:noProof/>
            <w:webHidden/>
          </w:rPr>
          <w:instrText xml:space="preserve"> PAGEREF _Toc124783591 \h </w:instrText>
        </w:r>
        <w:r>
          <w:rPr>
            <w:noProof/>
            <w:webHidden/>
          </w:rPr>
        </w:r>
        <w:r>
          <w:rPr>
            <w:noProof/>
            <w:webHidden/>
          </w:rPr>
          <w:fldChar w:fldCharType="separate"/>
        </w:r>
        <w:r>
          <w:rPr>
            <w:noProof/>
            <w:webHidden/>
          </w:rPr>
          <w:t>5</w:t>
        </w:r>
        <w:r>
          <w:rPr>
            <w:noProof/>
            <w:webHidden/>
          </w:rPr>
          <w:fldChar w:fldCharType="end"/>
        </w:r>
      </w:hyperlink>
    </w:p>
    <w:p w14:paraId="20ABA6FA" w14:textId="2881B5E5" w:rsidR="00204096" w:rsidRDefault="00204096">
      <w:pPr>
        <w:pStyle w:val="TOC2"/>
        <w:rPr>
          <w:rFonts w:asciiTheme="minorHAnsi" w:eastAsiaTheme="minorEastAsia" w:hAnsiTheme="minorHAnsi"/>
          <w:noProof/>
          <w:sz w:val="22"/>
          <w:lang w:eastAsia="zh-CN"/>
        </w:rPr>
      </w:pPr>
      <w:hyperlink w:anchor="_Toc124783592" w:history="1">
        <w:r w:rsidRPr="0046147D">
          <w:rPr>
            <w:rStyle w:val="Hyperlink"/>
            <w:noProof/>
          </w:rPr>
          <w:t>Executive summary</w:t>
        </w:r>
        <w:r>
          <w:rPr>
            <w:noProof/>
            <w:webHidden/>
          </w:rPr>
          <w:tab/>
        </w:r>
        <w:r>
          <w:rPr>
            <w:noProof/>
            <w:webHidden/>
          </w:rPr>
          <w:fldChar w:fldCharType="begin"/>
        </w:r>
        <w:r>
          <w:rPr>
            <w:noProof/>
            <w:webHidden/>
          </w:rPr>
          <w:instrText xml:space="preserve"> PAGEREF _Toc124783592 \h </w:instrText>
        </w:r>
        <w:r>
          <w:rPr>
            <w:noProof/>
            <w:webHidden/>
          </w:rPr>
        </w:r>
        <w:r>
          <w:rPr>
            <w:noProof/>
            <w:webHidden/>
          </w:rPr>
          <w:fldChar w:fldCharType="separate"/>
        </w:r>
        <w:r>
          <w:rPr>
            <w:noProof/>
            <w:webHidden/>
          </w:rPr>
          <w:t>5</w:t>
        </w:r>
        <w:r>
          <w:rPr>
            <w:noProof/>
            <w:webHidden/>
          </w:rPr>
          <w:fldChar w:fldCharType="end"/>
        </w:r>
      </w:hyperlink>
    </w:p>
    <w:p w14:paraId="74318C26" w14:textId="7F9A230F" w:rsidR="00204096" w:rsidRDefault="00204096">
      <w:pPr>
        <w:pStyle w:val="TOC2"/>
        <w:rPr>
          <w:rFonts w:asciiTheme="minorHAnsi" w:eastAsiaTheme="minorEastAsia" w:hAnsiTheme="minorHAnsi"/>
          <w:noProof/>
          <w:sz w:val="22"/>
          <w:lang w:eastAsia="zh-CN"/>
        </w:rPr>
      </w:pPr>
      <w:hyperlink w:anchor="_Toc124783593" w:history="1">
        <w:r w:rsidRPr="0046147D">
          <w:rPr>
            <w:rStyle w:val="Hyperlink"/>
            <w:noProof/>
          </w:rPr>
          <w:t>Key findings</w:t>
        </w:r>
        <w:r>
          <w:rPr>
            <w:noProof/>
            <w:webHidden/>
          </w:rPr>
          <w:tab/>
        </w:r>
        <w:r>
          <w:rPr>
            <w:noProof/>
            <w:webHidden/>
          </w:rPr>
          <w:fldChar w:fldCharType="begin"/>
        </w:r>
        <w:r>
          <w:rPr>
            <w:noProof/>
            <w:webHidden/>
          </w:rPr>
          <w:instrText xml:space="preserve"> PAGEREF _Toc124783593 \h </w:instrText>
        </w:r>
        <w:r>
          <w:rPr>
            <w:noProof/>
            <w:webHidden/>
          </w:rPr>
        </w:r>
        <w:r>
          <w:rPr>
            <w:noProof/>
            <w:webHidden/>
          </w:rPr>
          <w:fldChar w:fldCharType="separate"/>
        </w:r>
        <w:r>
          <w:rPr>
            <w:noProof/>
            <w:webHidden/>
          </w:rPr>
          <w:t>6</w:t>
        </w:r>
        <w:r>
          <w:rPr>
            <w:noProof/>
            <w:webHidden/>
          </w:rPr>
          <w:fldChar w:fldCharType="end"/>
        </w:r>
      </w:hyperlink>
    </w:p>
    <w:p w14:paraId="2BDA8B03" w14:textId="7A64F497" w:rsidR="00204096" w:rsidRDefault="00204096">
      <w:pPr>
        <w:pStyle w:val="TOC2"/>
        <w:rPr>
          <w:rFonts w:asciiTheme="minorHAnsi" w:eastAsiaTheme="minorEastAsia" w:hAnsiTheme="minorHAnsi"/>
          <w:noProof/>
          <w:sz w:val="22"/>
          <w:lang w:eastAsia="zh-CN"/>
        </w:rPr>
      </w:pPr>
      <w:hyperlink w:anchor="_Toc124783594" w:history="1">
        <w:r w:rsidRPr="0046147D">
          <w:rPr>
            <w:rStyle w:val="Hyperlink"/>
            <w:noProof/>
          </w:rPr>
          <w:t>Recommendations</w:t>
        </w:r>
        <w:r>
          <w:rPr>
            <w:noProof/>
            <w:webHidden/>
          </w:rPr>
          <w:tab/>
        </w:r>
        <w:r>
          <w:rPr>
            <w:noProof/>
            <w:webHidden/>
          </w:rPr>
          <w:fldChar w:fldCharType="begin"/>
        </w:r>
        <w:r>
          <w:rPr>
            <w:noProof/>
            <w:webHidden/>
          </w:rPr>
          <w:instrText xml:space="preserve"> PAGEREF _Toc124783594 \h </w:instrText>
        </w:r>
        <w:r>
          <w:rPr>
            <w:noProof/>
            <w:webHidden/>
          </w:rPr>
        </w:r>
        <w:r>
          <w:rPr>
            <w:noProof/>
            <w:webHidden/>
          </w:rPr>
          <w:fldChar w:fldCharType="separate"/>
        </w:r>
        <w:r>
          <w:rPr>
            <w:noProof/>
            <w:webHidden/>
          </w:rPr>
          <w:t>6</w:t>
        </w:r>
        <w:r>
          <w:rPr>
            <w:noProof/>
            <w:webHidden/>
          </w:rPr>
          <w:fldChar w:fldCharType="end"/>
        </w:r>
      </w:hyperlink>
    </w:p>
    <w:p w14:paraId="7A13B9A5" w14:textId="4D19E164" w:rsidR="00204096" w:rsidRDefault="00204096">
      <w:pPr>
        <w:pStyle w:val="TOC1"/>
        <w:rPr>
          <w:rFonts w:asciiTheme="minorHAnsi" w:eastAsiaTheme="minorEastAsia" w:hAnsiTheme="minorHAnsi"/>
          <w:b w:val="0"/>
          <w:noProof/>
          <w:color w:val="auto"/>
          <w:u w:val="none"/>
          <w:lang w:eastAsia="zh-CN"/>
        </w:rPr>
      </w:pPr>
      <w:hyperlink w:anchor="_Toc124783595" w:history="1">
        <w:r w:rsidRPr="0046147D">
          <w:rPr>
            <w:rStyle w:val="Hyperlink"/>
            <w:noProof/>
          </w:rPr>
          <w:t>Background: independent review of Infrastructure Australia</w:t>
        </w:r>
        <w:r>
          <w:rPr>
            <w:noProof/>
            <w:webHidden/>
          </w:rPr>
          <w:tab/>
        </w:r>
        <w:r>
          <w:rPr>
            <w:noProof/>
            <w:webHidden/>
          </w:rPr>
          <w:fldChar w:fldCharType="begin"/>
        </w:r>
        <w:r>
          <w:rPr>
            <w:noProof/>
            <w:webHidden/>
          </w:rPr>
          <w:instrText xml:space="preserve"> PAGEREF _Toc124783595 \h </w:instrText>
        </w:r>
        <w:r>
          <w:rPr>
            <w:noProof/>
            <w:webHidden/>
          </w:rPr>
        </w:r>
        <w:r>
          <w:rPr>
            <w:noProof/>
            <w:webHidden/>
          </w:rPr>
          <w:fldChar w:fldCharType="separate"/>
        </w:r>
        <w:r>
          <w:rPr>
            <w:noProof/>
            <w:webHidden/>
          </w:rPr>
          <w:t>9</w:t>
        </w:r>
        <w:r>
          <w:rPr>
            <w:noProof/>
            <w:webHidden/>
          </w:rPr>
          <w:fldChar w:fldCharType="end"/>
        </w:r>
      </w:hyperlink>
    </w:p>
    <w:p w14:paraId="61C5DAB0" w14:textId="7E8E9D9B" w:rsidR="00204096" w:rsidRDefault="00204096">
      <w:pPr>
        <w:pStyle w:val="TOC2"/>
        <w:rPr>
          <w:rFonts w:asciiTheme="minorHAnsi" w:eastAsiaTheme="minorEastAsia" w:hAnsiTheme="minorHAnsi"/>
          <w:noProof/>
          <w:sz w:val="22"/>
          <w:lang w:eastAsia="zh-CN"/>
        </w:rPr>
      </w:pPr>
      <w:hyperlink w:anchor="_Toc124783596" w:history="1">
        <w:r w:rsidRPr="0046147D">
          <w:rPr>
            <w:rStyle w:val="Hyperlink"/>
            <w:noProof/>
          </w:rPr>
          <w:t>Terms of Reference for the Review</w:t>
        </w:r>
        <w:r>
          <w:rPr>
            <w:noProof/>
            <w:webHidden/>
          </w:rPr>
          <w:tab/>
        </w:r>
        <w:r>
          <w:rPr>
            <w:noProof/>
            <w:webHidden/>
          </w:rPr>
          <w:fldChar w:fldCharType="begin"/>
        </w:r>
        <w:r>
          <w:rPr>
            <w:noProof/>
            <w:webHidden/>
          </w:rPr>
          <w:instrText xml:space="preserve"> PAGEREF _Toc124783596 \h </w:instrText>
        </w:r>
        <w:r>
          <w:rPr>
            <w:noProof/>
            <w:webHidden/>
          </w:rPr>
        </w:r>
        <w:r>
          <w:rPr>
            <w:noProof/>
            <w:webHidden/>
          </w:rPr>
          <w:fldChar w:fldCharType="separate"/>
        </w:r>
        <w:r>
          <w:rPr>
            <w:noProof/>
            <w:webHidden/>
          </w:rPr>
          <w:t>9</w:t>
        </w:r>
        <w:r>
          <w:rPr>
            <w:noProof/>
            <w:webHidden/>
          </w:rPr>
          <w:fldChar w:fldCharType="end"/>
        </w:r>
      </w:hyperlink>
    </w:p>
    <w:p w14:paraId="7E637391" w14:textId="59DDFAA3" w:rsidR="00204096" w:rsidRDefault="00204096">
      <w:pPr>
        <w:pStyle w:val="TOC2"/>
        <w:rPr>
          <w:rFonts w:asciiTheme="minorHAnsi" w:eastAsiaTheme="minorEastAsia" w:hAnsiTheme="minorHAnsi"/>
          <w:noProof/>
          <w:sz w:val="22"/>
          <w:lang w:eastAsia="zh-CN"/>
        </w:rPr>
      </w:pPr>
      <w:hyperlink w:anchor="_Toc124783597" w:history="1">
        <w:r w:rsidRPr="0046147D">
          <w:rPr>
            <w:rStyle w:val="Hyperlink"/>
            <w:noProof/>
          </w:rPr>
          <w:t>Reviewers</w:t>
        </w:r>
        <w:r>
          <w:rPr>
            <w:noProof/>
            <w:webHidden/>
          </w:rPr>
          <w:tab/>
        </w:r>
        <w:r>
          <w:rPr>
            <w:noProof/>
            <w:webHidden/>
          </w:rPr>
          <w:fldChar w:fldCharType="begin"/>
        </w:r>
        <w:r>
          <w:rPr>
            <w:noProof/>
            <w:webHidden/>
          </w:rPr>
          <w:instrText xml:space="preserve"> PAGEREF _Toc124783597 \h </w:instrText>
        </w:r>
        <w:r>
          <w:rPr>
            <w:noProof/>
            <w:webHidden/>
          </w:rPr>
        </w:r>
        <w:r>
          <w:rPr>
            <w:noProof/>
            <w:webHidden/>
          </w:rPr>
          <w:fldChar w:fldCharType="separate"/>
        </w:r>
        <w:r>
          <w:rPr>
            <w:noProof/>
            <w:webHidden/>
          </w:rPr>
          <w:t>10</w:t>
        </w:r>
        <w:r>
          <w:rPr>
            <w:noProof/>
            <w:webHidden/>
          </w:rPr>
          <w:fldChar w:fldCharType="end"/>
        </w:r>
      </w:hyperlink>
    </w:p>
    <w:p w14:paraId="48557584" w14:textId="69933E80" w:rsidR="00204096" w:rsidRDefault="00204096">
      <w:pPr>
        <w:pStyle w:val="TOC3"/>
        <w:rPr>
          <w:rFonts w:asciiTheme="minorHAnsi" w:eastAsiaTheme="minorEastAsia" w:hAnsiTheme="minorHAnsi"/>
          <w:noProof/>
          <w:sz w:val="22"/>
          <w:lang w:eastAsia="zh-CN"/>
        </w:rPr>
      </w:pPr>
      <w:hyperlink w:anchor="_Toc124783598" w:history="1">
        <w:r w:rsidRPr="0046147D">
          <w:rPr>
            <w:rStyle w:val="Hyperlink"/>
            <w:noProof/>
          </w:rPr>
          <w:t>Nicole Lockwood</w:t>
        </w:r>
        <w:r>
          <w:rPr>
            <w:noProof/>
            <w:webHidden/>
          </w:rPr>
          <w:tab/>
        </w:r>
        <w:r>
          <w:rPr>
            <w:noProof/>
            <w:webHidden/>
          </w:rPr>
          <w:fldChar w:fldCharType="begin"/>
        </w:r>
        <w:r>
          <w:rPr>
            <w:noProof/>
            <w:webHidden/>
          </w:rPr>
          <w:instrText xml:space="preserve"> PAGEREF _Toc124783598 \h </w:instrText>
        </w:r>
        <w:r>
          <w:rPr>
            <w:noProof/>
            <w:webHidden/>
          </w:rPr>
        </w:r>
        <w:r>
          <w:rPr>
            <w:noProof/>
            <w:webHidden/>
          </w:rPr>
          <w:fldChar w:fldCharType="separate"/>
        </w:r>
        <w:r>
          <w:rPr>
            <w:noProof/>
            <w:webHidden/>
          </w:rPr>
          <w:t>10</w:t>
        </w:r>
        <w:r>
          <w:rPr>
            <w:noProof/>
            <w:webHidden/>
          </w:rPr>
          <w:fldChar w:fldCharType="end"/>
        </w:r>
      </w:hyperlink>
    </w:p>
    <w:p w14:paraId="118A1BE7" w14:textId="4836E670" w:rsidR="00204096" w:rsidRDefault="00204096">
      <w:pPr>
        <w:pStyle w:val="TOC3"/>
        <w:rPr>
          <w:rFonts w:asciiTheme="minorHAnsi" w:eastAsiaTheme="minorEastAsia" w:hAnsiTheme="minorHAnsi"/>
          <w:noProof/>
          <w:sz w:val="22"/>
          <w:lang w:eastAsia="zh-CN"/>
        </w:rPr>
      </w:pPr>
      <w:hyperlink w:anchor="_Toc124783599" w:history="1">
        <w:r w:rsidRPr="0046147D">
          <w:rPr>
            <w:rStyle w:val="Hyperlink"/>
            <w:noProof/>
          </w:rPr>
          <w:t>Mike Mrdak AO</w:t>
        </w:r>
        <w:r>
          <w:rPr>
            <w:noProof/>
            <w:webHidden/>
          </w:rPr>
          <w:tab/>
        </w:r>
        <w:r>
          <w:rPr>
            <w:noProof/>
            <w:webHidden/>
          </w:rPr>
          <w:fldChar w:fldCharType="begin"/>
        </w:r>
        <w:r>
          <w:rPr>
            <w:noProof/>
            <w:webHidden/>
          </w:rPr>
          <w:instrText xml:space="preserve"> PAGEREF _Toc124783599 \h </w:instrText>
        </w:r>
        <w:r>
          <w:rPr>
            <w:noProof/>
            <w:webHidden/>
          </w:rPr>
        </w:r>
        <w:r>
          <w:rPr>
            <w:noProof/>
            <w:webHidden/>
          </w:rPr>
          <w:fldChar w:fldCharType="separate"/>
        </w:r>
        <w:r>
          <w:rPr>
            <w:noProof/>
            <w:webHidden/>
          </w:rPr>
          <w:t>10</w:t>
        </w:r>
        <w:r>
          <w:rPr>
            <w:noProof/>
            <w:webHidden/>
          </w:rPr>
          <w:fldChar w:fldCharType="end"/>
        </w:r>
      </w:hyperlink>
    </w:p>
    <w:p w14:paraId="7A5D2350" w14:textId="766E3DDD" w:rsidR="00204096" w:rsidRDefault="00204096">
      <w:pPr>
        <w:pStyle w:val="TOC2"/>
        <w:rPr>
          <w:rFonts w:asciiTheme="minorHAnsi" w:eastAsiaTheme="minorEastAsia" w:hAnsiTheme="minorHAnsi"/>
          <w:noProof/>
          <w:sz w:val="22"/>
          <w:lang w:eastAsia="zh-CN"/>
        </w:rPr>
      </w:pPr>
      <w:hyperlink w:anchor="_Toc124783600" w:history="1">
        <w:r w:rsidRPr="0046147D">
          <w:rPr>
            <w:rStyle w:val="Hyperlink"/>
            <w:noProof/>
          </w:rPr>
          <w:t>Consultation</w:t>
        </w:r>
        <w:r>
          <w:rPr>
            <w:noProof/>
            <w:webHidden/>
          </w:rPr>
          <w:tab/>
        </w:r>
        <w:r>
          <w:rPr>
            <w:noProof/>
            <w:webHidden/>
          </w:rPr>
          <w:fldChar w:fldCharType="begin"/>
        </w:r>
        <w:r>
          <w:rPr>
            <w:noProof/>
            <w:webHidden/>
          </w:rPr>
          <w:instrText xml:space="preserve"> PAGEREF _Toc124783600 \h </w:instrText>
        </w:r>
        <w:r>
          <w:rPr>
            <w:noProof/>
            <w:webHidden/>
          </w:rPr>
        </w:r>
        <w:r>
          <w:rPr>
            <w:noProof/>
            <w:webHidden/>
          </w:rPr>
          <w:fldChar w:fldCharType="separate"/>
        </w:r>
        <w:r>
          <w:rPr>
            <w:noProof/>
            <w:webHidden/>
          </w:rPr>
          <w:t>10</w:t>
        </w:r>
        <w:r>
          <w:rPr>
            <w:noProof/>
            <w:webHidden/>
          </w:rPr>
          <w:fldChar w:fldCharType="end"/>
        </w:r>
      </w:hyperlink>
    </w:p>
    <w:p w14:paraId="6220AF51" w14:textId="453B971C" w:rsidR="00204096" w:rsidRDefault="00204096">
      <w:pPr>
        <w:pStyle w:val="TOC1"/>
        <w:rPr>
          <w:rFonts w:asciiTheme="minorHAnsi" w:eastAsiaTheme="minorEastAsia" w:hAnsiTheme="minorHAnsi"/>
          <w:b w:val="0"/>
          <w:noProof/>
          <w:color w:val="auto"/>
          <w:u w:val="none"/>
          <w:lang w:eastAsia="zh-CN"/>
        </w:rPr>
      </w:pPr>
      <w:hyperlink w:anchor="_Toc124783601" w:history="1">
        <w:r w:rsidRPr="0046147D">
          <w:rPr>
            <w:rStyle w:val="Hyperlink"/>
            <w:noProof/>
          </w:rPr>
          <w:t>Infrastructure Australia: history and current state of play</w:t>
        </w:r>
        <w:r>
          <w:rPr>
            <w:noProof/>
            <w:webHidden/>
          </w:rPr>
          <w:tab/>
        </w:r>
        <w:r>
          <w:rPr>
            <w:noProof/>
            <w:webHidden/>
          </w:rPr>
          <w:fldChar w:fldCharType="begin"/>
        </w:r>
        <w:r>
          <w:rPr>
            <w:noProof/>
            <w:webHidden/>
          </w:rPr>
          <w:instrText xml:space="preserve"> PAGEREF _Toc124783601 \h </w:instrText>
        </w:r>
        <w:r>
          <w:rPr>
            <w:noProof/>
            <w:webHidden/>
          </w:rPr>
        </w:r>
        <w:r>
          <w:rPr>
            <w:noProof/>
            <w:webHidden/>
          </w:rPr>
          <w:fldChar w:fldCharType="separate"/>
        </w:r>
        <w:r>
          <w:rPr>
            <w:noProof/>
            <w:webHidden/>
          </w:rPr>
          <w:t>11</w:t>
        </w:r>
        <w:r>
          <w:rPr>
            <w:noProof/>
            <w:webHidden/>
          </w:rPr>
          <w:fldChar w:fldCharType="end"/>
        </w:r>
      </w:hyperlink>
    </w:p>
    <w:p w14:paraId="1AF2AEFD" w14:textId="0FBA55C5" w:rsidR="00204096" w:rsidRDefault="00204096">
      <w:pPr>
        <w:pStyle w:val="TOC2"/>
        <w:rPr>
          <w:rFonts w:asciiTheme="minorHAnsi" w:eastAsiaTheme="minorEastAsia" w:hAnsiTheme="minorHAnsi"/>
          <w:noProof/>
          <w:sz w:val="22"/>
          <w:lang w:eastAsia="zh-CN"/>
        </w:rPr>
      </w:pPr>
      <w:hyperlink w:anchor="_Toc124783602" w:history="1">
        <w:r w:rsidRPr="0046147D">
          <w:rPr>
            <w:rStyle w:val="Hyperlink"/>
            <w:noProof/>
          </w:rPr>
          <w:t>Original purpose and establishment</w:t>
        </w:r>
        <w:r>
          <w:rPr>
            <w:noProof/>
            <w:webHidden/>
          </w:rPr>
          <w:tab/>
        </w:r>
        <w:r>
          <w:rPr>
            <w:noProof/>
            <w:webHidden/>
          </w:rPr>
          <w:fldChar w:fldCharType="begin"/>
        </w:r>
        <w:r>
          <w:rPr>
            <w:noProof/>
            <w:webHidden/>
          </w:rPr>
          <w:instrText xml:space="preserve"> PAGEREF _Toc124783602 \h </w:instrText>
        </w:r>
        <w:r>
          <w:rPr>
            <w:noProof/>
            <w:webHidden/>
          </w:rPr>
        </w:r>
        <w:r>
          <w:rPr>
            <w:noProof/>
            <w:webHidden/>
          </w:rPr>
          <w:fldChar w:fldCharType="separate"/>
        </w:r>
        <w:r>
          <w:rPr>
            <w:noProof/>
            <w:webHidden/>
          </w:rPr>
          <w:t>11</w:t>
        </w:r>
        <w:r>
          <w:rPr>
            <w:noProof/>
            <w:webHidden/>
          </w:rPr>
          <w:fldChar w:fldCharType="end"/>
        </w:r>
      </w:hyperlink>
    </w:p>
    <w:p w14:paraId="6B2FDD59" w14:textId="781694E5" w:rsidR="00204096" w:rsidRDefault="00204096">
      <w:pPr>
        <w:pStyle w:val="TOC2"/>
        <w:rPr>
          <w:rFonts w:asciiTheme="minorHAnsi" w:eastAsiaTheme="minorEastAsia" w:hAnsiTheme="minorHAnsi"/>
          <w:noProof/>
          <w:sz w:val="22"/>
          <w:lang w:eastAsia="zh-CN"/>
        </w:rPr>
      </w:pPr>
      <w:hyperlink w:anchor="_Toc124783603" w:history="1">
        <w:r w:rsidRPr="0046147D">
          <w:rPr>
            <w:rStyle w:val="Hyperlink"/>
            <w:noProof/>
          </w:rPr>
          <w:t>Governance, structure and functions</w:t>
        </w:r>
        <w:r>
          <w:rPr>
            <w:noProof/>
            <w:webHidden/>
          </w:rPr>
          <w:tab/>
        </w:r>
        <w:r>
          <w:rPr>
            <w:noProof/>
            <w:webHidden/>
          </w:rPr>
          <w:fldChar w:fldCharType="begin"/>
        </w:r>
        <w:r>
          <w:rPr>
            <w:noProof/>
            <w:webHidden/>
          </w:rPr>
          <w:instrText xml:space="preserve"> PAGEREF _Toc124783603 \h </w:instrText>
        </w:r>
        <w:r>
          <w:rPr>
            <w:noProof/>
            <w:webHidden/>
          </w:rPr>
        </w:r>
        <w:r>
          <w:rPr>
            <w:noProof/>
            <w:webHidden/>
          </w:rPr>
          <w:fldChar w:fldCharType="separate"/>
        </w:r>
        <w:r>
          <w:rPr>
            <w:noProof/>
            <w:webHidden/>
          </w:rPr>
          <w:t>12</w:t>
        </w:r>
        <w:r>
          <w:rPr>
            <w:noProof/>
            <w:webHidden/>
          </w:rPr>
          <w:fldChar w:fldCharType="end"/>
        </w:r>
      </w:hyperlink>
    </w:p>
    <w:p w14:paraId="264B9D70" w14:textId="389E53BB" w:rsidR="00204096" w:rsidRDefault="00204096">
      <w:pPr>
        <w:pStyle w:val="TOC2"/>
        <w:rPr>
          <w:rFonts w:asciiTheme="minorHAnsi" w:eastAsiaTheme="minorEastAsia" w:hAnsiTheme="minorHAnsi"/>
          <w:noProof/>
          <w:sz w:val="22"/>
          <w:lang w:eastAsia="zh-CN"/>
        </w:rPr>
      </w:pPr>
      <w:hyperlink w:anchor="_Toc124783604" w:history="1">
        <w:r w:rsidRPr="0046147D">
          <w:rPr>
            <w:rStyle w:val="Hyperlink"/>
            <w:noProof/>
          </w:rPr>
          <w:t>Operating context</w:t>
        </w:r>
        <w:r>
          <w:rPr>
            <w:noProof/>
            <w:webHidden/>
          </w:rPr>
          <w:tab/>
        </w:r>
        <w:r>
          <w:rPr>
            <w:noProof/>
            <w:webHidden/>
          </w:rPr>
          <w:fldChar w:fldCharType="begin"/>
        </w:r>
        <w:r>
          <w:rPr>
            <w:noProof/>
            <w:webHidden/>
          </w:rPr>
          <w:instrText xml:space="preserve"> PAGEREF _Toc124783604 \h </w:instrText>
        </w:r>
        <w:r>
          <w:rPr>
            <w:noProof/>
            <w:webHidden/>
          </w:rPr>
        </w:r>
        <w:r>
          <w:rPr>
            <w:noProof/>
            <w:webHidden/>
          </w:rPr>
          <w:fldChar w:fldCharType="separate"/>
        </w:r>
        <w:r>
          <w:rPr>
            <w:noProof/>
            <w:webHidden/>
          </w:rPr>
          <w:t>13</w:t>
        </w:r>
        <w:r>
          <w:rPr>
            <w:noProof/>
            <w:webHidden/>
          </w:rPr>
          <w:fldChar w:fldCharType="end"/>
        </w:r>
      </w:hyperlink>
    </w:p>
    <w:p w14:paraId="3DE3A023" w14:textId="0067B475" w:rsidR="00204096" w:rsidRDefault="00204096">
      <w:pPr>
        <w:pStyle w:val="TOC1"/>
        <w:rPr>
          <w:rFonts w:asciiTheme="minorHAnsi" w:eastAsiaTheme="minorEastAsia" w:hAnsiTheme="minorHAnsi"/>
          <w:b w:val="0"/>
          <w:noProof/>
          <w:color w:val="auto"/>
          <w:u w:val="none"/>
          <w:lang w:eastAsia="zh-CN"/>
        </w:rPr>
      </w:pPr>
      <w:hyperlink w:anchor="_Toc124783605" w:history="1">
        <w:r w:rsidRPr="0046147D">
          <w:rPr>
            <w:rStyle w:val="Hyperlink"/>
            <w:noProof/>
          </w:rPr>
          <w:t>Infrastructure Australia: mandate and core roles</w:t>
        </w:r>
        <w:r>
          <w:rPr>
            <w:noProof/>
            <w:webHidden/>
          </w:rPr>
          <w:tab/>
        </w:r>
        <w:r>
          <w:rPr>
            <w:noProof/>
            <w:webHidden/>
          </w:rPr>
          <w:fldChar w:fldCharType="begin"/>
        </w:r>
        <w:r>
          <w:rPr>
            <w:noProof/>
            <w:webHidden/>
          </w:rPr>
          <w:instrText xml:space="preserve"> PAGEREF _Toc124783605 \h </w:instrText>
        </w:r>
        <w:r>
          <w:rPr>
            <w:noProof/>
            <w:webHidden/>
          </w:rPr>
        </w:r>
        <w:r>
          <w:rPr>
            <w:noProof/>
            <w:webHidden/>
          </w:rPr>
          <w:fldChar w:fldCharType="separate"/>
        </w:r>
        <w:r>
          <w:rPr>
            <w:noProof/>
            <w:webHidden/>
          </w:rPr>
          <w:t>14</w:t>
        </w:r>
        <w:r>
          <w:rPr>
            <w:noProof/>
            <w:webHidden/>
          </w:rPr>
          <w:fldChar w:fldCharType="end"/>
        </w:r>
      </w:hyperlink>
    </w:p>
    <w:p w14:paraId="60833F5F" w14:textId="7D217E41" w:rsidR="00204096" w:rsidRDefault="00204096">
      <w:pPr>
        <w:pStyle w:val="TOC2"/>
        <w:rPr>
          <w:rFonts w:asciiTheme="minorHAnsi" w:eastAsiaTheme="minorEastAsia" w:hAnsiTheme="minorHAnsi"/>
          <w:noProof/>
          <w:sz w:val="22"/>
          <w:lang w:eastAsia="zh-CN"/>
        </w:rPr>
      </w:pPr>
      <w:hyperlink w:anchor="_Toc124783606" w:history="1">
        <w:r w:rsidRPr="0046147D">
          <w:rPr>
            <w:rStyle w:val="Hyperlink"/>
            <w:noProof/>
          </w:rPr>
          <w:t>Advice: an improved product suite to support Australian Government infrastructure investment objectives</w:t>
        </w:r>
        <w:r>
          <w:rPr>
            <w:noProof/>
            <w:webHidden/>
          </w:rPr>
          <w:tab/>
        </w:r>
        <w:r>
          <w:rPr>
            <w:noProof/>
            <w:webHidden/>
          </w:rPr>
          <w:fldChar w:fldCharType="begin"/>
        </w:r>
        <w:r>
          <w:rPr>
            <w:noProof/>
            <w:webHidden/>
          </w:rPr>
          <w:instrText xml:space="preserve"> PAGEREF _Toc124783606 \h </w:instrText>
        </w:r>
        <w:r>
          <w:rPr>
            <w:noProof/>
            <w:webHidden/>
          </w:rPr>
        </w:r>
        <w:r>
          <w:rPr>
            <w:noProof/>
            <w:webHidden/>
          </w:rPr>
          <w:fldChar w:fldCharType="separate"/>
        </w:r>
        <w:r>
          <w:rPr>
            <w:noProof/>
            <w:webHidden/>
          </w:rPr>
          <w:t>15</w:t>
        </w:r>
        <w:r>
          <w:rPr>
            <w:noProof/>
            <w:webHidden/>
          </w:rPr>
          <w:fldChar w:fldCharType="end"/>
        </w:r>
      </w:hyperlink>
    </w:p>
    <w:p w14:paraId="2623057E" w14:textId="05BD8AA5" w:rsidR="00204096" w:rsidRDefault="00204096">
      <w:pPr>
        <w:pStyle w:val="TOC3"/>
        <w:rPr>
          <w:rFonts w:asciiTheme="minorHAnsi" w:eastAsiaTheme="minorEastAsia" w:hAnsiTheme="minorHAnsi"/>
          <w:noProof/>
          <w:sz w:val="22"/>
          <w:lang w:eastAsia="zh-CN"/>
        </w:rPr>
      </w:pPr>
      <w:hyperlink w:anchor="_Toc124783607" w:history="1">
        <w:r w:rsidRPr="0046147D">
          <w:rPr>
            <w:rStyle w:val="Hyperlink"/>
            <w:noProof/>
          </w:rPr>
          <w:t>Setting the context: an Australian Government Charter of Infrastructure Investment Objectives</w:t>
        </w:r>
        <w:r>
          <w:rPr>
            <w:noProof/>
            <w:webHidden/>
          </w:rPr>
          <w:tab/>
        </w:r>
        <w:r>
          <w:rPr>
            <w:noProof/>
            <w:webHidden/>
          </w:rPr>
          <w:fldChar w:fldCharType="begin"/>
        </w:r>
        <w:r>
          <w:rPr>
            <w:noProof/>
            <w:webHidden/>
          </w:rPr>
          <w:instrText xml:space="preserve"> PAGEREF _Toc124783607 \h </w:instrText>
        </w:r>
        <w:r>
          <w:rPr>
            <w:noProof/>
            <w:webHidden/>
          </w:rPr>
        </w:r>
        <w:r>
          <w:rPr>
            <w:noProof/>
            <w:webHidden/>
          </w:rPr>
          <w:fldChar w:fldCharType="separate"/>
        </w:r>
        <w:r>
          <w:rPr>
            <w:noProof/>
            <w:webHidden/>
          </w:rPr>
          <w:t>16</w:t>
        </w:r>
        <w:r>
          <w:rPr>
            <w:noProof/>
            <w:webHidden/>
          </w:rPr>
          <w:fldChar w:fldCharType="end"/>
        </w:r>
      </w:hyperlink>
    </w:p>
    <w:p w14:paraId="28966E6B" w14:textId="358B4CAC" w:rsidR="00204096" w:rsidRDefault="00204096">
      <w:pPr>
        <w:pStyle w:val="TOC3"/>
        <w:rPr>
          <w:rFonts w:asciiTheme="minorHAnsi" w:eastAsiaTheme="minorEastAsia" w:hAnsiTheme="minorHAnsi"/>
          <w:noProof/>
          <w:sz w:val="22"/>
          <w:lang w:eastAsia="zh-CN"/>
        </w:rPr>
      </w:pPr>
      <w:hyperlink w:anchor="_Toc124783608" w:history="1">
        <w:r w:rsidRPr="0046147D">
          <w:rPr>
            <w:rStyle w:val="Hyperlink"/>
            <w:noProof/>
          </w:rPr>
          <w:t>The Plan: to meet the Charter objectives requires collaboration with states, territories and proponents</w:t>
        </w:r>
        <w:r>
          <w:rPr>
            <w:noProof/>
            <w:webHidden/>
          </w:rPr>
          <w:tab/>
        </w:r>
        <w:r>
          <w:rPr>
            <w:noProof/>
            <w:webHidden/>
          </w:rPr>
          <w:fldChar w:fldCharType="begin"/>
        </w:r>
        <w:r>
          <w:rPr>
            <w:noProof/>
            <w:webHidden/>
          </w:rPr>
          <w:instrText xml:space="preserve"> PAGEREF _Toc124783608 \h </w:instrText>
        </w:r>
        <w:r>
          <w:rPr>
            <w:noProof/>
            <w:webHidden/>
          </w:rPr>
        </w:r>
        <w:r>
          <w:rPr>
            <w:noProof/>
            <w:webHidden/>
          </w:rPr>
          <w:fldChar w:fldCharType="separate"/>
        </w:r>
        <w:r>
          <w:rPr>
            <w:noProof/>
            <w:webHidden/>
          </w:rPr>
          <w:t>18</w:t>
        </w:r>
        <w:r>
          <w:rPr>
            <w:noProof/>
            <w:webHidden/>
          </w:rPr>
          <w:fldChar w:fldCharType="end"/>
        </w:r>
      </w:hyperlink>
    </w:p>
    <w:p w14:paraId="2E16C8D4" w14:textId="75368D82" w:rsidR="00204096" w:rsidRDefault="00204096">
      <w:pPr>
        <w:pStyle w:val="TOC3"/>
        <w:rPr>
          <w:rFonts w:asciiTheme="minorHAnsi" w:eastAsiaTheme="minorEastAsia" w:hAnsiTheme="minorHAnsi"/>
          <w:noProof/>
          <w:sz w:val="22"/>
          <w:lang w:eastAsia="zh-CN"/>
        </w:rPr>
      </w:pPr>
      <w:hyperlink w:anchor="_Toc124783609" w:history="1">
        <w:r w:rsidRPr="0046147D">
          <w:rPr>
            <w:rStyle w:val="Hyperlink"/>
            <w:noProof/>
          </w:rPr>
          <w:t>Improving investment decisions: a meaningful IPL</w:t>
        </w:r>
        <w:r>
          <w:rPr>
            <w:noProof/>
            <w:webHidden/>
          </w:rPr>
          <w:tab/>
        </w:r>
        <w:r>
          <w:rPr>
            <w:noProof/>
            <w:webHidden/>
          </w:rPr>
          <w:fldChar w:fldCharType="begin"/>
        </w:r>
        <w:r>
          <w:rPr>
            <w:noProof/>
            <w:webHidden/>
          </w:rPr>
          <w:instrText xml:space="preserve"> PAGEREF _Toc124783609 \h </w:instrText>
        </w:r>
        <w:r>
          <w:rPr>
            <w:noProof/>
            <w:webHidden/>
          </w:rPr>
        </w:r>
        <w:r>
          <w:rPr>
            <w:noProof/>
            <w:webHidden/>
          </w:rPr>
          <w:fldChar w:fldCharType="separate"/>
        </w:r>
        <w:r>
          <w:rPr>
            <w:noProof/>
            <w:webHidden/>
          </w:rPr>
          <w:t>18</w:t>
        </w:r>
        <w:r>
          <w:rPr>
            <w:noProof/>
            <w:webHidden/>
          </w:rPr>
          <w:fldChar w:fldCharType="end"/>
        </w:r>
      </w:hyperlink>
    </w:p>
    <w:p w14:paraId="3B232B35" w14:textId="6EDE35DE" w:rsidR="00204096" w:rsidRDefault="00204096">
      <w:pPr>
        <w:pStyle w:val="TOC3"/>
        <w:rPr>
          <w:rFonts w:asciiTheme="minorHAnsi" w:eastAsiaTheme="minorEastAsia" w:hAnsiTheme="minorHAnsi"/>
          <w:noProof/>
          <w:sz w:val="22"/>
          <w:lang w:eastAsia="zh-CN"/>
        </w:rPr>
      </w:pPr>
      <w:hyperlink w:anchor="_Toc124783610" w:history="1">
        <w:r w:rsidRPr="0046147D">
          <w:rPr>
            <w:rStyle w:val="Hyperlink"/>
            <w:noProof/>
          </w:rPr>
          <w:t>Unassessed Government announcements and commitments</w:t>
        </w:r>
        <w:r>
          <w:rPr>
            <w:noProof/>
            <w:webHidden/>
          </w:rPr>
          <w:tab/>
        </w:r>
        <w:r>
          <w:rPr>
            <w:noProof/>
            <w:webHidden/>
          </w:rPr>
          <w:fldChar w:fldCharType="begin"/>
        </w:r>
        <w:r>
          <w:rPr>
            <w:noProof/>
            <w:webHidden/>
          </w:rPr>
          <w:instrText xml:space="preserve"> PAGEREF _Toc124783610 \h </w:instrText>
        </w:r>
        <w:r>
          <w:rPr>
            <w:noProof/>
            <w:webHidden/>
          </w:rPr>
        </w:r>
        <w:r>
          <w:rPr>
            <w:noProof/>
            <w:webHidden/>
          </w:rPr>
          <w:fldChar w:fldCharType="separate"/>
        </w:r>
        <w:r>
          <w:rPr>
            <w:noProof/>
            <w:webHidden/>
          </w:rPr>
          <w:t>18</w:t>
        </w:r>
        <w:r>
          <w:rPr>
            <w:noProof/>
            <w:webHidden/>
          </w:rPr>
          <w:fldChar w:fldCharType="end"/>
        </w:r>
      </w:hyperlink>
    </w:p>
    <w:p w14:paraId="4F3D60F3" w14:textId="23EF2AC4" w:rsidR="00204096" w:rsidRDefault="00204096">
      <w:pPr>
        <w:pStyle w:val="TOC3"/>
        <w:rPr>
          <w:rFonts w:asciiTheme="minorHAnsi" w:eastAsiaTheme="minorEastAsia" w:hAnsiTheme="minorHAnsi"/>
          <w:noProof/>
          <w:sz w:val="22"/>
          <w:lang w:eastAsia="zh-CN"/>
        </w:rPr>
      </w:pPr>
      <w:hyperlink w:anchor="_Toc124783611" w:history="1">
        <w:r w:rsidRPr="0046147D">
          <w:rPr>
            <w:rStyle w:val="Hyperlink"/>
            <w:noProof/>
          </w:rPr>
          <w:t>Improved influence and value: input into the budget process and annual updates</w:t>
        </w:r>
        <w:r>
          <w:rPr>
            <w:noProof/>
            <w:webHidden/>
          </w:rPr>
          <w:tab/>
        </w:r>
        <w:r>
          <w:rPr>
            <w:noProof/>
            <w:webHidden/>
          </w:rPr>
          <w:fldChar w:fldCharType="begin"/>
        </w:r>
        <w:r>
          <w:rPr>
            <w:noProof/>
            <w:webHidden/>
          </w:rPr>
          <w:instrText xml:space="preserve"> PAGEREF _Toc124783611 \h </w:instrText>
        </w:r>
        <w:r>
          <w:rPr>
            <w:noProof/>
            <w:webHidden/>
          </w:rPr>
        </w:r>
        <w:r>
          <w:rPr>
            <w:noProof/>
            <w:webHidden/>
          </w:rPr>
          <w:fldChar w:fldCharType="separate"/>
        </w:r>
        <w:r>
          <w:rPr>
            <w:noProof/>
            <w:webHidden/>
          </w:rPr>
          <w:t>18</w:t>
        </w:r>
        <w:r>
          <w:rPr>
            <w:noProof/>
            <w:webHidden/>
          </w:rPr>
          <w:fldChar w:fldCharType="end"/>
        </w:r>
      </w:hyperlink>
    </w:p>
    <w:p w14:paraId="00BD3C2C" w14:textId="1ED35AD2" w:rsidR="00204096" w:rsidRDefault="00204096">
      <w:pPr>
        <w:pStyle w:val="TOC3"/>
        <w:rPr>
          <w:rFonts w:asciiTheme="minorHAnsi" w:eastAsiaTheme="minorEastAsia" w:hAnsiTheme="minorHAnsi"/>
          <w:noProof/>
          <w:sz w:val="22"/>
          <w:lang w:eastAsia="zh-CN"/>
        </w:rPr>
      </w:pPr>
      <w:hyperlink w:anchor="_Toc124783612" w:history="1">
        <w:r w:rsidRPr="0046147D">
          <w:rPr>
            <w:rStyle w:val="Hyperlink"/>
            <w:noProof/>
          </w:rPr>
          <w:t>Improved accountability: Government response</w:t>
        </w:r>
        <w:r>
          <w:rPr>
            <w:noProof/>
            <w:webHidden/>
          </w:rPr>
          <w:tab/>
        </w:r>
        <w:r>
          <w:rPr>
            <w:noProof/>
            <w:webHidden/>
          </w:rPr>
          <w:fldChar w:fldCharType="begin"/>
        </w:r>
        <w:r>
          <w:rPr>
            <w:noProof/>
            <w:webHidden/>
          </w:rPr>
          <w:instrText xml:space="preserve"> PAGEREF _Toc124783612 \h </w:instrText>
        </w:r>
        <w:r>
          <w:rPr>
            <w:noProof/>
            <w:webHidden/>
          </w:rPr>
        </w:r>
        <w:r>
          <w:rPr>
            <w:noProof/>
            <w:webHidden/>
          </w:rPr>
          <w:fldChar w:fldCharType="separate"/>
        </w:r>
        <w:r>
          <w:rPr>
            <w:noProof/>
            <w:webHidden/>
          </w:rPr>
          <w:t>20</w:t>
        </w:r>
        <w:r>
          <w:rPr>
            <w:noProof/>
            <w:webHidden/>
          </w:rPr>
          <w:fldChar w:fldCharType="end"/>
        </w:r>
      </w:hyperlink>
    </w:p>
    <w:p w14:paraId="76BA1B0E" w14:textId="2497CB94" w:rsidR="00204096" w:rsidRDefault="00204096">
      <w:pPr>
        <w:pStyle w:val="TOC2"/>
        <w:rPr>
          <w:rFonts w:asciiTheme="minorHAnsi" w:eastAsiaTheme="minorEastAsia" w:hAnsiTheme="minorHAnsi"/>
          <w:noProof/>
          <w:sz w:val="22"/>
          <w:lang w:eastAsia="zh-CN"/>
        </w:rPr>
      </w:pPr>
      <w:hyperlink w:anchor="_Toc124783613" w:history="1">
        <w:r w:rsidRPr="0046147D">
          <w:rPr>
            <w:rStyle w:val="Hyperlink"/>
            <w:noProof/>
          </w:rPr>
          <w:t>Infrastructure Australia, social infrastructure and future investment challenges</w:t>
        </w:r>
        <w:r>
          <w:rPr>
            <w:noProof/>
            <w:webHidden/>
          </w:rPr>
          <w:tab/>
        </w:r>
        <w:r>
          <w:rPr>
            <w:noProof/>
            <w:webHidden/>
          </w:rPr>
          <w:fldChar w:fldCharType="begin"/>
        </w:r>
        <w:r>
          <w:rPr>
            <w:noProof/>
            <w:webHidden/>
          </w:rPr>
          <w:instrText xml:space="preserve"> PAGEREF _Toc124783613 \h </w:instrText>
        </w:r>
        <w:r>
          <w:rPr>
            <w:noProof/>
            <w:webHidden/>
          </w:rPr>
        </w:r>
        <w:r>
          <w:rPr>
            <w:noProof/>
            <w:webHidden/>
          </w:rPr>
          <w:fldChar w:fldCharType="separate"/>
        </w:r>
        <w:r>
          <w:rPr>
            <w:noProof/>
            <w:webHidden/>
          </w:rPr>
          <w:t>21</w:t>
        </w:r>
        <w:r>
          <w:rPr>
            <w:noProof/>
            <w:webHidden/>
          </w:rPr>
          <w:fldChar w:fldCharType="end"/>
        </w:r>
      </w:hyperlink>
    </w:p>
    <w:p w14:paraId="5CACD555" w14:textId="74D16D0C" w:rsidR="00204096" w:rsidRDefault="00204096">
      <w:pPr>
        <w:pStyle w:val="TOC2"/>
        <w:rPr>
          <w:rFonts w:asciiTheme="minorHAnsi" w:eastAsiaTheme="minorEastAsia" w:hAnsiTheme="minorHAnsi"/>
          <w:noProof/>
          <w:sz w:val="22"/>
          <w:lang w:eastAsia="zh-CN"/>
        </w:rPr>
      </w:pPr>
      <w:hyperlink w:anchor="_Toc124783614" w:history="1">
        <w:r w:rsidRPr="0046147D">
          <w:rPr>
            <w:rStyle w:val="Hyperlink"/>
            <w:noProof/>
          </w:rPr>
          <w:t>Engagement with local governments</w:t>
        </w:r>
        <w:r>
          <w:rPr>
            <w:noProof/>
            <w:webHidden/>
          </w:rPr>
          <w:tab/>
        </w:r>
        <w:r>
          <w:rPr>
            <w:noProof/>
            <w:webHidden/>
          </w:rPr>
          <w:fldChar w:fldCharType="begin"/>
        </w:r>
        <w:r>
          <w:rPr>
            <w:noProof/>
            <w:webHidden/>
          </w:rPr>
          <w:instrText xml:space="preserve"> PAGEREF _Toc124783614 \h </w:instrText>
        </w:r>
        <w:r>
          <w:rPr>
            <w:noProof/>
            <w:webHidden/>
          </w:rPr>
        </w:r>
        <w:r>
          <w:rPr>
            <w:noProof/>
            <w:webHidden/>
          </w:rPr>
          <w:fldChar w:fldCharType="separate"/>
        </w:r>
        <w:r>
          <w:rPr>
            <w:noProof/>
            <w:webHidden/>
          </w:rPr>
          <w:t>22</w:t>
        </w:r>
        <w:r>
          <w:rPr>
            <w:noProof/>
            <w:webHidden/>
          </w:rPr>
          <w:fldChar w:fldCharType="end"/>
        </w:r>
      </w:hyperlink>
    </w:p>
    <w:p w14:paraId="6D80FCD0" w14:textId="39D713D6" w:rsidR="00204096" w:rsidRDefault="00204096">
      <w:pPr>
        <w:pStyle w:val="TOC1"/>
        <w:rPr>
          <w:rFonts w:asciiTheme="minorHAnsi" w:eastAsiaTheme="minorEastAsia" w:hAnsiTheme="minorHAnsi"/>
          <w:b w:val="0"/>
          <w:noProof/>
          <w:color w:val="auto"/>
          <w:u w:val="none"/>
          <w:lang w:eastAsia="zh-CN"/>
        </w:rPr>
      </w:pPr>
      <w:hyperlink w:anchor="_Toc124783615" w:history="1">
        <w:r w:rsidRPr="0046147D">
          <w:rPr>
            <w:rStyle w:val="Hyperlink"/>
            <w:noProof/>
          </w:rPr>
          <w:t>Recognising the value of Infrastructure Australia</w:t>
        </w:r>
        <w:r>
          <w:rPr>
            <w:noProof/>
            <w:webHidden/>
          </w:rPr>
          <w:tab/>
        </w:r>
        <w:r>
          <w:rPr>
            <w:noProof/>
            <w:webHidden/>
          </w:rPr>
          <w:fldChar w:fldCharType="begin"/>
        </w:r>
        <w:r>
          <w:rPr>
            <w:noProof/>
            <w:webHidden/>
          </w:rPr>
          <w:instrText xml:space="preserve"> PAGEREF _Toc124783615 \h </w:instrText>
        </w:r>
        <w:r>
          <w:rPr>
            <w:noProof/>
            <w:webHidden/>
          </w:rPr>
        </w:r>
        <w:r>
          <w:rPr>
            <w:noProof/>
            <w:webHidden/>
          </w:rPr>
          <w:fldChar w:fldCharType="separate"/>
        </w:r>
        <w:r>
          <w:rPr>
            <w:noProof/>
            <w:webHidden/>
          </w:rPr>
          <w:t>22</w:t>
        </w:r>
        <w:r>
          <w:rPr>
            <w:noProof/>
            <w:webHidden/>
          </w:rPr>
          <w:fldChar w:fldCharType="end"/>
        </w:r>
      </w:hyperlink>
    </w:p>
    <w:p w14:paraId="086F96BA" w14:textId="3C5F7873" w:rsidR="00204096" w:rsidRDefault="00204096">
      <w:pPr>
        <w:pStyle w:val="TOC2"/>
        <w:rPr>
          <w:rFonts w:asciiTheme="minorHAnsi" w:eastAsiaTheme="minorEastAsia" w:hAnsiTheme="minorHAnsi"/>
          <w:noProof/>
          <w:sz w:val="22"/>
          <w:lang w:eastAsia="zh-CN"/>
        </w:rPr>
      </w:pPr>
      <w:hyperlink w:anchor="_Toc124783616" w:history="1">
        <w:r w:rsidRPr="0046147D">
          <w:rPr>
            <w:rStyle w:val="Hyperlink"/>
            <w:noProof/>
          </w:rPr>
          <w:t>Assurance: Infrastructure Australia’s role in the assessment process</w:t>
        </w:r>
        <w:r>
          <w:rPr>
            <w:noProof/>
            <w:webHidden/>
          </w:rPr>
          <w:tab/>
        </w:r>
        <w:r>
          <w:rPr>
            <w:noProof/>
            <w:webHidden/>
          </w:rPr>
          <w:fldChar w:fldCharType="begin"/>
        </w:r>
        <w:r>
          <w:rPr>
            <w:noProof/>
            <w:webHidden/>
          </w:rPr>
          <w:instrText xml:space="preserve"> PAGEREF _Toc124783616 \h </w:instrText>
        </w:r>
        <w:r>
          <w:rPr>
            <w:noProof/>
            <w:webHidden/>
          </w:rPr>
        </w:r>
        <w:r>
          <w:rPr>
            <w:noProof/>
            <w:webHidden/>
          </w:rPr>
          <w:fldChar w:fldCharType="separate"/>
        </w:r>
        <w:r>
          <w:rPr>
            <w:noProof/>
            <w:webHidden/>
          </w:rPr>
          <w:t>22</w:t>
        </w:r>
        <w:r>
          <w:rPr>
            <w:noProof/>
            <w:webHidden/>
          </w:rPr>
          <w:fldChar w:fldCharType="end"/>
        </w:r>
      </w:hyperlink>
    </w:p>
    <w:p w14:paraId="3BF6050F" w14:textId="4FFBE43B" w:rsidR="00204096" w:rsidRDefault="00204096">
      <w:pPr>
        <w:pStyle w:val="TOC3"/>
        <w:rPr>
          <w:rFonts w:asciiTheme="minorHAnsi" w:eastAsiaTheme="minorEastAsia" w:hAnsiTheme="minorHAnsi"/>
          <w:noProof/>
          <w:sz w:val="22"/>
          <w:lang w:eastAsia="zh-CN"/>
        </w:rPr>
      </w:pPr>
      <w:hyperlink w:anchor="_Toc124783617" w:history="1">
        <w:r w:rsidRPr="0046147D">
          <w:rPr>
            <w:rStyle w:val="Hyperlink"/>
            <w:noProof/>
          </w:rPr>
          <w:t>Assurance, accreditation and peer review</w:t>
        </w:r>
        <w:r>
          <w:rPr>
            <w:noProof/>
            <w:webHidden/>
          </w:rPr>
          <w:tab/>
        </w:r>
        <w:r>
          <w:rPr>
            <w:noProof/>
            <w:webHidden/>
          </w:rPr>
          <w:fldChar w:fldCharType="begin"/>
        </w:r>
        <w:r>
          <w:rPr>
            <w:noProof/>
            <w:webHidden/>
          </w:rPr>
          <w:instrText xml:space="preserve"> PAGEREF _Toc124783617 \h </w:instrText>
        </w:r>
        <w:r>
          <w:rPr>
            <w:noProof/>
            <w:webHidden/>
          </w:rPr>
        </w:r>
        <w:r>
          <w:rPr>
            <w:noProof/>
            <w:webHidden/>
          </w:rPr>
          <w:fldChar w:fldCharType="separate"/>
        </w:r>
        <w:r>
          <w:rPr>
            <w:noProof/>
            <w:webHidden/>
          </w:rPr>
          <w:t>24</w:t>
        </w:r>
        <w:r>
          <w:rPr>
            <w:noProof/>
            <w:webHidden/>
          </w:rPr>
          <w:fldChar w:fldCharType="end"/>
        </w:r>
      </w:hyperlink>
    </w:p>
    <w:p w14:paraId="682CDFB9" w14:textId="444F2AEC" w:rsidR="00204096" w:rsidRDefault="00204096">
      <w:pPr>
        <w:pStyle w:val="TOC3"/>
        <w:rPr>
          <w:rFonts w:asciiTheme="minorHAnsi" w:eastAsiaTheme="minorEastAsia" w:hAnsiTheme="minorHAnsi"/>
          <w:noProof/>
          <w:sz w:val="22"/>
          <w:lang w:eastAsia="zh-CN"/>
        </w:rPr>
      </w:pPr>
      <w:hyperlink w:anchor="_Toc124783618" w:history="1">
        <w:r w:rsidRPr="0046147D">
          <w:rPr>
            <w:rStyle w:val="Hyperlink"/>
            <w:noProof/>
          </w:rPr>
          <w:t>Assurance in post completion reviews</w:t>
        </w:r>
        <w:r>
          <w:rPr>
            <w:noProof/>
            <w:webHidden/>
          </w:rPr>
          <w:tab/>
        </w:r>
        <w:r>
          <w:rPr>
            <w:noProof/>
            <w:webHidden/>
          </w:rPr>
          <w:fldChar w:fldCharType="begin"/>
        </w:r>
        <w:r>
          <w:rPr>
            <w:noProof/>
            <w:webHidden/>
          </w:rPr>
          <w:instrText xml:space="preserve"> PAGEREF _Toc124783618 \h </w:instrText>
        </w:r>
        <w:r>
          <w:rPr>
            <w:noProof/>
            <w:webHidden/>
          </w:rPr>
        </w:r>
        <w:r>
          <w:rPr>
            <w:noProof/>
            <w:webHidden/>
          </w:rPr>
          <w:fldChar w:fldCharType="separate"/>
        </w:r>
        <w:r>
          <w:rPr>
            <w:noProof/>
            <w:webHidden/>
          </w:rPr>
          <w:t>24</w:t>
        </w:r>
        <w:r>
          <w:rPr>
            <w:noProof/>
            <w:webHidden/>
          </w:rPr>
          <w:fldChar w:fldCharType="end"/>
        </w:r>
      </w:hyperlink>
    </w:p>
    <w:p w14:paraId="1C8F9CCB" w14:textId="5A673315" w:rsidR="00204096" w:rsidRDefault="00204096">
      <w:pPr>
        <w:pStyle w:val="TOC2"/>
        <w:rPr>
          <w:rFonts w:asciiTheme="minorHAnsi" w:eastAsiaTheme="minorEastAsia" w:hAnsiTheme="minorHAnsi"/>
          <w:noProof/>
          <w:sz w:val="22"/>
          <w:lang w:eastAsia="zh-CN"/>
        </w:rPr>
      </w:pPr>
      <w:hyperlink w:anchor="_Toc124783619" w:history="1">
        <w:r w:rsidRPr="0046147D">
          <w:rPr>
            <w:rStyle w:val="Hyperlink"/>
            <w:noProof/>
          </w:rPr>
          <w:t>Collaboration with state and territory infrastructure bodies</w:t>
        </w:r>
        <w:r>
          <w:rPr>
            <w:noProof/>
            <w:webHidden/>
          </w:rPr>
          <w:tab/>
        </w:r>
        <w:r>
          <w:rPr>
            <w:noProof/>
            <w:webHidden/>
          </w:rPr>
          <w:fldChar w:fldCharType="begin"/>
        </w:r>
        <w:r>
          <w:rPr>
            <w:noProof/>
            <w:webHidden/>
          </w:rPr>
          <w:instrText xml:space="preserve"> PAGEREF _Toc124783619 \h </w:instrText>
        </w:r>
        <w:r>
          <w:rPr>
            <w:noProof/>
            <w:webHidden/>
          </w:rPr>
        </w:r>
        <w:r>
          <w:rPr>
            <w:noProof/>
            <w:webHidden/>
          </w:rPr>
          <w:fldChar w:fldCharType="separate"/>
        </w:r>
        <w:r>
          <w:rPr>
            <w:noProof/>
            <w:webHidden/>
          </w:rPr>
          <w:t>25</w:t>
        </w:r>
        <w:r>
          <w:rPr>
            <w:noProof/>
            <w:webHidden/>
          </w:rPr>
          <w:fldChar w:fldCharType="end"/>
        </w:r>
      </w:hyperlink>
    </w:p>
    <w:p w14:paraId="4C7ED064" w14:textId="137BE245" w:rsidR="00204096" w:rsidRDefault="00204096">
      <w:pPr>
        <w:pStyle w:val="TOC3"/>
        <w:rPr>
          <w:rFonts w:asciiTheme="minorHAnsi" w:eastAsiaTheme="minorEastAsia" w:hAnsiTheme="minorHAnsi"/>
          <w:noProof/>
          <w:sz w:val="22"/>
          <w:lang w:eastAsia="zh-CN"/>
        </w:rPr>
      </w:pPr>
      <w:hyperlink w:anchor="_Toc124783620" w:history="1">
        <w:r w:rsidRPr="0046147D">
          <w:rPr>
            <w:rStyle w:val="Hyperlink"/>
            <w:noProof/>
          </w:rPr>
          <w:t>Establishing an ‘I-bodies’ council</w:t>
        </w:r>
        <w:r>
          <w:rPr>
            <w:noProof/>
            <w:webHidden/>
          </w:rPr>
          <w:tab/>
        </w:r>
        <w:r>
          <w:rPr>
            <w:noProof/>
            <w:webHidden/>
          </w:rPr>
          <w:fldChar w:fldCharType="begin"/>
        </w:r>
        <w:r>
          <w:rPr>
            <w:noProof/>
            <w:webHidden/>
          </w:rPr>
          <w:instrText xml:space="preserve"> PAGEREF _Toc124783620 \h </w:instrText>
        </w:r>
        <w:r>
          <w:rPr>
            <w:noProof/>
            <w:webHidden/>
          </w:rPr>
        </w:r>
        <w:r>
          <w:rPr>
            <w:noProof/>
            <w:webHidden/>
          </w:rPr>
          <w:fldChar w:fldCharType="separate"/>
        </w:r>
        <w:r>
          <w:rPr>
            <w:noProof/>
            <w:webHidden/>
          </w:rPr>
          <w:t>26</w:t>
        </w:r>
        <w:r>
          <w:rPr>
            <w:noProof/>
            <w:webHidden/>
          </w:rPr>
          <w:fldChar w:fldCharType="end"/>
        </w:r>
      </w:hyperlink>
    </w:p>
    <w:p w14:paraId="380D7275" w14:textId="09F1BB70" w:rsidR="00204096" w:rsidRDefault="00204096">
      <w:pPr>
        <w:pStyle w:val="TOC2"/>
        <w:rPr>
          <w:rFonts w:asciiTheme="minorHAnsi" w:eastAsiaTheme="minorEastAsia" w:hAnsiTheme="minorHAnsi"/>
          <w:noProof/>
          <w:sz w:val="22"/>
          <w:lang w:eastAsia="zh-CN"/>
        </w:rPr>
      </w:pPr>
      <w:hyperlink w:anchor="_Toc124783621" w:history="1">
        <w:r w:rsidRPr="0046147D">
          <w:rPr>
            <w:rStyle w:val="Hyperlink"/>
            <w:noProof/>
          </w:rPr>
          <w:t>‘Nationally significant’ infrastructure</w:t>
        </w:r>
        <w:r>
          <w:rPr>
            <w:noProof/>
            <w:webHidden/>
          </w:rPr>
          <w:tab/>
        </w:r>
        <w:r>
          <w:rPr>
            <w:noProof/>
            <w:webHidden/>
          </w:rPr>
          <w:fldChar w:fldCharType="begin"/>
        </w:r>
        <w:r>
          <w:rPr>
            <w:noProof/>
            <w:webHidden/>
          </w:rPr>
          <w:instrText xml:space="preserve"> PAGEREF _Toc124783621 \h </w:instrText>
        </w:r>
        <w:r>
          <w:rPr>
            <w:noProof/>
            <w:webHidden/>
          </w:rPr>
        </w:r>
        <w:r>
          <w:rPr>
            <w:noProof/>
            <w:webHidden/>
          </w:rPr>
          <w:fldChar w:fldCharType="separate"/>
        </w:r>
        <w:r>
          <w:rPr>
            <w:noProof/>
            <w:webHidden/>
          </w:rPr>
          <w:t>27</w:t>
        </w:r>
        <w:r>
          <w:rPr>
            <w:noProof/>
            <w:webHidden/>
          </w:rPr>
          <w:fldChar w:fldCharType="end"/>
        </w:r>
      </w:hyperlink>
    </w:p>
    <w:p w14:paraId="76ECBC15" w14:textId="7608D6A0" w:rsidR="00204096" w:rsidRDefault="00204096">
      <w:pPr>
        <w:pStyle w:val="TOC2"/>
        <w:rPr>
          <w:rFonts w:asciiTheme="minorHAnsi" w:eastAsiaTheme="minorEastAsia" w:hAnsiTheme="minorHAnsi"/>
          <w:noProof/>
          <w:sz w:val="22"/>
          <w:lang w:eastAsia="zh-CN"/>
        </w:rPr>
      </w:pPr>
      <w:hyperlink w:anchor="_Toc124783622" w:history="1">
        <w:r w:rsidRPr="0046147D">
          <w:rPr>
            <w:rStyle w:val="Hyperlink"/>
            <w:noProof/>
          </w:rPr>
          <w:t>Improving national investment planning on complex issues: Infrastructure Australia inquiry powers</w:t>
        </w:r>
        <w:r>
          <w:rPr>
            <w:noProof/>
            <w:webHidden/>
          </w:rPr>
          <w:tab/>
        </w:r>
        <w:r>
          <w:rPr>
            <w:noProof/>
            <w:webHidden/>
          </w:rPr>
          <w:fldChar w:fldCharType="begin"/>
        </w:r>
        <w:r>
          <w:rPr>
            <w:noProof/>
            <w:webHidden/>
          </w:rPr>
          <w:instrText xml:space="preserve"> PAGEREF _Toc124783622 \h </w:instrText>
        </w:r>
        <w:r>
          <w:rPr>
            <w:noProof/>
            <w:webHidden/>
          </w:rPr>
        </w:r>
        <w:r>
          <w:rPr>
            <w:noProof/>
            <w:webHidden/>
          </w:rPr>
          <w:fldChar w:fldCharType="separate"/>
        </w:r>
        <w:r>
          <w:rPr>
            <w:noProof/>
            <w:webHidden/>
          </w:rPr>
          <w:t>28</w:t>
        </w:r>
        <w:r>
          <w:rPr>
            <w:noProof/>
            <w:webHidden/>
          </w:rPr>
          <w:fldChar w:fldCharType="end"/>
        </w:r>
      </w:hyperlink>
    </w:p>
    <w:p w14:paraId="72F859B4" w14:textId="52A5F8D1" w:rsidR="00204096" w:rsidRDefault="00204096">
      <w:pPr>
        <w:pStyle w:val="TOC1"/>
        <w:rPr>
          <w:rFonts w:asciiTheme="minorHAnsi" w:eastAsiaTheme="minorEastAsia" w:hAnsiTheme="minorHAnsi"/>
          <w:b w:val="0"/>
          <w:noProof/>
          <w:color w:val="auto"/>
          <w:u w:val="none"/>
          <w:lang w:eastAsia="zh-CN"/>
        </w:rPr>
      </w:pPr>
      <w:hyperlink w:anchor="_Toc124783623" w:history="1">
        <w:r w:rsidRPr="0046147D">
          <w:rPr>
            <w:rStyle w:val="Hyperlink"/>
            <w:noProof/>
          </w:rPr>
          <w:t>An appropriate Board and governance model</w:t>
        </w:r>
        <w:r>
          <w:rPr>
            <w:noProof/>
            <w:webHidden/>
          </w:rPr>
          <w:tab/>
        </w:r>
        <w:r>
          <w:rPr>
            <w:noProof/>
            <w:webHidden/>
          </w:rPr>
          <w:fldChar w:fldCharType="begin"/>
        </w:r>
        <w:r>
          <w:rPr>
            <w:noProof/>
            <w:webHidden/>
          </w:rPr>
          <w:instrText xml:space="preserve"> PAGEREF _Toc124783623 \h </w:instrText>
        </w:r>
        <w:r>
          <w:rPr>
            <w:noProof/>
            <w:webHidden/>
          </w:rPr>
        </w:r>
        <w:r>
          <w:rPr>
            <w:noProof/>
            <w:webHidden/>
          </w:rPr>
          <w:fldChar w:fldCharType="separate"/>
        </w:r>
        <w:r>
          <w:rPr>
            <w:noProof/>
            <w:webHidden/>
          </w:rPr>
          <w:t>29</w:t>
        </w:r>
        <w:r>
          <w:rPr>
            <w:noProof/>
            <w:webHidden/>
          </w:rPr>
          <w:fldChar w:fldCharType="end"/>
        </w:r>
      </w:hyperlink>
    </w:p>
    <w:p w14:paraId="3C9633C5" w14:textId="2A5534B5" w:rsidR="00204096" w:rsidRDefault="00204096">
      <w:pPr>
        <w:pStyle w:val="TOC2"/>
        <w:rPr>
          <w:rFonts w:asciiTheme="minorHAnsi" w:eastAsiaTheme="minorEastAsia" w:hAnsiTheme="minorHAnsi"/>
          <w:noProof/>
          <w:sz w:val="22"/>
          <w:lang w:eastAsia="zh-CN"/>
        </w:rPr>
      </w:pPr>
      <w:hyperlink w:anchor="_Toc124783624" w:history="1">
        <w:r w:rsidRPr="0046147D">
          <w:rPr>
            <w:rStyle w:val="Hyperlink"/>
            <w:noProof/>
          </w:rPr>
          <w:t>Option 1: maintaining the status quo</w:t>
        </w:r>
        <w:r>
          <w:rPr>
            <w:noProof/>
            <w:webHidden/>
          </w:rPr>
          <w:tab/>
        </w:r>
        <w:r>
          <w:rPr>
            <w:noProof/>
            <w:webHidden/>
          </w:rPr>
          <w:fldChar w:fldCharType="begin"/>
        </w:r>
        <w:r>
          <w:rPr>
            <w:noProof/>
            <w:webHidden/>
          </w:rPr>
          <w:instrText xml:space="preserve"> PAGEREF _Toc124783624 \h </w:instrText>
        </w:r>
        <w:r>
          <w:rPr>
            <w:noProof/>
            <w:webHidden/>
          </w:rPr>
        </w:r>
        <w:r>
          <w:rPr>
            <w:noProof/>
            <w:webHidden/>
          </w:rPr>
          <w:fldChar w:fldCharType="separate"/>
        </w:r>
        <w:r>
          <w:rPr>
            <w:noProof/>
            <w:webHidden/>
          </w:rPr>
          <w:t>29</w:t>
        </w:r>
        <w:r>
          <w:rPr>
            <w:noProof/>
            <w:webHidden/>
          </w:rPr>
          <w:fldChar w:fldCharType="end"/>
        </w:r>
      </w:hyperlink>
    </w:p>
    <w:p w14:paraId="694CDD43" w14:textId="016C0610" w:rsidR="00204096" w:rsidRDefault="00204096">
      <w:pPr>
        <w:pStyle w:val="TOC2"/>
        <w:rPr>
          <w:rFonts w:asciiTheme="minorHAnsi" w:eastAsiaTheme="minorEastAsia" w:hAnsiTheme="minorHAnsi"/>
          <w:noProof/>
          <w:sz w:val="22"/>
          <w:lang w:eastAsia="zh-CN"/>
        </w:rPr>
      </w:pPr>
      <w:hyperlink w:anchor="_Toc124783625" w:history="1">
        <w:r w:rsidRPr="0046147D">
          <w:rPr>
            <w:rStyle w:val="Hyperlink"/>
            <w:noProof/>
          </w:rPr>
          <w:t>Option 2: an Infrastructure Australia Commission model (preferred model)</w:t>
        </w:r>
        <w:r>
          <w:rPr>
            <w:noProof/>
            <w:webHidden/>
          </w:rPr>
          <w:tab/>
        </w:r>
        <w:r>
          <w:rPr>
            <w:noProof/>
            <w:webHidden/>
          </w:rPr>
          <w:fldChar w:fldCharType="begin"/>
        </w:r>
        <w:r>
          <w:rPr>
            <w:noProof/>
            <w:webHidden/>
          </w:rPr>
          <w:instrText xml:space="preserve"> PAGEREF _Toc124783625 \h </w:instrText>
        </w:r>
        <w:r>
          <w:rPr>
            <w:noProof/>
            <w:webHidden/>
          </w:rPr>
        </w:r>
        <w:r>
          <w:rPr>
            <w:noProof/>
            <w:webHidden/>
          </w:rPr>
          <w:fldChar w:fldCharType="separate"/>
        </w:r>
        <w:r>
          <w:rPr>
            <w:noProof/>
            <w:webHidden/>
          </w:rPr>
          <w:t>30</w:t>
        </w:r>
        <w:r>
          <w:rPr>
            <w:noProof/>
            <w:webHidden/>
          </w:rPr>
          <w:fldChar w:fldCharType="end"/>
        </w:r>
      </w:hyperlink>
    </w:p>
    <w:p w14:paraId="44D1453B" w14:textId="210D9557" w:rsidR="00204096" w:rsidRDefault="00204096">
      <w:pPr>
        <w:pStyle w:val="TOC3"/>
        <w:rPr>
          <w:rFonts w:asciiTheme="minorHAnsi" w:eastAsiaTheme="minorEastAsia" w:hAnsiTheme="minorHAnsi"/>
          <w:noProof/>
          <w:sz w:val="22"/>
          <w:lang w:eastAsia="zh-CN"/>
        </w:rPr>
      </w:pPr>
      <w:hyperlink w:anchor="_Toc124783626" w:history="1">
        <w:r w:rsidRPr="0046147D">
          <w:rPr>
            <w:rStyle w:val="Hyperlink"/>
            <w:noProof/>
          </w:rPr>
          <w:t>Extension of tenure</w:t>
        </w:r>
        <w:r>
          <w:rPr>
            <w:noProof/>
            <w:webHidden/>
          </w:rPr>
          <w:tab/>
        </w:r>
        <w:r>
          <w:rPr>
            <w:noProof/>
            <w:webHidden/>
          </w:rPr>
          <w:fldChar w:fldCharType="begin"/>
        </w:r>
        <w:r>
          <w:rPr>
            <w:noProof/>
            <w:webHidden/>
          </w:rPr>
          <w:instrText xml:space="preserve"> PAGEREF _Toc124783626 \h </w:instrText>
        </w:r>
        <w:r>
          <w:rPr>
            <w:noProof/>
            <w:webHidden/>
          </w:rPr>
        </w:r>
        <w:r>
          <w:rPr>
            <w:noProof/>
            <w:webHidden/>
          </w:rPr>
          <w:fldChar w:fldCharType="separate"/>
        </w:r>
        <w:r>
          <w:rPr>
            <w:noProof/>
            <w:webHidden/>
          </w:rPr>
          <w:t>31</w:t>
        </w:r>
        <w:r>
          <w:rPr>
            <w:noProof/>
            <w:webHidden/>
          </w:rPr>
          <w:fldChar w:fldCharType="end"/>
        </w:r>
      </w:hyperlink>
    </w:p>
    <w:p w14:paraId="2B59C5DF" w14:textId="10FD2A82" w:rsidR="00204096" w:rsidRDefault="00204096">
      <w:pPr>
        <w:pStyle w:val="TOC3"/>
        <w:rPr>
          <w:rFonts w:asciiTheme="minorHAnsi" w:eastAsiaTheme="minorEastAsia" w:hAnsiTheme="minorHAnsi"/>
          <w:noProof/>
          <w:sz w:val="22"/>
          <w:lang w:eastAsia="zh-CN"/>
        </w:rPr>
      </w:pPr>
      <w:hyperlink w:anchor="_Toc124783627" w:history="1">
        <w:r w:rsidRPr="0046147D">
          <w:rPr>
            <w:rStyle w:val="Hyperlink"/>
            <w:noProof/>
          </w:rPr>
          <w:t>Ex-officio members from the Australian Government</w:t>
        </w:r>
        <w:r>
          <w:rPr>
            <w:noProof/>
            <w:webHidden/>
          </w:rPr>
          <w:tab/>
        </w:r>
        <w:r>
          <w:rPr>
            <w:noProof/>
            <w:webHidden/>
          </w:rPr>
          <w:fldChar w:fldCharType="begin"/>
        </w:r>
        <w:r>
          <w:rPr>
            <w:noProof/>
            <w:webHidden/>
          </w:rPr>
          <w:instrText xml:space="preserve"> PAGEREF _Toc124783627 \h </w:instrText>
        </w:r>
        <w:r>
          <w:rPr>
            <w:noProof/>
            <w:webHidden/>
          </w:rPr>
        </w:r>
        <w:r>
          <w:rPr>
            <w:noProof/>
            <w:webHidden/>
          </w:rPr>
          <w:fldChar w:fldCharType="separate"/>
        </w:r>
        <w:r>
          <w:rPr>
            <w:noProof/>
            <w:webHidden/>
          </w:rPr>
          <w:t>31</w:t>
        </w:r>
        <w:r>
          <w:rPr>
            <w:noProof/>
            <w:webHidden/>
          </w:rPr>
          <w:fldChar w:fldCharType="end"/>
        </w:r>
      </w:hyperlink>
    </w:p>
    <w:p w14:paraId="2E08C2E5" w14:textId="075E6C65" w:rsidR="00204096" w:rsidRDefault="00204096">
      <w:pPr>
        <w:pStyle w:val="TOC3"/>
        <w:rPr>
          <w:rFonts w:asciiTheme="minorHAnsi" w:eastAsiaTheme="minorEastAsia" w:hAnsiTheme="minorHAnsi"/>
          <w:noProof/>
          <w:sz w:val="22"/>
          <w:lang w:eastAsia="zh-CN"/>
        </w:rPr>
      </w:pPr>
      <w:hyperlink w:anchor="_Toc124783628" w:history="1">
        <w:r w:rsidRPr="0046147D">
          <w:rPr>
            <w:rStyle w:val="Hyperlink"/>
            <w:noProof/>
          </w:rPr>
          <w:t>Governance responsibilities</w:t>
        </w:r>
        <w:r>
          <w:rPr>
            <w:noProof/>
            <w:webHidden/>
          </w:rPr>
          <w:tab/>
        </w:r>
        <w:r>
          <w:rPr>
            <w:noProof/>
            <w:webHidden/>
          </w:rPr>
          <w:fldChar w:fldCharType="begin"/>
        </w:r>
        <w:r>
          <w:rPr>
            <w:noProof/>
            <w:webHidden/>
          </w:rPr>
          <w:instrText xml:space="preserve"> PAGEREF _Toc124783628 \h </w:instrText>
        </w:r>
        <w:r>
          <w:rPr>
            <w:noProof/>
            <w:webHidden/>
          </w:rPr>
        </w:r>
        <w:r>
          <w:rPr>
            <w:noProof/>
            <w:webHidden/>
          </w:rPr>
          <w:fldChar w:fldCharType="separate"/>
        </w:r>
        <w:r>
          <w:rPr>
            <w:noProof/>
            <w:webHidden/>
          </w:rPr>
          <w:t>32</w:t>
        </w:r>
        <w:r>
          <w:rPr>
            <w:noProof/>
            <w:webHidden/>
          </w:rPr>
          <w:fldChar w:fldCharType="end"/>
        </w:r>
      </w:hyperlink>
    </w:p>
    <w:p w14:paraId="21299E97" w14:textId="2A58ACE3" w:rsidR="00204096" w:rsidRDefault="00204096">
      <w:pPr>
        <w:pStyle w:val="TOC3"/>
        <w:rPr>
          <w:rFonts w:asciiTheme="minorHAnsi" w:eastAsiaTheme="minorEastAsia" w:hAnsiTheme="minorHAnsi"/>
          <w:noProof/>
          <w:sz w:val="22"/>
          <w:lang w:eastAsia="zh-CN"/>
        </w:rPr>
      </w:pPr>
      <w:hyperlink w:anchor="_Toc124783629" w:history="1">
        <w:r w:rsidRPr="0046147D">
          <w:rPr>
            <w:rStyle w:val="Hyperlink"/>
            <w:noProof/>
          </w:rPr>
          <w:t>Option 2: the preferred option</w:t>
        </w:r>
        <w:r>
          <w:rPr>
            <w:noProof/>
            <w:webHidden/>
          </w:rPr>
          <w:tab/>
        </w:r>
        <w:r>
          <w:rPr>
            <w:noProof/>
            <w:webHidden/>
          </w:rPr>
          <w:fldChar w:fldCharType="begin"/>
        </w:r>
        <w:r>
          <w:rPr>
            <w:noProof/>
            <w:webHidden/>
          </w:rPr>
          <w:instrText xml:space="preserve"> PAGEREF _Toc124783629 \h </w:instrText>
        </w:r>
        <w:r>
          <w:rPr>
            <w:noProof/>
            <w:webHidden/>
          </w:rPr>
        </w:r>
        <w:r>
          <w:rPr>
            <w:noProof/>
            <w:webHidden/>
          </w:rPr>
          <w:fldChar w:fldCharType="separate"/>
        </w:r>
        <w:r>
          <w:rPr>
            <w:noProof/>
            <w:webHidden/>
          </w:rPr>
          <w:t>32</w:t>
        </w:r>
        <w:r>
          <w:rPr>
            <w:noProof/>
            <w:webHidden/>
          </w:rPr>
          <w:fldChar w:fldCharType="end"/>
        </w:r>
      </w:hyperlink>
    </w:p>
    <w:p w14:paraId="54B5C0B3" w14:textId="06A129E0" w:rsidR="00204096" w:rsidRDefault="00204096">
      <w:pPr>
        <w:pStyle w:val="TOC2"/>
        <w:rPr>
          <w:rFonts w:asciiTheme="minorHAnsi" w:eastAsiaTheme="minorEastAsia" w:hAnsiTheme="minorHAnsi"/>
          <w:noProof/>
          <w:sz w:val="22"/>
          <w:lang w:eastAsia="zh-CN"/>
        </w:rPr>
      </w:pPr>
      <w:hyperlink w:anchor="_Toc124783630" w:history="1">
        <w:r w:rsidRPr="0046147D">
          <w:rPr>
            <w:rStyle w:val="Hyperlink"/>
            <w:noProof/>
          </w:rPr>
          <w:t>Option 3: a streamlined Board model</w:t>
        </w:r>
        <w:r>
          <w:rPr>
            <w:noProof/>
            <w:webHidden/>
          </w:rPr>
          <w:tab/>
        </w:r>
        <w:r>
          <w:rPr>
            <w:noProof/>
            <w:webHidden/>
          </w:rPr>
          <w:fldChar w:fldCharType="begin"/>
        </w:r>
        <w:r>
          <w:rPr>
            <w:noProof/>
            <w:webHidden/>
          </w:rPr>
          <w:instrText xml:space="preserve"> PAGEREF _Toc124783630 \h </w:instrText>
        </w:r>
        <w:r>
          <w:rPr>
            <w:noProof/>
            <w:webHidden/>
          </w:rPr>
        </w:r>
        <w:r>
          <w:rPr>
            <w:noProof/>
            <w:webHidden/>
          </w:rPr>
          <w:fldChar w:fldCharType="separate"/>
        </w:r>
        <w:r>
          <w:rPr>
            <w:noProof/>
            <w:webHidden/>
          </w:rPr>
          <w:t>33</w:t>
        </w:r>
        <w:r>
          <w:rPr>
            <w:noProof/>
            <w:webHidden/>
          </w:rPr>
          <w:fldChar w:fldCharType="end"/>
        </w:r>
      </w:hyperlink>
    </w:p>
    <w:p w14:paraId="5BAE758F" w14:textId="3A8DEB1F" w:rsidR="00204096" w:rsidRDefault="00204096">
      <w:pPr>
        <w:pStyle w:val="TOC1"/>
        <w:rPr>
          <w:rFonts w:asciiTheme="minorHAnsi" w:eastAsiaTheme="minorEastAsia" w:hAnsiTheme="minorHAnsi"/>
          <w:b w:val="0"/>
          <w:noProof/>
          <w:color w:val="auto"/>
          <w:u w:val="none"/>
          <w:lang w:eastAsia="zh-CN"/>
        </w:rPr>
      </w:pPr>
      <w:hyperlink w:anchor="_Toc124783631" w:history="1">
        <w:r w:rsidRPr="0046147D">
          <w:rPr>
            <w:rStyle w:val="Hyperlink"/>
            <w:noProof/>
          </w:rPr>
          <w:t>Delineation of responsibilities between Infrastructure Australia and other Commonwealth infrastructure agencies</w:t>
        </w:r>
        <w:r>
          <w:rPr>
            <w:noProof/>
            <w:webHidden/>
          </w:rPr>
          <w:tab/>
        </w:r>
        <w:r>
          <w:rPr>
            <w:noProof/>
            <w:webHidden/>
          </w:rPr>
          <w:fldChar w:fldCharType="begin"/>
        </w:r>
        <w:r>
          <w:rPr>
            <w:noProof/>
            <w:webHidden/>
          </w:rPr>
          <w:instrText xml:space="preserve"> PAGEREF _Toc124783631 \h </w:instrText>
        </w:r>
        <w:r>
          <w:rPr>
            <w:noProof/>
            <w:webHidden/>
          </w:rPr>
        </w:r>
        <w:r>
          <w:rPr>
            <w:noProof/>
            <w:webHidden/>
          </w:rPr>
          <w:fldChar w:fldCharType="separate"/>
        </w:r>
        <w:r>
          <w:rPr>
            <w:noProof/>
            <w:webHidden/>
          </w:rPr>
          <w:t>33</w:t>
        </w:r>
        <w:r>
          <w:rPr>
            <w:noProof/>
            <w:webHidden/>
          </w:rPr>
          <w:fldChar w:fldCharType="end"/>
        </w:r>
      </w:hyperlink>
    </w:p>
    <w:p w14:paraId="4EE0C351" w14:textId="4CCDA5B7" w:rsidR="00204096" w:rsidRDefault="00204096">
      <w:pPr>
        <w:pStyle w:val="TOC2"/>
        <w:rPr>
          <w:rFonts w:asciiTheme="minorHAnsi" w:eastAsiaTheme="minorEastAsia" w:hAnsiTheme="minorHAnsi"/>
          <w:noProof/>
          <w:sz w:val="22"/>
          <w:lang w:eastAsia="zh-CN"/>
        </w:rPr>
      </w:pPr>
      <w:hyperlink w:anchor="_Toc124783632" w:history="1">
        <w:r w:rsidRPr="0046147D">
          <w:rPr>
            <w:rStyle w:val="Hyperlink"/>
            <w:noProof/>
          </w:rPr>
          <w:t>Interaction and delineation between Infrastructure Australia and DITRDCA</w:t>
        </w:r>
        <w:r>
          <w:rPr>
            <w:noProof/>
            <w:webHidden/>
          </w:rPr>
          <w:tab/>
        </w:r>
        <w:r>
          <w:rPr>
            <w:noProof/>
            <w:webHidden/>
          </w:rPr>
          <w:fldChar w:fldCharType="begin"/>
        </w:r>
        <w:r>
          <w:rPr>
            <w:noProof/>
            <w:webHidden/>
          </w:rPr>
          <w:instrText xml:space="preserve"> PAGEREF _Toc124783632 \h </w:instrText>
        </w:r>
        <w:r>
          <w:rPr>
            <w:noProof/>
            <w:webHidden/>
          </w:rPr>
        </w:r>
        <w:r>
          <w:rPr>
            <w:noProof/>
            <w:webHidden/>
          </w:rPr>
          <w:fldChar w:fldCharType="separate"/>
        </w:r>
        <w:r>
          <w:rPr>
            <w:noProof/>
            <w:webHidden/>
          </w:rPr>
          <w:t>33</w:t>
        </w:r>
        <w:r>
          <w:rPr>
            <w:noProof/>
            <w:webHidden/>
          </w:rPr>
          <w:fldChar w:fldCharType="end"/>
        </w:r>
      </w:hyperlink>
    </w:p>
    <w:p w14:paraId="1FB1E87F" w14:textId="76434EFF" w:rsidR="00204096" w:rsidRDefault="00204096">
      <w:pPr>
        <w:pStyle w:val="TOC3"/>
        <w:rPr>
          <w:rFonts w:asciiTheme="minorHAnsi" w:eastAsiaTheme="minorEastAsia" w:hAnsiTheme="minorHAnsi"/>
          <w:noProof/>
          <w:sz w:val="22"/>
          <w:lang w:eastAsia="zh-CN"/>
        </w:rPr>
      </w:pPr>
      <w:hyperlink w:anchor="_Toc124783633" w:history="1">
        <w:r w:rsidRPr="0046147D">
          <w:rPr>
            <w:rStyle w:val="Hyperlink"/>
            <w:noProof/>
          </w:rPr>
          <w:t>Establishment of a Cities and Suburbs Unit</w:t>
        </w:r>
        <w:r>
          <w:rPr>
            <w:noProof/>
            <w:webHidden/>
          </w:rPr>
          <w:tab/>
        </w:r>
        <w:r>
          <w:rPr>
            <w:noProof/>
            <w:webHidden/>
          </w:rPr>
          <w:fldChar w:fldCharType="begin"/>
        </w:r>
        <w:r>
          <w:rPr>
            <w:noProof/>
            <w:webHidden/>
          </w:rPr>
          <w:instrText xml:space="preserve"> PAGEREF _Toc124783633 \h </w:instrText>
        </w:r>
        <w:r>
          <w:rPr>
            <w:noProof/>
            <w:webHidden/>
          </w:rPr>
        </w:r>
        <w:r>
          <w:rPr>
            <w:noProof/>
            <w:webHidden/>
          </w:rPr>
          <w:fldChar w:fldCharType="separate"/>
        </w:r>
        <w:r>
          <w:rPr>
            <w:noProof/>
            <w:webHidden/>
          </w:rPr>
          <w:t>34</w:t>
        </w:r>
        <w:r>
          <w:rPr>
            <w:noProof/>
            <w:webHidden/>
          </w:rPr>
          <w:fldChar w:fldCharType="end"/>
        </w:r>
      </w:hyperlink>
    </w:p>
    <w:p w14:paraId="07312376" w14:textId="7F0C6C31" w:rsidR="00204096" w:rsidRDefault="00204096">
      <w:pPr>
        <w:pStyle w:val="TOC2"/>
        <w:rPr>
          <w:rFonts w:asciiTheme="minorHAnsi" w:eastAsiaTheme="minorEastAsia" w:hAnsiTheme="minorHAnsi"/>
          <w:noProof/>
          <w:sz w:val="22"/>
          <w:lang w:eastAsia="zh-CN"/>
        </w:rPr>
      </w:pPr>
      <w:hyperlink w:anchor="_Toc124783634" w:history="1">
        <w:r w:rsidRPr="0046147D">
          <w:rPr>
            <w:rStyle w:val="Hyperlink"/>
            <w:noProof/>
          </w:rPr>
          <w:t>Interaction/delineation between Infrastructure Australia and the ICA</w:t>
        </w:r>
        <w:r>
          <w:rPr>
            <w:noProof/>
            <w:webHidden/>
          </w:rPr>
          <w:tab/>
        </w:r>
        <w:r>
          <w:rPr>
            <w:noProof/>
            <w:webHidden/>
          </w:rPr>
          <w:fldChar w:fldCharType="begin"/>
        </w:r>
        <w:r>
          <w:rPr>
            <w:noProof/>
            <w:webHidden/>
          </w:rPr>
          <w:instrText xml:space="preserve"> PAGEREF _Toc124783634 \h </w:instrText>
        </w:r>
        <w:r>
          <w:rPr>
            <w:noProof/>
            <w:webHidden/>
          </w:rPr>
        </w:r>
        <w:r>
          <w:rPr>
            <w:noProof/>
            <w:webHidden/>
          </w:rPr>
          <w:fldChar w:fldCharType="separate"/>
        </w:r>
        <w:r>
          <w:rPr>
            <w:noProof/>
            <w:webHidden/>
          </w:rPr>
          <w:t>34</w:t>
        </w:r>
        <w:r>
          <w:rPr>
            <w:noProof/>
            <w:webHidden/>
          </w:rPr>
          <w:fldChar w:fldCharType="end"/>
        </w:r>
      </w:hyperlink>
    </w:p>
    <w:p w14:paraId="032A18BF" w14:textId="1C9A7AA0" w:rsidR="00204096" w:rsidRDefault="00204096">
      <w:pPr>
        <w:pStyle w:val="TOC1"/>
        <w:rPr>
          <w:rFonts w:asciiTheme="minorHAnsi" w:eastAsiaTheme="minorEastAsia" w:hAnsiTheme="minorHAnsi"/>
          <w:b w:val="0"/>
          <w:noProof/>
          <w:color w:val="auto"/>
          <w:u w:val="none"/>
          <w:lang w:eastAsia="zh-CN"/>
        </w:rPr>
      </w:pPr>
      <w:hyperlink w:anchor="_Toc124783635" w:history="1">
        <w:r w:rsidRPr="0046147D">
          <w:rPr>
            <w:rStyle w:val="Hyperlink"/>
            <w:noProof/>
          </w:rPr>
          <w:t>Administrative Arrangements Order and Ministerial responsibility for Infrastructure Australia</w:t>
        </w:r>
        <w:r>
          <w:rPr>
            <w:noProof/>
            <w:webHidden/>
          </w:rPr>
          <w:tab/>
        </w:r>
        <w:r>
          <w:rPr>
            <w:noProof/>
            <w:webHidden/>
          </w:rPr>
          <w:fldChar w:fldCharType="begin"/>
        </w:r>
        <w:r>
          <w:rPr>
            <w:noProof/>
            <w:webHidden/>
          </w:rPr>
          <w:instrText xml:space="preserve"> PAGEREF _Toc124783635 \h </w:instrText>
        </w:r>
        <w:r>
          <w:rPr>
            <w:noProof/>
            <w:webHidden/>
          </w:rPr>
        </w:r>
        <w:r>
          <w:rPr>
            <w:noProof/>
            <w:webHidden/>
          </w:rPr>
          <w:fldChar w:fldCharType="separate"/>
        </w:r>
        <w:r>
          <w:rPr>
            <w:noProof/>
            <w:webHidden/>
          </w:rPr>
          <w:t>35</w:t>
        </w:r>
        <w:r>
          <w:rPr>
            <w:noProof/>
            <w:webHidden/>
          </w:rPr>
          <w:fldChar w:fldCharType="end"/>
        </w:r>
      </w:hyperlink>
    </w:p>
    <w:p w14:paraId="010417AE" w14:textId="0853CD8A" w:rsidR="00204096" w:rsidRDefault="00204096">
      <w:pPr>
        <w:pStyle w:val="TOC1"/>
        <w:rPr>
          <w:rFonts w:asciiTheme="minorHAnsi" w:eastAsiaTheme="minorEastAsia" w:hAnsiTheme="minorHAnsi"/>
          <w:b w:val="0"/>
          <w:noProof/>
          <w:color w:val="auto"/>
          <w:u w:val="none"/>
          <w:lang w:eastAsia="zh-CN"/>
        </w:rPr>
      </w:pPr>
      <w:hyperlink w:anchor="_Toc124783636" w:history="1">
        <w:r w:rsidRPr="0046147D">
          <w:rPr>
            <w:rStyle w:val="Hyperlink"/>
            <w:noProof/>
          </w:rPr>
          <w:t>A proposed implementation plan</w:t>
        </w:r>
        <w:r>
          <w:rPr>
            <w:noProof/>
            <w:webHidden/>
          </w:rPr>
          <w:tab/>
        </w:r>
        <w:r>
          <w:rPr>
            <w:noProof/>
            <w:webHidden/>
          </w:rPr>
          <w:fldChar w:fldCharType="begin"/>
        </w:r>
        <w:r>
          <w:rPr>
            <w:noProof/>
            <w:webHidden/>
          </w:rPr>
          <w:instrText xml:space="preserve"> PAGEREF _Toc124783636 \h </w:instrText>
        </w:r>
        <w:r>
          <w:rPr>
            <w:noProof/>
            <w:webHidden/>
          </w:rPr>
        </w:r>
        <w:r>
          <w:rPr>
            <w:noProof/>
            <w:webHidden/>
          </w:rPr>
          <w:fldChar w:fldCharType="separate"/>
        </w:r>
        <w:r>
          <w:rPr>
            <w:noProof/>
            <w:webHidden/>
          </w:rPr>
          <w:t>37</w:t>
        </w:r>
        <w:r>
          <w:rPr>
            <w:noProof/>
            <w:webHidden/>
          </w:rPr>
          <w:fldChar w:fldCharType="end"/>
        </w:r>
      </w:hyperlink>
    </w:p>
    <w:p w14:paraId="150D1BD9" w14:textId="5909D16D" w:rsidR="00204096" w:rsidRDefault="00204096">
      <w:pPr>
        <w:pStyle w:val="TOC1"/>
        <w:rPr>
          <w:rFonts w:asciiTheme="minorHAnsi" w:eastAsiaTheme="minorEastAsia" w:hAnsiTheme="minorHAnsi"/>
          <w:b w:val="0"/>
          <w:noProof/>
          <w:color w:val="auto"/>
          <w:u w:val="none"/>
          <w:lang w:eastAsia="zh-CN"/>
        </w:rPr>
      </w:pPr>
      <w:hyperlink w:anchor="_Toc124783637" w:history="1">
        <w:r w:rsidRPr="0046147D">
          <w:rPr>
            <w:rStyle w:val="Hyperlink"/>
            <w:noProof/>
          </w:rPr>
          <w:t>Appendix A: State and territory I-bodies and infrastructure advisors</w:t>
        </w:r>
        <w:r>
          <w:rPr>
            <w:noProof/>
            <w:webHidden/>
          </w:rPr>
          <w:tab/>
        </w:r>
        <w:r>
          <w:rPr>
            <w:noProof/>
            <w:webHidden/>
          </w:rPr>
          <w:fldChar w:fldCharType="begin"/>
        </w:r>
        <w:r>
          <w:rPr>
            <w:noProof/>
            <w:webHidden/>
          </w:rPr>
          <w:instrText xml:space="preserve"> PAGEREF _Toc124783637 \h </w:instrText>
        </w:r>
        <w:r>
          <w:rPr>
            <w:noProof/>
            <w:webHidden/>
          </w:rPr>
        </w:r>
        <w:r>
          <w:rPr>
            <w:noProof/>
            <w:webHidden/>
          </w:rPr>
          <w:fldChar w:fldCharType="separate"/>
        </w:r>
        <w:r>
          <w:rPr>
            <w:noProof/>
            <w:webHidden/>
          </w:rPr>
          <w:t>41</w:t>
        </w:r>
        <w:r>
          <w:rPr>
            <w:noProof/>
            <w:webHidden/>
          </w:rPr>
          <w:fldChar w:fldCharType="end"/>
        </w:r>
      </w:hyperlink>
    </w:p>
    <w:p w14:paraId="7E499677" w14:textId="2EEFE7B3" w:rsidR="00670726" w:rsidRPr="00670726" w:rsidRDefault="006E5952" w:rsidP="4F9F5C11">
      <w:pPr>
        <w:suppressAutoHyphens/>
        <w:rPr>
          <w:rFonts w:eastAsia="Calibri" w:cs="Times New Roman"/>
          <w:color w:val="000000"/>
          <w:kern w:val="12"/>
        </w:rPr>
      </w:pPr>
      <w:r w:rsidRPr="4F9F5C11">
        <w:rPr>
          <w:b/>
          <w:bCs/>
          <w:color w:val="000000" w:themeColor="text1"/>
          <w:u w:val="single"/>
        </w:rPr>
        <w:fldChar w:fldCharType="end"/>
      </w:r>
    </w:p>
    <w:p w14:paraId="3A2162EA" w14:textId="77777777" w:rsidR="000F7862" w:rsidRDefault="000F7862">
      <w:pPr>
        <w:spacing w:line="259" w:lineRule="auto"/>
        <w:sectPr w:rsidR="000F7862" w:rsidSect="000F7862">
          <w:headerReference w:type="even" r:id="rId19"/>
          <w:headerReference w:type="default" r:id="rId20"/>
          <w:footerReference w:type="default" r:id="rId21"/>
          <w:headerReference w:type="first" r:id="rId22"/>
          <w:type w:val="continuous"/>
          <w:pgSz w:w="11906" w:h="16838" w:code="9"/>
          <w:pgMar w:top="1021" w:right="1021" w:bottom="1021" w:left="1021" w:header="510" w:footer="0" w:gutter="0"/>
          <w:cols w:space="708"/>
          <w:docGrid w:linePitch="360"/>
        </w:sectPr>
      </w:pPr>
    </w:p>
    <w:p w14:paraId="0CB12341" w14:textId="737DBEFD" w:rsidR="00CF2B75" w:rsidRDefault="7BB4354D" w:rsidP="00CF2B75">
      <w:pPr>
        <w:pStyle w:val="Heading2"/>
      </w:pPr>
      <w:bookmarkStart w:id="2" w:name="_Toc115379950"/>
      <w:bookmarkStart w:id="3" w:name="_Toc124783590"/>
      <w:r>
        <w:lastRenderedPageBreak/>
        <w:t xml:space="preserve">List of </w:t>
      </w:r>
      <w:bookmarkEnd w:id="2"/>
      <w:r w:rsidR="004C631C">
        <w:t>acronyms</w:t>
      </w:r>
      <w:bookmarkEnd w:id="3"/>
      <w:r>
        <w:t xml:space="preserve"> </w:t>
      </w:r>
    </w:p>
    <w:tbl>
      <w:tblPr>
        <w:tblStyle w:val="DefaultTable12"/>
        <w:tblW w:w="9825" w:type="dxa"/>
        <w:tblLook w:val="04A0" w:firstRow="1" w:lastRow="0" w:firstColumn="1" w:lastColumn="0" w:noHBand="0" w:noVBand="1"/>
      </w:tblPr>
      <w:tblGrid>
        <w:gridCol w:w="3270"/>
        <w:gridCol w:w="5550"/>
        <w:gridCol w:w="1005"/>
      </w:tblGrid>
      <w:tr w:rsidR="007D68BA" w:rsidRPr="007D68BA" w14:paraId="11D6648F" w14:textId="77777777" w:rsidTr="4F9F5C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hideMark/>
          </w:tcPr>
          <w:p w14:paraId="39DAD8F9" w14:textId="393F9BC0" w:rsidR="007D68BA" w:rsidRPr="007D68BA" w:rsidRDefault="004C631C" w:rsidP="007D68BA">
            <w:pPr>
              <w:spacing w:after="0"/>
              <w:textAlignment w:val="baseline"/>
              <w:rPr>
                <w:rFonts w:ascii="Segoe UI" w:eastAsia="Times New Roman" w:hAnsi="Segoe UI" w:cs="Segoe UI"/>
                <w:color w:val="000000"/>
                <w:sz w:val="18"/>
                <w:szCs w:val="18"/>
                <w:lang w:eastAsia="en-AU"/>
              </w:rPr>
            </w:pPr>
            <w:r>
              <w:rPr>
                <w:rFonts w:eastAsia="Times New Roman" w:cs="Calibri"/>
                <w:lang w:eastAsia="en-AU"/>
              </w:rPr>
              <w:t>Acronym</w:t>
            </w:r>
            <w:r w:rsidR="18471CA2" w:rsidRPr="4F9F5C11">
              <w:rPr>
                <w:rFonts w:eastAsia="Times New Roman" w:cs="Calibri"/>
                <w:lang w:eastAsia="en-AU"/>
              </w:rPr>
              <w:t> </w:t>
            </w:r>
          </w:p>
        </w:tc>
        <w:tc>
          <w:tcPr>
            <w:tcW w:w="5550" w:type="dxa"/>
            <w:hideMark/>
          </w:tcPr>
          <w:p w14:paraId="1BC29496" w14:textId="77777777" w:rsidR="007D68BA" w:rsidRPr="007D68BA" w:rsidRDefault="18471CA2" w:rsidP="007D68BA">
            <w:pPr>
              <w:spacing w:after="0"/>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en-AU"/>
              </w:rPr>
            </w:pPr>
            <w:r w:rsidRPr="4F9F5C11">
              <w:rPr>
                <w:rFonts w:eastAsia="Times New Roman" w:cs="Calibri"/>
                <w:lang w:eastAsia="en-AU"/>
              </w:rPr>
              <w:t>Definition </w:t>
            </w:r>
          </w:p>
        </w:tc>
        <w:tc>
          <w:tcPr>
            <w:tcW w:w="1005" w:type="dxa"/>
            <w:hideMark/>
          </w:tcPr>
          <w:p w14:paraId="12CB06F3" w14:textId="77777777" w:rsidR="007D68BA" w:rsidRPr="007D68BA" w:rsidRDefault="18471CA2" w:rsidP="007D68BA">
            <w:pPr>
              <w:spacing w:after="0"/>
              <w:jc w:val="center"/>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color w:val="000000"/>
                <w:sz w:val="18"/>
                <w:szCs w:val="18"/>
                <w:lang w:eastAsia="en-AU"/>
              </w:rPr>
            </w:pPr>
            <w:r w:rsidRPr="4F9F5C11">
              <w:rPr>
                <w:rFonts w:eastAsia="Times New Roman" w:cs="Calibri"/>
                <w:lang w:eastAsia="en-AU"/>
              </w:rPr>
              <w:t>  </w:t>
            </w:r>
          </w:p>
        </w:tc>
      </w:tr>
      <w:tr w:rsidR="007D68BA" w:rsidRPr="007D68BA" w14:paraId="6B594579" w14:textId="77777777" w:rsidTr="4F9F5C11">
        <w:tc>
          <w:tcPr>
            <w:cnfStyle w:val="001000000000" w:firstRow="0" w:lastRow="0" w:firstColumn="1" w:lastColumn="0" w:oddVBand="0" w:evenVBand="0" w:oddHBand="0" w:evenHBand="0" w:firstRowFirstColumn="0" w:firstRowLastColumn="0" w:lastRowFirstColumn="0" w:lastRowLastColumn="0"/>
            <w:tcW w:w="3270" w:type="dxa"/>
            <w:hideMark/>
          </w:tcPr>
          <w:p w14:paraId="68DC71FA" w14:textId="77777777" w:rsidR="007D68BA" w:rsidRPr="007D68BA" w:rsidRDefault="18471CA2" w:rsidP="007D68BA">
            <w:pPr>
              <w:spacing w:after="0"/>
              <w:textAlignment w:val="baseline"/>
              <w:rPr>
                <w:rFonts w:ascii="Segoe UI" w:eastAsia="Times New Roman" w:hAnsi="Segoe UI" w:cs="Segoe UI"/>
                <w:sz w:val="18"/>
                <w:szCs w:val="18"/>
                <w:lang w:eastAsia="en-AU"/>
              </w:rPr>
            </w:pPr>
            <w:r w:rsidRPr="4F9F5C11">
              <w:rPr>
                <w:rFonts w:eastAsia="Times New Roman" w:cs="Calibri"/>
                <w:lang w:eastAsia="en-AU"/>
              </w:rPr>
              <w:t>AAO </w:t>
            </w:r>
          </w:p>
        </w:tc>
        <w:tc>
          <w:tcPr>
            <w:tcW w:w="5550" w:type="dxa"/>
            <w:hideMark/>
          </w:tcPr>
          <w:p w14:paraId="6C0D6E37" w14:textId="77777777" w:rsidR="007D68BA" w:rsidRPr="007D68BA" w:rsidRDefault="18471CA2" w:rsidP="007D68BA">
            <w:pPr>
              <w:spacing w:after="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AU"/>
              </w:rPr>
            </w:pPr>
            <w:r w:rsidRPr="4F9F5C11">
              <w:rPr>
                <w:rFonts w:eastAsia="Times New Roman" w:cs="Calibri"/>
                <w:lang w:eastAsia="en-AU"/>
              </w:rPr>
              <w:t>Administrative Arrangements Order </w:t>
            </w:r>
          </w:p>
        </w:tc>
        <w:tc>
          <w:tcPr>
            <w:tcW w:w="1005" w:type="dxa"/>
            <w:hideMark/>
          </w:tcPr>
          <w:p w14:paraId="5A4A317C" w14:textId="77777777" w:rsidR="007D68BA" w:rsidRPr="007D68BA" w:rsidRDefault="18471CA2" w:rsidP="007D68BA">
            <w:pPr>
              <w:spacing w:after="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AU"/>
              </w:rPr>
            </w:pPr>
            <w:r w:rsidRPr="4F9F5C11">
              <w:rPr>
                <w:rFonts w:eastAsia="Times New Roman" w:cs="Calibri"/>
                <w:lang w:eastAsia="en-AU"/>
              </w:rPr>
              <w:t> </w:t>
            </w:r>
          </w:p>
        </w:tc>
      </w:tr>
      <w:tr w:rsidR="007D68BA" w:rsidRPr="007D68BA" w14:paraId="2F385C9E" w14:textId="77777777" w:rsidTr="4F9F5C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hideMark/>
          </w:tcPr>
          <w:p w14:paraId="57F72E96" w14:textId="77777777" w:rsidR="007D68BA" w:rsidRPr="007D68BA" w:rsidRDefault="18471CA2" w:rsidP="007D68BA">
            <w:pPr>
              <w:spacing w:after="0"/>
              <w:textAlignment w:val="baseline"/>
              <w:rPr>
                <w:rFonts w:ascii="Segoe UI" w:eastAsia="Times New Roman" w:hAnsi="Segoe UI" w:cs="Segoe UI"/>
                <w:sz w:val="18"/>
                <w:szCs w:val="18"/>
                <w:lang w:eastAsia="en-AU"/>
              </w:rPr>
            </w:pPr>
            <w:r w:rsidRPr="4F9F5C11">
              <w:rPr>
                <w:rFonts w:eastAsia="Times New Roman" w:cs="Calibri"/>
                <w:lang w:eastAsia="en-AU"/>
              </w:rPr>
              <w:t>ALP </w:t>
            </w:r>
          </w:p>
        </w:tc>
        <w:tc>
          <w:tcPr>
            <w:tcW w:w="5550" w:type="dxa"/>
            <w:hideMark/>
          </w:tcPr>
          <w:p w14:paraId="40C313EC" w14:textId="08E4DCE0" w:rsidR="007D68BA" w:rsidRPr="007D68BA" w:rsidRDefault="18471CA2" w:rsidP="007D68BA">
            <w:pPr>
              <w:spacing w:after="0"/>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 w:val="18"/>
                <w:szCs w:val="18"/>
                <w:lang w:eastAsia="en-AU"/>
              </w:rPr>
            </w:pPr>
            <w:r w:rsidRPr="4F9F5C11">
              <w:rPr>
                <w:rFonts w:eastAsia="Times New Roman" w:cs="Calibri"/>
                <w:lang w:eastAsia="en-AU"/>
              </w:rPr>
              <w:t xml:space="preserve">Australian </w:t>
            </w:r>
            <w:proofErr w:type="spellStart"/>
            <w:r w:rsidRPr="4F9F5C11">
              <w:rPr>
                <w:rFonts w:eastAsia="Times New Roman" w:cs="Calibri"/>
                <w:lang w:eastAsia="en-AU"/>
              </w:rPr>
              <w:t>Labo</w:t>
            </w:r>
            <w:r w:rsidR="1F645CB5" w:rsidRPr="4F9F5C11">
              <w:rPr>
                <w:rFonts w:eastAsia="Times New Roman" w:cs="Calibri"/>
                <w:lang w:eastAsia="en-AU"/>
              </w:rPr>
              <w:t>r</w:t>
            </w:r>
            <w:proofErr w:type="spellEnd"/>
            <w:r w:rsidR="1F645CB5" w:rsidRPr="4F9F5C11">
              <w:rPr>
                <w:rFonts w:eastAsia="Times New Roman" w:cs="Calibri"/>
                <w:lang w:eastAsia="en-AU"/>
              </w:rPr>
              <w:t xml:space="preserve"> </w:t>
            </w:r>
            <w:r w:rsidRPr="4F9F5C11">
              <w:rPr>
                <w:rFonts w:eastAsia="Times New Roman" w:cs="Calibri"/>
                <w:lang w:eastAsia="en-AU"/>
              </w:rPr>
              <w:t>Party </w:t>
            </w:r>
          </w:p>
        </w:tc>
        <w:tc>
          <w:tcPr>
            <w:tcW w:w="1005" w:type="dxa"/>
            <w:hideMark/>
          </w:tcPr>
          <w:p w14:paraId="16E02000" w14:textId="77777777" w:rsidR="007D68BA" w:rsidRPr="007D68BA" w:rsidRDefault="18471CA2" w:rsidP="007D68BA">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 w:val="18"/>
                <w:szCs w:val="18"/>
                <w:lang w:eastAsia="en-AU"/>
              </w:rPr>
            </w:pPr>
            <w:r w:rsidRPr="4F9F5C11">
              <w:rPr>
                <w:rFonts w:eastAsia="Times New Roman" w:cs="Calibri"/>
                <w:lang w:eastAsia="en-AU"/>
              </w:rPr>
              <w:t>  </w:t>
            </w:r>
          </w:p>
        </w:tc>
      </w:tr>
      <w:tr w:rsidR="007D68BA" w:rsidRPr="007D68BA" w14:paraId="1BCD2E52" w14:textId="77777777" w:rsidTr="4F9F5C11">
        <w:tc>
          <w:tcPr>
            <w:cnfStyle w:val="001000000000" w:firstRow="0" w:lastRow="0" w:firstColumn="1" w:lastColumn="0" w:oddVBand="0" w:evenVBand="0" w:oddHBand="0" w:evenHBand="0" w:firstRowFirstColumn="0" w:firstRowLastColumn="0" w:lastRowFirstColumn="0" w:lastRowLastColumn="0"/>
            <w:tcW w:w="3270" w:type="dxa"/>
            <w:hideMark/>
          </w:tcPr>
          <w:p w14:paraId="2045F137" w14:textId="77777777" w:rsidR="007D68BA" w:rsidRPr="007D68BA" w:rsidRDefault="18471CA2" w:rsidP="007D68BA">
            <w:pPr>
              <w:spacing w:after="0"/>
              <w:textAlignment w:val="baseline"/>
              <w:rPr>
                <w:rFonts w:ascii="Segoe UI" w:eastAsia="Times New Roman" w:hAnsi="Segoe UI" w:cs="Segoe UI"/>
                <w:sz w:val="18"/>
                <w:szCs w:val="18"/>
                <w:lang w:eastAsia="en-AU"/>
              </w:rPr>
            </w:pPr>
            <w:r w:rsidRPr="4F9F5C11">
              <w:rPr>
                <w:rFonts w:eastAsia="Times New Roman" w:cs="Calibri"/>
                <w:lang w:eastAsia="en-AU"/>
              </w:rPr>
              <w:t>ARENA </w:t>
            </w:r>
          </w:p>
        </w:tc>
        <w:tc>
          <w:tcPr>
            <w:tcW w:w="5550" w:type="dxa"/>
            <w:hideMark/>
          </w:tcPr>
          <w:p w14:paraId="3643A053" w14:textId="77777777" w:rsidR="007D68BA" w:rsidRPr="007D68BA" w:rsidRDefault="18471CA2" w:rsidP="007D68BA">
            <w:pPr>
              <w:spacing w:after="0"/>
              <w:ind w:left="270" w:hanging="27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AU"/>
              </w:rPr>
            </w:pPr>
            <w:r w:rsidRPr="4F9F5C11">
              <w:rPr>
                <w:rFonts w:eastAsia="Times New Roman" w:cs="Calibri"/>
                <w:lang w:eastAsia="en-AU"/>
              </w:rPr>
              <w:t>Australian Renewable Energy Agency </w:t>
            </w:r>
          </w:p>
        </w:tc>
        <w:tc>
          <w:tcPr>
            <w:tcW w:w="1005" w:type="dxa"/>
            <w:hideMark/>
          </w:tcPr>
          <w:p w14:paraId="5B6A65B8" w14:textId="77777777" w:rsidR="007D68BA" w:rsidRPr="007D68BA" w:rsidRDefault="18471CA2" w:rsidP="007D68BA">
            <w:pPr>
              <w:spacing w:after="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AU"/>
              </w:rPr>
            </w:pPr>
            <w:r w:rsidRPr="4F9F5C11">
              <w:rPr>
                <w:rFonts w:eastAsia="Times New Roman" w:cs="Calibri"/>
                <w:lang w:eastAsia="en-AU"/>
              </w:rPr>
              <w:t>  </w:t>
            </w:r>
          </w:p>
        </w:tc>
      </w:tr>
      <w:tr w:rsidR="00032291" w:rsidRPr="007D68BA" w14:paraId="7BC63CD5" w14:textId="77777777" w:rsidTr="4F9F5C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tcPr>
          <w:p w14:paraId="595D6643" w14:textId="003E24B8" w:rsidR="00032291" w:rsidRPr="4F9F5C11" w:rsidRDefault="00032291" w:rsidP="007D68BA">
            <w:pPr>
              <w:spacing w:after="0"/>
              <w:textAlignment w:val="baseline"/>
              <w:rPr>
                <w:rFonts w:eastAsia="Times New Roman" w:cs="Calibri"/>
                <w:lang w:eastAsia="en-AU"/>
              </w:rPr>
            </w:pPr>
            <w:r>
              <w:rPr>
                <w:rFonts w:eastAsia="Times New Roman" w:cs="Calibri"/>
                <w:lang w:eastAsia="en-AU"/>
              </w:rPr>
              <w:t>ASL</w:t>
            </w:r>
          </w:p>
        </w:tc>
        <w:tc>
          <w:tcPr>
            <w:tcW w:w="5550" w:type="dxa"/>
          </w:tcPr>
          <w:p w14:paraId="6F28F672" w14:textId="231A8B36" w:rsidR="00032291" w:rsidRPr="4F9F5C11" w:rsidRDefault="00032291" w:rsidP="007D68BA">
            <w:pPr>
              <w:spacing w:after="0"/>
              <w:ind w:left="270" w:hanging="270"/>
              <w:textAlignment w:val="baseline"/>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Pr>
                <w:rFonts w:eastAsia="Times New Roman" w:cs="Calibri"/>
                <w:lang w:eastAsia="en-AU"/>
              </w:rPr>
              <w:t>Average Staffing Level</w:t>
            </w:r>
          </w:p>
        </w:tc>
        <w:tc>
          <w:tcPr>
            <w:tcW w:w="1005" w:type="dxa"/>
          </w:tcPr>
          <w:p w14:paraId="11837904" w14:textId="77777777" w:rsidR="00032291" w:rsidRPr="4F9F5C11" w:rsidRDefault="00032291" w:rsidP="007D68BA">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p>
        </w:tc>
      </w:tr>
      <w:tr w:rsidR="007D68BA" w:rsidRPr="007D68BA" w14:paraId="0E95B77D" w14:textId="77777777" w:rsidTr="4F9F5C11">
        <w:tc>
          <w:tcPr>
            <w:cnfStyle w:val="001000000000" w:firstRow="0" w:lastRow="0" w:firstColumn="1" w:lastColumn="0" w:oddVBand="0" w:evenVBand="0" w:oddHBand="0" w:evenHBand="0" w:firstRowFirstColumn="0" w:firstRowLastColumn="0" w:lastRowFirstColumn="0" w:lastRowLastColumn="0"/>
            <w:tcW w:w="3270" w:type="dxa"/>
            <w:hideMark/>
          </w:tcPr>
          <w:p w14:paraId="2976B78A" w14:textId="77777777" w:rsidR="007D68BA" w:rsidRPr="007D68BA" w:rsidRDefault="18471CA2" w:rsidP="007D68BA">
            <w:pPr>
              <w:spacing w:after="0"/>
              <w:textAlignment w:val="baseline"/>
              <w:rPr>
                <w:rFonts w:ascii="Segoe UI" w:eastAsia="Times New Roman" w:hAnsi="Segoe UI" w:cs="Segoe UI"/>
                <w:sz w:val="18"/>
                <w:szCs w:val="18"/>
                <w:lang w:eastAsia="en-AU"/>
              </w:rPr>
            </w:pPr>
            <w:r w:rsidRPr="4F9F5C11">
              <w:rPr>
                <w:rFonts w:eastAsia="Times New Roman" w:cs="Calibri"/>
                <w:lang w:eastAsia="en-AU"/>
              </w:rPr>
              <w:t>CEFC </w:t>
            </w:r>
          </w:p>
        </w:tc>
        <w:tc>
          <w:tcPr>
            <w:tcW w:w="5550" w:type="dxa"/>
            <w:hideMark/>
          </w:tcPr>
          <w:p w14:paraId="4A6BE201" w14:textId="77777777" w:rsidR="007D68BA" w:rsidRPr="007D68BA" w:rsidRDefault="18471CA2" w:rsidP="007D68BA">
            <w:pPr>
              <w:spacing w:after="0"/>
              <w:ind w:left="270" w:hanging="27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AU"/>
              </w:rPr>
            </w:pPr>
            <w:r w:rsidRPr="4F9F5C11">
              <w:rPr>
                <w:rFonts w:eastAsia="Times New Roman" w:cs="Calibri"/>
                <w:lang w:eastAsia="en-AU"/>
              </w:rPr>
              <w:t>Clean Energy Finance Corporation </w:t>
            </w:r>
          </w:p>
        </w:tc>
        <w:tc>
          <w:tcPr>
            <w:tcW w:w="1005" w:type="dxa"/>
            <w:hideMark/>
          </w:tcPr>
          <w:p w14:paraId="27CA1509" w14:textId="77777777" w:rsidR="007D68BA" w:rsidRPr="007D68BA" w:rsidRDefault="18471CA2" w:rsidP="007D68BA">
            <w:pPr>
              <w:spacing w:after="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AU"/>
              </w:rPr>
            </w:pPr>
            <w:r w:rsidRPr="4F9F5C11">
              <w:rPr>
                <w:rFonts w:eastAsia="Times New Roman" w:cs="Calibri"/>
                <w:lang w:eastAsia="en-AU"/>
              </w:rPr>
              <w:t>  </w:t>
            </w:r>
          </w:p>
        </w:tc>
      </w:tr>
      <w:tr w:rsidR="007D68BA" w:rsidRPr="007D68BA" w14:paraId="1E7C5E9A" w14:textId="77777777" w:rsidTr="4F9F5C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hideMark/>
          </w:tcPr>
          <w:p w14:paraId="20ACF940" w14:textId="77777777" w:rsidR="007D68BA" w:rsidRPr="007D68BA" w:rsidRDefault="18471CA2" w:rsidP="007D68BA">
            <w:pPr>
              <w:spacing w:after="0"/>
              <w:textAlignment w:val="baseline"/>
              <w:rPr>
                <w:rFonts w:ascii="Segoe UI" w:eastAsia="Times New Roman" w:hAnsi="Segoe UI" w:cs="Segoe UI"/>
                <w:sz w:val="18"/>
                <w:szCs w:val="18"/>
                <w:lang w:eastAsia="en-AU"/>
              </w:rPr>
            </w:pPr>
            <w:r w:rsidRPr="4F9F5C11">
              <w:rPr>
                <w:rFonts w:eastAsia="Times New Roman" w:cs="Calibri"/>
                <w:lang w:eastAsia="en-AU"/>
              </w:rPr>
              <w:t>CEO </w:t>
            </w:r>
          </w:p>
        </w:tc>
        <w:tc>
          <w:tcPr>
            <w:tcW w:w="5550" w:type="dxa"/>
            <w:hideMark/>
          </w:tcPr>
          <w:p w14:paraId="26E2C0A0" w14:textId="77777777" w:rsidR="007D68BA" w:rsidRPr="007D68BA" w:rsidRDefault="18471CA2" w:rsidP="007D68BA">
            <w:pPr>
              <w:spacing w:after="0"/>
              <w:ind w:left="270" w:hanging="270"/>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 w:val="18"/>
                <w:szCs w:val="18"/>
                <w:lang w:eastAsia="en-AU"/>
              </w:rPr>
            </w:pPr>
            <w:r w:rsidRPr="4F9F5C11">
              <w:rPr>
                <w:rFonts w:eastAsia="Times New Roman" w:cs="Calibri"/>
                <w:lang w:eastAsia="en-AU"/>
              </w:rPr>
              <w:t>Chief Executive Officer </w:t>
            </w:r>
          </w:p>
        </w:tc>
        <w:tc>
          <w:tcPr>
            <w:tcW w:w="1005" w:type="dxa"/>
            <w:hideMark/>
          </w:tcPr>
          <w:p w14:paraId="640492B0" w14:textId="77777777" w:rsidR="007D68BA" w:rsidRPr="007D68BA" w:rsidRDefault="18471CA2" w:rsidP="007D68BA">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 w:val="18"/>
                <w:szCs w:val="18"/>
                <w:lang w:eastAsia="en-AU"/>
              </w:rPr>
            </w:pPr>
            <w:r w:rsidRPr="4F9F5C11">
              <w:rPr>
                <w:rFonts w:eastAsia="Times New Roman" w:cs="Calibri"/>
                <w:lang w:eastAsia="en-AU"/>
              </w:rPr>
              <w:t>  </w:t>
            </w:r>
          </w:p>
        </w:tc>
      </w:tr>
      <w:tr w:rsidR="007D68BA" w:rsidRPr="007D68BA" w14:paraId="4C59E343" w14:textId="77777777" w:rsidTr="4F9F5C11">
        <w:tc>
          <w:tcPr>
            <w:cnfStyle w:val="001000000000" w:firstRow="0" w:lastRow="0" w:firstColumn="1" w:lastColumn="0" w:oddVBand="0" w:evenVBand="0" w:oddHBand="0" w:evenHBand="0" w:firstRowFirstColumn="0" w:firstRowLastColumn="0" w:lastRowFirstColumn="0" w:lastRowLastColumn="0"/>
            <w:tcW w:w="3270" w:type="dxa"/>
            <w:hideMark/>
          </w:tcPr>
          <w:p w14:paraId="24460CAB" w14:textId="77777777" w:rsidR="007D68BA" w:rsidRPr="007D68BA" w:rsidRDefault="18471CA2" w:rsidP="007D68BA">
            <w:pPr>
              <w:spacing w:after="0"/>
              <w:textAlignment w:val="baseline"/>
              <w:rPr>
                <w:rFonts w:ascii="Segoe UI" w:eastAsia="Times New Roman" w:hAnsi="Segoe UI" w:cs="Segoe UI"/>
                <w:sz w:val="18"/>
                <w:szCs w:val="18"/>
                <w:lang w:eastAsia="en-AU"/>
              </w:rPr>
            </w:pPr>
            <w:r w:rsidRPr="4F9F5C11">
              <w:rPr>
                <w:rFonts w:eastAsia="Times New Roman" w:cs="Calibri"/>
                <w:lang w:eastAsia="en-AU"/>
              </w:rPr>
              <w:t>CIS </w:t>
            </w:r>
          </w:p>
        </w:tc>
        <w:tc>
          <w:tcPr>
            <w:tcW w:w="5550" w:type="dxa"/>
            <w:hideMark/>
          </w:tcPr>
          <w:p w14:paraId="2E60C3FB" w14:textId="77777777" w:rsidR="007D68BA" w:rsidRPr="007D68BA" w:rsidRDefault="18471CA2" w:rsidP="007D68BA">
            <w:pPr>
              <w:spacing w:after="0"/>
              <w:ind w:left="270" w:hanging="27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AU"/>
              </w:rPr>
            </w:pPr>
            <w:r w:rsidRPr="4F9F5C11">
              <w:rPr>
                <w:rFonts w:eastAsia="Times New Roman" w:cs="Calibri"/>
                <w:lang w:eastAsia="en-AU"/>
              </w:rPr>
              <w:t>Capital Intentions Statement </w:t>
            </w:r>
          </w:p>
        </w:tc>
        <w:tc>
          <w:tcPr>
            <w:tcW w:w="1005" w:type="dxa"/>
            <w:hideMark/>
          </w:tcPr>
          <w:p w14:paraId="514B2F14" w14:textId="77777777" w:rsidR="007D68BA" w:rsidRPr="007D68BA" w:rsidRDefault="18471CA2" w:rsidP="007D68BA">
            <w:pPr>
              <w:spacing w:after="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AU"/>
              </w:rPr>
            </w:pPr>
            <w:r w:rsidRPr="4F9F5C11">
              <w:rPr>
                <w:rFonts w:eastAsia="Times New Roman" w:cs="Calibri"/>
                <w:lang w:eastAsia="en-AU"/>
              </w:rPr>
              <w:t>  </w:t>
            </w:r>
          </w:p>
        </w:tc>
      </w:tr>
      <w:tr w:rsidR="007D68BA" w:rsidRPr="007D68BA" w14:paraId="2E79A833" w14:textId="77777777" w:rsidTr="4F9F5C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hideMark/>
          </w:tcPr>
          <w:p w14:paraId="2F7068BE" w14:textId="77777777" w:rsidR="007D68BA" w:rsidRPr="007D68BA" w:rsidRDefault="18471CA2" w:rsidP="007D68BA">
            <w:pPr>
              <w:spacing w:after="0"/>
              <w:textAlignment w:val="baseline"/>
              <w:rPr>
                <w:rFonts w:ascii="Segoe UI" w:eastAsia="Times New Roman" w:hAnsi="Segoe UI" w:cs="Segoe UI"/>
                <w:sz w:val="18"/>
                <w:szCs w:val="18"/>
                <w:lang w:eastAsia="en-AU"/>
              </w:rPr>
            </w:pPr>
            <w:r w:rsidRPr="4F9F5C11">
              <w:rPr>
                <w:rFonts w:eastAsia="Times New Roman" w:cs="Calibri"/>
                <w:lang w:eastAsia="en-AU"/>
              </w:rPr>
              <w:t>CSU </w:t>
            </w:r>
          </w:p>
        </w:tc>
        <w:tc>
          <w:tcPr>
            <w:tcW w:w="5550" w:type="dxa"/>
            <w:hideMark/>
          </w:tcPr>
          <w:p w14:paraId="066F0DFB" w14:textId="77777777" w:rsidR="007D68BA" w:rsidRPr="007D68BA" w:rsidRDefault="18471CA2" w:rsidP="007D68BA">
            <w:pPr>
              <w:spacing w:after="0"/>
              <w:ind w:left="270" w:hanging="270"/>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 w:val="18"/>
                <w:szCs w:val="18"/>
                <w:lang w:eastAsia="en-AU"/>
              </w:rPr>
            </w:pPr>
            <w:r w:rsidRPr="4F9F5C11">
              <w:rPr>
                <w:rFonts w:eastAsia="Times New Roman" w:cs="Calibri"/>
                <w:lang w:eastAsia="en-AU"/>
              </w:rPr>
              <w:t>Cities and Suburbs Unit </w:t>
            </w:r>
          </w:p>
        </w:tc>
        <w:tc>
          <w:tcPr>
            <w:tcW w:w="1005" w:type="dxa"/>
            <w:hideMark/>
          </w:tcPr>
          <w:p w14:paraId="6D77F833" w14:textId="77777777" w:rsidR="007D68BA" w:rsidRPr="007D68BA" w:rsidRDefault="18471CA2" w:rsidP="007D68BA">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 w:val="18"/>
                <w:szCs w:val="18"/>
                <w:lang w:eastAsia="en-AU"/>
              </w:rPr>
            </w:pPr>
            <w:r w:rsidRPr="4F9F5C11">
              <w:rPr>
                <w:rFonts w:eastAsia="Times New Roman" w:cs="Calibri"/>
                <w:lang w:eastAsia="en-AU"/>
              </w:rPr>
              <w:t>  </w:t>
            </w:r>
          </w:p>
        </w:tc>
      </w:tr>
      <w:tr w:rsidR="007D68BA" w:rsidRPr="007D68BA" w14:paraId="74AC6D76" w14:textId="77777777" w:rsidTr="4F9F5C11">
        <w:tc>
          <w:tcPr>
            <w:cnfStyle w:val="001000000000" w:firstRow="0" w:lastRow="0" w:firstColumn="1" w:lastColumn="0" w:oddVBand="0" w:evenVBand="0" w:oddHBand="0" w:evenHBand="0" w:firstRowFirstColumn="0" w:firstRowLastColumn="0" w:lastRowFirstColumn="0" w:lastRowLastColumn="0"/>
            <w:tcW w:w="3270" w:type="dxa"/>
            <w:hideMark/>
          </w:tcPr>
          <w:p w14:paraId="0C36871E" w14:textId="77777777" w:rsidR="007D68BA" w:rsidRPr="007D68BA" w:rsidRDefault="18471CA2" w:rsidP="007D68BA">
            <w:pPr>
              <w:spacing w:after="0"/>
              <w:textAlignment w:val="baseline"/>
              <w:rPr>
                <w:rFonts w:ascii="Segoe UI" w:eastAsia="Times New Roman" w:hAnsi="Segoe UI" w:cs="Segoe UI"/>
                <w:sz w:val="18"/>
                <w:szCs w:val="18"/>
                <w:lang w:eastAsia="en-AU"/>
              </w:rPr>
            </w:pPr>
            <w:r w:rsidRPr="4F9F5C11">
              <w:rPr>
                <w:rFonts w:eastAsia="Times New Roman" w:cs="Calibri"/>
                <w:lang w:eastAsia="en-AU"/>
              </w:rPr>
              <w:t>DCA </w:t>
            </w:r>
          </w:p>
        </w:tc>
        <w:tc>
          <w:tcPr>
            <w:tcW w:w="5550" w:type="dxa"/>
            <w:hideMark/>
          </w:tcPr>
          <w:p w14:paraId="22EA5487" w14:textId="77777777" w:rsidR="007D68BA" w:rsidRPr="007D68BA" w:rsidRDefault="18471CA2" w:rsidP="007D68BA">
            <w:pPr>
              <w:spacing w:after="0"/>
              <w:ind w:left="270" w:hanging="27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AU"/>
              </w:rPr>
            </w:pPr>
            <w:r w:rsidRPr="4F9F5C11">
              <w:rPr>
                <w:rFonts w:eastAsia="Times New Roman" w:cs="Calibri"/>
                <w:lang w:eastAsia="en-AU"/>
              </w:rPr>
              <w:t>Delivery Confidence Assessment  </w:t>
            </w:r>
          </w:p>
        </w:tc>
        <w:tc>
          <w:tcPr>
            <w:tcW w:w="1005" w:type="dxa"/>
            <w:hideMark/>
          </w:tcPr>
          <w:p w14:paraId="12B99597" w14:textId="77777777" w:rsidR="007D68BA" w:rsidRPr="007D68BA" w:rsidRDefault="18471CA2" w:rsidP="007D68BA">
            <w:pPr>
              <w:spacing w:after="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AU"/>
              </w:rPr>
            </w:pPr>
            <w:r w:rsidRPr="4F9F5C11">
              <w:rPr>
                <w:rFonts w:eastAsia="Times New Roman" w:cs="Calibri"/>
                <w:lang w:eastAsia="en-AU"/>
              </w:rPr>
              <w:t>  </w:t>
            </w:r>
          </w:p>
        </w:tc>
      </w:tr>
      <w:tr w:rsidR="007D68BA" w:rsidRPr="007D68BA" w14:paraId="47C3603D" w14:textId="77777777" w:rsidTr="4F9F5C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hideMark/>
          </w:tcPr>
          <w:p w14:paraId="15F03D22" w14:textId="77777777" w:rsidR="007D68BA" w:rsidRPr="007D68BA" w:rsidRDefault="18471CA2" w:rsidP="007D68BA">
            <w:pPr>
              <w:spacing w:after="0"/>
              <w:textAlignment w:val="baseline"/>
              <w:rPr>
                <w:rFonts w:ascii="Segoe UI" w:eastAsia="Times New Roman" w:hAnsi="Segoe UI" w:cs="Segoe UI"/>
                <w:sz w:val="18"/>
                <w:szCs w:val="18"/>
                <w:lang w:eastAsia="en-AU"/>
              </w:rPr>
            </w:pPr>
            <w:r w:rsidRPr="4F9F5C11">
              <w:rPr>
                <w:rFonts w:eastAsia="Times New Roman" w:cs="Calibri"/>
                <w:lang w:eastAsia="en-AU"/>
              </w:rPr>
              <w:t>DITRDCA </w:t>
            </w:r>
          </w:p>
        </w:tc>
        <w:tc>
          <w:tcPr>
            <w:tcW w:w="5550" w:type="dxa"/>
            <w:hideMark/>
          </w:tcPr>
          <w:p w14:paraId="3C65FF2B" w14:textId="77777777" w:rsidR="007D68BA" w:rsidRPr="007D68BA" w:rsidRDefault="18471CA2" w:rsidP="007D68BA">
            <w:pPr>
              <w:spacing w:after="0"/>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 w:val="18"/>
                <w:szCs w:val="18"/>
                <w:lang w:eastAsia="en-AU"/>
              </w:rPr>
            </w:pPr>
            <w:r w:rsidRPr="4F9F5C11">
              <w:rPr>
                <w:rFonts w:eastAsia="Times New Roman" w:cs="Calibri"/>
                <w:lang w:eastAsia="en-AU"/>
              </w:rPr>
              <w:t>Department of Infrastructure, Transport, Regional Development, Communications and the Arts </w:t>
            </w:r>
          </w:p>
        </w:tc>
        <w:tc>
          <w:tcPr>
            <w:tcW w:w="1005" w:type="dxa"/>
            <w:hideMark/>
          </w:tcPr>
          <w:p w14:paraId="2FFAE8D8" w14:textId="77777777" w:rsidR="007D68BA" w:rsidRPr="007D68BA" w:rsidRDefault="18471CA2" w:rsidP="007D68BA">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 w:val="18"/>
                <w:szCs w:val="18"/>
                <w:lang w:eastAsia="en-AU"/>
              </w:rPr>
            </w:pPr>
            <w:r w:rsidRPr="4F9F5C11">
              <w:rPr>
                <w:rFonts w:eastAsia="Times New Roman" w:cs="Calibri"/>
                <w:lang w:eastAsia="en-AU"/>
              </w:rPr>
              <w:t>  </w:t>
            </w:r>
          </w:p>
        </w:tc>
      </w:tr>
      <w:tr w:rsidR="00613D56" w:rsidRPr="007D68BA" w14:paraId="4E112AD3" w14:textId="77777777" w:rsidTr="4F9F5C11">
        <w:tc>
          <w:tcPr>
            <w:cnfStyle w:val="001000000000" w:firstRow="0" w:lastRow="0" w:firstColumn="1" w:lastColumn="0" w:oddVBand="0" w:evenVBand="0" w:oddHBand="0" w:evenHBand="0" w:firstRowFirstColumn="0" w:firstRowLastColumn="0" w:lastRowFirstColumn="0" w:lastRowLastColumn="0"/>
            <w:tcW w:w="3270" w:type="dxa"/>
          </w:tcPr>
          <w:p w14:paraId="3325C6BB" w14:textId="0472F453" w:rsidR="00613D56" w:rsidRPr="4F9F5C11" w:rsidRDefault="00613D56" w:rsidP="007D68BA">
            <w:pPr>
              <w:spacing w:after="0"/>
              <w:textAlignment w:val="baseline"/>
              <w:rPr>
                <w:rFonts w:eastAsia="Times New Roman" w:cs="Calibri"/>
                <w:lang w:eastAsia="en-AU"/>
              </w:rPr>
            </w:pPr>
            <w:r>
              <w:rPr>
                <w:rFonts w:eastAsia="Times New Roman" w:cs="Calibri"/>
                <w:lang w:eastAsia="en-AU"/>
              </w:rPr>
              <w:t>IA</w:t>
            </w:r>
          </w:p>
        </w:tc>
        <w:tc>
          <w:tcPr>
            <w:tcW w:w="5550" w:type="dxa"/>
          </w:tcPr>
          <w:p w14:paraId="4B45B831" w14:textId="49811894" w:rsidR="00613D56" w:rsidRPr="00ED4399" w:rsidRDefault="00613D56" w:rsidP="007D68BA">
            <w:pPr>
              <w:spacing w:after="0"/>
              <w:ind w:left="270"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iCs/>
                <w:lang w:eastAsia="en-AU"/>
              </w:rPr>
            </w:pPr>
            <w:r>
              <w:rPr>
                <w:rFonts w:eastAsia="Times New Roman" w:cs="Calibri"/>
                <w:iCs/>
                <w:lang w:eastAsia="en-AU"/>
              </w:rPr>
              <w:t>Infrastructure Australia</w:t>
            </w:r>
          </w:p>
        </w:tc>
        <w:tc>
          <w:tcPr>
            <w:tcW w:w="1005" w:type="dxa"/>
          </w:tcPr>
          <w:p w14:paraId="4CB81BD9" w14:textId="77777777" w:rsidR="00613D56" w:rsidRPr="4F9F5C11" w:rsidRDefault="00613D56" w:rsidP="007D68BA">
            <w:pPr>
              <w:spacing w:after="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p>
        </w:tc>
      </w:tr>
      <w:tr w:rsidR="007D68BA" w:rsidRPr="007D68BA" w14:paraId="7567ECA2" w14:textId="77777777" w:rsidTr="4F9F5C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hideMark/>
          </w:tcPr>
          <w:p w14:paraId="194DE630" w14:textId="77777777" w:rsidR="007D68BA" w:rsidRPr="007D68BA" w:rsidRDefault="18471CA2" w:rsidP="007D68BA">
            <w:pPr>
              <w:spacing w:after="0"/>
              <w:textAlignment w:val="baseline"/>
              <w:rPr>
                <w:rFonts w:ascii="Segoe UI" w:eastAsia="Times New Roman" w:hAnsi="Segoe UI" w:cs="Segoe UI"/>
                <w:sz w:val="18"/>
                <w:szCs w:val="18"/>
                <w:lang w:eastAsia="en-AU"/>
              </w:rPr>
            </w:pPr>
            <w:r w:rsidRPr="4F9F5C11">
              <w:rPr>
                <w:rFonts w:eastAsia="Times New Roman" w:cs="Calibri"/>
                <w:lang w:eastAsia="en-AU"/>
              </w:rPr>
              <w:t>IA Act </w:t>
            </w:r>
          </w:p>
        </w:tc>
        <w:tc>
          <w:tcPr>
            <w:tcW w:w="5550" w:type="dxa"/>
            <w:hideMark/>
          </w:tcPr>
          <w:p w14:paraId="5C847DDA" w14:textId="77777777" w:rsidR="007D68BA" w:rsidRPr="007D68BA" w:rsidRDefault="18471CA2" w:rsidP="007D68BA">
            <w:pPr>
              <w:spacing w:after="0"/>
              <w:ind w:left="270" w:hanging="270"/>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 w:val="18"/>
                <w:szCs w:val="18"/>
                <w:lang w:eastAsia="en-AU"/>
              </w:rPr>
            </w:pPr>
            <w:r w:rsidRPr="4F9F5C11">
              <w:rPr>
                <w:rFonts w:eastAsia="Times New Roman" w:cs="Calibri"/>
                <w:i/>
                <w:iCs/>
                <w:lang w:eastAsia="en-AU"/>
              </w:rPr>
              <w:t>Infrastructure Australia Act 2008</w:t>
            </w:r>
            <w:r w:rsidRPr="4F9F5C11">
              <w:rPr>
                <w:rFonts w:eastAsia="Times New Roman" w:cs="Calibri"/>
                <w:lang w:eastAsia="en-AU"/>
              </w:rPr>
              <w:t xml:space="preserve"> (</w:t>
            </w:r>
            <w:proofErr w:type="spellStart"/>
            <w:r w:rsidRPr="4F9F5C11">
              <w:rPr>
                <w:rFonts w:eastAsia="Times New Roman" w:cs="Calibri"/>
                <w:lang w:eastAsia="en-AU"/>
              </w:rPr>
              <w:t>Cth</w:t>
            </w:r>
            <w:proofErr w:type="spellEnd"/>
            <w:r w:rsidRPr="4F9F5C11">
              <w:rPr>
                <w:rFonts w:eastAsia="Times New Roman" w:cs="Calibri"/>
                <w:lang w:eastAsia="en-AU"/>
              </w:rPr>
              <w:t>) </w:t>
            </w:r>
          </w:p>
        </w:tc>
        <w:tc>
          <w:tcPr>
            <w:tcW w:w="1005" w:type="dxa"/>
            <w:hideMark/>
          </w:tcPr>
          <w:p w14:paraId="61DCF9CC" w14:textId="77777777" w:rsidR="007D68BA" w:rsidRPr="007D68BA" w:rsidRDefault="18471CA2" w:rsidP="007D68BA">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 w:val="18"/>
                <w:szCs w:val="18"/>
                <w:lang w:eastAsia="en-AU"/>
              </w:rPr>
            </w:pPr>
            <w:r w:rsidRPr="4F9F5C11">
              <w:rPr>
                <w:rFonts w:eastAsia="Times New Roman" w:cs="Calibri"/>
                <w:lang w:eastAsia="en-AU"/>
              </w:rPr>
              <w:t>  </w:t>
            </w:r>
          </w:p>
        </w:tc>
      </w:tr>
      <w:tr w:rsidR="007D68BA" w:rsidRPr="007D68BA" w14:paraId="0C14CB95" w14:textId="77777777" w:rsidTr="4F9F5C11">
        <w:tc>
          <w:tcPr>
            <w:cnfStyle w:val="001000000000" w:firstRow="0" w:lastRow="0" w:firstColumn="1" w:lastColumn="0" w:oddVBand="0" w:evenVBand="0" w:oddHBand="0" w:evenHBand="0" w:firstRowFirstColumn="0" w:firstRowLastColumn="0" w:lastRowFirstColumn="0" w:lastRowLastColumn="0"/>
            <w:tcW w:w="3270" w:type="dxa"/>
            <w:hideMark/>
          </w:tcPr>
          <w:p w14:paraId="2EEE07C7" w14:textId="0E17475A" w:rsidR="007D68BA" w:rsidRPr="007D68BA" w:rsidRDefault="565B9DC1" w:rsidP="007D68BA">
            <w:pPr>
              <w:spacing w:after="0"/>
              <w:textAlignment w:val="baseline"/>
              <w:rPr>
                <w:rFonts w:ascii="Segoe UI" w:eastAsia="Times New Roman" w:hAnsi="Segoe UI" w:cs="Segoe UI"/>
                <w:sz w:val="18"/>
                <w:szCs w:val="18"/>
                <w:lang w:eastAsia="en-AU"/>
              </w:rPr>
            </w:pPr>
            <w:r w:rsidRPr="4F9F5C11">
              <w:rPr>
                <w:rFonts w:eastAsia="Times New Roman" w:cs="Calibri"/>
                <w:lang w:eastAsia="en-AU"/>
              </w:rPr>
              <w:t>I</w:t>
            </w:r>
            <w:r w:rsidR="18471CA2" w:rsidRPr="4F9F5C11">
              <w:rPr>
                <w:rFonts w:eastAsia="Times New Roman" w:cs="Calibri"/>
                <w:lang w:eastAsia="en-AU"/>
              </w:rPr>
              <w:t>-bodies </w:t>
            </w:r>
          </w:p>
        </w:tc>
        <w:tc>
          <w:tcPr>
            <w:tcW w:w="5550" w:type="dxa"/>
            <w:hideMark/>
          </w:tcPr>
          <w:p w14:paraId="7CAD19C2" w14:textId="77777777" w:rsidR="007D68BA" w:rsidRPr="007D68BA" w:rsidRDefault="18471CA2" w:rsidP="007D68BA">
            <w:pPr>
              <w:spacing w:after="0"/>
              <w:ind w:left="270" w:hanging="27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AU"/>
              </w:rPr>
            </w:pPr>
            <w:r w:rsidRPr="4F9F5C11">
              <w:rPr>
                <w:rFonts w:eastAsia="Times New Roman" w:cs="Calibri"/>
                <w:lang w:eastAsia="en-AU"/>
              </w:rPr>
              <w:t>Infrastructure bodies </w:t>
            </w:r>
          </w:p>
        </w:tc>
        <w:tc>
          <w:tcPr>
            <w:tcW w:w="1005" w:type="dxa"/>
            <w:hideMark/>
          </w:tcPr>
          <w:p w14:paraId="17C217B9" w14:textId="77777777" w:rsidR="007D68BA" w:rsidRPr="007D68BA" w:rsidRDefault="18471CA2" w:rsidP="007D68BA">
            <w:pPr>
              <w:spacing w:after="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AU"/>
              </w:rPr>
            </w:pPr>
            <w:r w:rsidRPr="4F9F5C11">
              <w:rPr>
                <w:rFonts w:eastAsia="Times New Roman" w:cs="Calibri"/>
                <w:lang w:eastAsia="en-AU"/>
              </w:rPr>
              <w:t>  </w:t>
            </w:r>
          </w:p>
        </w:tc>
      </w:tr>
      <w:tr w:rsidR="007D68BA" w:rsidRPr="007D68BA" w14:paraId="67AE7CC1" w14:textId="77777777" w:rsidTr="4F9F5C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hideMark/>
          </w:tcPr>
          <w:p w14:paraId="14D2CF86" w14:textId="12ABEFDC" w:rsidR="007D68BA" w:rsidRPr="007D68BA" w:rsidRDefault="18471CA2" w:rsidP="007D68BA">
            <w:pPr>
              <w:spacing w:after="0"/>
              <w:textAlignment w:val="baseline"/>
              <w:rPr>
                <w:rFonts w:ascii="Segoe UI" w:eastAsia="Times New Roman" w:hAnsi="Segoe UI" w:cs="Segoe UI"/>
                <w:sz w:val="18"/>
                <w:szCs w:val="18"/>
                <w:lang w:eastAsia="en-AU"/>
              </w:rPr>
            </w:pPr>
            <w:r w:rsidRPr="4F9F5C11">
              <w:rPr>
                <w:rFonts w:eastAsia="Times New Roman" w:cs="Calibri"/>
                <w:lang w:eastAsia="en-AU"/>
              </w:rPr>
              <w:t>ICA</w:t>
            </w:r>
          </w:p>
        </w:tc>
        <w:tc>
          <w:tcPr>
            <w:tcW w:w="5550" w:type="dxa"/>
            <w:hideMark/>
          </w:tcPr>
          <w:p w14:paraId="76700A96" w14:textId="77777777" w:rsidR="007D68BA" w:rsidRPr="007D68BA" w:rsidRDefault="18471CA2" w:rsidP="007D68BA">
            <w:pPr>
              <w:spacing w:after="0"/>
              <w:ind w:left="270" w:hanging="270"/>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 w:val="18"/>
                <w:szCs w:val="18"/>
                <w:lang w:eastAsia="en-AU"/>
              </w:rPr>
            </w:pPr>
            <w:r w:rsidRPr="4F9F5C11">
              <w:rPr>
                <w:rFonts w:eastAsia="Times New Roman" w:cs="Calibri"/>
                <w:lang w:eastAsia="en-AU"/>
              </w:rPr>
              <w:t>Infrastructure and Commercial Advisory Office </w:t>
            </w:r>
          </w:p>
        </w:tc>
        <w:tc>
          <w:tcPr>
            <w:tcW w:w="1005" w:type="dxa"/>
            <w:hideMark/>
          </w:tcPr>
          <w:p w14:paraId="43532490" w14:textId="77777777" w:rsidR="007D68BA" w:rsidRPr="007D68BA" w:rsidRDefault="18471CA2" w:rsidP="007D68BA">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 w:val="18"/>
                <w:szCs w:val="18"/>
                <w:lang w:eastAsia="en-AU"/>
              </w:rPr>
            </w:pPr>
            <w:r w:rsidRPr="4F9F5C11">
              <w:rPr>
                <w:rFonts w:eastAsia="Times New Roman" w:cs="Calibri"/>
                <w:lang w:eastAsia="en-AU"/>
              </w:rPr>
              <w:t>  </w:t>
            </w:r>
          </w:p>
        </w:tc>
      </w:tr>
      <w:tr w:rsidR="00D65F4A" w:rsidRPr="007D68BA" w14:paraId="42C21B06" w14:textId="77777777" w:rsidTr="4F9F5C11">
        <w:tc>
          <w:tcPr>
            <w:cnfStyle w:val="001000000000" w:firstRow="0" w:lastRow="0" w:firstColumn="1" w:lastColumn="0" w:oddVBand="0" w:evenVBand="0" w:oddHBand="0" w:evenHBand="0" w:firstRowFirstColumn="0" w:firstRowLastColumn="0" w:lastRowFirstColumn="0" w:lastRowLastColumn="0"/>
            <w:tcW w:w="3270" w:type="dxa"/>
          </w:tcPr>
          <w:p w14:paraId="49D84844" w14:textId="4F1CE7DA" w:rsidR="00D65F4A" w:rsidRPr="4F9F5C11" w:rsidRDefault="00D65F4A" w:rsidP="00D65F4A">
            <w:pPr>
              <w:spacing w:after="0"/>
              <w:textAlignment w:val="baseline"/>
              <w:rPr>
                <w:rFonts w:eastAsia="Times New Roman" w:cs="Calibri"/>
                <w:lang w:eastAsia="en-AU"/>
              </w:rPr>
            </w:pPr>
            <w:r>
              <w:rPr>
                <w:rFonts w:eastAsia="Times New Roman" w:cs="Calibri"/>
                <w:lang w:eastAsia="en-AU"/>
              </w:rPr>
              <w:t>IID</w:t>
            </w:r>
          </w:p>
        </w:tc>
        <w:tc>
          <w:tcPr>
            <w:tcW w:w="5550" w:type="dxa"/>
          </w:tcPr>
          <w:p w14:paraId="09592E6D" w14:textId="22F78564" w:rsidR="00D65F4A" w:rsidRPr="4F9F5C11" w:rsidRDefault="00D65F4A" w:rsidP="00D65F4A">
            <w:pPr>
              <w:spacing w:after="0"/>
              <w:ind w:left="270"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r>
              <w:rPr>
                <w:rFonts w:eastAsia="Times New Roman" w:cs="Calibri"/>
                <w:lang w:eastAsia="en-AU"/>
              </w:rPr>
              <w:t xml:space="preserve">Infrastructure Investment Division </w:t>
            </w:r>
          </w:p>
        </w:tc>
        <w:tc>
          <w:tcPr>
            <w:tcW w:w="1005" w:type="dxa"/>
          </w:tcPr>
          <w:p w14:paraId="3D56B748" w14:textId="77777777" w:rsidR="00D65F4A" w:rsidRPr="4F9F5C11" w:rsidRDefault="00D65F4A" w:rsidP="00D65F4A">
            <w:pPr>
              <w:spacing w:after="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lang w:eastAsia="en-AU"/>
              </w:rPr>
            </w:pPr>
          </w:p>
        </w:tc>
      </w:tr>
      <w:tr w:rsidR="00D65F4A" w:rsidRPr="007D68BA" w14:paraId="7F09FC82" w14:textId="77777777" w:rsidTr="4F9F5C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hideMark/>
          </w:tcPr>
          <w:p w14:paraId="023E45DA" w14:textId="77777777" w:rsidR="00D65F4A" w:rsidRPr="007D68BA" w:rsidRDefault="00D65F4A" w:rsidP="00D65F4A">
            <w:pPr>
              <w:spacing w:after="0"/>
              <w:textAlignment w:val="baseline"/>
              <w:rPr>
                <w:rFonts w:ascii="Segoe UI" w:eastAsia="Times New Roman" w:hAnsi="Segoe UI" w:cs="Segoe UI"/>
                <w:sz w:val="18"/>
                <w:szCs w:val="18"/>
                <w:lang w:eastAsia="en-AU"/>
              </w:rPr>
            </w:pPr>
            <w:r w:rsidRPr="4F9F5C11">
              <w:rPr>
                <w:rFonts w:eastAsia="Times New Roman" w:cs="Calibri"/>
                <w:lang w:eastAsia="en-AU"/>
              </w:rPr>
              <w:t>IPL </w:t>
            </w:r>
          </w:p>
        </w:tc>
        <w:tc>
          <w:tcPr>
            <w:tcW w:w="5550" w:type="dxa"/>
            <w:hideMark/>
          </w:tcPr>
          <w:p w14:paraId="2A0A62EF" w14:textId="77777777" w:rsidR="00D65F4A" w:rsidRPr="007D68BA" w:rsidRDefault="00D65F4A" w:rsidP="00D65F4A">
            <w:pPr>
              <w:spacing w:after="0"/>
              <w:ind w:left="270" w:hanging="270"/>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 w:val="18"/>
                <w:szCs w:val="18"/>
                <w:lang w:eastAsia="en-AU"/>
              </w:rPr>
            </w:pPr>
            <w:r w:rsidRPr="4F9F5C11">
              <w:rPr>
                <w:rFonts w:eastAsia="Times New Roman" w:cs="Calibri"/>
                <w:lang w:eastAsia="en-AU"/>
              </w:rPr>
              <w:t>Infrastructure Priority List </w:t>
            </w:r>
          </w:p>
        </w:tc>
        <w:tc>
          <w:tcPr>
            <w:tcW w:w="1005" w:type="dxa"/>
            <w:hideMark/>
          </w:tcPr>
          <w:p w14:paraId="6B824124" w14:textId="77777777" w:rsidR="00D65F4A" w:rsidRPr="007D68BA" w:rsidRDefault="00D65F4A" w:rsidP="00D65F4A">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 w:val="18"/>
                <w:szCs w:val="18"/>
                <w:lang w:eastAsia="en-AU"/>
              </w:rPr>
            </w:pPr>
            <w:r w:rsidRPr="4F9F5C11">
              <w:rPr>
                <w:rFonts w:eastAsia="Times New Roman" w:cs="Calibri"/>
                <w:lang w:eastAsia="en-AU"/>
              </w:rPr>
              <w:t>  </w:t>
            </w:r>
          </w:p>
        </w:tc>
      </w:tr>
      <w:tr w:rsidR="00D65F4A" w:rsidRPr="007D68BA" w14:paraId="01E9665E" w14:textId="77777777" w:rsidTr="4F9F5C11">
        <w:tc>
          <w:tcPr>
            <w:cnfStyle w:val="001000000000" w:firstRow="0" w:lastRow="0" w:firstColumn="1" w:lastColumn="0" w:oddVBand="0" w:evenVBand="0" w:oddHBand="0" w:evenHBand="0" w:firstRowFirstColumn="0" w:firstRowLastColumn="0" w:lastRowFirstColumn="0" w:lastRowLastColumn="0"/>
            <w:tcW w:w="3270" w:type="dxa"/>
            <w:hideMark/>
          </w:tcPr>
          <w:p w14:paraId="3D28FFF0" w14:textId="77777777" w:rsidR="00D65F4A" w:rsidRPr="007D68BA" w:rsidRDefault="00D65F4A" w:rsidP="00D65F4A">
            <w:pPr>
              <w:spacing w:after="0"/>
              <w:textAlignment w:val="baseline"/>
              <w:rPr>
                <w:rFonts w:ascii="Segoe UI" w:eastAsia="Times New Roman" w:hAnsi="Segoe UI" w:cs="Segoe UI"/>
                <w:sz w:val="18"/>
                <w:szCs w:val="18"/>
                <w:lang w:eastAsia="en-AU"/>
              </w:rPr>
            </w:pPr>
            <w:r w:rsidRPr="4F9F5C11">
              <w:rPr>
                <w:rFonts w:eastAsia="Times New Roman" w:cs="Calibri"/>
                <w:lang w:eastAsia="en-AU"/>
              </w:rPr>
              <w:t>NAIF </w:t>
            </w:r>
          </w:p>
        </w:tc>
        <w:tc>
          <w:tcPr>
            <w:tcW w:w="5550" w:type="dxa"/>
            <w:hideMark/>
          </w:tcPr>
          <w:p w14:paraId="68EF65A3" w14:textId="77777777" w:rsidR="00D65F4A" w:rsidRPr="007D68BA" w:rsidRDefault="00D65F4A" w:rsidP="00D65F4A">
            <w:pPr>
              <w:spacing w:after="0"/>
              <w:ind w:left="270" w:hanging="27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AU"/>
              </w:rPr>
            </w:pPr>
            <w:r w:rsidRPr="4F9F5C11">
              <w:rPr>
                <w:rFonts w:eastAsia="Times New Roman" w:cs="Calibri"/>
                <w:lang w:eastAsia="en-AU"/>
              </w:rPr>
              <w:t>Northern Australia Infrastructure Facility </w:t>
            </w:r>
          </w:p>
        </w:tc>
        <w:tc>
          <w:tcPr>
            <w:tcW w:w="1005" w:type="dxa"/>
            <w:hideMark/>
          </w:tcPr>
          <w:p w14:paraId="431B1B0C" w14:textId="77777777" w:rsidR="00D65F4A" w:rsidRPr="007D68BA" w:rsidRDefault="00D65F4A" w:rsidP="00D65F4A">
            <w:pPr>
              <w:spacing w:after="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AU"/>
              </w:rPr>
            </w:pPr>
            <w:r w:rsidRPr="4F9F5C11">
              <w:rPr>
                <w:rFonts w:eastAsia="Times New Roman" w:cs="Calibri"/>
                <w:lang w:eastAsia="en-AU"/>
              </w:rPr>
              <w:t>  </w:t>
            </w:r>
          </w:p>
        </w:tc>
      </w:tr>
      <w:tr w:rsidR="00D65F4A" w:rsidRPr="007D68BA" w14:paraId="77045FC5" w14:textId="77777777" w:rsidTr="4F9F5C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tcPr>
          <w:p w14:paraId="648C7C6C" w14:textId="0E7569FD" w:rsidR="00D65F4A" w:rsidRPr="4F9F5C11" w:rsidRDefault="00D65F4A" w:rsidP="00D65F4A">
            <w:pPr>
              <w:spacing w:after="0"/>
              <w:textAlignment w:val="baseline"/>
              <w:rPr>
                <w:rFonts w:eastAsia="Times New Roman" w:cs="Calibri"/>
                <w:lang w:eastAsia="en-AU"/>
              </w:rPr>
            </w:pPr>
            <w:r>
              <w:rPr>
                <w:rFonts w:eastAsia="Times New Roman" w:cs="Calibri"/>
                <w:lang w:eastAsia="en-AU"/>
              </w:rPr>
              <w:t>OECD</w:t>
            </w:r>
          </w:p>
        </w:tc>
        <w:tc>
          <w:tcPr>
            <w:tcW w:w="5550" w:type="dxa"/>
          </w:tcPr>
          <w:p w14:paraId="7C8E31EB" w14:textId="586CDF01" w:rsidR="00D65F4A" w:rsidRPr="4F9F5C11" w:rsidRDefault="00D65F4A" w:rsidP="00D65F4A">
            <w:pPr>
              <w:spacing w:after="0"/>
              <w:ind w:left="270" w:hanging="270"/>
              <w:textAlignment w:val="baseline"/>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Pr>
                <w:rFonts w:eastAsia="Times New Roman" w:cs="Calibri"/>
                <w:lang w:eastAsia="en-AU"/>
              </w:rPr>
              <w:t>Organisation for Economic and Co-operative Development</w:t>
            </w:r>
          </w:p>
        </w:tc>
        <w:tc>
          <w:tcPr>
            <w:tcW w:w="1005" w:type="dxa"/>
          </w:tcPr>
          <w:p w14:paraId="761DF9C8" w14:textId="77777777" w:rsidR="00D65F4A" w:rsidRPr="4F9F5C11" w:rsidRDefault="00D65F4A" w:rsidP="00D65F4A">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p>
        </w:tc>
      </w:tr>
      <w:tr w:rsidR="00D65F4A" w:rsidRPr="007D68BA" w14:paraId="09006793" w14:textId="77777777" w:rsidTr="4F9F5C11">
        <w:tc>
          <w:tcPr>
            <w:cnfStyle w:val="001000000000" w:firstRow="0" w:lastRow="0" w:firstColumn="1" w:lastColumn="0" w:oddVBand="0" w:evenVBand="0" w:oddHBand="0" w:evenHBand="0" w:firstRowFirstColumn="0" w:firstRowLastColumn="0" w:lastRowFirstColumn="0" w:lastRowLastColumn="0"/>
            <w:tcW w:w="3270" w:type="dxa"/>
            <w:hideMark/>
          </w:tcPr>
          <w:p w14:paraId="7208D0CE" w14:textId="77777777" w:rsidR="00D65F4A" w:rsidRPr="007D68BA" w:rsidRDefault="00D65F4A" w:rsidP="00D65F4A">
            <w:pPr>
              <w:spacing w:after="0"/>
              <w:textAlignment w:val="baseline"/>
              <w:rPr>
                <w:rFonts w:ascii="Segoe UI" w:eastAsia="Times New Roman" w:hAnsi="Segoe UI" w:cs="Segoe UI"/>
                <w:sz w:val="18"/>
                <w:szCs w:val="18"/>
                <w:lang w:eastAsia="en-AU"/>
              </w:rPr>
            </w:pPr>
            <w:r w:rsidRPr="4F9F5C11">
              <w:rPr>
                <w:rFonts w:eastAsia="Times New Roman" w:cs="Calibri"/>
                <w:lang w:eastAsia="en-AU"/>
              </w:rPr>
              <w:t>PC </w:t>
            </w:r>
          </w:p>
        </w:tc>
        <w:tc>
          <w:tcPr>
            <w:tcW w:w="5550" w:type="dxa"/>
            <w:hideMark/>
          </w:tcPr>
          <w:p w14:paraId="573F5291" w14:textId="77777777" w:rsidR="00D65F4A" w:rsidRPr="007D68BA" w:rsidRDefault="00D65F4A" w:rsidP="00D65F4A">
            <w:pPr>
              <w:spacing w:after="0"/>
              <w:ind w:left="270" w:hanging="27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AU"/>
              </w:rPr>
            </w:pPr>
            <w:r w:rsidRPr="4F9F5C11">
              <w:rPr>
                <w:rFonts w:eastAsia="Times New Roman" w:cs="Calibri"/>
                <w:lang w:eastAsia="en-AU"/>
              </w:rPr>
              <w:t>Productivity Commission </w:t>
            </w:r>
          </w:p>
        </w:tc>
        <w:tc>
          <w:tcPr>
            <w:tcW w:w="1005" w:type="dxa"/>
            <w:hideMark/>
          </w:tcPr>
          <w:p w14:paraId="334F6C74" w14:textId="77777777" w:rsidR="00D65F4A" w:rsidRPr="007D68BA" w:rsidRDefault="00D65F4A" w:rsidP="00D65F4A">
            <w:pPr>
              <w:spacing w:after="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AU"/>
              </w:rPr>
            </w:pPr>
            <w:r w:rsidRPr="4F9F5C11">
              <w:rPr>
                <w:rFonts w:eastAsia="Times New Roman" w:cs="Calibri"/>
                <w:lang w:eastAsia="en-AU"/>
              </w:rPr>
              <w:t>  </w:t>
            </w:r>
          </w:p>
        </w:tc>
      </w:tr>
      <w:tr w:rsidR="00D65F4A" w:rsidRPr="007D68BA" w14:paraId="0349C18D" w14:textId="77777777" w:rsidTr="4F9F5C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hideMark/>
          </w:tcPr>
          <w:p w14:paraId="6F92262D" w14:textId="77777777" w:rsidR="00D65F4A" w:rsidRPr="00243F99" w:rsidRDefault="00D65F4A" w:rsidP="00D65F4A">
            <w:pPr>
              <w:spacing w:after="0"/>
              <w:ind w:left="270" w:hanging="270"/>
              <w:textAlignment w:val="baseline"/>
              <w:rPr>
                <w:rFonts w:eastAsia="Times New Roman" w:cs="Calibri"/>
                <w:lang w:eastAsia="en-AU"/>
              </w:rPr>
            </w:pPr>
            <w:r w:rsidRPr="4F9F5C11">
              <w:rPr>
                <w:rFonts w:eastAsia="Times New Roman" w:cs="Calibri"/>
                <w:lang w:eastAsia="en-AU"/>
              </w:rPr>
              <w:t>PCR </w:t>
            </w:r>
          </w:p>
        </w:tc>
        <w:tc>
          <w:tcPr>
            <w:tcW w:w="5550" w:type="dxa"/>
            <w:hideMark/>
          </w:tcPr>
          <w:p w14:paraId="54CF79E4" w14:textId="77777777" w:rsidR="00D65F4A" w:rsidRPr="00243F99" w:rsidRDefault="00D65F4A" w:rsidP="00D65F4A">
            <w:pPr>
              <w:spacing w:after="0"/>
              <w:ind w:left="270" w:hanging="270"/>
              <w:textAlignment w:val="baseline"/>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sidRPr="4F9F5C11">
              <w:rPr>
                <w:rFonts w:eastAsia="Times New Roman" w:cs="Calibri"/>
                <w:lang w:eastAsia="en-AU"/>
              </w:rPr>
              <w:t>Post Completion Review </w:t>
            </w:r>
          </w:p>
        </w:tc>
        <w:tc>
          <w:tcPr>
            <w:tcW w:w="1005" w:type="dxa"/>
            <w:hideMark/>
          </w:tcPr>
          <w:p w14:paraId="36840F3F" w14:textId="77777777" w:rsidR="00D65F4A" w:rsidRPr="007D68BA" w:rsidRDefault="00D65F4A" w:rsidP="00D65F4A">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 w:val="18"/>
                <w:szCs w:val="18"/>
                <w:lang w:eastAsia="en-AU"/>
              </w:rPr>
            </w:pPr>
            <w:r w:rsidRPr="4F9F5C11">
              <w:rPr>
                <w:rFonts w:eastAsia="Times New Roman" w:cs="Calibri"/>
                <w:lang w:eastAsia="en-AU"/>
              </w:rPr>
              <w:t> </w:t>
            </w:r>
          </w:p>
        </w:tc>
      </w:tr>
      <w:tr w:rsidR="00D65F4A" w:rsidRPr="007D68BA" w14:paraId="549B69AA" w14:textId="77777777" w:rsidTr="4F9F5C11">
        <w:tc>
          <w:tcPr>
            <w:cnfStyle w:val="001000000000" w:firstRow="0" w:lastRow="0" w:firstColumn="1" w:lastColumn="0" w:oddVBand="0" w:evenVBand="0" w:oddHBand="0" w:evenHBand="0" w:firstRowFirstColumn="0" w:firstRowLastColumn="0" w:lastRowFirstColumn="0" w:lastRowLastColumn="0"/>
            <w:tcW w:w="3270" w:type="dxa"/>
            <w:hideMark/>
          </w:tcPr>
          <w:p w14:paraId="3F92F3A6" w14:textId="77777777" w:rsidR="00D65F4A" w:rsidRPr="007D68BA" w:rsidRDefault="00D65F4A" w:rsidP="00D65F4A">
            <w:pPr>
              <w:spacing w:after="0"/>
              <w:textAlignment w:val="baseline"/>
              <w:rPr>
                <w:rFonts w:ascii="Segoe UI" w:eastAsia="Times New Roman" w:hAnsi="Segoe UI" w:cs="Segoe UI"/>
                <w:sz w:val="18"/>
                <w:szCs w:val="18"/>
                <w:lang w:eastAsia="en-AU"/>
              </w:rPr>
            </w:pPr>
            <w:r w:rsidRPr="4F9F5C11">
              <w:rPr>
                <w:rFonts w:eastAsia="Times New Roman" w:cs="Calibri"/>
                <w:lang w:eastAsia="en-AU"/>
              </w:rPr>
              <w:t>PM&amp;C </w:t>
            </w:r>
          </w:p>
        </w:tc>
        <w:tc>
          <w:tcPr>
            <w:tcW w:w="5550" w:type="dxa"/>
            <w:hideMark/>
          </w:tcPr>
          <w:p w14:paraId="0399EE58" w14:textId="77777777" w:rsidR="00D65F4A" w:rsidRPr="007D68BA" w:rsidRDefault="00D65F4A" w:rsidP="00D65F4A">
            <w:pPr>
              <w:spacing w:after="0"/>
              <w:ind w:left="270" w:hanging="27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AU"/>
              </w:rPr>
            </w:pPr>
            <w:r w:rsidRPr="4F9F5C11">
              <w:rPr>
                <w:rFonts w:eastAsia="Times New Roman" w:cs="Calibri"/>
                <w:lang w:eastAsia="en-AU"/>
              </w:rPr>
              <w:t>Department of the Prime Minister and Cabinet </w:t>
            </w:r>
          </w:p>
        </w:tc>
        <w:tc>
          <w:tcPr>
            <w:tcW w:w="1005" w:type="dxa"/>
            <w:hideMark/>
          </w:tcPr>
          <w:p w14:paraId="43595194" w14:textId="77777777" w:rsidR="00D65F4A" w:rsidRPr="007D68BA" w:rsidRDefault="00D65F4A" w:rsidP="00D65F4A">
            <w:pPr>
              <w:spacing w:after="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AU"/>
              </w:rPr>
            </w:pPr>
            <w:r w:rsidRPr="4F9F5C11">
              <w:rPr>
                <w:rFonts w:eastAsia="Times New Roman" w:cs="Calibri"/>
                <w:lang w:eastAsia="en-AU"/>
              </w:rPr>
              <w:t>  </w:t>
            </w:r>
          </w:p>
        </w:tc>
      </w:tr>
      <w:tr w:rsidR="00D65F4A" w:rsidRPr="007D68BA" w14:paraId="604E0A5E" w14:textId="77777777" w:rsidTr="4F9F5C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hideMark/>
          </w:tcPr>
          <w:p w14:paraId="693182DC" w14:textId="77777777" w:rsidR="00D65F4A" w:rsidRPr="007D68BA" w:rsidRDefault="00D65F4A" w:rsidP="00D65F4A">
            <w:pPr>
              <w:spacing w:after="0"/>
              <w:textAlignment w:val="baseline"/>
              <w:rPr>
                <w:rFonts w:ascii="Segoe UI" w:eastAsia="Times New Roman" w:hAnsi="Segoe UI" w:cs="Segoe UI"/>
                <w:sz w:val="18"/>
                <w:szCs w:val="18"/>
                <w:lang w:eastAsia="en-AU"/>
              </w:rPr>
            </w:pPr>
            <w:r w:rsidRPr="4F9F5C11">
              <w:rPr>
                <w:rFonts w:eastAsia="Times New Roman" w:cs="Calibri"/>
                <w:lang w:eastAsia="en-AU"/>
              </w:rPr>
              <w:t>RDA </w:t>
            </w:r>
          </w:p>
        </w:tc>
        <w:tc>
          <w:tcPr>
            <w:tcW w:w="5550" w:type="dxa"/>
            <w:hideMark/>
          </w:tcPr>
          <w:p w14:paraId="2B76258A" w14:textId="77777777" w:rsidR="00D65F4A" w:rsidRPr="007D68BA" w:rsidRDefault="00D65F4A" w:rsidP="00D65F4A">
            <w:pPr>
              <w:spacing w:after="0"/>
              <w:ind w:left="270" w:hanging="270"/>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 w:val="18"/>
                <w:szCs w:val="18"/>
                <w:lang w:eastAsia="en-AU"/>
              </w:rPr>
            </w:pPr>
            <w:r w:rsidRPr="4F9F5C11">
              <w:rPr>
                <w:rFonts w:eastAsia="Times New Roman" w:cs="Calibri"/>
                <w:lang w:eastAsia="en-AU"/>
              </w:rPr>
              <w:t>Regional Development Australia </w:t>
            </w:r>
          </w:p>
        </w:tc>
        <w:tc>
          <w:tcPr>
            <w:tcW w:w="1005" w:type="dxa"/>
            <w:hideMark/>
          </w:tcPr>
          <w:p w14:paraId="6E8ADD05" w14:textId="77777777" w:rsidR="00D65F4A" w:rsidRPr="007D68BA" w:rsidRDefault="00D65F4A" w:rsidP="00D65F4A">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 w:val="18"/>
                <w:szCs w:val="18"/>
                <w:lang w:eastAsia="en-AU"/>
              </w:rPr>
            </w:pPr>
            <w:r w:rsidRPr="4F9F5C11">
              <w:rPr>
                <w:rFonts w:eastAsia="Times New Roman" w:cs="Calibri"/>
                <w:lang w:eastAsia="en-AU"/>
              </w:rPr>
              <w:t>  </w:t>
            </w:r>
          </w:p>
        </w:tc>
      </w:tr>
      <w:tr w:rsidR="00D65F4A" w:rsidRPr="007D68BA" w14:paraId="3B6623A0" w14:textId="77777777" w:rsidTr="4F9F5C11">
        <w:tc>
          <w:tcPr>
            <w:cnfStyle w:val="001000000000" w:firstRow="0" w:lastRow="0" w:firstColumn="1" w:lastColumn="0" w:oddVBand="0" w:evenVBand="0" w:oddHBand="0" w:evenHBand="0" w:firstRowFirstColumn="0" w:firstRowLastColumn="0" w:lastRowFirstColumn="0" w:lastRowLastColumn="0"/>
            <w:tcW w:w="3270" w:type="dxa"/>
            <w:hideMark/>
          </w:tcPr>
          <w:p w14:paraId="2CF0943D" w14:textId="77777777" w:rsidR="00D65F4A" w:rsidRPr="007D68BA" w:rsidRDefault="00D65F4A" w:rsidP="00D65F4A">
            <w:pPr>
              <w:spacing w:after="0"/>
              <w:textAlignment w:val="baseline"/>
              <w:rPr>
                <w:rFonts w:ascii="Segoe UI" w:eastAsia="Times New Roman" w:hAnsi="Segoe UI" w:cs="Segoe UI"/>
                <w:sz w:val="18"/>
                <w:szCs w:val="18"/>
                <w:lang w:eastAsia="en-AU"/>
              </w:rPr>
            </w:pPr>
            <w:proofErr w:type="spellStart"/>
            <w:r w:rsidRPr="4F9F5C11">
              <w:rPr>
                <w:rFonts w:eastAsia="Times New Roman" w:cs="Calibri"/>
                <w:lang w:eastAsia="en-AU"/>
              </w:rPr>
              <w:t>SoE</w:t>
            </w:r>
            <w:proofErr w:type="spellEnd"/>
            <w:r w:rsidRPr="4F9F5C11">
              <w:rPr>
                <w:rFonts w:eastAsia="Times New Roman" w:cs="Calibri"/>
                <w:lang w:eastAsia="en-AU"/>
              </w:rPr>
              <w:t> </w:t>
            </w:r>
          </w:p>
        </w:tc>
        <w:tc>
          <w:tcPr>
            <w:tcW w:w="5550" w:type="dxa"/>
            <w:hideMark/>
          </w:tcPr>
          <w:p w14:paraId="2473A4B4" w14:textId="77777777" w:rsidR="00D65F4A" w:rsidRPr="007D68BA" w:rsidRDefault="00D65F4A" w:rsidP="00D65F4A">
            <w:pPr>
              <w:spacing w:after="0"/>
              <w:ind w:left="270" w:hanging="27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AU"/>
              </w:rPr>
            </w:pPr>
            <w:r w:rsidRPr="4F9F5C11">
              <w:rPr>
                <w:rFonts w:eastAsia="Times New Roman" w:cs="Calibri"/>
                <w:lang w:eastAsia="en-AU"/>
              </w:rPr>
              <w:t>Statement of Expectations </w:t>
            </w:r>
          </w:p>
        </w:tc>
        <w:tc>
          <w:tcPr>
            <w:tcW w:w="1005" w:type="dxa"/>
            <w:hideMark/>
          </w:tcPr>
          <w:p w14:paraId="03825E3E" w14:textId="77777777" w:rsidR="00D65F4A" w:rsidRPr="007D68BA" w:rsidRDefault="00D65F4A" w:rsidP="00D65F4A">
            <w:pPr>
              <w:spacing w:after="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AU"/>
              </w:rPr>
            </w:pPr>
            <w:r w:rsidRPr="4F9F5C11">
              <w:rPr>
                <w:rFonts w:eastAsia="Times New Roman" w:cs="Calibri"/>
                <w:lang w:eastAsia="en-AU"/>
              </w:rPr>
              <w:t>  </w:t>
            </w:r>
          </w:p>
        </w:tc>
      </w:tr>
      <w:tr w:rsidR="00D65F4A" w:rsidRPr="007D68BA" w14:paraId="160F7DDB" w14:textId="77777777" w:rsidTr="4F9F5C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hideMark/>
          </w:tcPr>
          <w:p w14:paraId="58718651" w14:textId="77777777" w:rsidR="00D65F4A" w:rsidRPr="007D68BA" w:rsidRDefault="00D65F4A" w:rsidP="00D65F4A">
            <w:pPr>
              <w:spacing w:after="0"/>
              <w:textAlignment w:val="baseline"/>
              <w:rPr>
                <w:rFonts w:ascii="Segoe UI" w:eastAsia="Times New Roman" w:hAnsi="Segoe UI" w:cs="Segoe UI"/>
                <w:sz w:val="18"/>
                <w:szCs w:val="18"/>
                <w:lang w:eastAsia="en-AU"/>
              </w:rPr>
            </w:pPr>
            <w:r w:rsidRPr="4F9F5C11">
              <w:rPr>
                <w:rFonts w:eastAsia="Times New Roman" w:cs="Calibri"/>
                <w:lang w:eastAsia="en-AU"/>
              </w:rPr>
              <w:t>SPIDO </w:t>
            </w:r>
          </w:p>
        </w:tc>
        <w:tc>
          <w:tcPr>
            <w:tcW w:w="5550" w:type="dxa"/>
            <w:hideMark/>
          </w:tcPr>
          <w:p w14:paraId="163ABF6C" w14:textId="77777777" w:rsidR="00D65F4A" w:rsidRPr="007D68BA" w:rsidRDefault="00D65F4A" w:rsidP="00D65F4A">
            <w:pPr>
              <w:spacing w:after="0"/>
              <w:ind w:left="270" w:hanging="270"/>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 w:val="18"/>
                <w:szCs w:val="18"/>
                <w:lang w:eastAsia="en-AU"/>
              </w:rPr>
            </w:pPr>
            <w:r w:rsidRPr="4F9F5C11">
              <w:rPr>
                <w:rFonts w:eastAsia="Times New Roman" w:cs="Calibri"/>
                <w:lang w:eastAsia="en-AU"/>
              </w:rPr>
              <w:t>Significant Projects Investment Delivery Office </w:t>
            </w:r>
          </w:p>
        </w:tc>
        <w:tc>
          <w:tcPr>
            <w:tcW w:w="1005" w:type="dxa"/>
            <w:hideMark/>
          </w:tcPr>
          <w:p w14:paraId="66CE5E96" w14:textId="77777777" w:rsidR="00D65F4A" w:rsidRPr="007D68BA" w:rsidRDefault="00D65F4A" w:rsidP="00D65F4A">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 w:val="18"/>
                <w:szCs w:val="18"/>
                <w:lang w:eastAsia="en-AU"/>
              </w:rPr>
            </w:pPr>
            <w:r w:rsidRPr="4F9F5C11">
              <w:rPr>
                <w:rFonts w:eastAsia="Times New Roman" w:cs="Calibri"/>
                <w:lang w:eastAsia="en-AU"/>
              </w:rPr>
              <w:t>  </w:t>
            </w:r>
          </w:p>
        </w:tc>
      </w:tr>
      <w:tr w:rsidR="00D65F4A" w:rsidRPr="007D68BA" w14:paraId="6D748B62" w14:textId="77777777" w:rsidTr="4F9F5C11">
        <w:tc>
          <w:tcPr>
            <w:cnfStyle w:val="001000000000" w:firstRow="0" w:lastRow="0" w:firstColumn="1" w:lastColumn="0" w:oddVBand="0" w:evenVBand="0" w:oddHBand="0" w:evenHBand="0" w:firstRowFirstColumn="0" w:firstRowLastColumn="0" w:lastRowFirstColumn="0" w:lastRowLastColumn="0"/>
            <w:tcW w:w="3270" w:type="dxa"/>
            <w:hideMark/>
          </w:tcPr>
          <w:p w14:paraId="513CA3C9" w14:textId="77777777" w:rsidR="00D65F4A" w:rsidRPr="007D68BA" w:rsidRDefault="00D65F4A" w:rsidP="00D65F4A">
            <w:pPr>
              <w:spacing w:after="0"/>
              <w:textAlignment w:val="baseline"/>
              <w:rPr>
                <w:rFonts w:ascii="Segoe UI" w:eastAsia="Times New Roman" w:hAnsi="Segoe UI" w:cs="Segoe UI"/>
                <w:sz w:val="18"/>
                <w:szCs w:val="18"/>
                <w:lang w:eastAsia="en-AU"/>
              </w:rPr>
            </w:pPr>
            <w:r w:rsidRPr="4F9F5C11">
              <w:rPr>
                <w:rFonts w:eastAsia="Times New Roman" w:cs="Calibri"/>
                <w:lang w:eastAsia="en-AU"/>
              </w:rPr>
              <w:t>UK IPA </w:t>
            </w:r>
          </w:p>
        </w:tc>
        <w:tc>
          <w:tcPr>
            <w:tcW w:w="5550" w:type="dxa"/>
            <w:hideMark/>
          </w:tcPr>
          <w:p w14:paraId="1E644285" w14:textId="77777777" w:rsidR="00D65F4A" w:rsidRPr="007D68BA" w:rsidRDefault="00D65F4A" w:rsidP="00D65F4A">
            <w:pPr>
              <w:spacing w:after="0"/>
              <w:ind w:left="270" w:hanging="27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AU"/>
              </w:rPr>
            </w:pPr>
            <w:r w:rsidRPr="4F9F5C11">
              <w:rPr>
                <w:rFonts w:eastAsia="Times New Roman" w:cs="Calibri"/>
                <w:lang w:eastAsia="en-AU"/>
              </w:rPr>
              <w:t>United Kingdom Infrastructure and Projects Authority </w:t>
            </w:r>
          </w:p>
        </w:tc>
        <w:tc>
          <w:tcPr>
            <w:tcW w:w="1005" w:type="dxa"/>
            <w:hideMark/>
          </w:tcPr>
          <w:p w14:paraId="07589C65" w14:textId="77777777" w:rsidR="00D65F4A" w:rsidRPr="007D68BA" w:rsidRDefault="00D65F4A" w:rsidP="00D65F4A">
            <w:pPr>
              <w:spacing w:after="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AU"/>
              </w:rPr>
            </w:pPr>
            <w:r w:rsidRPr="4F9F5C11">
              <w:rPr>
                <w:rFonts w:eastAsia="Times New Roman" w:cs="Calibri"/>
                <w:lang w:eastAsia="en-AU"/>
              </w:rPr>
              <w:t> </w:t>
            </w:r>
          </w:p>
        </w:tc>
      </w:tr>
      <w:tr w:rsidR="00D65F4A" w:rsidRPr="007D68BA" w14:paraId="6CD921E3" w14:textId="77777777" w:rsidTr="4F9F5C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tcPr>
          <w:p w14:paraId="58E5CF7D" w14:textId="63660CD7" w:rsidR="00D65F4A" w:rsidRPr="4F9F5C11" w:rsidRDefault="00D65F4A" w:rsidP="00D65F4A">
            <w:pPr>
              <w:spacing w:after="0"/>
              <w:textAlignment w:val="baseline"/>
              <w:rPr>
                <w:rFonts w:eastAsia="Times New Roman" w:cs="Calibri"/>
                <w:lang w:eastAsia="en-AU"/>
              </w:rPr>
            </w:pPr>
            <w:r>
              <w:rPr>
                <w:rFonts w:eastAsia="Times New Roman" w:cs="Calibri"/>
                <w:lang w:eastAsia="en-AU"/>
              </w:rPr>
              <w:t>UK NIC</w:t>
            </w:r>
          </w:p>
        </w:tc>
        <w:tc>
          <w:tcPr>
            <w:tcW w:w="5550" w:type="dxa"/>
          </w:tcPr>
          <w:p w14:paraId="0355C7BB" w14:textId="5CC49688" w:rsidR="00D65F4A" w:rsidRPr="4F9F5C11" w:rsidRDefault="00D65F4A" w:rsidP="00D65F4A">
            <w:pPr>
              <w:spacing w:after="0"/>
              <w:ind w:left="270" w:hanging="270"/>
              <w:textAlignment w:val="baseline"/>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r>
              <w:rPr>
                <w:rFonts w:eastAsia="Times New Roman" w:cs="Calibri"/>
                <w:lang w:eastAsia="en-AU"/>
              </w:rPr>
              <w:t>United Kingdom National Infrastructure Commission</w:t>
            </w:r>
          </w:p>
        </w:tc>
        <w:tc>
          <w:tcPr>
            <w:tcW w:w="1005" w:type="dxa"/>
          </w:tcPr>
          <w:p w14:paraId="0CDBF1D5" w14:textId="77777777" w:rsidR="00D65F4A" w:rsidRPr="4F9F5C11" w:rsidRDefault="00D65F4A" w:rsidP="00D65F4A">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eastAsia="Times New Roman" w:cs="Calibri"/>
                <w:lang w:eastAsia="en-AU"/>
              </w:rPr>
            </w:pPr>
          </w:p>
        </w:tc>
      </w:tr>
    </w:tbl>
    <w:p w14:paraId="7491B300" w14:textId="77777777" w:rsidR="00CF2B75" w:rsidRPr="00C27CDB" w:rsidRDefault="00CF2B75" w:rsidP="4F9F5C11">
      <w:pPr>
        <w:rPr>
          <w:rFonts w:asciiTheme="minorHAnsi" w:hAnsiTheme="minorHAnsi"/>
          <w:color w:val="000000" w:themeColor="text1"/>
        </w:rPr>
      </w:pPr>
    </w:p>
    <w:p w14:paraId="148CF260" w14:textId="77777777" w:rsidR="00CF2B75" w:rsidRPr="000F7862" w:rsidRDefault="00CF2B75" w:rsidP="000F7862">
      <w:r w:rsidRPr="000F7862">
        <w:br w:type="page"/>
      </w:r>
    </w:p>
    <w:p w14:paraId="7E3B0B96" w14:textId="6F141D83" w:rsidR="00BB3D46" w:rsidRPr="00297AC4" w:rsidRDefault="798A3BB9" w:rsidP="4F9F5C11">
      <w:pPr>
        <w:pStyle w:val="Heading2"/>
        <w:rPr>
          <w:i/>
          <w:iCs/>
        </w:rPr>
      </w:pPr>
      <w:bookmarkStart w:id="4" w:name="_Toc115379951"/>
      <w:bookmarkStart w:id="5" w:name="_Hlk115184494"/>
      <w:bookmarkStart w:id="6" w:name="_Toc124783591"/>
      <w:r>
        <w:lastRenderedPageBreak/>
        <w:t>Executive summary, findings and recommendations</w:t>
      </w:r>
      <w:bookmarkEnd w:id="4"/>
      <w:bookmarkEnd w:id="6"/>
    </w:p>
    <w:p w14:paraId="3A387AF8" w14:textId="05BBDF66" w:rsidR="00CF2B75" w:rsidRDefault="3C2A6A94" w:rsidP="00CF2B75">
      <w:pPr>
        <w:pStyle w:val="Heading3"/>
      </w:pPr>
      <w:bookmarkStart w:id="7" w:name="_Toc115379952"/>
      <w:bookmarkStart w:id="8" w:name="_Toc124783592"/>
      <w:bookmarkEnd w:id="5"/>
      <w:r>
        <w:t>Executive summary</w:t>
      </w:r>
      <w:bookmarkEnd w:id="7"/>
      <w:bookmarkEnd w:id="8"/>
    </w:p>
    <w:p w14:paraId="5A6BAFDA" w14:textId="6BA176DF" w:rsidR="00243F99" w:rsidRDefault="717BA4D1" w:rsidP="00243F99">
      <w:pPr>
        <w:spacing w:before="160" w:after="80"/>
        <w:rPr>
          <w:rStyle w:val="normaltextrun"/>
          <w:rFonts w:cs="Calibri"/>
          <w:color w:val="000000" w:themeColor="text1"/>
          <w:lang w:val="en-US"/>
        </w:rPr>
      </w:pPr>
      <w:r w:rsidRPr="36918AFB">
        <w:rPr>
          <w:rStyle w:val="normaltextrun"/>
          <w:rFonts w:cs="Calibri"/>
          <w:color w:val="000000" w:themeColor="text1"/>
          <w:lang w:val="en-US"/>
        </w:rPr>
        <w:t>On 22 July 2022, the Australian Government announced an independent review of Infrastructure Australia (the Review).</w:t>
      </w:r>
      <w:r w:rsidR="001A47AD" w:rsidRPr="36918AFB">
        <w:rPr>
          <w:rStyle w:val="FootnoteReference"/>
          <w:rFonts w:cs="Calibri"/>
          <w:color w:val="000000" w:themeColor="text1"/>
          <w:sz w:val="17"/>
          <w:szCs w:val="17"/>
          <w:lang w:val="en-US"/>
        </w:rPr>
        <w:footnoteReference w:id="1"/>
      </w:r>
      <w:r w:rsidRPr="36918AFB">
        <w:rPr>
          <w:rStyle w:val="normaltextrun"/>
          <w:rFonts w:cs="Calibri"/>
          <w:color w:val="000000" w:themeColor="text1"/>
          <w:lang w:val="en-US"/>
        </w:rPr>
        <w:t xml:space="preserve"> The Review was commissioned to consider Infrastructure Australia’s role as an independent advis</w:t>
      </w:r>
      <w:r w:rsidR="5046EC29" w:rsidRPr="36918AFB">
        <w:rPr>
          <w:rStyle w:val="normaltextrun"/>
          <w:rFonts w:cs="Calibri"/>
          <w:color w:val="000000" w:themeColor="text1"/>
          <w:lang w:val="en-US"/>
        </w:rPr>
        <w:t>o</w:t>
      </w:r>
      <w:r w:rsidRPr="36918AFB">
        <w:rPr>
          <w:rStyle w:val="normaltextrun"/>
          <w:rFonts w:cs="Calibri"/>
          <w:color w:val="000000" w:themeColor="text1"/>
          <w:lang w:val="en-US"/>
        </w:rPr>
        <w:t>r to the Australian Government on nationally significant infrastructure priorities and advise on what changes may be needed to enhance Infrastructure Australia’s focus, priorities and, if necessary, legislation. The purpose of the Review is to ensure Infrastructure Australia is positioned to achieve its core purpose – to provide quality, independent cross sectoral advice to the Australian Government on nationally significant infrastructure that supports the economy, builds the nation and addresses the challenges and opportunities of the future.</w:t>
      </w:r>
    </w:p>
    <w:p w14:paraId="4DCF851D" w14:textId="0037AAC9" w:rsidR="7BFA3D31" w:rsidRDefault="1C47926A" w:rsidP="00243F99">
      <w:pPr>
        <w:spacing w:before="160" w:after="80"/>
        <w:rPr>
          <w:rStyle w:val="normaltextrun"/>
          <w:rFonts w:cs="Calibri"/>
          <w:color w:val="000000" w:themeColor="text1"/>
          <w:lang w:val="en-US"/>
        </w:rPr>
      </w:pPr>
      <w:r w:rsidRPr="4F9F5C11">
        <w:rPr>
          <w:rStyle w:val="normaltextrun"/>
          <w:rFonts w:cs="Calibri"/>
          <w:color w:val="000000" w:themeColor="text1"/>
          <w:lang w:val="en-US"/>
        </w:rPr>
        <w:t>The formation of I</w:t>
      </w:r>
      <w:r w:rsidR="61D83B2D" w:rsidRPr="4F9F5C11">
        <w:rPr>
          <w:rStyle w:val="normaltextrun"/>
          <w:rFonts w:cs="Calibri"/>
          <w:color w:val="000000" w:themeColor="text1"/>
          <w:lang w:val="en-US"/>
        </w:rPr>
        <w:t xml:space="preserve">nfrastructure </w:t>
      </w:r>
      <w:r w:rsidRPr="4F9F5C11">
        <w:rPr>
          <w:rStyle w:val="normaltextrun"/>
          <w:rFonts w:cs="Calibri"/>
          <w:color w:val="000000" w:themeColor="text1"/>
          <w:lang w:val="en-US"/>
        </w:rPr>
        <w:t>A</w:t>
      </w:r>
      <w:r w:rsidR="3ACD6DD4" w:rsidRPr="4F9F5C11">
        <w:rPr>
          <w:rStyle w:val="normaltextrun"/>
          <w:rFonts w:cs="Calibri"/>
          <w:color w:val="000000" w:themeColor="text1"/>
          <w:lang w:val="en-US"/>
        </w:rPr>
        <w:t>ustralia</w:t>
      </w:r>
      <w:r w:rsidRPr="4F9F5C11">
        <w:rPr>
          <w:rStyle w:val="normaltextrun"/>
          <w:rFonts w:cs="Calibri"/>
          <w:color w:val="000000" w:themeColor="text1"/>
          <w:lang w:val="en-US"/>
        </w:rPr>
        <w:t xml:space="preserve"> in 2008 was a significant nation</w:t>
      </w:r>
      <w:r w:rsidR="1C678047" w:rsidRPr="4F9F5C11">
        <w:rPr>
          <w:rStyle w:val="normaltextrun"/>
          <w:rFonts w:cs="Calibri"/>
          <w:color w:val="000000" w:themeColor="text1"/>
          <w:lang w:val="en-US"/>
        </w:rPr>
        <w:t>al</w:t>
      </w:r>
      <w:r w:rsidRPr="4F9F5C11">
        <w:rPr>
          <w:rStyle w:val="normaltextrun"/>
          <w:rFonts w:cs="Calibri"/>
          <w:color w:val="000000" w:themeColor="text1"/>
          <w:lang w:val="en-US"/>
        </w:rPr>
        <w:t xml:space="preserve"> investment reform which</w:t>
      </w:r>
      <w:r w:rsidR="12F14A5C" w:rsidRPr="4F9F5C11">
        <w:rPr>
          <w:rStyle w:val="normaltextrun"/>
          <w:rFonts w:cs="Calibri"/>
          <w:color w:val="000000" w:themeColor="text1"/>
          <w:lang w:val="en-US"/>
        </w:rPr>
        <w:t>,</w:t>
      </w:r>
      <w:r w:rsidRPr="4F9F5C11">
        <w:rPr>
          <w:rStyle w:val="normaltextrun"/>
          <w:rFonts w:cs="Calibri"/>
          <w:color w:val="000000" w:themeColor="text1"/>
          <w:lang w:val="en-US"/>
        </w:rPr>
        <w:t xml:space="preserve"> in combination with successive </w:t>
      </w:r>
      <w:r w:rsidR="7C8B7B74" w:rsidRPr="4F9F5C11">
        <w:rPr>
          <w:rStyle w:val="normaltextrun"/>
          <w:rFonts w:cs="Calibri"/>
          <w:color w:val="000000" w:themeColor="text1"/>
          <w:lang w:val="en-US"/>
        </w:rPr>
        <w:t xml:space="preserve">Australian </w:t>
      </w:r>
      <w:r w:rsidRPr="4F9F5C11">
        <w:rPr>
          <w:rStyle w:val="normaltextrun"/>
          <w:rFonts w:cs="Calibri"/>
          <w:color w:val="000000" w:themeColor="text1"/>
          <w:lang w:val="en-US"/>
        </w:rPr>
        <w:t>Governments</w:t>
      </w:r>
      <w:r w:rsidR="2DF4CFFD" w:rsidRPr="4F9F5C11">
        <w:rPr>
          <w:rStyle w:val="normaltextrun"/>
          <w:rFonts w:cs="Calibri"/>
          <w:color w:val="000000" w:themeColor="text1"/>
          <w:lang w:val="en-US"/>
        </w:rPr>
        <w:t>’</w:t>
      </w:r>
      <w:r w:rsidRPr="4F9F5C11">
        <w:rPr>
          <w:rStyle w:val="normaltextrun"/>
          <w:rFonts w:cs="Calibri"/>
          <w:color w:val="000000" w:themeColor="text1"/>
          <w:lang w:val="en-US"/>
        </w:rPr>
        <w:t xml:space="preserve"> </w:t>
      </w:r>
      <w:r w:rsidR="737CAC5F" w:rsidRPr="4F9F5C11">
        <w:rPr>
          <w:rStyle w:val="normaltextrun"/>
          <w:rFonts w:cs="Calibri"/>
          <w:color w:val="000000" w:themeColor="text1"/>
          <w:lang w:val="en-US"/>
        </w:rPr>
        <w:t xml:space="preserve">investment </w:t>
      </w:r>
      <w:r w:rsidR="2A60CF2F" w:rsidRPr="4F9F5C11">
        <w:rPr>
          <w:rStyle w:val="normaltextrun"/>
          <w:rFonts w:cs="Calibri"/>
          <w:color w:val="000000" w:themeColor="text1"/>
          <w:lang w:val="en-US"/>
        </w:rPr>
        <w:t>strategies</w:t>
      </w:r>
      <w:r w:rsidR="0779EBE9" w:rsidRPr="4F9F5C11">
        <w:rPr>
          <w:rStyle w:val="normaltextrun"/>
          <w:rFonts w:cs="Calibri"/>
          <w:color w:val="000000" w:themeColor="text1"/>
          <w:lang w:val="en-US"/>
        </w:rPr>
        <w:t>,</w:t>
      </w:r>
      <w:r w:rsidR="2A60CF2F" w:rsidRPr="4F9F5C11">
        <w:rPr>
          <w:rStyle w:val="normaltextrun"/>
          <w:rFonts w:cs="Calibri"/>
          <w:color w:val="000000" w:themeColor="text1"/>
          <w:lang w:val="en-US"/>
        </w:rPr>
        <w:t xml:space="preserve"> has seen a significant </w:t>
      </w:r>
      <w:r w:rsidR="021549BB" w:rsidRPr="4F9F5C11">
        <w:rPr>
          <w:rStyle w:val="normaltextrun"/>
          <w:rFonts w:cs="Calibri"/>
          <w:color w:val="000000" w:themeColor="text1"/>
          <w:lang w:val="en-US"/>
        </w:rPr>
        <w:t xml:space="preserve">improvement </w:t>
      </w:r>
      <w:r w:rsidR="2A60CF2F" w:rsidRPr="4F9F5C11">
        <w:rPr>
          <w:rStyle w:val="normaltextrun"/>
          <w:rFonts w:cs="Calibri"/>
          <w:color w:val="000000" w:themeColor="text1"/>
          <w:lang w:val="en-US"/>
        </w:rPr>
        <w:t>in Australia’s national planning and investment assessment processes. The I</w:t>
      </w:r>
      <w:r w:rsidR="3AA53101" w:rsidRPr="4F9F5C11">
        <w:rPr>
          <w:rStyle w:val="normaltextrun"/>
          <w:rFonts w:cs="Calibri"/>
          <w:color w:val="000000" w:themeColor="text1"/>
          <w:lang w:val="en-US"/>
        </w:rPr>
        <w:t xml:space="preserve">nfrastructure </w:t>
      </w:r>
      <w:r w:rsidR="2A60CF2F" w:rsidRPr="4F9F5C11">
        <w:rPr>
          <w:rStyle w:val="normaltextrun"/>
          <w:rFonts w:cs="Calibri"/>
          <w:color w:val="000000" w:themeColor="text1"/>
          <w:lang w:val="en-US"/>
        </w:rPr>
        <w:t>A</w:t>
      </w:r>
      <w:r w:rsidR="72C5FFD4" w:rsidRPr="4F9F5C11">
        <w:rPr>
          <w:rStyle w:val="normaltextrun"/>
          <w:rFonts w:cs="Calibri"/>
          <w:color w:val="000000" w:themeColor="text1"/>
          <w:lang w:val="en-US"/>
        </w:rPr>
        <w:t>ustralia</w:t>
      </w:r>
      <w:r w:rsidR="2A60CF2F" w:rsidRPr="4F9F5C11">
        <w:rPr>
          <w:rStyle w:val="normaltextrun"/>
          <w:rFonts w:cs="Calibri"/>
          <w:color w:val="000000" w:themeColor="text1"/>
          <w:lang w:val="en-US"/>
        </w:rPr>
        <w:t xml:space="preserve"> model conti</w:t>
      </w:r>
      <w:r w:rsidR="3262ACEF" w:rsidRPr="4F9F5C11">
        <w:rPr>
          <w:rStyle w:val="normaltextrun"/>
          <w:rFonts w:cs="Calibri"/>
          <w:color w:val="000000" w:themeColor="text1"/>
          <w:lang w:val="en-US"/>
        </w:rPr>
        <w:t xml:space="preserve">nues to be </w:t>
      </w:r>
      <w:r w:rsidR="5C599E97" w:rsidRPr="4F9F5C11">
        <w:rPr>
          <w:rStyle w:val="normaltextrun"/>
          <w:rFonts w:cs="Calibri"/>
          <w:color w:val="000000" w:themeColor="text1"/>
          <w:lang w:val="en-US"/>
        </w:rPr>
        <w:t xml:space="preserve">well </w:t>
      </w:r>
      <w:r w:rsidR="2A60CF2F" w:rsidRPr="4F9F5C11">
        <w:rPr>
          <w:rStyle w:val="normaltextrun"/>
          <w:rFonts w:cs="Calibri"/>
          <w:color w:val="000000" w:themeColor="text1"/>
          <w:lang w:val="en-US"/>
        </w:rPr>
        <w:t xml:space="preserve">regarded as </w:t>
      </w:r>
      <w:r w:rsidR="3D2E9553" w:rsidRPr="4F9F5C11">
        <w:rPr>
          <w:rStyle w:val="normaltextrun"/>
          <w:rFonts w:cs="Calibri"/>
          <w:color w:val="000000" w:themeColor="text1"/>
          <w:lang w:val="en-US"/>
        </w:rPr>
        <w:t>international</w:t>
      </w:r>
      <w:r w:rsidR="63FC68D0" w:rsidRPr="4F9F5C11">
        <w:rPr>
          <w:rStyle w:val="normaltextrun"/>
          <w:rFonts w:cs="Calibri"/>
          <w:color w:val="000000" w:themeColor="text1"/>
          <w:lang w:val="en-US"/>
        </w:rPr>
        <w:t xml:space="preserve"> best practice in national infrastructure strategic planning, project assessment and assurance processes. </w:t>
      </w:r>
      <w:r w:rsidR="6AAA2AA9" w:rsidRPr="4F9F5C11">
        <w:rPr>
          <w:rStyle w:val="normaltextrun"/>
          <w:rFonts w:cs="Calibri"/>
          <w:color w:val="000000" w:themeColor="text1"/>
          <w:lang w:val="en-US"/>
        </w:rPr>
        <w:t>Since 2011</w:t>
      </w:r>
      <w:r w:rsidR="1703ACFA" w:rsidRPr="4F9F5C11">
        <w:rPr>
          <w:rStyle w:val="normaltextrun"/>
          <w:rFonts w:cs="Calibri"/>
          <w:color w:val="000000" w:themeColor="text1"/>
          <w:lang w:val="en-US"/>
        </w:rPr>
        <w:t>,</w:t>
      </w:r>
      <w:r w:rsidR="6AAA2AA9" w:rsidRPr="4F9F5C11">
        <w:rPr>
          <w:rStyle w:val="normaltextrun"/>
          <w:rFonts w:cs="Calibri"/>
          <w:color w:val="000000" w:themeColor="text1"/>
          <w:lang w:val="en-US"/>
        </w:rPr>
        <w:t xml:space="preserve"> the states and territories have all moved to put in place more effective and transparent investment plans, business cases</w:t>
      </w:r>
      <w:r w:rsidR="580019A0" w:rsidRPr="4F9F5C11">
        <w:rPr>
          <w:rStyle w:val="normaltextrun"/>
          <w:rFonts w:cs="Calibri"/>
          <w:color w:val="000000" w:themeColor="text1"/>
          <w:lang w:val="en-US"/>
        </w:rPr>
        <w:t>,</w:t>
      </w:r>
      <w:r w:rsidR="6AAA2AA9" w:rsidRPr="4F9F5C11">
        <w:rPr>
          <w:rStyle w:val="normaltextrun"/>
          <w:rFonts w:cs="Calibri"/>
          <w:color w:val="000000" w:themeColor="text1"/>
          <w:lang w:val="en-US"/>
        </w:rPr>
        <w:t xml:space="preserve"> and project developme</w:t>
      </w:r>
      <w:r w:rsidR="71E129AC" w:rsidRPr="4F9F5C11">
        <w:rPr>
          <w:rStyle w:val="normaltextrun"/>
          <w:rFonts w:cs="Calibri"/>
          <w:color w:val="000000" w:themeColor="text1"/>
          <w:lang w:val="en-US"/>
        </w:rPr>
        <w:t>n</w:t>
      </w:r>
      <w:r w:rsidR="6AAA2AA9" w:rsidRPr="4F9F5C11">
        <w:rPr>
          <w:rStyle w:val="normaltextrun"/>
          <w:rFonts w:cs="Calibri"/>
          <w:color w:val="000000" w:themeColor="text1"/>
          <w:lang w:val="en-US"/>
        </w:rPr>
        <w:t>t and proje</w:t>
      </w:r>
      <w:r w:rsidR="331879D5" w:rsidRPr="4F9F5C11">
        <w:rPr>
          <w:rStyle w:val="normaltextrun"/>
          <w:rFonts w:cs="Calibri"/>
          <w:color w:val="000000" w:themeColor="text1"/>
          <w:lang w:val="en-US"/>
        </w:rPr>
        <w:t>ct assurance processes</w:t>
      </w:r>
      <w:r w:rsidR="41A96FCC" w:rsidRPr="4F9F5C11">
        <w:rPr>
          <w:rStyle w:val="normaltextrun"/>
          <w:rFonts w:cs="Calibri"/>
          <w:color w:val="000000" w:themeColor="text1"/>
          <w:lang w:val="en-US"/>
        </w:rPr>
        <w:t>.</w:t>
      </w:r>
    </w:p>
    <w:p w14:paraId="21DE8F14" w14:textId="7B755D1A" w:rsidR="5A0681B8" w:rsidRDefault="071A927C" w:rsidP="36918AFB">
      <w:pPr>
        <w:spacing w:before="160" w:after="80"/>
        <w:rPr>
          <w:lang w:val="en-US"/>
        </w:rPr>
      </w:pPr>
      <w:r w:rsidRPr="4F9F5C11">
        <w:rPr>
          <w:rStyle w:val="normaltextrun"/>
          <w:rFonts w:cs="Calibri"/>
          <w:color w:val="000000" w:themeColor="text1"/>
          <w:lang w:val="en-US"/>
        </w:rPr>
        <w:t xml:space="preserve">The </w:t>
      </w:r>
      <w:r w:rsidR="00FC9208" w:rsidRPr="4F9F5C11">
        <w:rPr>
          <w:rStyle w:val="normaltextrun"/>
          <w:rFonts w:cs="Calibri"/>
          <w:color w:val="000000" w:themeColor="text1"/>
          <w:lang w:val="en-US"/>
        </w:rPr>
        <w:t>next two decades will require another significant lift in the performance of our national investme</w:t>
      </w:r>
      <w:r w:rsidR="27DA706C" w:rsidRPr="4F9F5C11">
        <w:rPr>
          <w:rStyle w:val="normaltextrun"/>
          <w:rFonts w:cs="Calibri"/>
          <w:color w:val="000000" w:themeColor="text1"/>
          <w:lang w:val="en-US"/>
        </w:rPr>
        <w:t>n</w:t>
      </w:r>
      <w:r w:rsidR="00FC9208" w:rsidRPr="4F9F5C11">
        <w:rPr>
          <w:rStyle w:val="normaltextrun"/>
          <w:rFonts w:cs="Calibri"/>
          <w:color w:val="000000" w:themeColor="text1"/>
          <w:lang w:val="en-US"/>
        </w:rPr>
        <w:t xml:space="preserve">t planning and project selection, as </w:t>
      </w:r>
      <w:r w:rsidR="2BEB02D7" w:rsidRPr="4F9F5C11">
        <w:rPr>
          <w:rStyle w:val="normaltextrun"/>
          <w:rFonts w:cs="Calibri"/>
          <w:color w:val="000000" w:themeColor="text1"/>
          <w:lang w:val="en-US"/>
        </w:rPr>
        <w:t xml:space="preserve">investment </w:t>
      </w:r>
      <w:r w:rsidR="00FC9208" w:rsidRPr="4F9F5C11">
        <w:rPr>
          <w:rStyle w:val="normaltextrun"/>
          <w:rFonts w:cs="Calibri"/>
          <w:color w:val="000000" w:themeColor="text1"/>
          <w:lang w:val="en-US"/>
        </w:rPr>
        <w:t xml:space="preserve">capital will be </w:t>
      </w:r>
      <w:r w:rsidR="6A1EB1AE" w:rsidRPr="4F9F5C11">
        <w:rPr>
          <w:rStyle w:val="normaltextrun"/>
          <w:rFonts w:cs="Calibri"/>
          <w:color w:val="000000" w:themeColor="text1"/>
          <w:lang w:val="en-US"/>
        </w:rPr>
        <w:t xml:space="preserve">more </w:t>
      </w:r>
      <w:r w:rsidR="311B8422" w:rsidRPr="4F9F5C11">
        <w:rPr>
          <w:rStyle w:val="normaltextrun"/>
          <w:rFonts w:cs="Calibri"/>
          <w:color w:val="000000" w:themeColor="text1"/>
          <w:lang w:val="en-US"/>
        </w:rPr>
        <w:t>constrained and the challenges that will have to be met</w:t>
      </w:r>
      <w:r w:rsidR="2612FD1B" w:rsidRPr="4F9F5C11">
        <w:rPr>
          <w:rStyle w:val="normaltextrun"/>
          <w:rFonts w:cs="Calibri"/>
          <w:color w:val="000000" w:themeColor="text1"/>
          <w:lang w:val="en-US"/>
        </w:rPr>
        <w:t xml:space="preserve"> </w:t>
      </w:r>
      <w:r w:rsidR="19E77F18" w:rsidRPr="4F9F5C11">
        <w:rPr>
          <w:rStyle w:val="normaltextrun"/>
          <w:rFonts w:cs="Calibri"/>
          <w:color w:val="000000" w:themeColor="text1"/>
          <w:lang w:val="en-US"/>
        </w:rPr>
        <w:t>become</w:t>
      </w:r>
      <w:r w:rsidR="311B8422" w:rsidRPr="4F9F5C11">
        <w:rPr>
          <w:rStyle w:val="normaltextrun"/>
          <w:rFonts w:cs="Calibri"/>
          <w:color w:val="000000" w:themeColor="text1"/>
          <w:lang w:val="en-US"/>
        </w:rPr>
        <w:t xml:space="preserve"> more complex. </w:t>
      </w:r>
      <w:r w:rsidR="4CB9FBA3" w:rsidRPr="4F9F5C11">
        <w:rPr>
          <w:rStyle w:val="normaltextrun"/>
          <w:rFonts w:cs="Calibri"/>
          <w:color w:val="000000" w:themeColor="text1"/>
          <w:lang w:val="en-US"/>
        </w:rPr>
        <w:t>T</w:t>
      </w:r>
      <w:r w:rsidR="4CB9FBA3" w:rsidRPr="4F9F5C11">
        <w:rPr>
          <w:lang w:val="en-US"/>
        </w:rPr>
        <w:t>he Australian Government has committed to a multi</w:t>
      </w:r>
      <w:r w:rsidR="282B5FF6" w:rsidRPr="4F9F5C11">
        <w:rPr>
          <w:lang w:val="en-US"/>
        </w:rPr>
        <w:t>-</w:t>
      </w:r>
      <w:r w:rsidR="4CB9FBA3" w:rsidRPr="4F9F5C11">
        <w:rPr>
          <w:lang w:val="en-US"/>
        </w:rPr>
        <w:t>decade structural economic reform program to meet the nation’s climate</w:t>
      </w:r>
      <w:r w:rsidR="1AB8FFB1" w:rsidRPr="4F9F5C11">
        <w:rPr>
          <w:lang w:val="en-US"/>
        </w:rPr>
        <w:t>, jobs, investment</w:t>
      </w:r>
      <w:r w:rsidR="4CB9FBA3" w:rsidRPr="4F9F5C11">
        <w:rPr>
          <w:lang w:val="en-US"/>
        </w:rPr>
        <w:t xml:space="preserve"> and productive capacity targets, which will require both large amounts of new capital investment and significant changes to how investment across utility sectors will need to take place. This cannot be </w:t>
      </w:r>
      <w:r w:rsidR="6EDFE5D9" w:rsidRPr="4F9F5C11">
        <w:rPr>
          <w:lang w:val="en-US"/>
        </w:rPr>
        <w:t>met</w:t>
      </w:r>
      <w:r w:rsidR="4CB9FBA3" w:rsidRPr="4F9F5C11">
        <w:rPr>
          <w:lang w:val="en-US"/>
        </w:rPr>
        <w:t xml:space="preserve"> </w:t>
      </w:r>
      <w:r w:rsidR="597659BF" w:rsidRPr="4F9F5C11">
        <w:rPr>
          <w:lang w:val="en-US"/>
        </w:rPr>
        <w:t>based on</w:t>
      </w:r>
      <w:r w:rsidR="4CB9FBA3" w:rsidRPr="4F9F5C11">
        <w:rPr>
          <w:lang w:val="en-US"/>
        </w:rPr>
        <w:t xml:space="preserve"> the current product suite of I</w:t>
      </w:r>
      <w:r w:rsidR="073898BF" w:rsidRPr="4F9F5C11">
        <w:rPr>
          <w:lang w:val="en-US"/>
        </w:rPr>
        <w:t xml:space="preserve">nfrastructure </w:t>
      </w:r>
      <w:r w:rsidR="4CB9FBA3" w:rsidRPr="4F9F5C11">
        <w:rPr>
          <w:lang w:val="en-US"/>
        </w:rPr>
        <w:t>A</w:t>
      </w:r>
      <w:r w:rsidR="1BFEE0ED" w:rsidRPr="4F9F5C11">
        <w:rPr>
          <w:lang w:val="en-US"/>
        </w:rPr>
        <w:t>ustralia</w:t>
      </w:r>
      <w:r w:rsidR="4CB9FBA3" w:rsidRPr="4F9F5C11">
        <w:rPr>
          <w:lang w:val="en-US"/>
        </w:rPr>
        <w:t xml:space="preserve"> and it</w:t>
      </w:r>
      <w:r w:rsidR="7047EF9F" w:rsidRPr="4F9F5C11">
        <w:rPr>
          <w:lang w:val="en-US"/>
        </w:rPr>
        <w:t>s</w:t>
      </w:r>
      <w:r w:rsidR="4CB9FBA3" w:rsidRPr="4F9F5C11">
        <w:rPr>
          <w:lang w:val="en-US"/>
        </w:rPr>
        <w:t xml:space="preserve"> operat</w:t>
      </w:r>
      <w:r w:rsidR="14F3E3E2" w:rsidRPr="4F9F5C11">
        <w:rPr>
          <w:lang w:val="en-US"/>
        </w:rPr>
        <w:t>ions</w:t>
      </w:r>
      <w:r w:rsidR="7B3709E1" w:rsidRPr="4F9F5C11">
        <w:rPr>
          <w:lang w:val="en-US"/>
        </w:rPr>
        <w:t>.</w:t>
      </w:r>
    </w:p>
    <w:p w14:paraId="3C361370" w14:textId="282F3994" w:rsidR="51250BCC" w:rsidRDefault="7B3709E1" w:rsidP="36918AFB">
      <w:pPr>
        <w:spacing w:before="240" w:after="240"/>
        <w:rPr>
          <w:lang w:val="en-US"/>
        </w:rPr>
      </w:pPr>
      <w:r w:rsidRPr="4F9F5C11">
        <w:rPr>
          <w:lang w:val="en-US"/>
        </w:rPr>
        <w:t xml:space="preserve">The key issue </w:t>
      </w:r>
      <w:r w:rsidR="2C9C7ED8" w:rsidRPr="4F9F5C11">
        <w:rPr>
          <w:lang w:val="en-US"/>
        </w:rPr>
        <w:t xml:space="preserve">the Review has </w:t>
      </w:r>
      <w:r w:rsidR="4A13C4EF" w:rsidRPr="4F9F5C11">
        <w:rPr>
          <w:lang w:val="en-US"/>
        </w:rPr>
        <w:t>acknowledged</w:t>
      </w:r>
      <w:r w:rsidR="2C9C7ED8" w:rsidRPr="4F9F5C11">
        <w:rPr>
          <w:lang w:val="en-US"/>
        </w:rPr>
        <w:t xml:space="preserve"> </w:t>
      </w:r>
      <w:r w:rsidRPr="4F9F5C11">
        <w:rPr>
          <w:lang w:val="en-US"/>
        </w:rPr>
        <w:t>is get</w:t>
      </w:r>
      <w:r w:rsidR="0E06FC90" w:rsidRPr="4F9F5C11">
        <w:rPr>
          <w:lang w:val="en-US"/>
        </w:rPr>
        <w:t>ting</w:t>
      </w:r>
      <w:r w:rsidRPr="4F9F5C11">
        <w:rPr>
          <w:lang w:val="en-US"/>
        </w:rPr>
        <w:t xml:space="preserve"> the balance right between the independence of expert investment advice to </w:t>
      </w:r>
      <w:r w:rsidR="5954126B" w:rsidRPr="4F9F5C11">
        <w:rPr>
          <w:lang w:val="en-US"/>
        </w:rPr>
        <w:t xml:space="preserve">the </w:t>
      </w:r>
      <w:r w:rsidRPr="4F9F5C11">
        <w:rPr>
          <w:lang w:val="en-US"/>
        </w:rPr>
        <w:t xml:space="preserve">Government, and the influence of that advice in </w:t>
      </w:r>
      <w:r w:rsidR="07E71134" w:rsidRPr="4F9F5C11">
        <w:rPr>
          <w:lang w:val="en-US"/>
        </w:rPr>
        <w:t>g</w:t>
      </w:r>
      <w:r w:rsidRPr="4F9F5C11">
        <w:rPr>
          <w:lang w:val="en-US"/>
        </w:rPr>
        <w:t>overnment decision making processes, given the range of public bodies now advising the Commonwealth on investments.</w:t>
      </w:r>
    </w:p>
    <w:p w14:paraId="2A63462A" w14:textId="6CA062DB" w:rsidR="51250BCC" w:rsidRDefault="19E77F18" w:rsidP="36918AFB">
      <w:pPr>
        <w:spacing w:before="240" w:after="240"/>
        <w:rPr>
          <w:lang w:val="en-US"/>
        </w:rPr>
      </w:pPr>
      <w:r w:rsidRPr="4F9F5C11">
        <w:rPr>
          <w:lang w:val="en-US"/>
        </w:rPr>
        <w:t xml:space="preserve">The Review heard strong support for the Australian Government having access to the expert analysis and advice Infrastructure Australia can, and should, provide. However, </w:t>
      </w:r>
      <w:r w:rsidR="7B3709E1" w:rsidRPr="4F9F5C11">
        <w:rPr>
          <w:lang w:val="en-US"/>
        </w:rPr>
        <w:t>I</w:t>
      </w:r>
      <w:r w:rsidR="06712728" w:rsidRPr="4F9F5C11">
        <w:rPr>
          <w:lang w:val="en-US"/>
        </w:rPr>
        <w:t xml:space="preserve">nfrastructure </w:t>
      </w:r>
      <w:r w:rsidR="7B3709E1" w:rsidRPr="4F9F5C11">
        <w:rPr>
          <w:lang w:val="en-US"/>
        </w:rPr>
        <w:t>A</w:t>
      </w:r>
      <w:r w:rsidR="6DDDAE38" w:rsidRPr="4F9F5C11">
        <w:rPr>
          <w:lang w:val="en-US"/>
        </w:rPr>
        <w:t>ustralia</w:t>
      </w:r>
      <w:r w:rsidR="7B3709E1" w:rsidRPr="4F9F5C11">
        <w:rPr>
          <w:lang w:val="en-US"/>
        </w:rPr>
        <w:t xml:space="preserve"> has</w:t>
      </w:r>
      <w:r w:rsidR="78506B18" w:rsidRPr="4F9F5C11">
        <w:rPr>
          <w:lang w:val="en-US"/>
        </w:rPr>
        <w:t>,</w:t>
      </w:r>
      <w:r w:rsidR="7B3709E1" w:rsidRPr="4F9F5C11">
        <w:rPr>
          <w:lang w:val="en-US"/>
        </w:rPr>
        <w:t xml:space="preserve"> </w:t>
      </w:r>
      <w:r w:rsidR="39850B69" w:rsidRPr="4F9F5C11">
        <w:rPr>
          <w:lang w:val="en-US"/>
        </w:rPr>
        <w:t>in the past few years</w:t>
      </w:r>
      <w:r w:rsidR="0D25F7DC" w:rsidRPr="4F9F5C11">
        <w:rPr>
          <w:lang w:val="en-US"/>
        </w:rPr>
        <w:t>,</w:t>
      </w:r>
      <w:r w:rsidR="39850B69" w:rsidRPr="4F9F5C11">
        <w:rPr>
          <w:lang w:val="en-US"/>
        </w:rPr>
        <w:t xml:space="preserve"> </w:t>
      </w:r>
      <w:r w:rsidR="7B3709E1" w:rsidRPr="4F9F5C11">
        <w:rPr>
          <w:lang w:val="en-US"/>
        </w:rPr>
        <w:t xml:space="preserve">been undervalued, poorly </w:t>
      </w:r>
      <w:r w:rsidR="5AB7B4D7" w:rsidRPr="4F9F5C11">
        <w:rPr>
          <w:lang w:val="en-US"/>
        </w:rPr>
        <w:t xml:space="preserve">tasked and </w:t>
      </w:r>
      <w:r w:rsidR="7B3709E1" w:rsidRPr="4F9F5C11">
        <w:rPr>
          <w:lang w:val="en-US"/>
        </w:rPr>
        <w:t xml:space="preserve">directed by </w:t>
      </w:r>
      <w:r w:rsidR="046A6A54" w:rsidRPr="4F9F5C11">
        <w:rPr>
          <w:lang w:val="en-US"/>
        </w:rPr>
        <w:t>g</w:t>
      </w:r>
      <w:r w:rsidR="7B3709E1" w:rsidRPr="4F9F5C11">
        <w:rPr>
          <w:lang w:val="en-US"/>
        </w:rPr>
        <w:t>overnment</w:t>
      </w:r>
      <w:r w:rsidR="6C5CA7D7" w:rsidRPr="4F9F5C11">
        <w:rPr>
          <w:lang w:val="en-US"/>
        </w:rPr>
        <w:t>. This had made</w:t>
      </w:r>
      <w:r w:rsidRPr="4F9F5C11">
        <w:rPr>
          <w:lang w:val="en-US"/>
        </w:rPr>
        <w:t xml:space="preserve"> the organisation </w:t>
      </w:r>
      <w:r w:rsidR="574E659D" w:rsidRPr="4F9F5C11">
        <w:rPr>
          <w:lang w:val="en-US"/>
        </w:rPr>
        <w:t xml:space="preserve">not </w:t>
      </w:r>
      <w:r w:rsidR="5303099D" w:rsidRPr="4F9F5C11">
        <w:rPr>
          <w:lang w:val="en-US"/>
        </w:rPr>
        <w:t>as effective and influen</w:t>
      </w:r>
      <w:r w:rsidR="0F7EE8F2" w:rsidRPr="4F9F5C11">
        <w:rPr>
          <w:lang w:val="en-US"/>
        </w:rPr>
        <w:t>tial as it should have been</w:t>
      </w:r>
      <w:r w:rsidR="5303099D" w:rsidRPr="4F9F5C11">
        <w:rPr>
          <w:lang w:val="en-US"/>
        </w:rPr>
        <w:t xml:space="preserve"> </w:t>
      </w:r>
      <w:r w:rsidR="650C9EE0" w:rsidRPr="4F9F5C11">
        <w:rPr>
          <w:lang w:val="en-US"/>
        </w:rPr>
        <w:t>in terms of</w:t>
      </w:r>
      <w:r w:rsidR="5303099D" w:rsidRPr="4F9F5C11">
        <w:rPr>
          <w:lang w:val="en-US"/>
        </w:rPr>
        <w:t xml:space="preserve"> getting the right investments in place</w:t>
      </w:r>
      <w:r w:rsidR="03E46E2F" w:rsidRPr="4F9F5C11">
        <w:rPr>
          <w:lang w:val="en-US"/>
        </w:rPr>
        <w:t xml:space="preserve"> for the nation.</w:t>
      </w:r>
    </w:p>
    <w:p w14:paraId="325269AE" w14:textId="2E6C3430" w:rsidR="4F7DD40D" w:rsidRDefault="03E46E2F" w:rsidP="36918AFB">
      <w:pPr>
        <w:spacing w:before="160" w:after="80"/>
        <w:rPr>
          <w:lang w:val="en-US"/>
        </w:rPr>
      </w:pPr>
      <w:r w:rsidRPr="4F9F5C11">
        <w:rPr>
          <w:lang w:val="en-US"/>
        </w:rPr>
        <w:t xml:space="preserve">The Review </w:t>
      </w:r>
      <w:r w:rsidR="2BFEF941" w:rsidRPr="4F9F5C11">
        <w:rPr>
          <w:lang w:val="en-US"/>
        </w:rPr>
        <w:t xml:space="preserve">found a clear mandate is required to strengthen Infrastructure Australia’s role in the Commonwealth infrastructure eco-system. </w:t>
      </w:r>
      <w:bookmarkStart w:id="9" w:name="_Hlk115377268"/>
      <w:r w:rsidR="2BFEF941" w:rsidRPr="4F9F5C11">
        <w:rPr>
          <w:lang w:val="en-US"/>
        </w:rPr>
        <w:t xml:space="preserve">Infrastructure Australia’s mandate should be defined as the Australian Government’s national advisor on infrastructure investment planning and </w:t>
      </w:r>
      <w:proofErr w:type="spellStart"/>
      <w:r w:rsidR="2BFEF941" w:rsidRPr="4F9F5C11">
        <w:rPr>
          <w:lang w:val="en-US"/>
        </w:rPr>
        <w:t>prioritisation</w:t>
      </w:r>
      <w:proofErr w:type="spellEnd"/>
      <w:r w:rsidR="2BFEF941" w:rsidRPr="4F9F5C11">
        <w:rPr>
          <w:lang w:val="en-US"/>
        </w:rPr>
        <w:t xml:space="preserve">. </w:t>
      </w:r>
      <w:bookmarkEnd w:id="9"/>
    </w:p>
    <w:p w14:paraId="567F8BC6" w14:textId="60866965" w:rsidR="00AE6F3A" w:rsidRDefault="0D5993C3" w:rsidP="00ED4399">
      <w:pPr>
        <w:spacing w:before="160" w:after="80"/>
        <w:rPr>
          <w:rStyle w:val="eop"/>
          <w:rFonts w:cs="Calibri"/>
          <w:color w:val="000000" w:themeColor="text1"/>
        </w:rPr>
      </w:pPr>
      <w:r w:rsidRPr="00ED4399">
        <w:t xml:space="preserve">In recommending a clear mandate for Infrastructure Australia moving forward, the Review </w:t>
      </w:r>
      <w:r w:rsidR="3C5FDE12" w:rsidRPr="00ED4399">
        <w:t xml:space="preserve">found </w:t>
      </w:r>
      <w:r w:rsidRPr="00ED4399">
        <w:t>a revision of Infrastructure</w:t>
      </w:r>
      <w:r w:rsidRPr="4F9F5C11">
        <w:rPr>
          <w:rStyle w:val="normaltextrun"/>
          <w:rFonts w:cs="Calibri"/>
          <w:color w:val="000000" w:themeColor="text1"/>
          <w:lang w:val="en-US"/>
        </w:rPr>
        <w:t xml:space="preserve"> Australia’s core roles was required. In positioning Infrastructure Australia as the </w:t>
      </w:r>
      <w:r w:rsidR="51CD8361" w:rsidRPr="4F9F5C11">
        <w:rPr>
          <w:rStyle w:val="normaltextrun"/>
          <w:rFonts w:cs="Calibri"/>
          <w:color w:val="000000" w:themeColor="text1"/>
          <w:lang w:val="en-US"/>
        </w:rPr>
        <w:t xml:space="preserve">expert </w:t>
      </w:r>
      <w:r w:rsidRPr="4F9F5C11">
        <w:rPr>
          <w:rStyle w:val="normaltextrun"/>
          <w:rFonts w:cs="Calibri"/>
          <w:color w:val="000000" w:themeColor="text1"/>
          <w:lang w:val="en-US"/>
        </w:rPr>
        <w:t>advis</w:t>
      </w:r>
      <w:r w:rsidR="01695164" w:rsidRPr="4F9F5C11">
        <w:rPr>
          <w:rStyle w:val="normaltextrun"/>
          <w:rFonts w:cs="Calibri"/>
          <w:color w:val="000000" w:themeColor="text1"/>
          <w:lang w:val="en-US"/>
        </w:rPr>
        <w:t>o</w:t>
      </w:r>
      <w:r w:rsidRPr="4F9F5C11">
        <w:rPr>
          <w:rStyle w:val="normaltextrun"/>
          <w:rFonts w:cs="Calibri"/>
          <w:color w:val="000000" w:themeColor="text1"/>
          <w:lang w:val="en-US"/>
        </w:rPr>
        <w:t>r and coordinator of national infrastructure investment planning and</w:t>
      </w:r>
      <w:r w:rsidR="6EF7FBE0" w:rsidRPr="4F9F5C11">
        <w:rPr>
          <w:rStyle w:val="normaltextrun"/>
          <w:rFonts w:cs="Calibri"/>
          <w:color w:val="000000" w:themeColor="text1"/>
          <w:lang w:val="en-US"/>
        </w:rPr>
        <w:t xml:space="preserve"> investment </w:t>
      </w:r>
      <w:r w:rsidRPr="4F9F5C11">
        <w:rPr>
          <w:rStyle w:val="normaltextrun"/>
          <w:rFonts w:cs="Calibri"/>
          <w:color w:val="000000" w:themeColor="text1"/>
          <w:lang w:val="en-US"/>
        </w:rPr>
        <w:t>analysis, the Review recommended I</w:t>
      </w:r>
      <w:r w:rsidR="001B3927" w:rsidRPr="4F9F5C11">
        <w:rPr>
          <w:rStyle w:val="normaltextrun"/>
          <w:rFonts w:cs="Calibri"/>
          <w:color w:val="000000" w:themeColor="text1"/>
          <w:lang w:val="en-US"/>
        </w:rPr>
        <w:t xml:space="preserve">nfrastructure </w:t>
      </w:r>
      <w:r w:rsidRPr="4F9F5C11">
        <w:rPr>
          <w:rStyle w:val="normaltextrun"/>
          <w:rFonts w:cs="Calibri"/>
          <w:color w:val="000000" w:themeColor="text1"/>
          <w:lang w:val="en-US"/>
        </w:rPr>
        <w:t>A</w:t>
      </w:r>
      <w:r w:rsidR="794BFC94" w:rsidRPr="4F9F5C11">
        <w:rPr>
          <w:rStyle w:val="normaltextrun"/>
          <w:rFonts w:cs="Calibri"/>
          <w:color w:val="000000" w:themeColor="text1"/>
          <w:lang w:val="en-US"/>
        </w:rPr>
        <w:t>ustralia</w:t>
      </w:r>
      <w:r w:rsidRPr="4F9F5C11">
        <w:rPr>
          <w:rStyle w:val="normaltextrun"/>
          <w:rFonts w:cs="Calibri"/>
          <w:color w:val="000000" w:themeColor="text1"/>
          <w:lang w:val="en-US"/>
        </w:rPr>
        <w:t>’s core roles be revised as follows:</w:t>
      </w:r>
    </w:p>
    <w:p w14:paraId="7621FF85" w14:textId="13922768" w:rsidR="00AE6F3A" w:rsidRPr="0011275A" w:rsidRDefault="0957EA99" w:rsidP="0011275A">
      <w:pPr>
        <w:pStyle w:val="Listparagraphbullets"/>
        <w:ind w:left="567" w:hanging="567"/>
      </w:pPr>
      <w:r w:rsidRPr="0011275A">
        <w:t>A</w:t>
      </w:r>
      <w:r w:rsidR="0D5993C3" w:rsidRPr="0011275A">
        <w:t>n improved product suite that directly addresses government infrastructure investment objectives</w:t>
      </w:r>
      <w:r w:rsidR="4EA63DA8" w:rsidRPr="0011275A">
        <w:t>.</w:t>
      </w:r>
    </w:p>
    <w:p w14:paraId="1154944B" w14:textId="36872B38" w:rsidR="00AE6F3A" w:rsidRPr="0011275A" w:rsidRDefault="2DE336DC" w:rsidP="0011275A">
      <w:pPr>
        <w:pStyle w:val="Listparagraphbullets"/>
        <w:ind w:left="567" w:hanging="567"/>
      </w:pPr>
      <w:r w:rsidRPr="0011275A">
        <w:t>A</w:t>
      </w:r>
      <w:r w:rsidR="0D5993C3" w:rsidRPr="0011275A">
        <w:t xml:space="preserve">n improved assurance and project assessment process for Commonwealth investments that supports the </w:t>
      </w:r>
      <w:r w:rsidR="5D7137A8" w:rsidRPr="0011275A">
        <w:t xml:space="preserve">nation’s long-term </w:t>
      </w:r>
      <w:r w:rsidR="0D5993C3" w:rsidRPr="0011275A">
        <w:t>objectives</w:t>
      </w:r>
      <w:r w:rsidR="19E77F18" w:rsidRPr="0011275A">
        <w:t>,</w:t>
      </w:r>
      <w:r w:rsidR="0D5993C3" w:rsidRPr="0011275A">
        <w:t xml:space="preserve"> while acknowledging state and territory infrastructure assessment expertise and capabilities</w:t>
      </w:r>
      <w:r w:rsidR="4533A3BE" w:rsidRPr="0011275A">
        <w:t>.</w:t>
      </w:r>
    </w:p>
    <w:p w14:paraId="74C02BC6" w14:textId="4472ABAF" w:rsidR="2DDF514A" w:rsidRPr="0011275A" w:rsidRDefault="29CBC096" w:rsidP="0011275A">
      <w:pPr>
        <w:pStyle w:val="Listparagraphbullets"/>
        <w:ind w:left="567" w:hanging="567"/>
      </w:pPr>
      <w:r w:rsidRPr="0011275A">
        <w:lastRenderedPageBreak/>
        <w:t>T</w:t>
      </w:r>
      <w:r w:rsidR="6EFEA482" w:rsidRPr="0011275A">
        <w:t>imely prioritisation of the right projects</w:t>
      </w:r>
      <w:r w:rsidR="19E77F18" w:rsidRPr="0011275A">
        <w:t xml:space="preserve"> that</w:t>
      </w:r>
      <w:r w:rsidR="6EFEA482" w:rsidRPr="0011275A">
        <w:t xml:space="preserve"> the nation needs</w:t>
      </w:r>
      <w:r w:rsidR="007D2B6C" w:rsidRPr="0011275A">
        <w:t>.</w:t>
      </w:r>
    </w:p>
    <w:p w14:paraId="74C9C833" w14:textId="26C3A107" w:rsidR="00AE6F3A" w:rsidRPr="0011275A" w:rsidRDefault="3203470E" w:rsidP="0011275A">
      <w:pPr>
        <w:pStyle w:val="Listparagraphbullets"/>
        <w:ind w:left="567" w:hanging="567"/>
      </w:pPr>
      <w:r w:rsidRPr="0011275A">
        <w:t>E</w:t>
      </w:r>
      <w:r w:rsidR="0C83F9BF" w:rsidRPr="0011275A">
        <w:t>mpower</w:t>
      </w:r>
      <w:r w:rsidR="4E5CB659" w:rsidRPr="0011275A">
        <w:t>ment</w:t>
      </w:r>
      <w:r w:rsidR="0C83F9BF" w:rsidRPr="0011275A">
        <w:t xml:space="preserve"> to undertake independent research and inquiries into specific topics (at the request of the </w:t>
      </w:r>
      <w:r w:rsidR="59E6415A" w:rsidRPr="0011275A">
        <w:t>Australian</w:t>
      </w:r>
      <w:r w:rsidR="0C83F9BF" w:rsidRPr="0011275A">
        <w:t xml:space="preserve"> Government or </w:t>
      </w:r>
      <w:r w:rsidR="19E77F18" w:rsidRPr="0011275A">
        <w:t>self-initiation</w:t>
      </w:r>
      <w:r w:rsidR="0C83F9BF" w:rsidRPr="0011275A">
        <w:t xml:space="preserve">) </w:t>
      </w:r>
      <w:r w:rsidR="19E77F18" w:rsidRPr="0011275A">
        <w:t>as it relates to infrastructure</w:t>
      </w:r>
      <w:r w:rsidR="726C750E" w:rsidRPr="0011275A">
        <w:t>,</w:t>
      </w:r>
      <w:r w:rsidR="19E77F18" w:rsidRPr="0011275A">
        <w:t xml:space="preserve"> and having regard to the infrastructure investment objectives of the Australian Government.</w:t>
      </w:r>
    </w:p>
    <w:p w14:paraId="2D507FC0" w14:textId="7AFEA662" w:rsidR="00BB3D46" w:rsidRDefault="7216A5A4" w:rsidP="00D56936">
      <w:pPr>
        <w:pStyle w:val="Heading3"/>
      </w:pPr>
      <w:bookmarkStart w:id="10" w:name="_Toc115379953"/>
      <w:bookmarkStart w:id="11" w:name="_Toc124783593"/>
      <w:r>
        <w:t xml:space="preserve">Key </w:t>
      </w:r>
      <w:r w:rsidR="6374A841">
        <w:t>f</w:t>
      </w:r>
      <w:r w:rsidR="0C83F9BF">
        <w:t>indings</w:t>
      </w:r>
      <w:bookmarkEnd w:id="10"/>
      <w:bookmarkEnd w:id="11"/>
    </w:p>
    <w:p w14:paraId="50207433" w14:textId="1DD1B38C" w:rsidR="05F82F19" w:rsidRDefault="76F2D9BD" w:rsidP="007D68BA">
      <w:r>
        <w:t>The Review</w:t>
      </w:r>
      <w:r w:rsidR="7F338147">
        <w:t xml:space="preserve"> made five</w:t>
      </w:r>
      <w:r>
        <w:t xml:space="preserve"> key finding</w:t>
      </w:r>
      <w:r w:rsidR="7A8B6ADF">
        <w:t>s, as</w:t>
      </w:r>
      <w:r>
        <w:t xml:space="preserve"> outlined below. </w:t>
      </w:r>
    </w:p>
    <w:p w14:paraId="44A4E09A" w14:textId="7F355F2B" w:rsidR="00805251" w:rsidRDefault="75F5F488" w:rsidP="00805251">
      <w:r w:rsidRPr="4F9F5C11">
        <w:rPr>
          <w:b/>
          <w:bCs/>
        </w:rPr>
        <w:t>Key finding 1</w:t>
      </w:r>
      <w:r>
        <w:t>:</w:t>
      </w:r>
      <w:bookmarkStart w:id="12" w:name="_Hlk115377400"/>
      <w:r w:rsidR="00366209" w:rsidRPr="00366209">
        <w:t xml:space="preserve"> </w:t>
      </w:r>
      <w:r w:rsidR="00366209" w:rsidRPr="00B05319">
        <w:t>Infrastructure Australia requires a clear mandate and must be empowered to carry out that mandate</w:t>
      </w:r>
      <w:r w:rsidR="00366209">
        <w:t xml:space="preserve">. </w:t>
      </w:r>
    </w:p>
    <w:p w14:paraId="29BFC94F" w14:textId="61994625" w:rsidR="00805251" w:rsidRDefault="75F5F488" w:rsidP="4F9F5C11">
      <w:pPr>
        <w:rPr>
          <w:lang w:val="en-US"/>
        </w:rPr>
      </w:pPr>
      <w:r w:rsidRPr="4F9F5C11">
        <w:rPr>
          <w:b/>
          <w:bCs/>
        </w:rPr>
        <w:t>Key finding 2</w:t>
      </w:r>
      <w:r>
        <w:t xml:space="preserve">: </w:t>
      </w:r>
      <w:r w:rsidR="00366209" w:rsidRPr="00B05319">
        <w:t>Infrastructure Australia’s assurance role and assessment responsibilities must also be revised in order to recognise and enhance its value as the national advisor to the Australian Government. This includes a reconsideration of what is regarded as ‘nationally significant’ infrastructure</w:t>
      </w:r>
      <w:r w:rsidR="00366209">
        <w:t xml:space="preserve">. </w:t>
      </w:r>
    </w:p>
    <w:p w14:paraId="0AD4B3AF" w14:textId="65EC97BF" w:rsidR="00805251" w:rsidRDefault="75F5F488" w:rsidP="00805251">
      <w:r w:rsidRPr="4F9F5C11">
        <w:rPr>
          <w:b/>
          <w:bCs/>
        </w:rPr>
        <w:t>Key finding 3</w:t>
      </w:r>
      <w:r>
        <w:t xml:space="preserve">: </w:t>
      </w:r>
      <w:r w:rsidR="00D6074C" w:rsidRPr="00B05319">
        <w:rPr>
          <w:lang w:val="en-US"/>
        </w:rPr>
        <w:t xml:space="preserve">To carry out its mandate, Infrastructure Australia requires a strong governance framework to </w:t>
      </w:r>
      <w:proofErr w:type="spellStart"/>
      <w:r w:rsidR="00D6074C" w:rsidRPr="00B05319">
        <w:rPr>
          <w:lang w:val="en-US"/>
        </w:rPr>
        <w:t>realise</w:t>
      </w:r>
      <w:proofErr w:type="spellEnd"/>
      <w:r w:rsidR="00D6074C" w:rsidRPr="00B05319">
        <w:rPr>
          <w:lang w:val="en-US"/>
        </w:rPr>
        <w:t xml:space="preserve"> its full value and potential.</w:t>
      </w:r>
    </w:p>
    <w:p w14:paraId="21A414F6" w14:textId="51202079" w:rsidR="00805251" w:rsidRDefault="75F5F488" w:rsidP="4F9F5C11">
      <w:pPr>
        <w:rPr>
          <w:lang w:val="en-US"/>
        </w:rPr>
      </w:pPr>
      <w:r w:rsidRPr="4F9F5C11">
        <w:rPr>
          <w:b/>
          <w:bCs/>
        </w:rPr>
        <w:t>Key finding 4</w:t>
      </w:r>
      <w:r>
        <w:t xml:space="preserve">: </w:t>
      </w:r>
      <w:r w:rsidR="00D6074C" w:rsidRPr="00B05319">
        <w:t>Infrastructure Australia’s revised mandate will require a rethink of the responsibilities of other Commonwealth agencies also involved in infrastructure planning, project funding and financing, and project advice.</w:t>
      </w:r>
    </w:p>
    <w:p w14:paraId="3A368DD9" w14:textId="75313E3D" w:rsidR="0B261812" w:rsidRPr="00805251" w:rsidRDefault="75F5F488" w:rsidP="00805251">
      <w:r w:rsidRPr="4F9F5C11">
        <w:rPr>
          <w:b/>
          <w:bCs/>
        </w:rPr>
        <w:t>Key finding 5</w:t>
      </w:r>
      <w:r>
        <w:t xml:space="preserve">: </w:t>
      </w:r>
      <w:r w:rsidR="00D6074C" w:rsidRPr="00B05319">
        <w:t>Infrastructure Australia has been sidelined by governments in recent times. Accordingly, its ability to inform and influence the Government on infrastructure matters has waned</w:t>
      </w:r>
      <w:r w:rsidR="00D6074C">
        <w:t xml:space="preserve">.  </w:t>
      </w:r>
    </w:p>
    <w:p w14:paraId="68491E3E" w14:textId="55226470" w:rsidR="00BB3D46" w:rsidRPr="00805251" w:rsidRDefault="2AF2FE0B" w:rsidP="4F9F5C11">
      <w:pPr>
        <w:pStyle w:val="Heading3"/>
        <w:rPr>
          <w:i/>
          <w:iCs/>
        </w:rPr>
      </w:pPr>
      <w:bookmarkStart w:id="13" w:name="_Toc115379954"/>
      <w:bookmarkStart w:id="14" w:name="_Toc124783594"/>
      <w:bookmarkEnd w:id="12"/>
      <w:r>
        <w:t>Recommendations</w:t>
      </w:r>
      <w:bookmarkEnd w:id="13"/>
      <w:bookmarkEnd w:id="14"/>
    </w:p>
    <w:p w14:paraId="581A2569" w14:textId="28B47000" w:rsidR="00BB3D46" w:rsidRDefault="778A4045" w:rsidP="6A987B9B">
      <w:r>
        <w:t xml:space="preserve">From these key findings, the Review made </w:t>
      </w:r>
      <w:r w:rsidR="02D24C13">
        <w:t>16</w:t>
      </w:r>
      <w:r>
        <w:t xml:space="preserve"> recommendations and one comment for </w:t>
      </w:r>
      <w:r w:rsidR="65CAB44D">
        <w:t>the G</w:t>
      </w:r>
      <w:r>
        <w:t>overnment</w:t>
      </w:r>
      <w:r w:rsidR="565139CC">
        <w:t>’s</w:t>
      </w:r>
      <w:r>
        <w:t xml:space="preserve"> consideration</w:t>
      </w:r>
      <w:r w:rsidR="19E77F18">
        <w:t xml:space="preserve">: </w:t>
      </w:r>
    </w:p>
    <w:p w14:paraId="44895462" w14:textId="77777777" w:rsidR="0096059C" w:rsidRDefault="0096059C" w:rsidP="0096059C">
      <w:pPr>
        <w:pStyle w:val="Heading3notshowing"/>
      </w:pPr>
      <w:bookmarkStart w:id="15" w:name="_Toc109648435"/>
      <w:r>
        <w:t>Recommendation 1</w:t>
      </w:r>
    </w:p>
    <w:p w14:paraId="637708DE" w14:textId="77777777" w:rsidR="0096059C" w:rsidRDefault="0096059C" w:rsidP="0096059C">
      <w:pPr>
        <w:keepNext/>
        <w:keepLines/>
        <w:pBdr>
          <w:top w:val="single" w:sz="4" w:space="1" w:color="4BB3B5"/>
          <w:left w:val="single" w:sz="4" w:space="4" w:color="4BB3B5"/>
          <w:bottom w:val="single" w:sz="4" w:space="1" w:color="4BB3B5"/>
          <w:right w:val="single" w:sz="4" w:space="4" w:color="4BB3B5"/>
        </w:pBdr>
        <w:spacing w:after="120"/>
      </w:pPr>
      <w:r>
        <w:t xml:space="preserve">The Review recommends </w:t>
      </w:r>
      <w:r w:rsidRPr="4F9F5C11">
        <w:rPr>
          <w:lang w:val="en-US"/>
        </w:rPr>
        <w:t xml:space="preserve">Infrastructure Australia’s mandate be defined as ‘the Australian Government’s national advisor on national infrastructure investment planning and project </w:t>
      </w:r>
      <w:proofErr w:type="spellStart"/>
      <w:r w:rsidRPr="4F9F5C11">
        <w:rPr>
          <w:lang w:val="en-US"/>
        </w:rPr>
        <w:t>prioritisation</w:t>
      </w:r>
      <w:proofErr w:type="spellEnd"/>
      <w:r w:rsidRPr="4F9F5C11">
        <w:rPr>
          <w:lang w:val="en-US"/>
        </w:rPr>
        <w:t>’</w:t>
      </w:r>
      <w:r>
        <w:t xml:space="preserve">. This should include advising the Australian Government on its strategies and priorities to invest in transport, water, communications, energy, social and economic infrastructure. </w:t>
      </w:r>
    </w:p>
    <w:p w14:paraId="689C219C" w14:textId="77777777" w:rsidR="0096059C" w:rsidRPr="00190A0C" w:rsidRDefault="0096059C" w:rsidP="000F7862">
      <w:pPr>
        <w:keepLines/>
        <w:pBdr>
          <w:top w:val="single" w:sz="4" w:space="1" w:color="4BB3B5"/>
          <w:left w:val="single" w:sz="4" w:space="4" w:color="4BB3B5"/>
          <w:bottom w:val="single" w:sz="4" w:space="1" w:color="4BB3B5"/>
          <w:right w:val="single" w:sz="4" w:space="4" w:color="4BB3B5"/>
        </w:pBdr>
        <w:spacing w:after="120"/>
        <w:rPr>
          <w:lang w:eastAsia="zh-TW"/>
        </w:rPr>
      </w:pPr>
      <w:r>
        <w:t>The Review recommends this mandate be defined in the</w:t>
      </w:r>
      <w:r w:rsidRPr="4F9F5C11">
        <w:t xml:space="preserve"> IA Act</w:t>
      </w:r>
      <w:r>
        <w:t xml:space="preserve">. </w:t>
      </w:r>
    </w:p>
    <w:p w14:paraId="0EE0FEEB" w14:textId="77777777" w:rsidR="0096059C" w:rsidRDefault="0096059C" w:rsidP="0096059C">
      <w:pPr>
        <w:pStyle w:val="Heading3notshowing"/>
      </w:pPr>
      <w:r>
        <w:t>Recommendation 2</w:t>
      </w:r>
    </w:p>
    <w:p w14:paraId="68A03591" w14:textId="77777777" w:rsidR="0096059C" w:rsidRDefault="0096059C" w:rsidP="0096059C">
      <w:pPr>
        <w:keepNext/>
        <w:keepLines/>
        <w:pBdr>
          <w:top w:val="single" w:sz="4" w:space="1" w:color="4BB3B5"/>
          <w:left w:val="single" w:sz="4" w:space="4" w:color="4BB3B5"/>
          <w:bottom w:val="single" w:sz="4" w:space="1" w:color="4BB3B5"/>
          <w:right w:val="single" w:sz="4" w:space="4" w:color="4BB3B5"/>
        </w:pBdr>
        <w:spacing w:after="120"/>
      </w:pPr>
      <w:r>
        <w:t xml:space="preserve">The Review recommends that to support Infrastructure Australia’s mandate, the Australian Government formally issues a Charter of Infrastructure Investment Objectives, which outlines the Government's national infrastructure investment objectives and intended performance standards. To provide long-term certainty and guidance, the Review recommends this Charter be issued on a five yearly basis ahead of the refresh of the Infrastructure Plan. </w:t>
      </w:r>
    </w:p>
    <w:p w14:paraId="6533DE5B" w14:textId="77777777" w:rsidR="0096059C" w:rsidRPr="00190A0C" w:rsidRDefault="0096059C" w:rsidP="000F7862">
      <w:pPr>
        <w:keepLines/>
        <w:pBdr>
          <w:top w:val="single" w:sz="4" w:space="1" w:color="4BB3B5"/>
          <w:left w:val="single" w:sz="4" w:space="4" w:color="4BB3B5"/>
          <w:bottom w:val="single" w:sz="4" w:space="1" w:color="4BB3B5"/>
          <w:right w:val="single" w:sz="4" w:space="4" w:color="4BB3B5"/>
        </w:pBdr>
        <w:spacing w:after="120"/>
        <w:rPr>
          <w:rFonts w:eastAsia="PMingLiU" w:cs="Mangal"/>
          <w:lang w:eastAsia="zh-TW"/>
        </w:rPr>
      </w:pPr>
      <w:r w:rsidRPr="4F9F5C11">
        <w:rPr>
          <w:rFonts w:eastAsia="PMingLiU" w:cs="Mangal"/>
          <w:lang w:eastAsia="zh-TW"/>
        </w:rPr>
        <w:t xml:space="preserve">The Review recommends the requirement for this Charter be formalised in the IA Act. </w:t>
      </w:r>
    </w:p>
    <w:p w14:paraId="47956765" w14:textId="77777777" w:rsidR="0096059C" w:rsidRDefault="0096059C" w:rsidP="0096059C">
      <w:pPr>
        <w:pStyle w:val="Heading3notshowing"/>
      </w:pPr>
      <w:r>
        <w:t>Recommendation 3</w:t>
      </w:r>
    </w:p>
    <w:p w14:paraId="49AC759E" w14:textId="77777777" w:rsidR="0096059C" w:rsidRPr="00996F63" w:rsidRDefault="0096059C" w:rsidP="000F7862">
      <w:pPr>
        <w:keepLines/>
        <w:pBdr>
          <w:top w:val="single" w:sz="4" w:space="1" w:color="4BB3B5"/>
          <w:left w:val="single" w:sz="4" w:space="4" w:color="4BB3B5"/>
          <w:bottom w:val="single" w:sz="4" w:space="1" w:color="4BB3B5"/>
          <w:right w:val="single" w:sz="4" w:space="4" w:color="4BB3B5"/>
        </w:pBdr>
        <w:spacing w:after="120"/>
        <w:rPr>
          <w:rFonts w:eastAsia="PMingLiU" w:cs="Mangal"/>
          <w:lang w:eastAsia="zh-TW"/>
        </w:rPr>
      </w:pPr>
      <w:r>
        <w:t xml:space="preserve">The Review recommends </w:t>
      </w:r>
      <w:r w:rsidRPr="4F9F5C11">
        <w:rPr>
          <w:lang w:val="en-US"/>
        </w:rPr>
        <w:t xml:space="preserve">that Infrastructure Australia’s existing product suite be refined to better support government infrastructure investment objectives and to inform the </w:t>
      </w:r>
      <w:r>
        <w:rPr>
          <w:lang w:val="en-US"/>
        </w:rPr>
        <w:t>b</w:t>
      </w:r>
      <w:r w:rsidRPr="4F9F5C11">
        <w:rPr>
          <w:lang w:val="en-US"/>
        </w:rPr>
        <w:t>udget process.</w:t>
      </w:r>
    </w:p>
    <w:p w14:paraId="67E47887" w14:textId="77777777" w:rsidR="0096059C" w:rsidRDefault="0096059C" w:rsidP="0096059C">
      <w:pPr>
        <w:pStyle w:val="Heading3notshowing"/>
      </w:pPr>
      <w:r>
        <w:lastRenderedPageBreak/>
        <w:t>Recommendation 4</w:t>
      </w:r>
    </w:p>
    <w:p w14:paraId="42F0D0EC" w14:textId="77777777" w:rsidR="0096059C" w:rsidRDefault="0096059C" w:rsidP="0096059C">
      <w:pPr>
        <w:keepNext/>
        <w:keepLines/>
        <w:pBdr>
          <w:top w:val="single" w:sz="4" w:space="1" w:color="4BB3B5"/>
          <w:left w:val="single" w:sz="4" w:space="4" w:color="4BB3B5"/>
          <w:bottom w:val="single" w:sz="4" w:space="1" w:color="4BB3B5"/>
          <w:right w:val="single" w:sz="4" w:space="4" w:color="4BB3B5"/>
        </w:pBdr>
        <w:spacing w:after="120"/>
        <w:rPr>
          <w:lang w:val="en-US"/>
        </w:rPr>
      </w:pPr>
      <w:r w:rsidRPr="4F9F5C11">
        <w:rPr>
          <w:lang w:val="en-US"/>
        </w:rPr>
        <w:t>The Review recommends that Infrastructure Australia also provide</w:t>
      </w:r>
      <w:r>
        <w:rPr>
          <w:lang w:val="en-US"/>
        </w:rPr>
        <w:t>s</w:t>
      </w:r>
      <w:r w:rsidRPr="4F9F5C11">
        <w:rPr>
          <w:lang w:val="en-US"/>
        </w:rPr>
        <w:t xml:space="preserve"> two new annual statements to the Australian Government to inform the a</w:t>
      </w:r>
      <w:r w:rsidRPr="00DD236E">
        <w:rPr>
          <w:lang w:val="en-US"/>
        </w:rPr>
        <w:t>nnual budget</w:t>
      </w:r>
      <w:r w:rsidRPr="4F9F5C11">
        <w:rPr>
          <w:lang w:val="en-US"/>
        </w:rPr>
        <w:t xml:space="preserve"> process on infrastructure investment, and report on the performance outcomes being achieved from the investment program and the existing project initiatives.</w:t>
      </w:r>
    </w:p>
    <w:p w14:paraId="2B8BCD92" w14:textId="4ACF06EC" w:rsidR="0096059C" w:rsidRPr="006A2866" w:rsidRDefault="0096059C" w:rsidP="000F7862">
      <w:pPr>
        <w:keepLines/>
        <w:pBdr>
          <w:top w:val="single" w:sz="4" w:space="1" w:color="4BB3B5"/>
          <w:left w:val="single" w:sz="4" w:space="4" w:color="4BB3B5"/>
          <w:bottom w:val="single" w:sz="4" w:space="1" w:color="4BB3B5"/>
          <w:right w:val="single" w:sz="4" w:space="4" w:color="4BB3B5"/>
        </w:pBdr>
        <w:spacing w:after="120"/>
        <w:rPr>
          <w:rFonts w:eastAsia="PMingLiU" w:cs="Mangal"/>
          <w:lang w:eastAsia="zh-TW"/>
        </w:rPr>
      </w:pPr>
      <w:r w:rsidRPr="4F9F5C11">
        <w:rPr>
          <w:rFonts w:eastAsia="PMingLiU" w:cs="Mangal"/>
          <w:lang w:eastAsia="zh-TW"/>
        </w:rPr>
        <w:t xml:space="preserve">The Review recommends </w:t>
      </w:r>
      <w:r w:rsidRPr="4F9F5C11">
        <w:rPr>
          <w:lang w:val="en-US"/>
        </w:rPr>
        <w:t>that the Government consider tabling these annual products in the interests of transparency and accountability.</w:t>
      </w:r>
    </w:p>
    <w:p w14:paraId="21D6BA06" w14:textId="77777777" w:rsidR="0096059C" w:rsidRDefault="0096059C" w:rsidP="0096059C">
      <w:pPr>
        <w:pStyle w:val="Heading3notshowing"/>
      </w:pPr>
      <w:r>
        <w:t>Recommendation 5</w:t>
      </w:r>
    </w:p>
    <w:p w14:paraId="45AB4668" w14:textId="77777777" w:rsidR="0096059C" w:rsidRPr="003F5327" w:rsidRDefault="0096059C" w:rsidP="000F7862">
      <w:pPr>
        <w:keepLines/>
        <w:pBdr>
          <w:top w:val="single" w:sz="4" w:space="1" w:color="4BB3B5"/>
          <w:left w:val="single" w:sz="4" w:space="4" w:color="4BB3B5"/>
          <w:bottom w:val="single" w:sz="4" w:space="1" w:color="4BB3B5"/>
          <w:right w:val="single" w:sz="4" w:space="4" w:color="4BB3B5"/>
        </w:pBdr>
        <w:spacing w:after="120"/>
        <w:rPr>
          <w:rFonts w:eastAsia="PMingLiU" w:cs="Mangal"/>
          <w:lang w:eastAsia="zh-TW"/>
        </w:rPr>
      </w:pPr>
      <w:r w:rsidRPr="4F9F5C11">
        <w:rPr>
          <w:lang w:val="en-US"/>
        </w:rPr>
        <w:t>The Review recommends that there is a requirement within the IA Act that the Australian Government must formally, and publicly, respond to Infrastructure Australia’s advice, findings and recommendations within six months.</w:t>
      </w:r>
    </w:p>
    <w:p w14:paraId="145CBBCE" w14:textId="77777777" w:rsidR="0096059C" w:rsidRDefault="0096059C" w:rsidP="0096059C">
      <w:pPr>
        <w:pStyle w:val="Heading3notshowing"/>
      </w:pPr>
      <w:r>
        <w:t>Recommendation 6</w:t>
      </w:r>
    </w:p>
    <w:p w14:paraId="449D7BFE" w14:textId="77777777" w:rsidR="0096059C" w:rsidRPr="003F5327" w:rsidRDefault="0096059C" w:rsidP="000F7862">
      <w:pPr>
        <w:keepLines/>
        <w:pBdr>
          <w:top w:val="single" w:sz="4" w:space="1" w:color="4BB3B5"/>
          <w:left w:val="single" w:sz="4" w:space="4" w:color="4BB3B5"/>
          <w:bottom w:val="single" w:sz="4" w:space="1" w:color="4BB3B5"/>
          <w:right w:val="single" w:sz="4" w:space="4" w:color="4BB3B5"/>
        </w:pBdr>
        <w:spacing w:after="120"/>
        <w:rPr>
          <w:rFonts w:eastAsia="PMingLiU" w:cs="Mangal"/>
          <w:lang w:eastAsia="zh-TW"/>
        </w:rPr>
      </w:pPr>
      <w:r>
        <w:t>The Review recommends that Infrastructure Australia’s remit be expanded to include social infrastructure (where it is relevant to the infrastructure investment project, or place and precinct in question) as well as future investment challenges where Infrastructure Australia’s position as the national advisor best enables it to incorporate those challenges in its advice and analysis</w:t>
      </w:r>
      <w:r w:rsidRPr="4F9F5C11">
        <w:rPr>
          <w:lang w:val="en-US"/>
        </w:rPr>
        <w:t>.</w:t>
      </w:r>
    </w:p>
    <w:p w14:paraId="2E1AD21F" w14:textId="77777777" w:rsidR="000245EF" w:rsidRDefault="000245EF" w:rsidP="000245EF">
      <w:pPr>
        <w:pStyle w:val="Heading3notshowing"/>
      </w:pPr>
      <w:r>
        <w:t>Recommendation 7</w:t>
      </w:r>
    </w:p>
    <w:p w14:paraId="55FBB817" w14:textId="77777777" w:rsidR="000245EF" w:rsidRPr="003F08CD" w:rsidRDefault="000245EF" w:rsidP="000F7862">
      <w:pPr>
        <w:keepLines/>
        <w:pBdr>
          <w:top w:val="single" w:sz="4" w:space="1" w:color="4BB3B5"/>
          <w:left w:val="single" w:sz="4" w:space="4" w:color="4BB3B5"/>
          <w:bottom w:val="single" w:sz="4" w:space="1" w:color="4BB3B5"/>
          <w:right w:val="single" w:sz="4" w:space="4" w:color="4BB3B5"/>
        </w:pBdr>
        <w:spacing w:after="120"/>
        <w:rPr>
          <w:rFonts w:eastAsia="PMingLiU" w:cs="Mangal"/>
          <w:lang w:eastAsia="zh-TW"/>
        </w:rPr>
      </w:pPr>
      <w:r>
        <w:t xml:space="preserve">The Review recommends that Infrastructure Australia develops a national planning and assessment framework, providing uniform guidelines based on best practice to support national consistency and coordination in infrastructure assessment. This work must have regard </w:t>
      </w:r>
      <w:r w:rsidRPr="4F9F5C11">
        <w:rPr>
          <w:rFonts w:eastAsia="Calibri" w:cs="Calibri"/>
          <w:lang w:val="en-US"/>
        </w:rPr>
        <w:t>to and build in the broader government infrastructure objectives as outlined in the Charter and the Plan</w:t>
      </w:r>
      <w:r>
        <w:rPr>
          <w:rFonts w:eastAsia="PMingLiU" w:cs="Mangal"/>
          <w:lang w:eastAsia="zh-TW"/>
        </w:rPr>
        <w:t xml:space="preserve">. </w:t>
      </w:r>
    </w:p>
    <w:p w14:paraId="4A42B7E5" w14:textId="66D54E36" w:rsidR="000245EF" w:rsidRDefault="000245EF" w:rsidP="000245EF">
      <w:pPr>
        <w:pStyle w:val="Heading3notshowing"/>
      </w:pPr>
      <w:r>
        <w:t>Recommendation 8</w:t>
      </w:r>
    </w:p>
    <w:p w14:paraId="7C95A8B9" w14:textId="77777777" w:rsidR="000245EF" w:rsidRDefault="000245EF" w:rsidP="000245EF">
      <w:pPr>
        <w:keepNext/>
        <w:keepLines/>
        <w:pBdr>
          <w:top w:val="single" w:sz="4" w:space="1" w:color="4BB3B5"/>
          <w:left w:val="single" w:sz="4" w:space="4" w:color="4BB3B5"/>
          <w:bottom w:val="single" w:sz="4" w:space="1" w:color="4BB3B5"/>
          <w:right w:val="single" w:sz="4" w:space="4" w:color="4BB3B5"/>
        </w:pBdr>
        <w:spacing w:after="120"/>
        <w:rPr>
          <w:lang w:val="en-US"/>
        </w:rPr>
      </w:pPr>
      <w:r w:rsidRPr="4F9F5C11">
        <w:rPr>
          <w:lang w:val="en-US"/>
        </w:rPr>
        <w:t>The Review recommends that Infrastructure Australia’s role in the project assessment context becomes one of accreditation or peer-review, acknowledging that many state and territories have developed their own project assessment capabilities. Such arrangements should apply across all projects, including those involving Commonwealth investments of over $250 million or recognised as ‘nationally significant’.</w:t>
      </w:r>
    </w:p>
    <w:p w14:paraId="1476CDED" w14:textId="77777777" w:rsidR="000245EF" w:rsidRPr="00C77B8F" w:rsidRDefault="000245EF" w:rsidP="000F7862">
      <w:pPr>
        <w:keepLines/>
        <w:pBdr>
          <w:top w:val="single" w:sz="4" w:space="1" w:color="4BB3B5"/>
          <w:left w:val="single" w:sz="4" w:space="4" w:color="4BB3B5"/>
          <w:bottom w:val="single" w:sz="4" w:space="1" w:color="4BB3B5"/>
          <w:right w:val="single" w:sz="4" w:space="4" w:color="4BB3B5"/>
        </w:pBdr>
        <w:spacing w:after="120"/>
        <w:rPr>
          <w:rFonts w:eastAsia="PMingLiU" w:cs="Mangal"/>
          <w:lang w:eastAsia="zh-TW"/>
        </w:rPr>
      </w:pPr>
      <w:r w:rsidRPr="4F9F5C11">
        <w:rPr>
          <w:rFonts w:eastAsia="PMingLiU" w:cs="Mangal"/>
          <w:lang w:eastAsia="zh-TW"/>
        </w:rPr>
        <w:t xml:space="preserve">Where </w:t>
      </w:r>
      <w:r w:rsidRPr="4F9F5C11">
        <w:rPr>
          <w:rFonts w:eastAsia="Calibri" w:cs="Calibri"/>
          <w:lang w:val="en-US"/>
        </w:rPr>
        <w:t>a state or territory framework does not provide the necessary assurance or have not been accredited and the project involves Commonwealth investments of over $250 million or is recognised as ‘nationally significant’</w:t>
      </w:r>
      <w:r>
        <w:rPr>
          <w:rFonts w:eastAsia="Calibri" w:cs="Calibri"/>
          <w:lang w:val="en-US"/>
        </w:rPr>
        <w:t>,</w:t>
      </w:r>
      <w:r w:rsidRPr="4F9F5C11">
        <w:rPr>
          <w:rFonts w:eastAsia="Calibri" w:cs="Calibri"/>
          <w:lang w:val="en-US"/>
        </w:rPr>
        <w:t xml:space="preserve"> Infrastructure Australia will undertake a full assessment</w:t>
      </w:r>
      <w:r w:rsidRPr="4F9F5C11">
        <w:rPr>
          <w:lang w:val="en-US"/>
        </w:rPr>
        <w:t>. Infrastructure Australia’s assessment must be against the Charter objectives and strategies as outlined in the Plan.</w:t>
      </w:r>
    </w:p>
    <w:p w14:paraId="2CC6B55F" w14:textId="32937F2D" w:rsidR="000245EF" w:rsidRDefault="000245EF" w:rsidP="000245EF">
      <w:pPr>
        <w:pStyle w:val="Heading3notshowing"/>
      </w:pPr>
      <w:r>
        <w:t>Recommendation 9</w:t>
      </w:r>
    </w:p>
    <w:p w14:paraId="5E28C0CC" w14:textId="77777777" w:rsidR="000245EF" w:rsidRPr="006A2866" w:rsidRDefault="000245EF" w:rsidP="000F7862">
      <w:pPr>
        <w:keepLines/>
        <w:pBdr>
          <w:top w:val="single" w:sz="4" w:space="1" w:color="4BB3B5"/>
          <w:left w:val="single" w:sz="4" w:space="4" w:color="4BB3B5"/>
          <w:bottom w:val="single" w:sz="4" w:space="1" w:color="4BB3B5"/>
          <w:right w:val="single" w:sz="4" w:space="4" w:color="4BB3B5"/>
        </w:pBdr>
        <w:spacing w:after="120"/>
        <w:rPr>
          <w:rFonts w:eastAsia="PMingLiU" w:cs="Mangal"/>
          <w:lang w:eastAsia="zh-TW"/>
        </w:rPr>
      </w:pPr>
      <w:r>
        <w:t>The Review also recommends that, reflecting Infrastructure Australia’s role as the national advisor, it adopts a much more active role in the post-completion stage through having a clear national evaluation and assurance role against the Charter and Plan</w:t>
      </w:r>
      <w:r w:rsidRPr="4F9F5C11">
        <w:rPr>
          <w:lang w:val="en-US"/>
        </w:rPr>
        <w:t>.</w:t>
      </w:r>
    </w:p>
    <w:p w14:paraId="4B1B49E3" w14:textId="618E472A" w:rsidR="000245EF" w:rsidRDefault="000245EF" w:rsidP="000245EF">
      <w:pPr>
        <w:pStyle w:val="Heading3notshowing"/>
      </w:pPr>
      <w:r>
        <w:t>Recommendation 10</w:t>
      </w:r>
    </w:p>
    <w:p w14:paraId="70EE719D" w14:textId="757BBE48" w:rsidR="000245EF" w:rsidRPr="00CD2038" w:rsidRDefault="000245EF" w:rsidP="000F7862">
      <w:pPr>
        <w:keepLines/>
        <w:pBdr>
          <w:top w:val="single" w:sz="4" w:space="1" w:color="4BB3B5"/>
          <w:left w:val="single" w:sz="4" w:space="4" w:color="4BB3B5"/>
          <w:bottom w:val="single" w:sz="4" w:space="1" w:color="4BB3B5"/>
          <w:right w:val="single" w:sz="4" w:space="4" w:color="4BB3B5"/>
        </w:pBdr>
        <w:spacing w:after="120"/>
        <w:rPr>
          <w:rFonts w:eastAsia="PMingLiU" w:cs="Mangal"/>
          <w:lang w:eastAsia="zh-TW"/>
        </w:rPr>
      </w:pPr>
      <w:r>
        <w:t xml:space="preserve">The Review recommends the formation of an I-bodies council to enable better collaboration and coordination between Infrastructure Australia and state and territories. This formation could be formalised in the IA Act or be made a sub-committee of the Board (see also </w:t>
      </w:r>
      <w:hyperlink w:anchor="_An_appropriate_Board">
        <w:r w:rsidRPr="4F9F5C11">
          <w:rPr>
            <w:rStyle w:val="Hyperlink"/>
          </w:rPr>
          <w:t>‘An appropriate Board and governance model’</w:t>
        </w:r>
      </w:hyperlink>
      <w:r>
        <w:t>)</w:t>
      </w:r>
      <w:r w:rsidRPr="4F9F5C11">
        <w:rPr>
          <w:lang w:val="en-US"/>
        </w:rPr>
        <w:t>.</w:t>
      </w:r>
    </w:p>
    <w:p w14:paraId="64400C6A" w14:textId="77777777" w:rsidR="000245EF" w:rsidRDefault="000245EF" w:rsidP="000245EF">
      <w:pPr>
        <w:pStyle w:val="Heading3notshowing"/>
      </w:pPr>
      <w:r>
        <w:t>Recommendation 11</w:t>
      </w:r>
    </w:p>
    <w:p w14:paraId="08293BB7" w14:textId="77777777" w:rsidR="000245EF" w:rsidRPr="000329D9" w:rsidRDefault="000245EF" w:rsidP="000F7862">
      <w:pPr>
        <w:keepLines/>
        <w:pBdr>
          <w:top w:val="single" w:sz="4" w:space="1" w:color="4BB3B5"/>
          <w:left w:val="single" w:sz="4" w:space="4" w:color="4BB3B5"/>
          <w:bottom w:val="single" w:sz="4" w:space="1" w:color="4BB3B5"/>
          <w:right w:val="single" w:sz="4" w:space="4" w:color="4BB3B5"/>
        </w:pBdr>
        <w:spacing w:after="120"/>
        <w:rPr>
          <w:rFonts w:eastAsia="PMingLiU" w:cs="Mangal"/>
          <w:lang w:eastAsia="zh-TW"/>
        </w:rPr>
      </w:pPr>
      <w:r>
        <w:t xml:space="preserve">The Review recommends the definition of ‘national significance’, in the context of project assessment, is revised to include both the $250 million monetary threshold figure as well as a list of non-monetary metrics, including factors as outlined in the five yearly Charter and/or a supplementary </w:t>
      </w:r>
      <w:proofErr w:type="spellStart"/>
      <w:r>
        <w:t>SoE</w:t>
      </w:r>
      <w:proofErr w:type="spellEnd"/>
      <w:r w:rsidRPr="4F9F5C11">
        <w:rPr>
          <w:lang w:val="en-US"/>
        </w:rPr>
        <w:t>.</w:t>
      </w:r>
    </w:p>
    <w:p w14:paraId="61B1D42B" w14:textId="2A3EB9B8" w:rsidR="00D902B1" w:rsidRDefault="00D902B1" w:rsidP="00D902B1">
      <w:pPr>
        <w:pStyle w:val="Heading3notshowing"/>
      </w:pPr>
      <w:r>
        <w:lastRenderedPageBreak/>
        <w:t>Recommendation 12</w:t>
      </w:r>
    </w:p>
    <w:p w14:paraId="7E256436" w14:textId="77777777" w:rsidR="00D902B1" w:rsidRDefault="00D902B1" w:rsidP="00D902B1">
      <w:pPr>
        <w:keepNext/>
        <w:keepLines/>
        <w:pBdr>
          <w:top w:val="single" w:sz="4" w:space="1" w:color="4BB3B5"/>
          <w:left w:val="single" w:sz="4" w:space="4" w:color="4BB3B5"/>
          <w:bottom w:val="single" w:sz="4" w:space="1" w:color="4BB3B5"/>
          <w:right w:val="single" w:sz="4" w:space="4" w:color="4BB3B5"/>
        </w:pBdr>
        <w:spacing w:after="120"/>
      </w:pPr>
      <w:r>
        <w:t>The Review recommends that Infrastructure Australia be provided powers to undertake formal inquiries into national infrastructure investment topics, and supporting powers to enable it to carry out such inquiries. Matters may be referred by the Minister or may be undertaken by Infrastructure Australia, on its own initiative and in line with its Charter.</w:t>
      </w:r>
    </w:p>
    <w:p w14:paraId="7B826FB6" w14:textId="77777777" w:rsidR="00D902B1" w:rsidRDefault="00D902B1" w:rsidP="00D902B1">
      <w:pPr>
        <w:keepNext/>
        <w:keepLines/>
        <w:pBdr>
          <w:top w:val="single" w:sz="4" w:space="1" w:color="4BB3B5"/>
          <w:left w:val="single" w:sz="4" w:space="4" w:color="4BB3B5"/>
          <w:bottom w:val="single" w:sz="4" w:space="1" w:color="4BB3B5"/>
          <w:right w:val="single" w:sz="4" w:space="4" w:color="4BB3B5"/>
        </w:pBdr>
        <w:spacing w:after="120"/>
      </w:pPr>
      <w:r>
        <w:t xml:space="preserve">The IA Act should be amended to include similar provisions such as those in Parts 2, 3 and 4 of the </w:t>
      </w:r>
      <w:r w:rsidRPr="4F9F5C11">
        <w:rPr>
          <w:i/>
          <w:iCs/>
        </w:rPr>
        <w:t xml:space="preserve">Productivity Commission Act 1998 </w:t>
      </w:r>
      <w:r>
        <w:t>(</w:t>
      </w:r>
      <w:proofErr w:type="spellStart"/>
      <w:r>
        <w:t>Cth</w:t>
      </w:r>
      <w:proofErr w:type="spellEnd"/>
      <w:r>
        <w:t>) outlining the formal inquiry role and necessary functions and powers required perform this function.</w:t>
      </w:r>
    </w:p>
    <w:p w14:paraId="5604A24F" w14:textId="77777777" w:rsidR="00D902B1" w:rsidRDefault="00D902B1" w:rsidP="00D902B1">
      <w:pPr>
        <w:keepNext/>
        <w:keepLines/>
        <w:pBdr>
          <w:top w:val="single" w:sz="4" w:space="1" w:color="4BB3B5"/>
          <w:left w:val="single" w:sz="4" w:space="4" w:color="4BB3B5"/>
          <w:bottom w:val="single" w:sz="4" w:space="1" w:color="4BB3B5"/>
          <w:right w:val="single" w:sz="4" w:space="4" w:color="4BB3B5"/>
        </w:pBdr>
        <w:spacing w:after="120"/>
        <w:rPr>
          <w:lang w:val="en-US"/>
        </w:rPr>
      </w:pPr>
      <w:r w:rsidRPr="4F9F5C11">
        <w:rPr>
          <w:lang w:val="en-US"/>
        </w:rPr>
        <w:t>In performing its commission and inquiry functions, Infrastructure Australia should have regard to matters including ‘national significance’, infrastructure investment, collaboration and coordination with state and territory projects and I-bodies, and engagement with the private sector.</w:t>
      </w:r>
    </w:p>
    <w:p w14:paraId="0AD3A105" w14:textId="77777777" w:rsidR="00D902B1" w:rsidRDefault="00D902B1" w:rsidP="00D902B1">
      <w:pPr>
        <w:keepNext/>
        <w:keepLines/>
        <w:pBdr>
          <w:top w:val="single" w:sz="4" w:space="1" w:color="4BB3B5"/>
          <w:left w:val="single" w:sz="4" w:space="4" w:color="4BB3B5"/>
          <w:bottom w:val="single" w:sz="4" w:space="1" w:color="4BB3B5"/>
          <w:right w:val="single" w:sz="4" w:space="4" w:color="4BB3B5"/>
        </w:pBdr>
        <w:spacing w:after="120"/>
        <w:rPr>
          <w:lang w:val="en-US"/>
        </w:rPr>
      </w:pPr>
      <w:r w:rsidRPr="4F9F5C11">
        <w:rPr>
          <w:lang w:val="en-US"/>
        </w:rPr>
        <w:t xml:space="preserve">A copy of the Infrastructure Australia inquiry report should be tabled in each House of Parliament within </w:t>
      </w:r>
      <w:r>
        <w:br/>
      </w:r>
      <w:r w:rsidRPr="4F9F5C11">
        <w:rPr>
          <w:lang w:val="en-US"/>
        </w:rPr>
        <w:t>25 sitting days of that House, and after the day the Minister has received the report.</w:t>
      </w:r>
    </w:p>
    <w:p w14:paraId="73D4FB01" w14:textId="77777777" w:rsidR="00D902B1" w:rsidRPr="000329D9" w:rsidRDefault="00D902B1" w:rsidP="00D902B1">
      <w:pPr>
        <w:keepNext/>
        <w:keepLines/>
        <w:pBdr>
          <w:top w:val="single" w:sz="4" w:space="1" w:color="4BB3B5"/>
          <w:left w:val="single" w:sz="4" w:space="4" w:color="4BB3B5"/>
          <w:bottom w:val="single" w:sz="4" w:space="1" w:color="4BB3B5"/>
          <w:right w:val="single" w:sz="4" w:space="4" w:color="4BB3B5"/>
        </w:pBdr>
        <w:spacing w:after="120"/>
        <w:rPr>
          <w:rFonts w:eastAsia="PMingLiU" w:cs="Mangal"/>
          <w:lang w:eastAsia="zh-TW"/>
        </w:rPr>
      </w:pPr>
      <w:r w:rsidRPr="4F9F5C11">
        <w:rPr>
          <w:lang w:val="en-US"/>
        </w:rPr>
        <w:t xml:space="preserve">The Government must formally respond to the report and findings of Infrastructure Australia. </w:t>
      </w:r>
    </w:p>
    <w:p w14:paraId="316016F8" w14:textId="77777777" w:rsidR="00D902B1" w:rsidRDefault="00D902B1" w:rsidP="00D902B1">
      <w:pPr>
        <w:pStyle w:val="Heading3notshowing"/>
      </w:pPr>
      <w:r>
        <w:t xml:space="preserve">Recommendation 13 </w:t>
      </w:r>
    </w:p>
    <w:p w14:paraId="4E5DEC5A" w14:textId="273FCB91" w:rsidR="00D902B1" w:rsidRPr="00316D87" w:rsidRDefault="00D902B1" w:rsidP="00D902B1">
      <w:pPr>
        <w:keepNext/>
        <w:keepLines/>
        <w:pBdr>
          <w:top w:val="single" w:sz="4" w:space="1" w:color="4BB3B5"/>
          <w:left w:val="single" w:sz="4" w:space="4" w:color="4BB3B5"/>
          <w:bottom w:val="single" w:sz="4" w:space="1" w:color="4BB3B5"/>
          <w:right w:val="single" w:sz="4" w:space="4" w:color="4BB3B5"/>
        </w:pBdr>
        <w:spacing w:after="120"/>
        <w:rPr>
          <w:rFonts w:eastAsia="Calibri" w:cs="Calibri"/>
          <w:lang w:val="en-US"/>
        </w:rPr>
      </w:pPr>
      <w:r w:rsidRPr="4F9F5C11">
        <w:rPr>
          <w:rFonts w:eastAsia="Calibri" w:cs="Calibri"/>
          <w:lang w:val="en-US"/>
        </w:rPr>
        <w:t xml:space="preserve">The Review recommends the Government consider the three structure governance model options as discussed above to strengthen the role and influence of Infrastructure Australia through its governance framework. The Review notes its preferred model is that of a </w:t>
      </w:r>
      <w:r w:rsidRPr="4F9F5C11">
        <w:rPr>
          <w:rFonts w:eastAsia="Calibri" w:cs="Calibri"/>
          <w:b/>
          <w:bCs/>
          <w:lang w:val="en-US"/>
        </w:rPr>
        <w:t>commission model</w:t>
      </w:r>
      <w:r w:rsidR="003579B0">
        <w:rPr>
          <w:rFonts w:eastAsia="Calibri" w:cs="Calibri"/>
          <w:bCs/>
          <w:lang w:val="en-US"/>
        </w:rPr>
        <w:t xml:space="preserve"> (option 2)</w:t>
      </w:r>
      <w:r w:rsidRPr="4F9F5C11">
        <w:rPr>
          <w:rFonts w:eastAsia="Calibri" w:cs="Calibri"/>
          <w:lang w:val="en-US"/>
        </w:rPr>
        <w:t xml:space="preserve">. The commission would be formed to lead the agency as well as have power to undertake inquiries on topics, as discussed in the section on </w:t>
      </w:r>
      <w:hyperlink w:anchor="_Improving_national_investment">
        <w:r w:rsidRPr="4F9F5C11">
          <w:rPr>
            <w:rStyle w:val="Hyperlink"/>
            <w:rFonts w:eastAsia="Calibri" w:cs="Calibri"/>
            <w:lang w:val="en-US"/>
          </w:rPr>
          <w:t>Infrastructure Australia inquiry powers</w:t>
        </w:r>
      </w:hyperlink>
      <w:r w:rsidRPr="4F9F5C11">
        <w:rPr>
          <w:rFonts w:eastAsia="Calibri" w:cs="Calibri"/>
          <w:lang w:val="en-US"/>
        </w:rPr>
        <w:t xml:space="preserve">. </w:t>
      </w:r>
    </w:p>
    <w:p w14:paraId="0C9FB0DF" w14:textId="77777777" w:rsidR="00D902B1" w:rsidRDefault="00D902B1" w:rsidP="00D902B1">
      <w:pPr>
        <w:pStyle w:val="Heading3notshowing"/>
      </w:pPr>
      <w:r>
        <w:t xml:space="preserve">Recommendation 14 </w:t>
      </w:r>
    </w:p>
    <w:p w14:paraId="65511AC6" w14:textId="420C0BB4" w:rsidR="00D902B1" w:rsidRPr="007D6EA1" w:rsidRDefault="00D902B1" w:rsidP="00D902B1">
      <w:pPr>
        <w:keepNext/>
        <w:keepLines/>
        <w:pBdr>
          <w:top w:val="single" w:sz="4" w:space="1" w:color="4BB3B5"/>
          <w:left w:val="single" w:sz="4" w:space="4" w:color="4BB3B5"/>
          <w:bottom w:val="single" w:sz="4" w:space="1" w:color="4BB3B5"/>
          <w:right w:val="single" w:sz="4" w:space="4" w:color="4BB3B5"/>
        </w:pBdr>
        <w:spacing w:after="120"/>
      </w:pPr>
      <w:r>
        <w:t>The Review recommends the establishment of a C</w:t>
      </w:r>
      <w:r w:rsidR="00687DC5">
        <w:t xml:space="preserve">ities and </w:t>
      </w:r>
      <w:r>
        <w:t>S</w:t>
      </w:r>
      <w:r w:rsidR="00687DC5">
        <w:t xml:space="preserve">uburbs </w:t>
      </w:r>
      <w:r>
        <w:t>U</w:t>
      </w:r>
      <w:r w:rsidR="00687DC5">
        <w:t>nit</w:t>
      </w:r>
      <w:r>
        <w:t xml:space="preserve"> within D</w:t>
      </w:r>
      <w:r w:rsidR="00687DC5">
        <w:t>epartment of Infrastructure, Transport, Regional Development, Communications and the Arts (DITRDCA)</w:t>
      </w:r>
      <w:r>
        <w:t>.</w:t>
      </w:r>
    </w:p>
    <w:p w14:paraId="613826DB" w14:textId="77777777" w:rsidR="00D902B1" w:rsidRDefault="00D902B1" w:rsidP="00D902B1">
      <w:pPr>
        <w:pStyle w:val="Heading3notshowing"/>
      </w:pPr>
      <w:r>
        <w:t>Recommendation 15</w:t>
      </w:r>
    </w:p>
    <w:p w14:paraId="423787B6" w14:textId="655EDF23" w:rsidR="00D902B1" w:rsidRPr="005C57D2" w:rsidRDefault="00D902B1" w:rsidP="00D902B1">
      <w:pPr>
        <w:keepNext/>
        <w:keepLines/>
        <w:pBdr>
          <w:top w:val="single" w:sz="4" w:space="1" w:color="4BB3B5"/>
          <w:left w:val="single" w:sz="4" w:space="4" w:color="4BB3B5"/>
          <w:bottom w:val="single" w:sz="4" w:space="1" w:color="4BB3B5"/>
          <w:right w:val="single" w:sz="4" w:space="4" w:color="4BB3B5"/>
        </w:pBdr>
        <w:spacing w:after="120"/>
      </w:pPr>
      <w:r>
        <w:t>The Review recommends that the Government clearly delineate the roles and responsibilities of Infrastructure Australia vis-a-vis other Commonwealth infrastructure bodies, including I</w:t>
      </w:r>
      <w:r w:rsidR="00687DC5">
        <w:t>nfrastructure and Commercial Advisory Office</w:t>
      </w:r>
      <w:r>
        <w:t xml:space="preserve"> and DITRDCA (I</w:t>
      </w:r>
      <w:r w:rsidR="00687DC5">
        <w:t xml:space="preserve">nfrastructure </w:t>
      </w:r>
      <w:r>
        <w:t>I</w:t>
      </w:r>
      <w:r w:rsidR="00687DC5">
        <w:t>nvestment Division</w:t>
      </w:r>
      <w:r>
        <w:t xml:space="preserve"> and S</w:t>
      </w:r>
      <w:r w:rsidR="00687DC5">
        <w:t xml:space="preserve">ignificant </w:t>
      </w:r>
      <w:r>
        <w:t>P</w:t>
      </w:r>
      <w:r w:rsidR="00687DC5">
        <w:t xml:space="preserve">rojects </w:t>
      </w:r>
      <w:r>
        <w:t>I</w:t>
      </w:r>
      <w:r w:rsidR="00687DC5">
        <w:t xml:space="preserve">nvestment </w:t>
      </w:r>
      <w:r>
        <w:t>D</w:t>
      </w:r>
      <w:r w:rsidR="00687DC5">
        <w:t xml:space="preserve">elivery </w:t>
      </w:r>
      <w:r>
        <w:t>O</w:t>
      </w:r>
      <w:r w:rsidR="00687DC5">
        <w:t>ffice</w:t>
      </w:r>
      <w:r>
        <w:t>). This should include investigating options for closer collaboration to provide each other mutual support in carrying out their respective roles, as advisors on infrastructure matters to the Australian Government.</w:t>
      </w:r>
    </w:p>
    <w:p w14:paraId="0F5D07D9" w14:textId="41DE435B" w:rsidR="00D902B1" w:rsidRDefault="00D902B1" w:rsidP="00D902B1">
      <w:pPr>
        <w:pStyle w:val="Heading3notshowing"/>
      </w:pPr>
      <w:r>
        <w:t>Recommendation 16</w:t>
      </w:r>
    </w:p>
    <w:p w14:paraId="7F02BE0F" w14:textId="439916D5" w:rsidR="00D902B1" w:rsidRDefault="00D902B1" w:rsidP="00D902B1">
      <w:pPr>
        <w:keepNext/>
        <w:keepLines/>
        <w:pBdr>
          <w:top w:val="single" w:sz="4" w:space="1" w:color="4BB3B5"/>
          <w:left w:val="single" w:sz="4" w:space="4" w:color="4BB3B5"/>
          <w:bottom w:val="single" w:sz="4" w:space="1" w:color="4BB3B5"/>
          <w:right w:val="single" w:sz="4" w:space="4" w:color="4BB3B5"/>
        </w:pBdr>
        <w:spacing w:after="120"/>
      </w:pPr>
      <w:r>
        <w:t xml:space="preserve">The Review recommends that Infrastructure Australia be placed within either </w:t>
      </w:r>
      <w:r w:rsidR="00716775">
        <w:t xml:space="preserve">Department of </w:t>
      </w:r>
      <w:r>
        <w:t>P</w:t>
      </w:r>
      <w:r w:rsidR="00687DC5">
        <w:t xml:space="preserve">rime </w:t>
      </w:r>
      <w:r>
        <w:t>M</w:t>
      </w:r>
      <w:r w:rsidR="00687DC5">
        <w:t xml:space="preserve">inister and </w:t>
      </w:r>
      <w:r>
        <w:t>C</w:t>
      </w:r>
      <w:r w:rsidR="00687DC5">
        <w:t>abinet</w:t>
      </w:r>
      <w:r>
        <w:t xml:space="preserve"> or the Department of Treasury, through changes to the A</w:t>
      </w:r>
      <w:r w:rsidR="00687DC5">
        <w:t xml:space="preserve">dministrative </w:t>
      </w:r>
      <w:r>
        <w:t>A</w:t>
      </w:r>
      <w:r w:rsidR="00687DC5">
        <w:t xml:space="preserve">rrangements </w:t>
      </w:r>
      <w:r>
        <w:t>O</w:t>
      </w:r>
      <w:r w:rsidR="00687DC5">
        <w:t>rder</w:t>
      </w:r>
      <w:r>
        <w:t>.</w:t>
      </w:r>
    </w:p>
    <w:p w14:paraId="2742486D" w14:textId="55713372" w:rsidR="00D902B1" w:rsidRPr="005C57D2" w:rsidRDefault="00D902B1" w:rsidP="00D902B1">
      <w:pPr>
        <w:keepNext/>
        <w:keepLines/>
        <w:pBdr>
          <w:top w:val="single" w:sz="4" w:space="1" w:color="4BB3B5"/>
          <w:left w:val="single" w:sz="4" w:space="4" w:color="4BB3B5"/>
          <w:bottom w:val="single" w:sz="4" w:space="1" w:color="4BB3B5"/>
          <w:right w:val="single" w:sz="4" w:space="4" w:color="4BB3B5"/>
        </w:pBdr>
        <w:spacing w:after="120"/>
      </w:pPr>
      <w:r>
        <w:t xml:space="preserve">Should the Government decide not to support Recommendation 16, the Review strongly urges the Government to consider the option of including the Secretaries of these two central agencies on the Infrastructure Australia Board as ex officio members, as discussed in </w:t>
      </w:r>
      <w:hyperlink w:anchor="_An_appropriate_Board">
        <w:r w:rsidRPr="4F9F5C11">
          <w:rPr>
            <w:rStyle w:val="Hyperlink"/>
          </w:rPr>
          <w:t>‘An appropriate Board and governance model’</w:t>
        </w:r>
      </w:hyperlink>
      <w:r>
        <w:t xml:space="preserve">. </w:t>
      </w:r>
    </w:p>
    <w:p w14:paraId="7D44C63A" w14:textId="77777777" w:rsidR="0096059C" w:rsidRDefault="0096059C" w:rsidP="0096059C">
      <w:pPr>
        <w:pStyle w:val="Heading3notshowing"/>
      </w:pPr>
      <w:r>
        <w:t xml:space="preserve">For government consideration </w:t>
      </w:r>
    </w:p>
    <w:p w14:paraId="52759FF2" w14:textId="46E2DBCA" w:rsidR="0096059C" w:rsidRPr="003F5327" w:rsidRDefault="0096059C" w:rsidP="000F7862">
      <w:pPr>
        <w:keepLines/>
        <w:pBdr>
          <w:top w:val="single" w:sz="4" w:space="1" w:color="4BB3B5"/>
          <w:left w:val="single" w:sz="4" w:space="4" w:color="4BB3B5"/>
          <w:bottom w:val="single" w:sz="4" w:space="1" w:color="4BB3B5"/>
          <w:right w:val="single" w:sz="4" w:space="4" w:color="4BB3B5"/>
        </w:pBdr>
        <w:spacing w:after="120"/>
        <w:rPr>
          <w:rFonts w:eastAsia="PMingLiU" w:cs="Mangal"/>
          <w:lang w:eastAsia="zh-TW"/>
        </w:rPr>
      </w:pPr>
      <w:r w:rsidRPr="4F9F5C11">
        <w:rPr>
          <w:rStyle w:val="normaltextrun"/>
          <w:rFonts w:cs="Calibri"/>
        </w:rPr>
        <w:t xml:space="preserve">The Review urges the Australian Government consider, especially from the asset maintenance, management and resilience building perspective, how to utilise the existing </w:t>
      </w:r>
      <w:r w:rsidR="00687DC5">
        <w:rPr>
          <w:rStyle w:val="normaltextrun"/>
          <w:rFonts w:cs="Calibri"/>
        </w:rPr>
        <w:t xml:space="preserve">Regional </w:t>
      </w:r>
      <w:r w:rsidRPr="4F9F5C11">
        <w:rPr>
          <w:rStyle w:val="normaltextrun"/>
          <w:rFonts w:cs="Calibri"/>
        </w:rPr>
        <w:t>D</w:t>
      </w:r>
      <w:r w:rsidR="00687DC5">
        <w:rPr>
          <w:rStyle w:val="normaltextrun"/>
          <w:rFonts w:cs="Calibri"/>
        </w:rPr>
        <w:t xml:space="preserve">evelopment </w:t>
      </w:r>
      <w:r w:rsidRPr="4F9F5C11">
        <w:rPr>
          <w:rStyle w:val="normaltextrun"/>
          <w:rFonts w:cs="Calibri"/>
        </w:rPr>
        <w:t>A</w:t>
      </w:r>
      <w:r w:rsidR="00687DC5">
        <w:rPr>
          <w:rStyle w:val="normaltextrun"/>
          <w:rFonts w:cs="Calibri"/>
        </w:rPr>
        <w:t>ustralia</w:t>
      </w:r>
      <w:r w:rsidRPr="4F9F5C11">
        <w:rPr>
          <w:rStyle w:val="normaltextrun"/>
          <w:rFonts w:cs="Calibri"/>
        </w:rPr>
        <w:t xml:space="preserve"> structure to enhance coordination and collaboration with local government and support their program delivery responsibilities.</w:t>
      </w:r>
    </w:p>
    <w:p w14:paraId="499BAB6C" w14:textId="77777777" w:rsidR="001E7DB8" w:rsidRDefault="4CEDBCE1" w:rsidP="000F7862">
      <w:pPr>
        <w:pStyle w:val="Heading2"/>
      </w:pPr>
      <w:bookmarkStart w:id="16" w:name="_Toc115379955"/>
      <w:bookmarkStart w:id="17" w:name="_Toc124783595"/>
      <w:r>
        <w:lastRenderedPageBreak/>
        <w:t>Background: independent review of Infrastructure Australia</w:t>
      </w:r>
      <w:bookmarkEnd w:id="16"/>
      <w:bookmarkEnd w:id="17"/>
      <w:r>
        <w:t xml:space="preserve"> </w:t>
      </w:r>
    </w:p>
    <w:p w14:paraId="740C30C3" w14:textId="50C5C8ED" w:rsidR="00AE6F3A" w:rsidRDefault="39FCC233" w:rsidP="00AE6F3A">
      <w:pPr>
        <w:rPr>
          <w:rStyle w:val="normaltextrun"/>
          <w:rFonts w:cs="Calibri"/>
          <w:color w:val="000000"/>
          <w:shd w:val="clear" w:color="auto" w:fill="FFFFFF"/>
          <w:lang w:val="en-US"/>
        </w:rPr>
      </w:pPr>
      <w:r>
        <w:rPr>
          <w:rStyle w:val="normaltextrun"/>
          <w:rFonts w:cs="Calibri"/>
          <w:color w:val="000000"/>
          <w:shd w:val="clear" w:color="auto" w:fill="FFFFFF"/>
          <w:lang w:val="en-US"/>
        </w:rPr>
        <w:t>On 22 July 2022, the Australian Government announced an independent review of Infrastructure Australia (the Review).</w:t>
      </w:r>
      <w:r w:rsidR="001A47AD" w:rsidRPr="490A766D">
        <w:rPr>
          <w:rStyle w:val="FootnoteReference"/>
          <w:rFonts w:cs="Calibri"/>
          <w:color w:val="000000" w:themeColor="text1"/>
          <w:sz w:val="17"/>
          <w:szCs w:val="17"/>
          <w:lang w:val="en-US"/>
        </w:rPr>
        <w:footnoteReference w:id="2"/>
      </w:r>
      <w:r>
        <w:rPr>
          <w:rStyle w:val="normaltextrun"/>
          <w:rFonts w:cs="Calibri"/>
          <w:color w:val="000000"/>
          <w:shd w:val="clear" w:color="auto" w:fill="FFFFFF"/>
          <w:lang w:val="en-US"/>
        </w:rPr>
        <w:t xml:space="preserve"> The Review was commissioned to consider Infrastructure Australia’s role as an independent </w:t>
      </w:r>
      <w:r w:rsidR="474FB311">
        <w:rPr>
          <w:rStyle w:val="normaltextrun"/>
          <w:rFonts w:cs="Calibri"/>
          <w:color w:val="000000"/>
          <w:shd w:val="clear" w:color="auto" w:fill="FFFFFF"/>
          <w:lang w:val="en-US"/>
        </w:rPr>
        <w:t>advisor</w:t>
      </w:r>
      <w:r>
        <w:rPr>
          <w:rStyle w:val="normaltextrun"/>
          <w:rFonts w:cs="Calibri"/>
          <w:color w:val="000000"/>
          <w:shd w:val="clear" w:color="auto" w:fill="FFFFFF"/>
          <w:lang w:val="en-US"/>
        </w:rPr>
        <w:t xml:space="preserve"> to the </w:t>
      </w:r>
      <w:r w:rsidR="339A97BE" w:rsidRPr="36918AFB">
        <w:rPr>
          <w:rStyle w:val="normaltextrun"/>
          <w:rFonts w:cs="Calibri"/>
          <w:color w:val="000000" w:themeColor="text1"/>
          <w:lang w:val="en-US"/>
        </w:rPr>
        <w:t>Australian Government</w:t>
      </w:r>
      <w:r>
        <w:rPr>
          <w:rStyle w:val="normaltextrun"/>
          <w:rFonts w:cs="Calibri"/>
          <w:color w:val="000000"/>
          <w:shd w:val="clear" w:color="auto" w:fill="FFFFFF"/>
          <w:lang w:val="en-US"/>
        </w:rPr>
        <w:t xml:space="preserve"> on nationally significant infrastructure priorities and advise on what changes may be needed to enhance Infrastructure Australia’s focus, priorities and, if necessary, legislation. The purpose of the Review is to ensure that Infrastructure Australia is positioned to achieve its core purpose – to provide quality, independent cross sectoral advice to the </w:t>
      </w:r>
      <w:r w:rsidR="3099A645" w:rsidRPr="36918AFB">
        <w:rPr>
          <w:rStyle w:val="normaltextrun"/>
          <w:rFonts w:cs="Calibri"/>
          <w:color w:val="000000" w:themeColor="text1"/>
          <w:lang w:val="en-US"/>
        </w:rPr>
        <w:t>Australian Government</w:t>
      </w:r>
      <w:r>
        <w:rPr>
          <w:rStyle w:val="normaltextrun"/>
          <w:rFonts w:cs="Calibri"/>
          <w:color w:val="000000"/>
          <w:shd w:val="clear" w:color="auto" w:fill="FFFFFF"/>
          <w:lang w:val="en-US"/>
        </w:rPr>
        <w:t xml:space="preserve"> on nationally significant infrastructure that supports the economy, builds the nation and addresses the challenges and opportunities of the future.</w:t>
      </w:r>
    </w:p>
    <w:p w14:paraId="12B7A393" w14:textId="6DFA0251" w:rsidR="00AE6F3A" w:rsidRDefault="4CEDBCE1" w:rsidP="00AE6F3A">
      <w:pPr>
        <w:pStyle w:val="Heading3"/>
      </w:pPr>
      <w:bookmarkStart w:id="18" w:name="_Toc115379956"/>
      <w:bookmarkStart w:id="19" w:name="_Toc124783596"/>
      <w:r>
        <w:t>Terms of Reference for the Review</w:t>
      </w:r>
      <w:bookmarkEnd w:id="18"/>
      <w:bookmarkEnd w:id="19"/>
    </w:p>
    <w:p w14:paraId="71F4F51F" w14:textId="77777777" w:rsidR="009D2EAA" w:rsidRDefault="009D2EAA" w:rsidP="009D2EAA">
      <w:pPr>
        <w:pStyle w:val="ListLegal1"/>
      </w:pPr>
      <w:r w:rsidRPr="00292F35">
        <w:t>The Review will examine Infrastructure Australia’s role as an independent advisor to the Australian Government on nationally significant infrastructure priorities, and its capacity to deliver on this role.</w:t>
      </w:r>
    </w:p>
    <w:p w14:paraId="5D6C917C" w14:textId="77777777" w:rsidR="009D2EAA" w:rsidRPr="00292F35" w:rsidRDefault="009D2EAA" w:rsidP="009D2EAA">
      <w:pPr>
        <w:pStyle w:val="ListLegal1"/>
      </w:pPr>
      <w:r w:rsidRPr="00292F35">
        <w:t>The Review will make recommendations on reforms that may be required to ensure Infrastructure Australia is able to fully deliver on its responsibilities, including but not limited to:</w:t>
      </w:r>
    </w:p>
    <w:p w14:paraId="29161931" w14:textId="77777777" w:rsidR="009D2EAA" w:rsidRDefault="009D2EAA" w:rsidP="009D2EAA">
      <w:pPr>
        <w:pStyle w:val="ListLegal2"/>
        <w:rPr>
          <w:lang w:val="en-US"/>
        </w:rPr>
      </w:pPr>
      <w:r w:rsidRPr="4F9F5C11">
        <w:rPr>
          <w:lang w:val="en-US"/>
        </w:rPr>
        <w:t>Functions</w:t>
      </w:r>
    </w:p>
    <w:p w14:paraId="4FD129CB" w14:textId="77777777" w:rsidR="009D2EAA" w:rsidRPr="00292F35" w:rsidRDefault="009D2EAA" w:rsidP="009D2EAA">
      <w:pPr>
        <w:pStyle w:val="ListLegal3"/>
      </w:pPr>
      <w:r w:rsidRPr="00292F35">
        <w:t>the advice and products for which Infrastructure Australia is responsible, and whether these remain fit-for purpose</w:t>
      </w:r>
    </w:p>
    <w:p w14:paraId="263D250B" w14:textId="77777777" w:rsidR="009D2EAA" w:rsidRPr="00292F35" w:rsidRDefault="009D2EAA" w:rsidP="009D2EAA">
      <w:pPr>
        <w:pStyle w:val="ListLegal3"/>
      </w:pPr>
      <w:r w:rsidRPr="00292F35">
        <w:t>how Infrastructure Australia’s work relates to the work of state-level infrastructure bodies, and</w:t>
      </w:r>
    </w:p>
    <w:p w14:paraId="12C2D7BD" w14:textId="77777777" w:rsidR="009D2EAA" w:rsidRPr="00292F35" w:rsidRDefault="009D2EAA" w:rsidP="009D2EAA">
      <w:pPr>
        <w:pStyle w:val="ListLegal3"/>
      </w:pPr>
      <w:r w:rsidRPr="00292F35">
        <w:t>how Infrastructure Australia’s work addresses the priorities and requirements of the Australian Government.</w:t>
      </w:r>
    </w:p>
    <w:p w14:paraId="57DB1EBD" w14:textId="77777777" w:rsidR="009D2EAA" w:rsidRDefault="009D2EAA" w:rsidP="009D2EAA">
      <w:pPr>
        <w:pStyle w:val="ListLegal2"/>
        <w:rPr>
          <w:lang w:val="en-US"/>
        </w:rPr>
      </w:pPr>
      <w:r w:rsidRPr="4F9F5C11">
        <w:rPr>
          <w:lang w:val="en-US"/>
        </w:rPr>
        <w:t>Governance and administration</w:t>
      </w:r>
    </w:p>
    <w:p w14:paraId="0C371187" w14:textId="77777777" w:rsidR="009D2EAA" w:rsidRPr="00292F35" w:rsidRDefault="009D2EAA" w:rsidP="009D2EAA">
      <w:pPr>
        <w:pStyle w:val="ListLegal3"/>
      </w:pPr>
      <w:r w:rsidRPr="00292F35">
        <w:t>the optimal size, mandate, responsibilities, and composition of the Infrastructure Australia Board, including the experience, skills, and expertise of members</w:t>
      </w:r>
    </w:p>
    <w:p w14:paraId="37A82BDB" w14:textId="77777777" w:rsidR="009D2EAA" w:rsidRPr="00292F35" w:rsidRDefault="009D2EAA" w:rsidP="009D2EAA">
      <w:pPr>
        <w:pStyle w:val="ListLegal3"/>
      </w:pPr>
      <w:r w:rsidRPr="00292F35">
        <w:t>whether Infrastructure Australia’s administrative arrangements are appropriate to support delivery of its role and functions, and</w:t>
      </w:r>
    </w:p>
    <w:p w14:paraId="49A732CC" w14:textId="77777777" w:rsidR="009D2EAA" w:rsidRPr="00292F35" w:rsidRDefault="009D2EAA" w:rsidP="009D2EAA">
      <w:pPr>
        <w:pStyle w:val="ListLegal3"/>
      </w:pPr>
      <w:r w:rsidRPr="00292F35">
        <w:t>Infrastructure Australia’s relationship with the responsible Minister.</w:t>
      </w:r>
    </w:p>
    <w:p w14:paraId="2E548577" w14:textId="77777777" w:rsidR="009D2EAA" w:rsidRDefault="009D2EAA" w:rsidP="009D2EAA">
      <w:pPr>
        <w:pStyle w:val="ListLegal2"/>
        <w:rPr>
          <w:lang w:val="en-US"/>
        </w:rPr>
      </w:pPr>
      <w:r w:rsidRPr="4F9F5C11">
        <w:rPr>
          <w:lang w:val="en-US"/>
        </w:rPr>
        <w:t>Legislation</w:t>
      </w:r>
    </w:p>
    <w:p w14:paraId="7B90F966" w14:textId="77777777" w:rsidR="009D2EAA" w:rsidRPr="00AD0025" w:rsidRDefault="009D2EAA" w:rsidP="009D2EAA">
      <w:pPr>
        <w:pStyle w:val="ListLegal3"/>
      </w:pPr>
      <w:r w:rsidRPr="00AD0025">
        <w:t>any legislative changes that may be required.</w:t>
      </w:r>
    </w:p>
    <w:p w14:paraId="03BCAFBA" w14:textId="77777777" w:rsidR="009D2EAA" w:rsidRPr="00292F35" w:rsidRDefault="009D2EAA" w:rsidP="009D2EAA">
      <w:pPr>
        <w:pStyle w:val="ListLegal1"/>
      </w:pPr>
      <w:r w:rsidRPr="00292F35">
        <w:t>The Review will be conducted by independent Reviewers and supported by the Department of Infrastructure, Transport, Regional Development, Communications and the Arts.</w:t>
      </w:r>
    </w:p>
    <w:p w14:paraId="78AE14CF" w14:textId="77777777" w:rsidR="009D2EAA" w:rsidRPr="00292F35" w:rsidRDefault="009D2EAA" w:rsidP="009D2EAA">
      <w:pPr>
        <w:pStyle w:val="ListLegal1"/>
      </w:pPr>
      <w:r w:rsidRPr="00292F35">
        <w:t>The Review will provide a report to the Minister for Infrastructure, Transport, Regional Development and Local Government.</w:t>
      </w:r>
    </w:p>
    <w:p w14:paraId="5DAF02A0" w14:textId="5293B145" w:rsidR="00CF2B75" w:rsidRDefault="7BB4354D" w:rsidP="00CF2B75">
      <w:pPr>
        <w:pStyle w:val="Heading3"/>
      </w:pPr>
      <w:bookmarkStart w:id="20" w:name="_Toc115379957"/>
      <w:bookmarkStart w:id="21" w:name="_Toc124783597"/>
      <w:r>
        <w:lastRenderedPageBreak/>
        <w:t>Reviewers</w:t>
      </w:r>
      <w:bookmarkEnd w:id="20"/>
      <w:bookmarkEnd w:id="21"/>
    </w:p>
    <w:p w14:paraId="1E04AD23" w14:textId="77777777" w:rsidR="00AE6F3A" w:rsidRDefault="77BE7B16" w:rsidP="000F7862">
      <w:pPr>
        <w:keepNext/>
        <w:rPr>
          <w:rStyle w:val="normaltextrun"/>
          <w:rFonts w:cs="Calibri"/>
          <w:color w:val="000000"/>
          <w:shd w:val="clear" w:color="auto" w:fill="FFFFFF"/>
        </w:rPr>
      </w:pPr>
      <w:r>
        <w:rPr>
          <w:rStyle w:val="normaltextrun"/>
          <w:rFonts w:cs="Calibri"/>
          <w:color w:val="000000"/>
          <w:shd w:val="clear" w:color="auto" w:fill="FFFFFF"/>
        </w:rPr>
        <w:t xml:space="preserve">The Australian Government appointed Ms Nicole Lockwood and Mr Mike Mrdak AO to lead the Review. Both Ms Lockwood and Mr Mrdak have strong backgrounds in the infrastructure sector, with complementary skill sets and a range of perspectives developed through the private and public sectors respectively. </w:t>
      </w:r>
    </w:p>
    <w:p w14:paraId="3472D89B" w14:textId="77777777" w:rsidR="0021041C" w:rsidRDefault="77BE7B16" w:rsidP="00925700">
      <w:pPr>
        <w:pStyle w:val="Heading4"/>
      </w:pPr>
      <w:bookmarkStart w:id="22" w:name="_Toc124783598"/>
      <w:r w:rsidRPr="4F9F5C11">
        <w:t>Nicole Lockwood</w:t>
      </w:r>
      <w:bookmarkEnd w:id="22"/>
    </w:p>
    <w:p w14:paraId="34EC7153" w14:textId="30B2FF2E" w:rsidR="0021041C" w:rsidRDefault="4A6D343C" w:rsidP="00AE6F3A">
      <w:pPr>
        <w:rPr>
          <w:rStyle w:val="normaltextrun"/>
          <w:rFonts w:cs="Calibri"/>
          <w:color w:val="000000"/>
          <w:shd w:val="clear" w:color="auto" w:fill="FFFFFF"/>
        </w:rPr>
      </w:pPr>
      <w:r>
        <w:rPr>
          <w:rStyle w:val="normaltextrun"/>
          <w:rFonts w:cs="Calibri"/>
          <w:color w:val="000000"/>
          <w:shd w:val="clear" w:color="auto" w:fill="FFFFFF"/>
        </w:rPr>
        <w:t>Ms Lockwood is the Chair of Infrastructure Western Australia, a previous board member of Infrastructure Australia</w:t>
      </w:r>
      <w:r w:rsidR="5C13D3C0">
        <w:rPr>
          <w:rStyle w:val="normaltextrun"/>
          <w:rFonts w:cs="Calibri"/>
          <w:color w:val="000000"/>
          <w:shd w:val="clear" w:color="auto" w:fill="FFFFFF"/>
        </w:rPr>
        <w:t>,</w:t>
      </w:r>
      <w:r>
        <w:rPr>
          <w:rStyle w:val="normaltextrun"/>
          <w:rFonts w:cs="Calibri"/>
          <w:color w:val="000000"/>
          <w:shd w:val="clear" w:color="auto" w:fill="FFFFFF"/>
        </w:rPr>
        <w:t xml:space="preserve"> and is currently a member of a number of social and infrastructure boards including NBN Co.</w:t>
      </w:r>
    </w:p>
    <w:p w14:paraId="6DC44DC6" w14:textId="77777777" w:rsidR="0021041C" w:rsidRDefault="77BE7B16" w:rsidP="00925700">
      <w:pPr>
        <w:pStyle w:val="Heading4"/>
      </w:pPr>
      <w:bookmarkStart w:id="23" w:name="_Toc124783599"/>
      <w:r w:rsidRPr="4F9F5C11">
        <w:t>Mike Mrdak AO</w:t>
      </w:r>
      <w:bookmarkEnd w:id="23"/>
    </w:p>
    <w:p w14:paraId="1EE88FDB" w14:textId="51277EE6" w:rsidR="0021041C" w:rsidRPr="0021041C" w:rsidRDefault="4A6D343C" w:rsidP="4F9F5C11">
      <w:pPr>
        <w:rPr>
          <w:rStyle w:val="normaltextrun"/>
          <w:rFonts w:cs="Calibri"/>
          <w:color w:val="000000" w:themeColor="text1"/>
        </w:rPr>
      </w:pPr>
      <w:r>
        <w:rPr>
          <w:rStyle w:val="normaltextrun"/>
          <w:rFonts w:cs="Calibri"/>
          <w:color w:val="000000"/>
          <w:shd w:val="clear" w:color="auto" w:fill="FFFFFF"/>
        </w:rPr>
        <w:t xml:space="preserve">Mr Mrdak is Executive Chair of NEC Australia and New Zealand and Chair of Airport Development Group Pty Ltd. He is a </w:t>
      </w:r>
      <w:r w:rsidR="47F2541D">
        <w:rPr>
          <w:rStyle w:val="normaltextrun"/>
          <w:rFonts w:cs="Calibri"/>
          <w:color w:val="000000"/>
          <w:shd w:val="clear" w:color="auto" w:fill="FFFFFF"/>
        </w:rPr>
        <w:t>former</w:t>
      </w:r>
      <w:r>
        <w:rPr>
          <w:rStyle w:val="normaltextrun"/>
          <w:rFonts w:cs="Calibri"/>
          <w:color w:val="000000"/>
          <w:shd w:val="clear" w:color="auto" w:fill="FFFFFF"/>
        </w:rPr>
        <w:t xml:space="preserve"> Secretary of the Department of Infrastructure and Regional Development, and of the Department of Communications and the Arts.</w:t>
      </w:r>
    </w:p>
    <w:p w14:paraId="5AE37FD3" w14:textId="77777777" w:rsidR="00CF2B75" w:rsidRDefault="7BB4354D" w:rsidP="00CF2B75">
      <w:pPr>
        <w:pStyle w:val="Heading3"/>
      </w:pPr>
      <w:bookmarkStart w:id="24" w:name="_Toc115379958"/>
      <w:bookmarkStart w:id="25" w:name="_Toc124783600"/>
      <w:r>
        <w:t>Consultation</w:t>
      </w:r>
      <w:bookmarkEnd w:id="24"/>
      <w:bookmarkEnd w:id="25"/>
      <w:r>
        <w:t xml:space="preserve"> </w:t>
      </w:r>
    </w:p>
    <w:p w14:paraId="64ABB57D" w14:textId="00543061" w:rsidR="0021041C" w:rsidRPr="0021041C" w:rsidRDefault="65D07EBA" w:rsidP="4F9F5C11">
      <w:pPr>
        <w:rPr>
          <w:lang w:val="en-US"/>
        </w:rPr>
      </w:pPr>
      <w:r>
        <w:rPr>
          <w:lang w:val="en-US"/>
        </w:rPr>
        <w:t xml:space="preserve">As part of the consultation process, submissions were sought from key stakeholders in the infrastructure sector to understand views, experience and expectations for the future of Infrastructure Australia. Submissions were also open to all </w:t>
      </w:r>
      <w:bookmarkStart w:id="26" w:name="_Int_FgoeJBYk"/>
      <w:r>
        <w:rPr>
          <w:lang w:val="en-US"/>
        </w:rPr>
        <w:t>persons</w:t>
      </w:r>
      <w:bookmarkEnd w:id="26"/>
      <w:r>
        <w:rPr>
          <w:lang w:val="en-US"/>
        </w:rPr>
        <w:t xml:space="preserve"> with an interest in the Review, with a dedicated Review page on the Department of Infrastructure, Transport, Regional Development, Communications and the Arts’ (DITRDCA) website.</w:t>
      </w:r>
      <w:r w:rsidR="001A47AD">
        <w:rPr>
          <w:rStyle w:val="FootnoteReference"/>
          <w:lang w:val="en-US"/>
        </w:rPr>
        <w:footnoteReference w:id="3"/>
      </w:r>
      <w:r>
        <w:rPr>
          <w:lang w:val="en-US"/>
        </w:rPr>
        <w:t xml:space="preserve"> A set of guiding questions were provided to assist in the consultation process.</w:t>
      </w:r>
      <w:r w:rsidR="001A47AD" w:rsidRPr="490A766D">
        <w:rPr>
          <w:rStyle w:val="FootnoteReference"/>
          <w:lang w:val="en-US"/>
        </w:rPr>
        <w:footnoteReference w:id="4"/>
      </w:r>
      <w:r>
        <w:rPr>
          <w:lang w:val="en-US"/>
        </w:rPr>
        <w:t xml:space="preserve"> The Reviewers </w:t>
      </w:r>
      <w:r w:rsidR="0E30E77C">
        <w:rPr>
          <w:lang w:val="en-US"/>
        </w:rPr>
        <w:t>developed</w:t>
      </w:r>
      <w:r>
        <w:rPr>
          <w:lang w:val="en-US"/>
        </w:rPr>
        <w:t xml:space="preserve"> the questions to initiate discussion, and welcomed all feedback, including on matters not covered in the questions.</w:t>
      </w:r>
    </w:p>
    <w:p w14:paraId="2A5E7592" w14:textId="6ADB600E" w:rsidR="00AE6F3A" w:rsidRPr="00AE6F3A" w:rsidRDefault="65D07EBA" w:rsidP="4F9F5C11">
      <w:pPr>
        <w:rPr>
          <w:lang w:val="en-US"/>
        </w:rPr>
      </w:pPr>
      <w:r w:rsidRPr="4F9F5C11">
        <w:rPr>
          <w:lang w:val="en-US"/>
        </w:rPr>
        <w:t xml:space="preserve">The Review received </w:t>
      </w:r>
      <w:r w:rsidR="00B637E7">
        <w:rPr>
          <w:lang w:val="en-US"/>
        </w:rPr>
        <w:t>59</w:t>
      </w:r>
      <w:r w:rsidRPr="4F9F5C11">
        <w:rPr>
          <w:lang w:val="en-US"/>
        </w:rPr>
        <w:t xml:space="preserve"> submissions. Submissions will be published on DITRDCA’s website in due course, unless authors requested otherwise. As a result of the feedback received in submissions, the Review </w:t>
      </w:r>
      <w:r w:rsidR="30EBF441" w:rsidRPr="4F9F5C11">
        <w:rPr>
          <w:lang w:val="en-US"/>
        </w:rPr>
        <w:t xml:space="preserve">facilitated </w:t>
      </w:r>
      <w:r w:rsidRPr="4F9F5C11">
        <w:rPr>
          <w:lang w:val="en-US"/>
        </w:rPr>
        <w:t xml:space="preserve">a series of one on one and group workshop sessions in order to explore the feedback and test ideas for reform. </w:t>
      </w:r>
      <w:r w:rsidR="156BC5D1" w:rsidRPr="4F9F5C11">
        <w:rPr>
          <w:lang w:val="en-US"/>
        </w:rPr>
        <w:t>Forty</w:t>
      </w:r>
      <w:r w:rsidRPr="4F9F5C11">
        <w:rPr>
          <w:lang w:val="en-US"/>
        </w:rPr>
        <w:t xml:space="preserve"> meetings were held</w:t>
      </w:r>
      <w:r w:rsidR="6BDF7C6B" w:rsidRPr="4F9F5C11">
        <w:rPr>
          <w:lang w:val="en-US"/>
        </w:rPr>
        <w:t>,</w:t>
      </w:r>
      <w:r w:rsidRPr="4F9F5C11">
        <w:rPr>
          <w:lang w:val="en-US"/>
        </w:rPr>
        <w:t xml:space="preserve"> </w:t>
      </w:r>
      <w:r w:rsidR="0A60A8BC" w:rsidRPr="4F9F5C11">
        <w:rPr>
          <w:lang w:val="en-US"/>
        </w:rPr>
        <w:t xml:space="preserve">with </w:t>
      </w:r>
      <w:r w:rsidR="00032291">
        <w:rPr>
          <w:lang w:val="en-US"/>
        </w:rPr>
        <w:t xml:space="preserve">approximately </w:t>
      </w:r>
      <w:r w:rsidRPr="4F9F5C11">
        <w:rPr>
          <w:lang w:val="en-US"/>
        </w:rPr>
        <w:t>140 participants</w:t>
      </w:r>
      <w:r w:rsidR="60EC63F8" w:rsidRPr="4F9F5C11">
        <w:rPr>
          <w:lang w:val="en-US"/>
        </w:rPr>
        <w:t xml:space="preserve"> across government and industry</w:t>
      </w:r>
      <w:r w:rsidRPr="4F9F5C11">
        <w:rPr>
          <w:lang w:val="en-US"/>
        </w:rPr>
        <w:t>.</w:t>
      </w:r>
    </w:p>
    <w:p w14:paraId="56C1DF9B" w14:textId="61697BDB" w:rsidR="00AE61A6" w:rsidRDefault="7BB4354D" w:rsidP="000F7862">
      <w:pPr>
        <w:pStyle w:val="Heading2"/>
        <w:pageBreakBefore/>
      </w:pPr>
      <w:bookmarkStart w:id="27" w:name="_Toc115379959"/>
      <w:bookmarkStart w:id="28" w:name="_Toc124783601"/>
      <w:bookmarkEnd w:id="15"/>
      <w:r>
        <w:lastRenderedPageBreak/>
        <w:t>Infrastructure Australia: history and current state of play</w:t>
      </w:r>
      <w:bookmarkEnd w:id="27"/>
      <w:bookmarkEnd w:id="28"/>
    </w:p>
    <w:p w14:paraId="66AC2130" w14:textId="5EFFEA28" w:rsidR="00B32F31" w:rsidRPr="00B041CB" w:rsidRDefault="0F810C7B" w:rsidP="00B32F31">
      <w:pPr>
        <w:pStyle w:val="Heading3"/>
      </w:pPr>
      <w:bookmarkStart w:id="29" w:name="_Toc115379960"/>
      <w:bookmarkStart w:id="30" w:name="_Toc124783602"/>
      <w:r>
        <w:t>Original purpose and establishment</w:t>
      </w:r>
      <w:bookmarkEnd w:id="29"/>
      <w:bookmarkEnd w:id="30"/>
    </w:p>
    <w:p w14:paraId="74820D25" w14:textId="43DAFFF4" w:rsidR="00B32F31" w:rsidRDefault="650C256F" w:rsidP="00B32F31">
      <w:r w:rsidRPr="00B02398">
        <w:rPr>
          <w:lang w:val="x-none"/>
        </w:rPr>
        <w:t xml:space="preserve">In the lead up to the 2007 election, </w:t>
      </w:r>
      <w:r>
        <w:rPr>
          <w:lang w:val="en-US"/>
        </w:rPr>
        <w:t xml:space="preserve">the </w:t>
      </w:r>
      <w:r w:rsidRPr="00B02398">
        <w:rPr>
          <w:lang w:val="x-none"/>
        </w:rPr>
        <w:t xml:space="preserve">Australian </w:t>
      </w:r>
      <w:proofErr w:type="spellStart"/>
      <w:r w:rsidRPr="00B02398">
        <w:rPr>
          <w:lang w:val="x-none"/>
        </w:rPr>
        <w:t>Labor</w:t>
      </w:r>
      <w:proofErr w:type="spellEnd"/>
      <w:r w:rsidRPr="00B02398">
        <w:rPr>
          <w:lang w:val="x-none"/>
        </w:rPr>
        <w:t xml:space="preserve"> Party (ALP) committed to establishing a national body, Infrastructure Australia, to develop a coordinated and objective approach to longer-term planning of</w:t>
      </w:r>
      <w:r w:rsidR="2DC6E622">
        <w:rPr>
          <w:lang w:val="en-US"/>
        </w:rPr>
        <w:t xml:space="preserve"> </w:t>
      </w:r>
      <w:r w:rsidRPr="00B02398">
        <w:rPr>
          <w:lang w:val="x-none"/>
        </w:rPr>
        <w:t>nationally significant infrastructure.</w:t>
      </w:r>
      <w:r w:rsidR="001A47AD">
        <w:rPr>
          <w:rStyle w:val="FootnoteReference"/>
          <w:lang w:val="x-none"/>
        </w:rPr>
        <w:footnoteReference w:id="5"/>
      </w:r>
      <w:r w:rsidRPr="00B02398">
        <w:rPr>
          <w:lang w:val="x-none"/>
        </w:rPr>
        <w:t xml:space="preserve"> Infrastructure Australia would be responsible for developing a strategic blueprint for Australia’s infrastructure needs and facilitating its implementation, in partnership with the states and territories, local government, and the private sector.</w:t>
      </w:r>
    </w:p>
    <w:p w14:paraId="3C3F350F" w14:textId="2B4182C4" w:rsidR="00B32F31" w:rsidRDefault="650C256F" w:rsidP="00B32F31">
      <w:pPr>
        <w:rPr>
          <w:lang w:val="x-none"/>
        </w:rPr>
      </w:pPr>
      <w:r w:rsidRPr="00B02398">
        <w:rPr>
          <w:lang w:val="x-none"/>
        </w:rPr>
        <w:t>Following the ALP’s election in November 2007, the Infrastructure Australia Bill was introduced to Parliament in February 2008 by the then Minister for Infrastructure, Transport, Regional Development and Local Government, the Hon Anthony Albanese</w:t>
      </w:r>
      <w:r>
        <w:rPr>
          <w:lang w:val="en-US"/>
        </w:rPr>
        <w:t xml:space="preserve"> MP</w:t>
      </w:r>
      <w:r w:rsidRPr="00B02398">
        <w:rPr>
          <w:lang w:val="x-none"/>
        </w:rPr>
        <w:t xml:space="preserve">. In his Second Reading speech, the Minister </w:t>
      </w:r>
      <w:r>
        <w:rPr>
          <w:lang w:val="en-US"/>
        </w:rPr>
        <w:t xml:space="preserve">made the following </w:t>
      </w:r>
      <w:r w:rsidRPr="00B02398">
        <w:rPr>
          <w:lang w:val="x-none"/>
        </w:rPr>
        <w:t>comment</w:t>
      </w:r>
      <w:r>
        <w:rPr>
          <w:lang w:val="en-US"/>
        </w:rPr>
        <w:t>s</w:t>
      </w:r>
      <w:r w:rsidRPr="00B02398">
        <w:rPr>
          <w:lang w:val="x-none"/>
        </w:rPr>
        <w:t>:</w:t>
      </w:r>
      <w:r w:rsidR="001A47AD">
        <w:rPr>
          <w:rStyle w:val="FootnoteReference"/>
          <w:lang w:val="en-US"/>
        </w:rPr>
        <w:footnoteReference w:id="6"/>
      </w:r>
    </w:p>
    <w:p w14:paraId="5FE35A96" w14:textId="1169D634" w:rsidR="00B32F31" w:rsidRPr="00B32F31" w:rsidRDefault="0F810C7B" w:rsidP="00E569D7">
      <w:pPr>
        <w:pStyle w:val="Listparagraphbullets"/>
        <w:ind w:left="567" w:hanging="567"/>
      </w:pPr>
      <w:r>
        <w:t>Nation-building requires the cooperation of all Australian governmen</w:t>
      </w:r>
      <w:r w:rsidR="2DC6E622">
        <w:t>ts – p</w:t>
      </w:r>
      <w:r>
        <w:t>articularly in a federal political system like ours, with its divided responsibilitie</w:t>
      </w:r>
      <w:r w:rsidR="2DC6E622">
        <w:t>s – a</w:t>
      </w:r>
      <w:r>
        <w:t>s well as the involvement of all sectors of the economy, both public and private. Put simply, nation-building requires coordinated solutions.</w:t>
      </w:r>
    </w:p>
    <w:p w14:paraId="30171A0A" w14:textId="77777777" w:rsidR="00B32F31" w:rsidRPr="00B32F31" w:rsidRDefault="0F810C7B" w:rsidP="00E569D7">
      <w:pPr>
        <w:pStyle w:val="Listparagraphbullets"/>
        <w:ind w:left="567" w:hanging="567"/>
      </w:pPr>
      <w:r>
        <w:t>Industry and the investment community need the certainty in planning and evaluation that guarantees good returns, both in profits and the benefits delivered to the community.</w:t>
      </w:r>
    </w:p>
    <w:p w14:paraId="014EBA8B" w14:textId="3D44A04D" w:rsidR="00B32F31" w:rsidRPr="00B32F31" w:rsidRDefault="0F810C7B" w:rsidP="00E569D7">
      <w:pPr>
        <w:pStyle w:val="Listparagraphbullets"/>
        <w:ind w:left="567" w:hanging="567"/>
      </w:pPr>
      <w:r>
        <w:t xml:space="preserve">Infrastructure investment needs to be determined objectively and according to long-term need, not </w:t>
      </w:r>
      <w:r w:rsidR="00B32F31">
        <w:br/>
      </w:r>
      <w:r>
        <w:t>short-term political interests, thereby creating an environment conducive to greater private investment in public infrastructure.</w:t>
      </w:r>
    </w:p>
    <w:p w14:paraId="44570FDB" w14:textId="2C39F83A" w:rsidR="00B32F31" w:rsidRPr="00B32F31" w:rsidRDefault="2C0A40B0" w:rsidP="00B32F31">
      <w:r>
        <w:t xml:space="preserve">The Infrastructure Australia Bill was </w:t>
      </w:r>
      <w:r w:rsidR="6E19C522">
        <w:t>passed by the Parliament</w:t>
      </w:r>
      <w:r>
        <w:t xml:space="preserve"> and Infrastructure Australia was established in April 2008 by the </w:t>
      </w:r>
      <w:r w:rsidRPr="4F9F5C11">
        <w:rPr>
          <w:i/>
          <w:iCs/>
        </w:rPr>
        <w:t>Infrastructure Australia Act 2008</w:t>
      </w:r>
      <w:r>
        <w:t xml:space="preserve"> (IA Act).</w:t>
      </w:r>
    </w:p>
    <w:p w14:paraId="5B082896" w14:textId="35021250" w:rsidR="00B32F31" w:rsidRDefault="0F810C7B" w:rsidP="00B32F31">
      <w:bookmarkStart w:id="31" w:name="_Toc109648436"/>
      <w:r>
        <w:t xml:space="preserve">The IA Act established Infrastructure Australia as a statutory advisory council (Infrastructure Australia Council) with </w:t>
      </w:r>
      <w:r w:rsidRPr="4F9F5C11">
        <w:rPr>
          <w:lang w:val="en-US"/>
        </w:rPr>
        <w:t>12</w:t>
      </w:r>
      <w:r>
        <w:t xml:space="preserve"> members drawn from industry and government, </w:t>
      </w:r>
      <w:r w:rsidRPr="4F9F5C11">
        <w:rPr>
          <w:lang w:val="en-US"/>
        </w:rPr>
        <w:t xml:space="preserve">and </w:t>
      </w:r>
      <w:r>
        <w:t>appointed by the responsible Minister. Infrastructure Australia was tasked with developing long</w:t>
      </w:r>
      <w:r w:rsidR="002C6954">
        <w:t>-</w:t>
      </w:r>
      <w:r>
        <w:t>term solutions for infrastructure bottlenecks and investment in the nation’s transport, water, energy and communication assets.</w:t>
      </w:r>
    </w:p>
    <w:p w14:paraId="6309FA9A" w14:textId="2BCF253F" w:rsidR="00B32F31" w:rsidRDefault="0F810C7B" w:rsidP="00B32F31">
      <w:pPr>
        <w:rPr>
          <w:lang w:val="x-none"/>
        </w:rPr>
      </w:pPr>
      <w:r>
        <w:t xml:space="preserve">The IA Act </w:t>
      </w:r>
      <w:r w:rsidRPr="4F9F5C11">
        <w:rPr>
          <w:lang w:val="en-US"/>
        </w:rPr>
        <w:t xml:space="preserve">also established </w:t>
      </w:r>
      <w:r>
        <w:t xml:space="preserve">a new statutory office of </w:t>
      </w:r>
      <w:r w:rsidRPr="4F9F5C11">
        <w:rPr>
          <w:lang w:val="en-US"/>
        </w:rPr>
        <w:t xml:space="preserve">the </w:t>
      </w:r>
      <w:r>
        <w:t xml:space="preserve">Infrastructure Coordinator within the </w:t>
      </w:r>
      <w:r w:rsidRPr="4F9F5C11">
        <w:rPr>
          <w:lang w:val="en-US"/>
        </w:rPr>
        <w:t xml:space="preserve">then </w:t>
      </w:r>
      <w:r>
        <w:t>Department of Infrastructure, Transport, Regional Development and Local Government, supported by a secretariat comprised of departmental employees.</w:t>
      </w:r>
      <w:r w:rsidR="2DC6E622" w:rsidRPr="4F9F5C11">
        <w:rPr>
          <w:lang w:val="en-US"/>
        </w:rPr>
        <w:t xml:space="preserve"> The Infrastructure Coordinator was also appointed by the Minister on a full-time basis for a period not exceeding five years.</w:t>
      </w:r>
      <w:r>
        <w:t xml:space="preserve"> The Infrastructure Coordinator and secretariat </w:t>
      </w:r>
      <w:r w:rsidR="2DC6E622" w:rsidRPr="4F9F5C11">
        <w:rPr>
          <w:lang w:val="en-US"/>
        </w:rPr>
        <w:t xml:space="preserve">supported </w:t>
      </w:r>
      <w:r>
        <w:t>the Infrastructure Australia Council in performing its functions.</w:t>
      </w:r>
    </w:p>
    <w:p w14:paraId="10DFC64E" w14:textId="77777777" w:rsidR="00B32F31" w:rsidRDefault="0F810C7B" w:rsidP="00B32F31">
      <w:pPr>
        <w:rPr>
          <w:lang w:val="x-none"/>
        </w:rPr>
      </w:pPr>
      <w:r>
        <w:t>Infrastructure Australia was required to:</w:t>
      </w:r>
    </w:p>
    <w:p w14:paraId="73C76870" w14:textId="6485E86E" w:rsidR="00B32F31" w:rsidRPr="00B02398" w:rsidRDefault="3F0533DD" w:rsidP="00E569D7">
      <w:pPr>
        <w:pStyle w:val="Listparagraphbullets"/>
        <w:ind w:left="567" w:hanging="567"/>
      </w:pPr>
      <w:r>
        <w:t>conduct audits of nationally significant infrastructure</w:t>
      </w:r>
      <w:r w:rsidR="4CA6C250">
        <w:t xml:space="preserve"> </w:t>
      </w:r>
    </w:p>
    <w:p w14:paraId="43FE832E" w14:textId="5DE8252E" w:rsidR="00B32F31" w:rsidRPr="00B02398" w:rsidRDefault="3F0533DD" w:rsidP="00E569D7">
      <w:pPr>
        <w:pStyle w:val="Listparagraphbullets"/>
        <w:ind w:left="567" w:hanging="567"/>
      </w:pPr>
      <w:r>
        <w:t>develop an Infrastructure Priority List</w:t>
      </w:r>
      <w:r w:rsidR="271B8F47">
        <w:t xml:space="preserve"> (IPL)</w:t>
      </w:r>
      <w:r>
        <w:t xml:space="preserve"> to guide public and private investment </w:t>
      </w:r>
    </w:p>
    <w:p w14:paraId="15FB442B" w14:textId="77777777" w:rsidR="00B32F31" w:rsidRPr="00B32F31" w:rsidRDefault="0F810C7B" w:rsidP="00E569D7">
      <w:pPr>
        <w:pStyle w:val="Listparagraphbullets"/>
        <w:ind w:left="567" w:hanging="567"/>
      </w:pPr>
      <w:r>
        <w:t xml:space="preserve">provide advice on regulatory reforms that would improve the utilisation of infrastructure networks. </w:t>
      </w:r>
    </w:p>
    <w:p w14:paraId="1BA4FBB5" w14:textId="31CA441D" w:rsidR="009A6D76" w:rsidRPr="00FD34BF" w:rsidRDefault="650C256F" w:rsidP="00B32F31">
      <w:pPr>
        <w:rPr>
          <w:lang w:val="en-US"/>
        </w:rPr>
      </w:pPr>
      <w:r w:rsidRPr="00B02398">
        <w:rPr>
          <w:lang w:val="x-none"/>
        </w:rPr>
        <w:t>Infrastructure Australia released its first I</w:t>
      </w:r>
      <w:r w:rsidR="4CA6C250">
        <w:rPr>
          <w:lang w:val="en-US"/>
        </w:rPr>
        <w:t>PL</w:t>
      </w:r>
      <w:r w:rsidRPr="00B02398">
        <w:rPr>
          <w:lang w:val="x-none"/>
        </w:rPr>
        <w:t xml:space="preserve"> in May 2009, after assessing more than 1000 possible infrastructure projects</w:t>
      </w:r>
      <w:r w:rsidR="4CA6C250">
        <w:rPr>
          <w:lang w:val="en-US"/>
        </w:rPr>
        <w:t xml:space="preserve">. That IPL was released within a document titled </w:t>
      </w:r>
      <w:hyperlink r:id="rId23" w:history="1">
        <w:r w:rsidR="4CA6C250" w:rsidRPr="4F9F5C11">
          <w:rPr>
            <w:rStyle w:val="Hyperlink"/>
            <w:i/>
            <w:iCs/>
            <w:lang w:val="en-US"/>
          </w:rPr>
          <w:t>National Infrastructure Priorities: Infrastructure for an economically, socially and environmentally sustainable future</w:t>
        </w:r>
      </w:hyperlink>
      <w:r w:rsidR="4CA6C250">
        <w:rPr>
          <w:lang w:val="en-US"/>
        </w:rPr>
        <w:t>.</w:t>
      </w:r>
      <w:r w:rsidR="00FD34BF">
        <w:rPr>
          <w:rStyle w:val="FootnoteReference"/>
          <w:lang w:val="en-US"/>
        </w:rPr>
        <w:footnoteReference w:id="7"/>
      </w:r>
      <w:r w:rsidR="4CA6C250">
        <w:rPr>
          <w:lang w:val="en-US"/>
        </w:rPr>
        <w:t xml:space="preserve"> </w:t>
      </w:r>
    </w:p>
    <w:p w14:paraId="4BB6DAF2" w14:textId="77777777" w:rsidR="00B32F31" w:rsidRDefault="04B0ECE7" w:rsidP="000B437D">
      <w:pPr>
        <w:pStyle w:val="Heading3"/>
      </w:pPr>
      <w:bookmarkStart w:id="32" w:name="_Toc115379961"/>
      <w:bookmarkStart w:id="33" w:name="_Toc124783603"/>
      <w:r>
        <w:lastRenderedPageBreak/>
        <w:t>Governance, structure and functions</w:t>
      </w:r>
      <w:bookmarkEnd w:id="32"/>
      <w:bookmarkEnd w:id="33"/>
      <w:r>
        <w:t xml:space="preserve"> </w:t>
      </w:r>
    </w:p>
    <w:p w14:paraId="40FA6050" w14:textId="3786D008" w:rsidR="000B437D" w:rsidRDefault="31738E61" w:rsidP="00BA227C">
      <w:pPr>
        <w:rPr>
          <w:lang w:val="en-US"/>
        </w:rPr>
      </w:pPr>
      <w:r w:rsidRPr="4F9F5C11">
        <w:rPr>
          <w:lang w:val="en-US"/>
        </w:rPr>
        <w:t xml:space="preserve">In 2014, amendments to the IA Act re-established Infrastructure Australia as a </w:t>
      </w:r>
      <w:r w:rsidR="535CD18F" w:rsidRPr="4F9F5C11">
        <w:rPr>
          <w:lang w:val="en-US"/>
        </w:rPr>
        <w:t>Corporate</w:t>
      </w:r>
      <w:r w:rsidR="08C54654" w:rsidRPr="4F9F5C11">
        <w:rPr>
          <w:lang w:val="en-US"/>
        </w:rPr>
        <w:t xml:space="preserve"> Commonwealth </w:t>
      </w:r>
      <w:r w:rsidR="2133DD1C" w:rsidRPr="4F9F5C11">
        <w:rPr>
          <w:lang w:val="en-US"/>
        </w:rPr>
        <w:t>E</w:t>
      </w:r>
      <w:r w:rsidRPr="4F9F5C11">
        <w:rPr>
          <w:lang w:val="en-US"/>
        </w:rPr>
        <w:t xml:space="preserve">ntity under the </w:t>
      </w:r>
      <w:r w:rsidRPr="4F9F5C11">
        <w:rPr>
          <w:i/>
          <w:iCs/>
          <w:lang w:val="en-US"/>
        </w:rPr>
        <w:t>Commonwealth Authorities and Companies Act 1997</w:t>
      </w:r>
      <w:r w:rsidRPr="4F9F5C11">
        <w:rPr>
          <w:lang w:val="en-US"/>
        </w:rPr>
        <w:t xml:space="preserve">, </w:t>
      </w:r>
      <w:r w:rsidR="5D73C51D" w:rsidRPr="4F9F5C11">
        <w:rPr>
          <w:lang w:val="en-US"/>
        </w:rPr>
        <w:t xml:space="preserve">which made it </w:t>
      </w:r>
      <w:r w:rsidRPr="4F9F5C11">
        <w:rPr>
          <w:lang w:val="en-US"/>
        </w:rPr>
        <w:t xml:space="preserve">legally and financially separate from the Commonwealth. The amendments created a Chief Executive Officer (CEO) position that reports to a </w:t>
      </w:r>
      <w:proofErr w:type="gramStart"/>
      <w:r w:rsidR="4CA6C250" w:rsidRPr="4F9F5C11">
        <w:rPr>
          <w:lang w:val="en-US"/>
        </w:rPr>
        <w:t>12 person</w:t>
      </w:r>
      <w:proofErr w:type="gramEnd"/>
      <w:r w:rsidR="239CB39D" w:rsidRPr="4F9F5C11">
        <w:rPr>
          <w:lang w:val="en-US"/>
        </w:rPr>
        <w:t xml:space="preserve"> </w:t>
      </w:r>
      <w:r w:rsidRPr="4F9F5C11">
        <w:rPr>
          <w:lang w:val="en-US"/>
        </w:rPr>
        <w:t>Board, effectively replacing the Infrastructure Coordinator role and the Infrastructure Australia Council.</w:t>
      </w:r>
    </w:p>
    <w:p w14:paraId="604DB434" w14:textId="6E4DCF12" w:rsidR="000B437D" w:rsidRDefault="47EFE297" w:rsidP="00BA227C">
      <w:pPr>
        <w:rPr>
          <w:lang w:val="en-US"/>
        </w:rPr>
      </w:pPr>
      <w:r w:rsidRPr="4F9F5C11">
        <w:rPr>
          <w:lang w:val="en-US"/>
        </w:rPr>
        <w:t>The IA Act sets out I</w:t>
      </w:r>
      <w:r w:rsidR="37CBA7D7" w:rsidRPr="4F9F5C11">
        <w:rPr>
          <w:lang w:val="en-US"/>
        </w:rPr>
        <w:t>nfrastruc</w:t>
      </w:r>
      <w:r w:rsidR="3D7D4476" w:rsidRPr="4F9F5C11">
        <w:rPr>
          <w:lang w:val="en-US"/>
        </w:rPr>
        <w:t>tu</w:t>
      </w:r>
      <w:r w:rsidR="37CBA7D7" w:rsidRPr="4F9F5C11">
        <w:rPr>
          <w:lang w:val="en-US"/>
        </w:rPr>
        <w:t xml:space="preserve">re </w:t>
      </w:r>
      <w:r w:rsidRPr="4F9F5C11">
        <w:rPr>
          <w:lang w:val="en-US"/>
        </w:rPr>
        <w:t>A</w:t>
      </w:r>
      <w:r w:rsidR="45ED5085" w:rsidRPr="4F9F5C11">
        <w:rPr>
          <w:lang w:val="en-US"/>
        </w:rPr>
        <w:t>ustralia</w:t>
      </w:r>
      <w:r w:rsidRPr="4F9F5C11">
        <w:rPr>
          <w:lang w:val="en-US"/>
        </w:rPr>
        <w:t xml:space="preserve">’s functions and appointment requirements for the Board and CEO. Under the </w:t>
      </w:r>
      <w:r w:rsidR="003B01F7">
        <w:rPr>
          <w:lang w:val="en-US"/>
        </w:rPr>
        <w:t xml:space="preserve">IA </w:t>
      </w:r>
      <w:r w:rsidRPr="4F9F5C11">
        <w:rPr>
          <w:lang w:val="en-US"/>
        </w:rPr>
        <w:t>Act, the I</w:t>
      </w:r>
      <w:r w:rsidR="32C9616C" w:rsidRPr="4F9F5C11">
        <w:rPr>
          <w:lang w:val="en-US"/>
        </w:rPr>
        <w:t xml:space="preserve">nfrastructure </w:t>
      </w:r>
      <w:r w:rsidRPr="4F9F5C11">
        <w:rPr>
          <w:lang w:val="en-US"/>
        </w:rPr>
        <w:t>A</w:t>
      </w:r>
      <w:r w:rsidR="63EBC60E" w:rsidRPr="4F9F5C11">
        <w:rPr>
          <w:lang w:val="en-US"/>
        </w:rPr>
        <w:t>ustralia</w:t>
      </w:r>
      <w:r w:rsidRPr="4F9F5C11">
        <w:rPr>
          <w:lang w:val="en-US"/>
        </w:rPr>
        <w:t xml:space="preserve"> </w:t>
      </w:r>
      <w:r>
        <w:t>Board comprises 12 members, including a Chair, appointed by the responsible Minister by written instrument</w:t>
      </w:r>
      <w:r w:rsidRPr="4F9F5C11">
        <w:rPr>
          <w:lang w:val="en-US"/>
        </w:rPr>
        <w:t xml:space="preserve">. Nine members, including the Chair, are nominated by the </w:t>
      </w:r>
      <w:r w:rsidR="3B453DCA" w:rsidRPr="4F9F5C11">
        <w:rPr>
          <w:lang w:val="en-US"/>
        </w:rPr>
        <w:t>Australian Government</w:t>
      </w:r>
      <w:r w:rsidRPr="4F9F5C11">
        <w:rPr>
          <w:lang w:val="en-US"/>
        </w:rPr>
        <w:t>, and three members are nominated by agreement between the states and territories.</w:t>
      </w:r>
    </w:p>
    <w:p w14:paraId="2007123F" w14:textId="6699E24C" w:rsidR="00F56909" w:rsidRPr="003716B7" w:rsidRDefault="109B1DE6" w:rsidP="00BA227C">
      <w:r>
        <w:t>The IA Act requires</w:t>
      </w:r>
      <w:r w:rsidRPr="4F9F5C11">
        <w:rPr>
          <w:lang w:val="en-US"/>
        </w:rPr>
        <w:t xml:space="preserve"> </w:t>
      </w:r>
      <w:r>
        <w:t>Board members to have knowledge of, or experience in, a field relevant to I</w:t>
      </w:r>
      <w:proofErr w:type="spellStart"/>
      <w:r w:rsidRPr="4F9F5C11">
        <w:rPr>
          <w:lang w:val="en-US"/>
        </w:rPr>
        <w:t>nfrastructure</w:t>
      </w:r>
      <w:proofErr w:type="spellEnd"/>
      <w:r w:rsidRPr="4F9F5C11">
        <w:rPr>
          <w:lang w:val="en-US"/>
        </w:rPr>
        <w:t xml:space="preserve"> </w:t>
      </w:r>
      <w:r w:rsidR="00ED32BA" w:rsidRPr="4F9F5C11">
        <w:rPr>
          <w:lang w:val="en-US"/>
        </w:rPr>
        <w:t>Australia</w:t>
      </w:r>
      <w:r>
        <w:t>’s functions</w:t>
      </w:r>
      <w:r w:rsidRPr="4F9F5C11">
        <w:rPr>
          <w:lang w:val="en-US"/>
        </w:rPr>
        <w:t>. At</w:t>
      </w:r>
      <w:r>
        <w:t xml:space="preserve"> least five members, including the Chair, </w:t>
      </w:r>
      <w:r w:rsidRPr="4F9F5C11">
        <w:rPr>
          <w:lang w:val="en-US"/>
        </w:rPr>
        <w:t>must</w:t>
      </w:r>
      <w:r>
        <w:t xml:space="preserve"> have relevant private sector experience</w:t>
      </w:r>
      <w:r w:rsidRPr="4F9F5C11">
        <w:rPr>
          <w:lang w:val="en-US"/>
        </w:rPr>
        <w:t xml:space="preserve">, and </w:t>
      </w:r>
      <w:r>
        <w:t xml:space="preserve">at least one member </w:t>
      </w:r>
      <w:r w:rsidRPr="4F9F5C11">
        <w:rPr>
          <w:lang w:val="en-US"/>
        </w:rPr>
        <w:t>must</w:t>
      </w:r>
      <w:r>
        <w:t xml:space="preserve"> have acquired experience in local government.</w:t>
      </w:r>
    </w:p>
    <w:p w14:paraId="4A53CF2E" w14:textId="39679FE6" w:rsidR="00F56909" w:rsidRDefault="109B1DE6" w:rsidP="00F56909">
      <w:pPr>
        <w:rPr>
          <w:lang w:val="x-none"/>
        </w:rPr>
      </w:pPr>
      <w:r>
        <w:t xml:space="preserve">The functions of the </w:t>
      </w:r>
      <w:r w:rsidR="5E81908C">
        <w:t xml:space="preserve">Infrastructure Australia </w:t>
      </w:r>
      <w:r>
        <w:t>Board are:</w:t>
      </w:r>
    </w:p>
    <w:p w14:paraId="0C3FFED1" w14:textId="1A780AB2" w:rsidR="00F56909" w:rsidRPr="00E941EA" w:rsidRDefault="109B1DE6" w:rsidP="00E941EA">
      <w:pPr>
        <w:pStyle w:val="Listparagraphbullets"/>
        <w:ind w:left="567" w:hanging="567"/>
      </w:pPr>
      <w:r>
        <w:t>to decide the objectives, strategies and policies to be followed by I</w:t>
      </w:r>
      <w:r w:rsidRPr="00E941EA">
        <w:t xml:space="preserve">nfrastructure </w:t>
      </w:r>
      <w:r w:rsidR="4CA6C250" w:rsidRPr="00E941EA">
        <w:t>Australia</w:t>
      </w:r>
    </w:p>
    <w:p w14:paraId="0E1F4902" w14:textId="0B6B24AF" w:rsidR="00F56909" w:rsidRPr="003716B7" w:rsidRDefault="109B1DE6" w:rsidP="00E941EA">
      <w:pPr>
        <w:pStyle w:val="Listparagraphbullets"/>
        <w:ind w:left="567" w:hanging="567"/>
      </w:pPr>
      <w:r>
        <w:t>to ensure the proper, efficient and effective performance of I</w:t>
      </w:r>
      <w:r w:rsidRPr="00E941EA">
        <w:t xml:space="preserve">nfrastructure </w:t>
      </w:r>
      <w:r w:rsidR="4CA6C250" w:rsidRPr="00E941EA">
        <w:t>Australia</w:t>
      </w:r>
      <w:r>
        <w:t>’s functions</w:t>
      </w:r>
    </w:p>
    <w:p w14:paraId="6140843A" w14:textId="77777777" w:rsidR="00F56909" w:rsidRPr="003716B7" w:rsidRDefault="109B1DE6" w:rsidP="00E941EA">
      <w:pPr>
        <w:pStyle w:val="Listparagraphbullets"/>
        <w:ind w:left="567" w:hanging="567"/>
      </w:pPr>
      <w:r>
        <w:t>any other functions conferred on the Board by the IA Act.</w:t>
      </w:r>
    </w:p>
    <w:p w14:paraId="031D8F3F" w14:textId="223937C8" w:rsidR="00F56909" w:rsidRPr="00F56909" w:rsidRDefault="47EFE297" w:rsidP="00BA227C">
      <w:pPr>
        <w:rPr>
          <w:lang w:val="en-US"/>
        </w:rPr>
      </w:pPr>
      <w:r w:rsidRPr="4F9F5C11">
        <w:rPr>
          <w:lang w:val="en-US"/>
        </w:rPr>
        <w:t>The</w:t>
      </w:r>
      <w:r>
        <w:t xml:space="preserve"> CEO</w:t>
      </w:r>
      <w:r w:rsidRPr="4F9F5C11">
        <w:rPr>
          <w:lang w:val="en-US"/>
        </w:rPr>
        <w:t xml:space="preserve"> is appointed by the Board</w:t>
      </w:r>
      <w:r>
        <w:t xml:space="preserve">. </w:t>
      </w:r>
      <w:r w:rsidR="4288E2E4">
        <w:t>Similar to</w:t>
      </w:r>
      <w:r>
        <w:t xml:space="preserve"> other </w:t>
      </w:r>
      <w:r w:rsidR="01436FA8">
        <w:t>g</w:t>
      </w:r>
      <w:r>
        <w:t>overnment boards, the CEO position is responsible for implementing the Board's strategic objectives.</w:t>
      </w:r>
      <w:r w:rsidRPr="4F9F5C11">
        <w:rPr>
          <w:lang w:val="en-US"/>
        </w:rPr>
        <w:t xml:space="preserve"> </w:t>
      </w:r>
      <w:r>
        <w:t>Remuneration for Board members and the CEO is determined by the Remuneration Tribunal.</w:t>
      </w:r>
    </w:p>
    <w:p w14:paraId="200D2620" w14:textId="18FE0934" w:rsidR="00F56909" w:rsidRDefault="4CA6C250" w:rsidP="00BA227C">
      <w:r>
        <w:t xml:space="preserve">At the time of writing, </w:t>
      </w:r>
      <w:r w:rsidR="2D193100">
        <w:t>Infrastructure Australia has</w:t>
      </w:r>
      <w:r w:rsidR="6582CA37">
        <w:t xml:space="preserve"> an Average Staffing Level (ASL) of</w:t>
      </w:r>
      <w:r w:rsidR="2D193100">
        <w:t xml:space="preserve"> 29 and is seeking to recruit an additional 10 positions. Staffing numbers fluctuate to accommodate key tasks such as the </w:t>
      </w:r>
      <w:r w:rsidR="67645463">
        <w:t xml:space="preserve">Australian Infrastructure </w:t>
      </w:r>
      <w:r w:rsidR="2D193100">
        <w:t>Audit</w:t>
      </w:r>
      <w:r w:rsidR="41A5FF9C">
        <w:t xml:space="preserve"> (the Audit)</w:t>
      </w:r>
      <w:r w:rsidR="2D193100">
        <w:t xml:space="preserve"> and</w:t>
      </w:r>
      <w:r w:rsidR="721EC16A">
        <w:t xml:space="preserve"> the Australian Infrastructure </w:t>
      </w:r>
      <w:r w:rsidR="2D193100">
        <w:t xml:space="preserve">Plan </w:t>
      </w:r>
      <w:r w:rsidR="296C3219">
        <w:t xml:space="preserve">(the Plan) </w:t>
      </w:r>
      <w:r w:rsidR="2D193100">
        <w:t xml:space="preserve">utilising consultants and contract staff. Staff may be engaged under the </w:t>
      </w:r>
      <w:r w:rsidR="2D193100" w:rsidRPr="4F9F5C11">
        <w:rPr>
          <w:i/>
          <w:iCs/>
        </w:rPr>
        <w:t>Public Service Act 1999</w:t>
      </w:r>
      <w:r w:rsidR="4465A792" w:rsidRPr="4F9F5C11">
        <w:rPr>
          <w:i/>
          <w:iCs/>
        </w:rPr>
        <w:t xml:space="preserve"> </w:t>
      </w:r>
      <w:r w:rsidR="4465A792">
        <w:t>(</w:t>
      </w:r>
      <w:proofErr w:type="spellStart"/>
      <w:r w:rsidR="4465A792">
        <w:t>Cth</w:t>
      </w:r>
      <w:proofErr w:type="spellEnd"/>
      <w:r w:rsidR="4465A792">
        <w:t>)</w:t>
      </w:r>
      <w:r w:rsidR="2D193100">
        <w:t xml:space="preserve"> or by written agreements. Infrastructure Australia may also engage consultants to assist in the performance of its functions.</w:t>
      </w:r>
    </w:p>
    <w:p w14:paraId="337C62FC" w14:textId="77777777" w:rsidR="00F56909" w:rsidRDefault="109B1DE6" w:rsidP="00BA227C">
      <w:pPr>
        <w:rPr>
          <w:lang w:val="x-none"/>
        </w:rPr>
      </w:pPr>
      <w:r>
        <w:t>Section 5 of the IA Act sets out Infrastructure Australia’s functions</w:t>
      </w:r>
      <w:r w:rsidRPr="4F9F5C11">
        <w:rPr>
          <w:lang w:val="en-US"/>
        </w:rPr>
        <w:t>, including</w:t>
      </w:r>
      <w:r>
        <w:t xml:space="preserve"> to:</w:t>
      </w:r>
    </w:p>
    <w:p w14:paraId="45EE215B" w14:textId="03BE8268" w:rsidR="00F56909" w:rsidRPr="003716B7" w:rsidRDefault="47EFE297" w:rsidP="00E941EA">
      <w:pPr>
        <w:pStyle w:val="Listparagraphbullets"/>
        <w:ind w:left="567" w:hanging="567"/>
      </w:pPr>
      <w:r>
        <w:t>conduct infrastructure audits of nationally significant infrastructure</w:t>
      </w:r>
    </w:p>
    <w:p w14:paraId="5B8288A8" w14:textId="3E9D7B8A" w:rsidR="00F56909" w:rsidRPr="003716B7" w:rsidRDefault="47EFE297" w:rsidP="00E941EA">
      <w:pPr>
        <w:pStyle w:val="Listparagraphbullets"/>
        <w:ind w:left="567" w:hanging="567"/>
      </w:pPr>
      <w:r>
        <w:t>develop Infrastructure Priority Lists that prioritise Australia’s infrastructure needs</w:t>
      </w:r>
    </w:p>
    <w:p w14:paraId="39C184C0" w14:textId="3A9939F8" w:rsidR="00F56909" w:rsidRPr="003716B7" w:rsidRDefault="47EFE297" w:rsidP="00E941EA">
      <w:pPr>
        <w:pStyle w:val="Listparagraphbullets"/>
        <w:ind w:left="567" w:hanging="567"/>
      </w:pPr>
      <w:r>
        <w:t xml:space="preserve">evaluate proposals for investment in, or enhancements, to nationally significant infrastructure </w:t>
      </w:r>
    </w:p>
    <w:p w14:paraId="500E8CEB" w14:textId="1B90D1B2" w:rsidR="00F56909" w:rsidRDefault="47EFE297" w:rsidP="00E941EA">
      <w:pPr>
        <w:pStyle w:val="Listparagraphbullets"/>
        <w:ind w:left="567" w:hanging="567"/>
      </w:pPr>
      <w:r>
        <w:t>develop long</w:t>
      </w:r>
      <w:r w:rsidR="002C6954">
        <w:t>-</w:t>
      </w:r>
      <w:r>
        <w:t>term Infrastructure Plans</w:t>
      </w:r>
    </w:p>
    <w:p w14:paraId="59410509" w14:textId="594A05BE" w:rsidR="00F56909" w:rsidRPr="00F56909" w:rsidRDefault="47EFE297" w:rsidP="00E941EA">
      <w:pPr>
        <w:pStyle w:val="Listparagraphbullets"/>
        <w:ind w:left="567" w:hanging="567"/>
      </w:pPr>
      <w:r>
        <w:t xml:space="preserve">provide advice to the Minister, </w:t>
      </w:r>
      <w:r w:rsidR="1DBA0079">
        <w:t>Australian Government</w:t>
      </w:r>
      <w:r>
        <w:t xml:space="preserve">, </w:t>
      </w:r>
      <w:r w:rsidR="70986CA8">
        <w:t>s</w:t>
      </w:r>
      <w:r>
        <w:t xml:space="preserve">tate, </w:t>
      </w:r>
      <w:r w:rsidR="7D722E50">
        <w:t>t</w:t>
      </w:r>
      <w:r>
        <w:t>erritory and local governments, investors in infrastructure and owners of infrastructure on matters relating to infrastructure.</w:t>
      </w:r>
    </w:p>
    <w:p w14:paraId="2E6B192A" w14:textId="77777777" w:rsidR="00F56909" w:rsidRDefault="109B1DE6" w:rsidP="00BA227C">
      <w:r>
        <w:t xml:space="preserve">In addition, the responsible Minister may give written directions to Infrastructure Australia about the performance of its functions. Directions must be of a general nature, and must not be about the content of any audit, list, evaluation, plan or advice to be provided by Infrastructure Australia. </w:t>
      </w:r>
    </w:p>
    <w:p w14:paraId="5DB13380" w14:textId="33DB971F" w:rsidR="00F56909" w:rsidRDefault="47EFE297" w:rsidP="00BA227C">
      <w:r>
        <w:t xml:space="preserve">It </w:t>
      </w:r>
      <w:r w:rsidR="47644314">
        <w:t>has been a long-standing government practice</w:t>
      </w:r>
      <w:r>
        <w:t xml:space="preserve"> that the responsible Minister issues a Statement of Expectations (</w:t>
      </w:r>
      <w:proofErr w:type="spellStart"/>
      <w:r>
        <w:t>SoE</w:t>
      </w:r>
      <w:proofErr w:type="spellEnd"/>
      <w:r>
        <w:t xml:space="preserve">) to statutory agencies. The </w:t>
      </w:r>
      <w:proofErr w:type="spellStart"/>
      <w:r>
        <w:t>SoE</w:t>
      </w:r>
      <w:proofErr w:type="spellEnd"/>
      <w:r>
        <w:t xml:space="preserve"> provides greater clarity about government policies and objectives relevant to Infrastructure Australia, including the policies and priorities it is expected to observe in conducting its operations. The </w:t>
      </w:r>
      <w:proofErr w:type="spellStart"/>
      <w:r>
        <w:t>SoE</w:t>
      </w:r>
      <w:proofErr w:type="spellEnd"/>
      <w:r>
        <w:t xml:space="preserve"> recognises Infrastructure Australia’s independence and is not a direction, as defined by the IA Act.</w:t>
      </w:r>
    </w:p>
    <w:p w14:paraId="7211AE22" w14:textId="312A72A3" w:rsidR="00F56909" w:rsidRDefault="109B1DE6" w:rsidP="00F56909">
      <w:pPr>
        <w:pStyle w:val="Heading3"/>
      </w:pPr>
      <w:bookmarkStart w:id="34" w:name="_Toc115379962"/>
      <w:bookmarkStart w:id="35" w:name="_Toc124783604"/>
      <w:r>
        <w:lastRenderedPageBreak/>
        <w:t>Operating context</w:t>
      </w:r>
      <w:bookmarkEnd w:id="34"/>
      <w:bookmarkEnd w:id="35"/>
    </w:p>
    <w:p w14:paraId="2B523920" w14:textId="086B8BC2" w:rsidR="00F56909" w:rsidRDefault="47EFE297" w:rsidP="00BA227C">
      <w:pPr>
        <w:keepLines/>
        <w:rPr>
          <w:lang w:val="en-US"/>
        </w:rPr>
      </w:pPr>
      <w:r w:rsidRPr="4F9F5C11">
        <w:rPr>
          <w:lang w:val="en-US"/>
        </w:rPr>
        <w:t>Since I</w:t>
      </w:r>
      <w:r w:rsidR="1AC551A3" w:rsidRPr="4F9F5C11">
        <w:rPr>
          <w:lang w:val="en-US"/>
        </w:rPr>
        <w:t xml:space="preserve">nfrastructure </w:t>
      </w:r>
      <w:r w:rsidRPr="4F9F5C11">
        <w:rPr>
          <w:lang w:val="en-US"/>
        </w:rPr>
        <w:t>A</w:t>
      </w:r>
      <w:r w:rsidR="692D6381" w:rsidRPr="4F9F5C11">
        <w:rPr>
          <w:lang w:val="en-US"/>
        </w:rPr>
        <w:t>ustralia</w:t>
      </w:r>
      <w:r w:rsidRPr="4F9F5C11">
        <w:rPr>
          <w:lang w:val="en-US"/>
        </w:rPr>
        <w:t xml:space="preserve"> was first established in 2008, the infrastructure policy environment has changed substantially, with a growing number of bodies providing advice on infrastructure matters to all levels of government. Over the last decade, the </w:t>
      </w:r>
      <w:r w:rsidR="5485D284" w:rsidRPr="4F9F5C11">
        <w:rPr>
          <w:lang w:val="en-US"/>
        </w:rPr>
        <w:t>Australian Government</w:t>
      </w:r>
      <w:r w:rsidRPr="4F9F5C11">
        <w:rPr>
          <w:lang w:val="en-US"/>
        </w:rPr>
        <w:t xml:space="preserve"> and state and territory governments have invested significantly in building their infrastructure investment planning and development capabilities.</w:t>
      </w:r>
    </w:p>
    <w:p w14:paraId="207D474D" w14:textId="37A3E5DA" w:rsidR="00F56909" w:rsidRDefault="647A7414" w:rsidP="00BA227C">
      <w:pPr>
        <w:rPr>
          <w:lang w:val="en-US"/>
        </w:rPr>
      </w:pPr>
      <w:r w:rsidRPr="4F9F5C11">
        <w:rPr>
          <w:lang w:val="en-US"/>
        </w:rPr>
        <w:t xml:space="preserve">Beginning with Infrastructure </w:t>
      </w:r>
      <w:r w:rsidR="27FF8650" w:rsidRPr="4F9F5C11">
        <w:rPr>
          <w:lang w:val="en-US"/>
        </w:rPr>
        <w:t>NSW</w:t>
      </w:r>
      <w:r w:rsidRPr="4F9F5C11">
        <w:rPr>
          <w:lang w:val="en-US"/>
        </w:rPr>
        <w:t xml:space="preserve"> in 2011, most state and territory governments have now established their own infrastructure advisory bodies, or </w:t>
      </w:r>
      <w:r w:rsidR="5C033828" w:rsidRPr="4F9F5C11">
        <w:rPr>
          <w:lang w:val="en-US"/>
        </w:rPr>
        <w:t>I</w:t>
      </w:r>
      <w:r w:rsidRPr="4F9F5C11">
        <w:rPr>
          <w:lang w:val="en-US"/>
        </w:rPr>
        <w:t xml:space="preserve">-bodies. These </w:t>
      </w:r>
      <w:r w:rsidR="1A6F5402" w:rsidRPr="4F9F5C11">
        <w:rPr>
          <w:lang w:val="en-US"/>
        </w:rPr>
        <w:t>I</w:t>
      </w:r>
      <w:r w:rsidRPr="4F9F5C11">
        <w:rPr>
          <w:lang w:val="en-US"/>
        </w:rPr>
        <w:t>-bodies vary in terms of their structure, governance and remit, but many perform similar functions to Infrastructure Australia, such as developing long</w:t>
      </w:r>
      <w:r w:rsidR="002C6954">
        <w:rPr>
          <w:lang w:val="en-US"/>
        </w:rPr>
        <w:t>-</w:t>
      </w:r>
      <w:r w:rsidRPr="4F9F5C11">
        <w:rPr>
          <w:lang w:val="en-US"/>
        </w:rPr>
        <w:t xml:space="preserve">term infrastructure strategies and plans, assessing business cases, and providing policy and investment advice on infrastructure matters in their respective jurisdiction (see </w:t>
      </w:r>
      <w:hyperlink w:anchor="_Appendix_A:_State">
        <w:r w:rsidRPr="4F9F5C11">
          <w:rPr>
            <w:rStyle w:val="Hyperlink"/>
            <w:b/>
            <w:bCs/>
            <w:lang w:val="en-US"/>
          </w:rPr>
          <w:t>Appendix A</w:t>
        </w:r>
      </w:hyperlink>
      <w:r w:rsidR="44949402" w:rsidRPr="4F9F5C11">
        <w:rPr>
          <w:lang w:val="en-US"/>
        </w:rPr>
        <w:t xml:space="preserve"> for a comparison of current state and territory I-bodies</w:t>
      </w:r>
      <w:r w:rsidRPr="4F9F5C11">
        <w:rPr>
          <w:lang w:val="en-US"/>
        </w:rPr>
        <w:t>).</w:t>
      </w:r>
    </w:p>
    <w:p w14:paraId="01250E99" w14:textId="7A27BDF5" w:rsidR="00EC3568" w:rsidRDefault="32E3CB7E" w:rsidP="00BA227C">
      <w:pPr>
        <w:rPr>
          <w:lang w:val="en-US"/>
        </w:rPr>
      </w:pPr>
      <w:r w:rsidRPr="003716B7">
        <w:rPr>
          <w:lang w:val="en-US"/>
        </w:rPr>
        <w:t xml:space="preserve">At the </w:t>
      </w:r>
      <w:r w:rsidR="4FEF3BB2" w:rsidRPr="6A987B9B">
        <w:rPr>
          <w:lang w:val="en-US"/>
        </w:rPr>
        <w:t>federal</w:t>
      </w:r>
      <w:r w:rsidRPr="003716B7">
        <w:rPr>
          <w:lang w:val="en-US"/>
        </w:rPr>
        <w:t xml:space="preserve"> level, </w:t>
      </w:r>
      <w:r w:rsidRPr="1C433DC4">
        <w:rPr>
          <w:lang w:val="en-US"/>
        </w:rPr>
        <w:t>a number of bodies have been established whose functions now overlap with some of the initial</w:t>
      </w:r>
      <w:r w:rsidRPr="003716B7">
        <w:rPr>
          <w:lang w:val="en-US"/>
        </w:rPr>
        <w:t xml:space="preserve"> work envisaged in the original Infrastructure Australia model. The Infrastructure and Commercial Advisory Office (ICA) was established on 1 July 2017 to assist in the identification, development and assessment of innovative financing options for investment in major infrastructure projects. ICA provides </w:t>
      </w:r>
      <w:r w:rsidR="3AF07843" w:rsidRPr="6A987B9B">
        <w:rPr>
          <w:lang w:val="en-US"/>
        </w:rPr>
        <w:t>federal</w:t>
      </w:r>
      <w:r w:rsidRPr="003716B7">
        <w:rPr>
          <w:lang w:val="en-US"/>
        </w:rPr>
        <w:t xml:space="preserve"> agencies with commercial and financial advisory services across all phases of a project’s lifecycle, from business case to procurement and delivery. ICA is a distinct office within the </w:t>
      </w:r>
      <w:r w:rsidR="1DED301D" w:rsidRPr="6A987B9B">
        <w:rPr>
          <w:lang w:val="en-US"/>
        </w:rPr>
        <w:t xml:space="preserve">Commonwealth </w:t>
      </w:r>
      <w:r w:rsidRPr="003716B7">
        <w:rPr>
          <w:lang w:val="en-US"/>
        </w:rPr>
        <w:t>Department of</w:t>
      </w:r>
      <w:r w:rsidR="341234BB" w:rsidRPr="003716B7">
        <w:rPr>
          <w:lang w:val="en-US"/>
        </w:rPr>
        <w:t xml:space="preserve"> the</w:t>
      </w:r>
      <w:r w:rsidRPr="003716B7">
        <w:rPr>
          <w:lang w:val="en-US"/>
        </w:rPr>
        <w:t xml:space="preserve"> Treasury.</w:t>
      </w:r>
    </w:p>
    <w:p w14:paraId="05ADAAD9" w14:textId="0308BA3D" w:rsidR="00EC3568" w:rsidRDefault="647A7414" w:rsidP="00BA227C">
      <w:pPr>
        <w:rPr>
          <w:lang w:val="en-US"/>
        </w:rPr>
      </w:pPr>
      <w:r w:rsidRPr="4F9F5C11">
        <w:rPr>
          <w:lang w:val="en-US"/>
        </w:rPr>
        <w:t>At the 2021</w:t>
      </w:r>
      <w:r w:rsidR="692F1894" w:rsidRPr="4F9F5C11">
        <w:rPr>
          <w:lang w:val="en-US"/>
        </w:rPr>
        <w:t>–</w:t>
      </w:r>
      <w:r w:rsidRPr="4F9F5C11">
        <w:rPr>
          <w:lang w:val="en-US"/>
        </w:rPr>
        <w:t>22 Federal Budget, the Significant Projects Investment Delivery Office (SPIDO) was established within DITRDCA to support the delivery of nationally significant infrastructure projects. SPIDO collaborates with state and territory governments, industry bodies and businesses to identify, coordinate and drive projects that are complex and require an innovative approach, are more than $1 billion dollars and/or have the potential for positive revenue generation across the lifecycle.</w:t>
      </w:r>
    </w:p>
    <w:p w14:paraId="378ECA42" w14:textId="5F8BC28C" w:rsidR="00BE3A51" w:rsidRDefault="647A7414" w:rsidP="00BA227C">
      <w:pPr>
        <w:rPr>
          <w:lang w:val="en-US"/>
        </w:rPr>
      </w:pPr>
      <w:r w:rsidRPr="4F9F5C11">
        <w:rPr>
          <w:lang w:val="en-US"/>
        </w:rPr>
        <w:t xml:space="preserve">The </w:t>
      </w:r>
      <w:r w:rsidR="202ECB61" w:rsidRPr="4F9F5C11">
        <w:rPr>
          <w:lang w:val="en-US"/>
        </w:rPr>
        <w:t>Australian Government</w:t>
      </w:r>
      <w:r w:rsidRPr="4F9F5C11">
        <w:rPr>
          <w:lang w:val="en-US"/>
        </w:rPr>
        <w:t xml:space="preserve"> has committed to a large investment program over the next 10 years with the objective of lifting national performance and productivity</w:t>
      </w:r>
      <w:r w:rsidR="08CA26C6" w:rsidRPr="4F9F5C11">
        <w:rPr>
          <w:lang w:val="en-US"/>
        </w:rPr>
        <w:t>,</w:t>
      </w:r>
      <w:r w:rsidRPr="4F9F5C11">
        <w:rPr>
          <w:lang w:val="en-US"/>
        </w:rPr>
        <w:t xml:space="preserve"> and improv</w:t>
      </w:r>
      <w:r w:rsidR="0FE38688" w:rsidRPr="4F9F5C11">
        <w:rPr>
          <w:lang w:val="en-US"/>
        </w:rPr>
        <w:t>ing</w:t>
      </w:r>
      <w:r w:rsidRPr="4F9F5C11">
        <w:rPr>
          <w:lang w:val="en-US"/>
        </w:rPr>
        <w:t xml:space="preserve"> services to communities. Additionally, the Commonwealth has a large multi-year </w:t>
      </w:r>
      <w:proofErr w:type="spellStart"/>
      <w:r w:rsidRPr="4F9F5C11">
        <w:rPr>
          <w:lang w:val="en-US"/>
        </w:rPr>
        <w:t>defence</w:t>
      </w:r>
      <w:proofErr w:type="spellEnd"/>
      <w:r w:rsidRPr="4F9F5C11">
        <w:rPr>
          <w:lang w:val="en-US"/>
        </w:rPr>
        <w:t xml:space="preserve"> and national security infrastructure investment program which has significant place and regions impacts on market skills, capacity and capability</w:t>
      </w:r>
      <w:r w:rsidR="44949402" w:rsidRPr="4F9F5C11">
        <w:rPr>
          <w:lang w:val="en-US"/>
        </w:rPr>
        <w:t xml:space="preserve">. </w:t>
      </w:r>
      <w:r w:rsidR="22A53A1A" w:rsidRPr="4F9F5C11">
        <w:rPr>
          <w:lang w:val="en-US"/>
        </w:rPr>
        <w:t>Such impacts may be enhanced with concerning effects if</w:t>
      </w:r>
      <w:r w:rsidR="44949402" w:rsidRPr="4F9F5C11">
        <w:rPr>
          <w:lang w:val="en-US"/>
        </w:rPr>
        <w:t xml:space="preserve"> </w:t>
      </w:r>
      <w:r w:rsidR="22A53A1A" w:rsidRPr="4F9F5C11">
        <w:rPr>
          <w:lang w:val="en-US"/>
        </w:rPr>
        <w:t>these programs</w:t>
      </w:r>
      <w:r w:rsidR="44949402" w:rsidRPr="4F9F5C11">
        <w:rPr>
          <w:lang w:val="en-US"/>
        </w:rPr>
        <w:t xml:space="preserve"> are</w:t>
      </w:r>
      <w:r w:rsidRPr="4F9F5C11">
        <w:rPr>
          <w:lang w:val="en-US"/>
        </w:rPr>
        <w:t xml:space="preserve"> not aligned effectively with state and local planning and investment programs, especially in housing, social infrastructure and utilities provisioning required to support </w:t>
      </w:r>
      <w:proofErr w:type="spellStart"/>
      <w:r w:rsidRPr="4F9F5C11">
        <w:rPr>
          <w:lang w:val="en-US"/>
        </w:rPr>
        <w:t>defence</w:t>
      </w:r>
      <w:proofErr w:type="spellEnd"/>
      <w:r w:rsidRPr="4F9F5C11">
        <w:rPr>
          <w:lang w:val="en-US"/>
        </w:rPr>
        <w:t xml:space="preserve"> investment.</w:t>
      </w:r>
      <w:r w:rsidR="140D50E5" w:rsidRPr="4F9F5C11">
        <w:rPr>
          <w:lang w:val="en-US"/>
        </w:rPr>
        <w:t xml:space="preserve"> The Review was adv</w:t>
      </w:r>
      <w:r w:rsidR="01103751" w:rsidRPr="4F9F5C11">
        <w:rPr>
          <w:lang w:val="en-US"/>
        </w:rPr>
        <w:t>ised</w:t>
      </w:r>
      <w:r w:rsidR="140D50E5" w:rsidRPr="4F9F5C11">
        <w:rPr>
          <w:lang w:val="en-US"/>
        </w:rPr>
        <w:t xml:space="preserve"> by a number of parties that </w:t>
      </w:r>
      <w:r w:rsidR="346ADAA6" w:rsidRPr="4F9F5C11">
        <w:rPr>
          <w:lang w:val="en-US"/>
        </w:rPr>
        <w:t xml:space="preserve">the </w:t>
      </w:r>
      <w:proofErr w:type="spellStart"/>
      <w:r w:rsidR="5C86EDDD" w:rsidRPr="4F9F5C11">
        <w:rPr>
          <w:lang w:val="en-US"/>
        </w:rPr>
        <w:t>d</w:t>
      </w:r>
      <w:r w:rsidR="346ADAA6" w:rsidRPr="4F9F5C11">
        <w:rPr>
          <w:lang w:val="en-US"/>
        </w:rPr>
        <w:t>efence</w:t>
      </w:r>
      <w:proofErr w:type="spellEnd"/>
      <w:r w:rsidR="346ADAA6" w:rsidRPr="4F9F5C11">
        <w:rPr>
          <w:lang w:val="en-US"/>
        </w:rPr>
        <w:t xml:space="preserve"> civil investment program needs to be better strategically planned</w:t>
      </w:r>
      <w:r w:rsidR="22A53A1A" w:rsidRPr="4F9F5C11">
        <w:rPr>
          <w:lang w:val="en-US"/>
        </w:rPr>
        <w:t xml:space="preserve"> and </w:t>
      </w:r>
      <w:r w:rsidR="346ADAA6" w:rsidRPr="4F9F5C11">
        <w:rPr>
          <w:lang w:val="en-US"/>
        </w:rPr>
        <w:t>coordin</w:t>
      </w:r>
      <w:r w:rsidR="7629C319" w:rsidRPr="4F9F5C11">
        <w:rPr>
          <w:lang w:val="en-US"/>
        </w:rPr>
        <w:t>ated with governments</w:t>
      </w:r>
      <w:r w:rsidR="3194FEF9" w:rsidRPr="4F9F5C11">
        <w:rPr>
          <w:lang w:val="en-US"/>
        </w:rPr>
        <w:t>’</w:t>
      </w:r>
      <w:r w:rsidR="7629C319" w:rsidRPr="4F9F5C11">
        <w:rPr>
          <w:lang w:val="en-US"/>
        </w:rPr>
        <w:t xml:space="preserve"> broader inf</w:t>
      </w:r>
      <w:r w:rsidR="065975BC" w:rsidRPr="4F9F5C11">
        <w:rPr>
          <w:lang w:val="en-US"/>
        </w:rPr>
        <w:t>r</w:t>
      </w:r>
      <w:r w:rsidR="7629C319" w:rsidRPr="4F9F5C11">
        <w:rPr>
          <w:lang w:val="en-US"/>
        </w:rPr>
        <w:t xml:space="preserve">astructure </w:t>
      </w:r>
      <w:r w:rsidR="3AD86CA9" w:rsidRPr="4F9F5C11">
        <w:rPr>
          <w:lang w:val="en-US"/>
        </w:rPr>
        <w:t xml:space="preserve">investment </w:t>
      </w:r>
      <w:r w:rsidR="59875284" w:rsidRPr="4F9F5C11">
        <w:rPr>
          <w:lang w:val="en-US"/>
        </w:rPr>
        <w:t xml:space="preserve">programs, </w:t>
      </w:r>
      <w:r w:rsidR="22A53A1A" w:rsidRPr="4F9F5C11">
        <w:rPr>
          <w:lang w:val="en-US"/>
        </w:rPr>
        <w:t>to ensure effective delivery</w:t>
      </w:r>
      <w:r w:rsidR="5763E105" w:rsidRPr="4F9F5C11">
        <w:rPr>
          <w:lang w:val="en-US"/>
        </w:rPr>
        <w:t xml:space="preserve"> and</w:t>
      </w:r>
      <w:r w:rsidR="22A53A1A" w:rsidRPr="4F9F5C11">
        <w:rPr>
          <w:lang w:val="en-US"/>
        </w:rPr>
        <w:t xml:space="preserve"> alignment in </w:t>
      </w:r>
      <w:r w:rsidR="59875284" w:rsidRPr="4F9F5C11">
        <w:rPr>
          <w:lang w:val="en-US"/>
        </w:rPr>
        <w:t xml:space="preserve">market capacity </w:t>
      </w:r>
      <w:r w:rsidR="0DAB2F04" w:rsidRPr="4F9F5C11">
        <w:rPr>
          <w:lang w:val="en-US"/>
        </w:rPr>
        <w:t xml:space="preserve">and </w:t>
      </w:r>
      <w:r w:rsidR="59875284" w:rsidRPr="4F9F5C11">
        <w:rPr>
          <w:lang w:val="en-US"/>
        </w:rPr>
        <w:t>value for money investment</w:t>
      </w:r>
      <w:r w:rsidR="22A53A1A" w:rsidRPr="4F9F5C11">
        <w:rPr>
          <w:lang w:val="en-US"/>
        </w:rPr>
        <w:t xml:space="preserve">. </w:t>
      </w:r>
    </w:p>
    <w:p w14:paraId="33BAF9F9" w14:textId="21D2676F" w:rsidR="00EC3568" w:rsidRDefault="72EBAF92" w:rsidP="00BA227C">
      <w:pPr>
        <w:rPr>
          <w:lang w:val="en-US"/>
        </w:rPr>
      </w:pPr>
      <w:r w:rsidRPr="4F9F5C11">
        <w:rPr>
          <w:lang w:val="en-US"/>
        </w:rPr>
        <w:t xml:space="preserve">The </w:t>
      </w:r>
      <w:r w:rsidR="47F80DFC" w:rsidRPr="4F9F5C11">
        <w:rPr>
          <w:lang w:val="en-US"/>
        </w:rPr>
        <w:t>Australian Government</w:t>
      </w:r>
      <w:r w:rsidRPr="4F9F5C11">
        <w:rPr>
          <w:lang w:val="en-US"/>
        </w:rPr>
        <w:t xml:space="preserve"> has also formed a number of specific investment planning</w:t>
      </w:r>
      <w:r w:rsidR="00FC1D8D">
        <w:rPr>
          <w:lang w:val="en-US"/>
        </w:rPr>
        <w:t xml:space="preserve"> and</w:t>
      </w:r>
      <w:r w:rsidRPr="4F9F5C11">
        <w:rPr>
          <w:lang w:val="en-US"/>
        </w:rPr>
        <w:t xml:space="preserve"> investment delivery agencies, including substantial investment funding agencies. These include </w:t>
      </w:r>
      <w:r w:rsidR="22A53A1A" w:rsidRPr="4F9F5C11">
        <w:rPr>
          <w:lang w:val="en-US"/>
        </w:rPr>
        <w:t xml:space="preserve">the </w:t>
      </w:r>
      <w:r w:rsidRPr="4F9F5C11">
        <w:rPr>
          <w:lang w:val="en-US"/>
        </w:rPr>
        <w:t>Australian Renewable Energy Agency (</w:t>
      </w:r>
      <w:r w:rsidR="722F9AE5" w:rsidRPr="4F9F5C11">
        <w:rPr>
          <w:lang w:val="en-US"/>
        </w:rPr>
        <w:t>A</w:t>
      </w:r>
      <w:r w:rsidRPr="4F9F5C11">
        <w:rPr>
          <w:lang w:val="en-US"/>
        </w:rPr>
        <w:t xml:space="preserve">RENA), Clean Energy Finance Corporation (CEFC) and the Northern Australia Infrastructure Facility (NAIF) which have a mandate for national infrastructure investment and dedicated funding </w:t>
      </w:r>
      <w:r w:rsidR="441A438A" w:rsidRPr="4F9F5C11">
        <w:rPr>
          <w:lang w:val="en-US"/>
        </w:rPr>
        <w:t xml:space="preserve">programs </w:t>
      </w:r>
      <w:r w:rsidRPr="4F9F5C11">
        <w:rPr>
          <w:lang w:val="en-US"/>
        </w:rPr>
        <w:t xml:space="preserve">and investment funds. These agencies and funding programs </w:t>
      </w:r>
      <w:r w:rsidR="22A53A1A" w:rsidRPr="4F9F5C11">
        <w:rPr>
          <w:lang w:val="en-US"/>
        </w:rPr>
        <w:t>are not</w:t>
      </w:r>
      <w:r w:rsidRPr="4F9F5C11">
        <w:rPr>
          <w:lang w:val="en-US"/>
        </w:rPr>
        <w:t xml:space="preserve"> within an integrated national planning</w:t>
      </w:r>
      <w:r w:rsidR="24E79259" w:rsidRPr="4F9F5C11">
        <w:rPr>
          <w:lang w:val="en-US"/>
        </w:rPr>
        <w:t>,</w:t>
      </w:r>
      <w:r w:rsidRPr="4F9F5C11">
        <w:rPr>
          <w:lang w:val="en-US"/>
        </w:rPr>
        <w:t xml:space="preserve"> investment and project decision making process or a coordinated project assurance process.</w:t>
      </w:r>
    </w:p>
    <w:p w14:paraId="42724E16" w14:textId="7348B814" w:rsidR="00BE3A51" w:rsidRDefault="136985D7" w:rsidP="00BA227C">
      <w:pPr>
        <w:rPr>
          <w:lang w:val="en-US"/>
        </w:rPr>
      </w:pPr>
      <w:r w:rsidRPr="4F9F5C11">
        <w:rPr>
          <w:lang w:val="en-US"/>
        </w:rPr>
        <w:t xml:space="preserve">Importantly, the </w:t>
      </w:r>
      <w:r w:rsidR="12D567FD" w:rsidRPr="4F9F5C11">
        <w:rPr>
          <w:lang w:val="en-US"/>
        </w:rPr>
        <w:t xml:space="preserve">Australian </w:t>
      </w:r>
      <w:r w:rsidRPr="4F9F5C11">
        <w:rPr>
          <w:lang w:val="en-US"/>
        </w:rPr>
        <w:t>Government has committed to a multi</w:t>
      </w:r>
      <w:r w:rsidR="343D7E8F" w:rsidRPr="4F9F5C11">
        <w:rPr>
          <w:lang w:val="en-US"/>
        </w:rPr>
        <w:t>-</w:t>
      </w:r>
      <w:r w:rsidRPr="4F9F5C11">
        <w:rPr>
          <w:lang w:val="en-US"/>
        </w:rPr>
        <w:t>decade structural economic reform program to meet the nation</w:t>
      </w:r>
      <w:r w:rsidR="3611E57B" w:rsidRPr="4F9F5C11">
        <w:rPr>
          <w:lang w:val="en-US"/>
        </w:rPr>
        <w:t>’</w:t>
      </w:r>
      <w:r w:rsidRPr="4F9F5C11">
        <w:rPr>
          <w:lang w:val="en-US"/>
        </w:rPr>
        <w:t>s climate and productive capacity targets, which will require both large amounts of new capital investment and significant changes to how investment across utility sectors will need to take place.</w:t>
      </w:r>
    </w:p>
    <w:p w14:paraId="5919A75B" w14:textId="64DB55F9" w:rsidR="004E1517" w:rsidRDefault="32286351" w:rsidP="00BA227C">
      <w:pPr>
        <w:rPr>
          <w:lang w:val="en-US"/>
        </w:rPr>
      </w:pPr>
      <w:r>
        <w:t xml:space="preserve">During the course of the Review, the Australian Government introduced the </w:t>
      </w:r>
      <w:r w:rsidRPr="4F9F5C11">
        <w:rPr>
          <w:i/>
          <w:iCs/>
        </w:rPr>
        <w:t>Climate Change (Consequential Amendments) Act 2022</w:t>
      </w:r>
      <w:r>
        <w:t xml:space="preserve">, along with the </w:t>
      </w:r>
      <w:r w:rsidRPr="4F9F5C11">
        <w:rPr>
          <w:i/>
          <w:iCs/>
        </w:rPr>
        <w:t>Climate Change Act 2022</w:t>
      </w:r>
      <w:r>
        <w:t xml:space="preserve">, which makes consequential amendments to 14 Acts, including the IA Act. The </w:t>
      </w:r>
      <w:r w:rsidRPr="4F9F5C11">
        <w:rPr>
          <w:i/>
          <w:iCs/>
        </w:rPr>
        <w:t>Climate Change (Consequential Amendments) Act 2022</w:t>
      </w:r>
      <w:r>
        <w:t xml:space="preserve"> embeds Australia’s greenhouse gas emissions reduction targets into </w:t>
      </w:r>
      <w:r w:rsidR="72FE1330">
        <w:t xml:space="preserve">the </w:t>
      </w:r>
      <w:r>
        <w:t xml:space="preserve">functions of a range of Commonwealth agencies and schemes, ensuring those agencies and schemes help deliver on the targets. </w:t>
      </w:r>
      <w:r w:rsidR="65686A77">
        <w:t xml:space="preserve">Consequential amendments made </w:t>
      </w:r>
      <w:r w:rsidR="65686A77">
        <w:lastRenderedPageBreak/>
        <w:t>to the IA Act by t</w:t>
      </w:r>
      <w:r>
        <w:t xml:space="preserve">he </w:t>
      </w:r>
      <w:r w:rsidR="695090E9" w:rsidRPr="4F9F5C11">
        <w:rPr>
          <w:i/>
          <w:iCs/>
        </w:rPr>
        <w:t xml:space="preserve">Climate Change </w:t>
      </w:r>
      <w:r w:rsidR="0D3F7F0A" w:rsidRPr="4F9F5C11">
        <w:rPr>
          <w:i/>
          <w:iCs/>
        </w:rPr>
        <w:t xml:space="preserve">(Consequential Amendments) </w:t>
      </w:r>
      <w:r w:rsidRPr="4F9F5C11">
        <w:rPr>
          <w:i/>
          <w:iCs/>
        </w:rPr>
        <w:t>Act</w:t>
      </w:r>
      <w:r w:rsidR="094C6132" w:rsidRPr="4F9F5C11">
        <w:rPr>
          <w:i/>
          <w:iCs/>
        </w:rPr>
        <w:t xml:space="preserve"> 2022</w:t>
      </w:r>
      <w:r w:rsidRPr="4F9F5C11">
        <w:rPr>
          <w:i/>
          <w:iCs/>
        </w:rPr>
        <w:t xml:space="preserve"> </w:t>
      </w:r>
      <w:r>
        <w:t xml:space="preserve">took effect from 14 September 2022 </w:t>
      </w:r>
      <w:r w:rsidR="13EAE482">
        <w:t>and</w:t>
      </w:r>
      <w:r>
        <w:t xml:space="preserve"> </w:t>
      </w:r>
      <w:r w:rsidR="2E0611F1">
        <w:t>require</w:t>
      </w:r>
      <w:r w:rsidR="686A1B26">
        <w:t xml:space="preserve"> Australia’s greenhouse gas emissions reduction targets </w:t>
      </w:r>
      <w:r w:rsidR="0AA816F9">
        <w:t>t</w:t>
      </w:r>
      <w:r w:rsidR="22A53A1A">
        <w:t>o</w:t>
      </w:r>
      <w:r w:rsidR="686A1B26">
        <w:t xml:space="preserve"> be </w:t>
      </w:r>
      <w:r w:rsidR="22A53A1A">
        <w:t>considered</w:t>
      </w:r>
      <w:r w:rsidR="686A1B26">
        <w:t xml:space="preserve"> by Infrastructure Australia when conducting audits of nationally significant </w:t>
      </w:r>
      <w:r w:rsidR="41ABEEF3">
        <w:t>infrastructure, developing plans, and in exercising advisory functions</w:t>
      </w:r>
      <w:r>
        <w:t>.</w:t>
      </w:r>
    </w:p>
    <w:p w14:paraId="170FB56F" w14:textId="3C5CC2D4" w:rsidR="00B041CB" w:rsidRPr="00B041CB" w:rsidRDefault="399B1E5A" w:rsidP="00D56936">
      <w:pPr>
        <w:pStyle w:val="Heading2"/>
      </w:pPr>
      <w:bookmarkStart w:id="36" w:name="_Toc115379963"/>
      <w:bookmarkStart w:id="37" w:name="_Toc124783605"/>
      <w:bookmarkEnd w:id="31"/>
      <w:r>
        <w:t>Infrastructure Australia: mandate and core roles</w:t>
      </w:r>
      <w:bookmarkEnd w:id="36"/>
      <w:bookmarkEnd w:id="37"/>
    </w:p>
    <w:p w14:paraId="50B01C6B" w14:textId="77777777" w:rsidR="004E1517" w:rsidRDefault="399B1E5A" w:rsidP="00B041CB">
      <w:pPr>
        <w:suppressAutoHyphens/>
        <w:spacing w:before="240" w:after="240"/>
        <w:rPr>
          <w:rFonts w:eastAsia="Calibri" w:cs="Times New Roman"/>
          <w:color w:val="377B88"/>
          <w:kern w:val="12"/>
          <w:sz w:val="26"/>
          <w:szCs w:val="26"/>
          <w:lang w:val="x-none"/>
        </w:rPr>
      </w:pPr>
      <w:r>
        <w:rPr>
          <w:rFonts w:eastAsia="Calibri" w:cs="Times New Roman"/>
          <w:color w:val="377B88"/>
          <w:kern w:val="12"/>
          <w:sz w:val="26"/>
          <w:szCs w:val="26"/>
          <w:lang w:val="en-US"/>
        </w:rPr>
        <w:t>Key finding: Infrastructure Australia requires a clear mandate and must be empowered to carry out that mandate</w:t>
      </w:r>
      <w:r w:rsidR="0759909C" w:rsidRPr="00B041CB">
        <w:rPr>
          <w:rFonts w:eastAsia="Calibri" w:cs="Times New Roman"/>
          <w:color w:val="377B88"/>
          <w:kern w:val="12"/>
          <w:sz w:val="26"/>
          <w:szCs w:val="26"/>
          <w:lang w:val="x-none"/>
        </w:rPr>
        <w:t>.</w:t>
      </w:r>
    </w:p>
    <w:p w14:paraId="18DAD63D" w14:textId="0D4AACC2" w:rsidR="003F08CD" w:rsidRDefault="32286351" w:rsidP="00BA227C">
      <w:pPr>
        <w:rPr>
          <w:lang w:val="en-US"/>
        </w:rPr>
      </w:pPr>
      <w:r w:rsidRPr="4F9F5C11">
        <w:rPr>
          <w:lang w:val="en-US"/>
        </w:rPr>
        <w:t xml:space="preserve">The Review heard strong support for Infrastructure Australia remaining as an independent national advisor to the Australian Government, and the importance of the </w:t>
      </w:r>
      <w:r w:rsidR="07F21604" w:rsidRPr="4F9F5C11">
        <w:rPr>
          <w:lang w:val="en-US"/>
        </w:rPr>
        <w:t xml:space="preserve">Australian </w:t>
      </w:r>
      <w:r w:rsidRPr="4F9F5C11">
        <w:rPr>
          <w:lang w:val="en-US"/>
        </w:rPr>
        <w:t xml:space="preserve">Government having access to </w:t>
      </w:r>
      <w:r w:rsidR="0E5B27B1" w:rsidRPr="4F9F5C11">
        <w:rPr>
          <w:lang w:val="en-US"/>
        </w:rPr>
        <w:t>the expert analysis and advice</w:t>
      </w:r>
      <w:r w:rsidR="008F5575">
        <w:rPr>
          <w:lang w:val="en-US"/>
        </w:rPr>
        <w:t xml:space="preserve"> of</w:t>
      </w:r>
      <w:r w:rsidR="0E5B27B1" w:rsidRPr="4F9F5C11">
        <w:rPr>
          <w:lang w:val="en-US"/>
        </w:rPr>
        <w:t xml:space="preserve"> </w:t>
      </w:r>
      <w:r w:rsidR="62A380B1" w:rsidRPr="4F9F5C11">
        <w:rPr>
          <w:lang w:val="en-US"/>
        </w:rPr>
        <w:t>this</w:t>
      </w:r>
      <w:r w:rsidRPr="4F9F5C11">
        <w:rPr>
          <w:lang w:val="en-US"/>
        </w:rPr>
        <w:t xml:space="preserve"> body.</w:t>
      </w:r>
    </w:p>
    <w:p w14:paraId="037FD2A2" w14:textId="064825B2" w:rsidR="004E1517" w:rsidRDefault="5D008D87" w:rsidP="00BA227C">
      <w:pPr>
        <w:rPr>
          <w:lang w:val="en-US"/>
        </w:rPr>
      </w:pPr>
      <w:r w:rsidRPr="4F9F5C11">
        <w:rPr>
          <w:lang w:val="en-US"/>
        </w:rPr>
        <w:t xml:space="preserve">The key issue is to get the balance right between </w:t>
      </w:r>
      <w:r w:rsidR="466DB344" w:rsidRPr="4F9F5C11">
        <w:rPr>
          <w:lang w:val="en-US"/>
        </w:rPr>
        <w:t xml:space="preserve">the </w:t>
      </w:r>
      <w:r w:rsidRPr="4F9F5C11">
        <w:rPr>
          <w:lang w:val="en-US"/>
        </w:rPr>
        <w:t xml:space="preserve">independence of expert investment advice to </w:t>
      </w:r>
      <w:r w:rsidR="22A53A1A" w:rsidRPr="4F9F5C11">
        <w:rPr>
          <w:lang w:val="en-US"/>
        </w:rPr>
        <w:t>g</w:t>
      </w:r>
      <w:r w:rsidRPr="4F9F5C11">
        <w:rPr>
          <w:lang w:val="en-US"/>
        </w:rPr>
        <w:t>overnment</w:t>
      </w:r>
      <w:r w:rsidR="3329E714" w:rsidRPr="4F9F5C11">
        <w:rPr>
          <w:lang w:val="en-US"/>
        </w:rPr>
        <w:t>,</w:t>
      </w:r>
      <w:r w:rsidRPr="4F9F5C11">
        <w:rPr>
          <w:lang w:val="en-US"/>
        </w:rPr>
        <w:t xml:space="preserve"> and the influence of that advice in </w:t>
      </w:r>
      <w:r w:rsidR="22A53A1A" w:rsidRPr="4F9F5C11">
        <w:rPr>
          <w:lang w:val="en-US"/>
        </w:rPr>
        <w:t>g</w:t>
      </w:r>
      <w:r w:rsidRPr="4F9F5C11">
        <w:rPr>
          <w:lang w:val="en-US"/>
        </w:rPr>
        <w:t>overnment decision making processes</w:t>
      </w:r>
      <w:r w:rsidR="2C6664E3" w:rsidRPr="4F9F5C11">
        <w:rPr>
          <w:lang w:val="en-US"/>
        </w:rPr>
        <w:t>,</w:t>
      </w:r>
      <w:r w:rsidRPr="4F9F5C11">
        <w:rPr>
          <w:lang w:val="en-US"/>
        </w:rPr>
        <w:t xml:space="preserve"> given the range of public bodies now advising the Commonwealth on investments.</w:t>
      </w:r>
    </w:p>
    <w:p w14:paraId="59C054CF" w14:textId="11D7521C" w:rsidR="004E1517" w:rsidRDefault="51C32DD5" w:rsidP="00BA227C">
      <w:pPr>
        <w:rPr>
          <w:lang w:val="en-US"/>
        </w:rPr>
      </w:pPr>
      <w:r w:rsidRPr="4F9F5C11">
        <w:rPr>
          <w:lang w:val="en-US"/>
        </w:rPr>
        <w:t>A</w:t>
      </w:r>
      <w:r w:rsidR="5D008D87" w:rsidRPr="4F9F5C11">
        <w:rPr>
          <w:lang w:val="en-US"/>
        </w:rPr>
        <w:t xml:space="preserve">n equally strong concern was that the </w:t>
      </w:r>
      <w:r w:rsidR="22A53A1A" w:rsidRPr="4F9F5C11">
        <w:rPr>
          <w:lang w:val="en-US"/>
        </w:rPr>
        <w:t xml:space="preserve">current </w:t>
      </w:r>
      <w:r w:rsidR="5D008D87" w:rsidRPr="4F9F5C11">
        <w:rPr>
          <w:lang w:val="en-US"/>
        </w:rPr>
        <w:t>purpose of Infrastructure Australia was unclear, especially with the</w:t>
      </w:r>
      <w:r w:rsidR="2CB6AED1" w:rsidRPr="4F9F5C11">
        <w:rPr>
          <w:lang w:val="en-US"/>
        </w:rPr>
        <w:t xml:space="preserve"> creation and</w:t>
      </w:r>
      <w:r w:rsidR="5D008D87" w:rsidRPr="4F9F5C11">
        <w:rPr>
          <w:lang w:val="en-US"/>
        </w:rPr>
        <w:t xml:space="preserve"> </w:t>
      </w:r>
      <w:r w:rsidR="59C60CD5" w:rsidRPr="4F9F5C11">
        <w:rPr>
          <w:lang w:val="en-US"/>
        </w:rPr>
        <w:t xml:space="preserve">development of capabilities and expertise </w:t>
      </w:r>
      <w:r w:rsidR="5D008D87" w:rsidRPr="4F9F5C11">
        <w:rPr>
          <w:lang w:val="en-US"/>
        </w:rPr>
        <w:t xml:space="preserve">of state and territory </w:t>
      </w:r>
      <w:r w:rsidR="32FA1E9D" w:rsidRPr="4F9F5C11">
        <w:rPr>
          <w:lang w:val="en-US"/>
        </w:rPr>
        <w:t>I</w:t>
      </w:r>
      <w:r w:rsidR="5D008D87" w:rsidRPr="4F9F5C11">
        <w:rPr>
          <w:lang w:val="en-US"/>
        </w:rPr>
        <w:t>-bodies</w:t>
      </w:r>
      <w:r w:rsidR="48DB70C3" w:rsidRPr="4F9F5C11">
        <w:rPr>
          <w:lang w:val="en-US"/>
        </w:rPr>
        <w:t>.</w:t>
      </w:r>
      <w:r w:rsidR="5D008D87" w:rsidRPr="4F9F5C11">
        <w:rPr>
          <w:lang w:val="en-US"/>
        </w:rPr>
        <w:t xml:space="preserve"> Infrastructure Australia</w:t>
      </w:r>
      <w:r w:rsidR="2CB6AED1" w:rsidRPr="4F9F5C11">
        <w:rPr>
          <w:lang w:val="en-US"/>
        </w:rPr>
        <w:t xml:space="preserve"> </w:t>
      </w:r>
      <w:r w:rsidR="7586904D" w:rsidRPr="4F9F5C11">
        <w:rPr>
          <w:lang w:val="en-US"/>
        </w:rPr>
        <w:t>was described</w:t>
      </w:r>
      <w:r w:rsidR="5D008D87" w:rsidRPr="4F9F5C11">
        <w:rPr>
          <w:lang w:val="en-US"/>
        </w:rPr>
        <w:t xml:space="preserve"> as a ‘passive assessor’, </w:t>
      </w:r>
      <w:r w:rsidR="008F5575">
        <w:rPr>
          <w:lang w:val="en-US"/>
        </w:rPr>
        <w:t xml:space="preserve">and </w:t>
      </w:r>
      <w:r w:rsidR="5D008D87" w:rsidRPr="4F9F5C11">
        <w:rPr>
          <w:lang w:val="en-US"/>
        </w:rPr>
        <w:t xml:space="preserve">a ‘reactive agency’ whose advice to </w:t>
      </w:r>
      <w:r w:rsidRPr="4F9F5C11">
        <w:rPr>
          <w:lang w:val="en-US"/>
        </w:rPr>
        <w:t>g</w:t>
      </w:r>
      <w:r w:rsidR="5D008D87" w:rsidRPr="4F9F5C11">
        <w:rPr>
          <w:lang w:val="en-US"/>
        </w:rPr>
        <w:t xml:space="preserve">overnment has not been appropriately considered </w:t>
      </w:r>
      <w:r w:rsidR="5EB2AFB3" w:rsidRPr="4F9F5C11">
        <w:rPr>
          <w:lang w:val="en-US"/>
        </w:rPr>
        <w:t>and applied</w:t>
      </w:r>
      <w:r w:rsidRPr="4F9F5C11">
        <w:rPr>
          <w:lang w:val="en-US"/>
        </w:rPr>
        <w:t xml:space="preserve"> by government</w:t>
      </w:r>
      <w:r w:rsidR="5EB2AFB3" w:rsidRPr="4F9F5C11">
        <w:rPr>
          <w:lang w:val="en-US"/>
        </w:rPr>
        <w:t xml:space="preserve"> </w:t>
      </w:r>
      <w:r w:rsidR="11CE55A7" w:rsidRPr="4F9F5C11">
        <w:rPr>
          <w:lang w:val="en-US"/>
        </w:rPr>
        <w:t>before</w:t>
      </w:r>
      <w:r w:rsidR="5D008D87" w:rsidRPr="4F9F5C11">
        <w:rPr>
          <w:lang w:val="en-US"/>
        </w:rPr>
        <w:t xml:space="preserve"> making infrastructure investment decisions. </w:t>
      </w:r>
      <w:r w:rsidR="3713CB61" w:rsidRPr="4F9F5C11">
        <w:rPr>
          <w:lang w:val="en-US"/>
        </w:rPr>
        <w:t xml:space="preserve">There was </w:t>
      </w:r>
      <w:r w:rsidR="071DAF87" w:rsidRPr="4F9F5C11">
        <w:rPr>
          <w:lang w:val="en-US"/>
        </w:rPr>
        <w:t>c</w:t>
      </w:r>
      <w:r w:rsidR="5D008D87" w:rsidRPr="4F9F5C11">
        <w:rPr>
          <w:lang w:val="en-US"/>
        </w:rPr>
        <w:t xml:space="preserve">oncern about the lack of genuine influence that Infrastructure Australia had, and that the balance may have </w:t>
      </w:r>
      <w:r w:rsidR="3A44B393" w:rsidRPr="4F9F5C11">
        <w:rPr>
          <w:lang w:val="en-US"/>
        </w:rPr>
        <w:t xml:space="preserve">tipped </w:t>
      </w:r>
      <w:r w:rsidR="5D008D87" w:rsidRPr="4F9F5C11">
        <w:rPr>
          <w:lang w:val="en-US"/>
        </w:rPr>
        <w:t xml:space="preserve">too much in </w:t>
      </w:r>
      <w:proofErr w:type="spellStart"/>
      <w:r w:rsidR="5D008D87" w:rsidRPr="4F9F5C11">
        <w:rPr>
          <w:lang w:val="en-US"/>
        </w:rPr>
        <w:t>favour</w:t>
      </w:r>
      <w:proofErr w:type="spellEnd"/>
      <w:r w:rsidR="5D008D87" w:rsidRPr="4F9F5C11">
        <w:rPr>
          <w:lang w:val="en-US"/>
        </w:rPr>
        <w:t xml:space="preserve"> of independence</w:t>
      </w:r>
      <w:r w:rsidRPr="4F9F5C11">
        <w:rPr>
          <w:lang w:val="en-US"/>
        </w:rPr>
        <w:t>,</w:t>
      </w:r>
      <w:r w:rsidR="5D008D87" w:rsidRPr="4F9F5C11">
        <w:rPr>
          <w:lang w:val="en-US"/>
        </w:rPr>
        <w:t xml:space="preserve"> leaving Infrastructure Australia assessing relatively minor project proposals</w:t>
      </w:r>
      <w:r w:rsidR="4F9D3351" w:rsidRPr="4F9F5C11">
        <w:rPr>
          <w:lang w:val="en-US"/>
        </w:rPr>
        <w:t>, being</w:t>
      </w:r>
      <w:r w:rsidRPr="4F9F5C11">
        <w:rPr>
          <w:lang w:val="en-US"/>
        </w:rPr>
        <w:t xml:space="preserve"> </w:t>
      </w:r>
      <w:r w:rsidR="5D008D87" w:rsidRPr="4F9F5C11">
        <w:rPr>
          <w:lang w:val="en-US"/>
        </w:rPr>
        <w:t>disconnected</w:t>
      </w:r>
      <w:r w:rsidR="394B61AB" w:rsidRPr="4F9F5C11">
        <w:rPr>
          <w:lang w:val="en-US"/>
        </w:rPr>
        <w:t>,</w:t>
      </w:r>
      <w:r w:rsidR="5D008D87" w:rsidRPr="4F9F5C11">
        <w:rPr>
          <w:lang w:val="en-US"/>
        </w:rPr>
        <w:t xml:space="preserve"> and </w:t>
      </w:r>
      <w:r w:rsidRPr="4F9F5C11">
        <w:rPr>
          <w:lang w:val="en-US"/>
        </w:rPr>
        <w:t xml:space="preserve">generally </w:t>
      </w:r>
      <w:r w:rsidR="5D008D87" w:rsidRPr="4F9F5C11">
        <w:rPr>
          <w:lang w:val="en-US"/>
        </w:rPr>
        <w:t>at the periphery of government investment planning and decision making.</w:t>
      </w:r>
    </w:p>
    <w:p w14:paraId="236B36C6" w14:textId="619DE061" w:rsidR="004E1517" w:rsidRPr="004E1517" w:rsidRDefault="32286351" w:rsidP="00BA227C">
      <w:pPr>
        <w:rPr>
          <w:lang w:val="en-US"/>
        </w:rPr>
      </w:pPr>
      <w:r w:rsidRPr="4F9F5C11">
        <w:rPr>
          <w:lang w:val="en-US"/>
        </w:rPr>
        <w:t>A clear mandate is required to strengthen Infrastructure Australia’s role in the Commonwealth infrastructure eco-system. I</w:t>
      </w:r>
      <w:r w:rsidR="5534A82E" w:rsidRPr="4F9F5C11">
        <w:rPr>
          <w:lang w:val="en-US"/>
        </w:rPr>
        <w:t xml:space="preserve">nfrastructure </w:t>
      </w:r>
      <w:r w:rsidRPr="4F9F5C11">
        <w:rPr>
          <w:lang w:val="en-US"/>
        </w:rPr>
        <w:t>A</w:t>
      </w:r>
      <w:r w:rsidR="2060308A" w:rsidRPr="4F9F5C11">
        <w:rPr>
          <w:lang w:val="en-US"/>
        </w:rPr>
        <w:t>ustralia</w:t>
      </w:r>
      <w:r w:rsidRPr="4F9F5C11">
        <w:rPr>
          <w:lang w:val="en-US"/>
        </w:rPr>
        <w:t xml:space="preserve">’s mandate should be defined as </w:t>
      </w:r>
      <w:bookmarkStart w:id="38" w:name="_Hlk115381598"/>
      <w:r w:rsidR="51C32DD5" w:rsidRPr="4F9F5C11">
        <w:rPr>
          <w:lang w:val="en-US"/>
        </w:rPr>
        <w:t>‘</w:t>
      </w:r>
      <w:r w:rsidRPr="4F9F5C11">
        <w:rPr>
          <w:lang w:val="en-US"/>
        </w:rPr>
        <w:t>the Australian Government’s national advis</w:t>
      </w:r>
      <w:r w:rsidR="4447863B" w:rsidRPr="4F9F5C11">
        <w:rPr>
          <w:lang w:val="en-US"/>
        </w:rPr>
        <w:t>o</w:t>
      </w:r>
      <w:r w:rsidRPr="4F9F5C11">
        <w:rPr>
          <w:lang w:val="en-US"/>
        </w:rPr>
        <w:t xml:space="preserve">r on </w:t>
      </w:r>
      <w:r w:rsidR="51C32DD5" w:rsidRPr="4F9F5C11">
        <w:rPr>
          <w:lang w:val="en-US"/>
        </w:rPr>
        <w:t xml:space="preserve">national </w:t>
      </w:r>
      <w:r w:rsidRPr="4F9F5C11">
        <w:rPr>
          <w:lang w:val="en-US"/>
        </w:rPr>
        <w:t xml:space="preserve">infrastructure investment planning and </w:t>
      </w:r>
      <w:r w:rsidR="51C32DD5" w:rsidRPr="4F9F5C11">
        <w:rPr>
          <w:lang w:val="en-US"/>
        </w:rPr>
        <w:t xml:space="preserve">project </w:t>
      </w:r>
      <w:proofErr w:type="spellStart"/>
      <w:r w:rsidRPr="4F9F5C11">
        <w:rPr>
          <w:lang w:val="en-US"/>
        </w:rPr>
        <w:t>prioritisation</w:t>
      </w:r>
      <w:proofErr w:type="spellEnd"/>
      <w:r w:rsidR="51C32DD5" w:rsidRPr="4F9F5C11">
        <w:rPr>
          <w:lang w:val="en-US"/>
        </w:rPr>
        <w:t>’</w:t>
      </w:r>
      <w:bookmarkEnd w:id="38"/>
      <w:r w:rsidRPr="4F9F5C11">
        <w:rPr>
          <w:lang w:val="en-US"/>
        </w:rPr>
        <w:t xml:space="preserve">. </w:t>
      </w:r>
      <w:r w:rsidR="6E06680F" w:rsidRPr="4F9F5C11">
        <w:rPr>
          <w:lang w:val="en-US"/>
        </w:rPr>
        <w:t>To achieve this</w:t>
      </w:r>
      <w:r w:rsidRPr="4F9F5C11">
        <w:rPr>
          <w:lang w:val="en-US"/>
        </w:rPr>
        <w:t xml:space="preserve">, Infrastructure Australia </w:t>
      </w:r>
      <w:r w:rsidR="15CC1395" w:rsidRPr="4F9F5C11">
        <w:rPr>
          <w:lang w:val="en-US"/>
        </w:rPr>
        <w:t>should</w:t>
      </w:r>
      <w:r w:rsidRPr="4F9F5C11">
        <w:rPr>
          <w:lang w:val="en-US"/>
        </w:rPr>
        <w:t xml:space="preserve"> adopt a top down, high-level view in preparing its advice, considering and responding to issues that are cross-jurisdictional, cross-sectoral and of ‘national significance’ (see</w:t>
      </w:r>
      <w:r w:rsidR="75F5F488">
        <w:t xml:space="preserve"> discussion on </w:t>
      </w:r>
      <w:hyperlink w:anchor="_‘Nationally_significant’_infrastruc">
        <w:r w:rsidR="75F5F488" w:rsidRPr="4F9F5C11">
          <w:rPr>
            <w:rStyle w:val="Hyperlink"/>
          </w:rPr>
          <w:t>‘national</w:t>
        </w:r>
        <w:r w:rsidR="2A7B1C10" w:rsidRPr="4F9F5C11">
          <w:rPr>
            <w:rStyle w:val="Hyperlink"/>
          </w:rPr>
          <w:t>ly</w:t>
        </w:r>
        <w:r w:rsidR="75F5F488" w:rsidRPr="4F9F5C11">
          <w:rPr>
            <w:rStyle w:val="Hyperlink"/>
          </w:rPr>
          <w:t xml:space="preserve"> </w:t>
        </w:r>
        <w:r w:rsidR="2A7B1C10" w:rsidRPr="4F9F5C11">
          <w:rPr>
            <w:rStyle w:val="Hyperlink"/>
          </w:rPr>
          <w:t>significant</w:t>
        </w:r>
      </w:hyperlink>
      <w:r w:rsidR="75F5F488">
        <w:t>’</w:t>
      </w:r>
      <w:r w:rsidRPr="4F9F5C11">
        <w:rPr>
          <w:lang w:val="en-US"/>
        </w:rPr>
        <w:t xml:space="preserve">). Infrastructure Australia’s core role should reflect a national, integrated view (supported by state and territory </w:t>
      </w:r>
      <w:r w:rsidR="5B440318" w:rsidRPr="4F9F5C11">
        <w:rPr>
          <w:lang w:val="en-US"/>
        </w:rPr>
        <w:t>I</w:t>
      </w:r>
      <w:r w:rsidRPr="4F9F5C11">
        <w:rPr>
          <w:lang w:val="en-US"/>
        </w:rPr>
        <w:t>-bodies), and focus on linkages and analysis across sectors and jurisdictions, to ensur</w:t>
      </w:r>
      <w:r w:rsidR="1565BB10" w:rsidRPr="4F9F5C11">
        <w:rPr>
          <w:lang w:val="en-US"/>
        </w:rPr>
        <w:t>e</w:t>
      </w:r>
      <w:r w:rsidRPr="4F9F5C11">
        <w:rPr>
          <w:lang w:val="en-US"/>
        </w:rPr>
        <w:t xml:space="preserve"> the Commonwealth’s infrastructure priorities </w:t>
      </w:r>
      <w:r w:rsidR="0AC0EFB3" w:rsidRPr="4F9F5C11">
        <w:rPr>
          <w:lang w:val="en-US"/>
        </w:rPr>
        <w:t xml:space="preserve">are delivered </w:t>
      </w:r>
      <w:r w:rsidRPr="4F9F5C11">
        <w:rPr>
          <w:lang w:val="en-US"/>
        </w:rPr>
        <w:t xml:space="preserve">and </w:t>
      </w:r>
      <w:r w:rsidR="6D2552CE" w:rsidRPr="4F9F5C11">
        <w:rPr>
          <w:lang w:val="en-US"/>
        </w:rPr>
        <w:t xml:space="preserve">decision-making </w:t>
      </w:r>
      <w:r w:rsidRPr="4F9F5C11">
        <w:rPr>
          <w:lang w:val="en-US"/>
        </w:rPr>
        <w:t>structures operate effectively.</w:t>
      </w:r>
      <w:r w:rsidR="51C32DD5" w:rsidRPr="4F9F5C11">
        <w:rPr>
          <w:lang w:val="en-US"/>
        </w:rPr>
        <w:t xml:space="preserve"> </w:t>
      </w:r>
      <w:r w:rsidR="5D008D87" w:rsidRPr="4F9F5C11">
        <w:rPr>
          <w:lang w:val="en-US"/>
        </w:rPr>
        <w:t>This should include an expanded future role in coordinated cross</w:t>
      </w:r>
      <w:r w:rsidR="0664C8B5" w:rsidRPr="4F9F5C11">
        <w:rPr>
          <w:lang w:val="en-US"/>
        </w:rPr>
        <w:t>-</w:t>
      </w:r>
      <w:r w:rsidR="5D008D87" w:rsidRPr="4F9F5C11">
        <w:rPr>
          <w:lang w:val="en-US"/>
        </w:rPr>
        <w:t>sector planning and investment advice</w:t>
      </w:r>
      <w:r w:rsidR="741CD2B6" w:rsidRPr="4F9F5C11">
        <w:rPr>
          <w:lang w:val="en-US"/>
        </w:rPr>
        <w:t>;</w:t>
      </w:r>
      <w:r w:rsidR="5D008D87" w:rsidRPr="4F9F5C11">
        <w:rPr>
          <w:lang w:val="en-US"/>
        </w:rPr>
        <w:t xml:space="preserve"> for the </w:t>
      </w:r>
      <w:r w:rsidR="6B81AC20" w:rsidRPr="4F9F5C11">
        <w:rPr>
          <w:lang w:val="en-US"/>
        </w:rPr>
        <w:t>Australian</w:t>
      </w:r>
      <w:r w:rsidR="5D008D87" w:rsidRPr="4F9F5C11">
        <w:rPr>
          <w:lang w:val="en-US"/>
        </w:rPr>
        <w:t xml:space="preserve"> Government to</w:t>
      </w:r>
      <w:r w:rsidR="6FE91005" w:rsidRPr="4F9F5C11">
        <w:rPr>
          <w:lang w:val="en-US"/>
        </w:rPr>
        <w:t xml:space="preserve"> address</w:t>
      </w:r>
      <w:r w:rsidR="5D008D87" w:rsidRPr="4F9F5C11">
        <w:rPr>
          <w:lang w:val="en-US"/>
        </w:rPr>
        <w:t xml:space="preserve"> national priorities in meeting carbon reduction targets, energy transformation, the circular economy, resilience and national infrastructure systems performance.</w:t>
      </w:r>
    </w:p>
    <w:p w14:paraId="63211DD9" w14:textId="77777777" w:rsidR="004E1517" w:rsidRDefault="399B1E5A" w:rsidP="004E1517">
      <w:pPr>
        <w:pStyle w:val="Heading3notshowing"/>
      </w:pPr>
      <w:r>
        <w:t>Recommendation 1</w:t>
      </w:r>
    </w:p>
    <w:p w14:paraId="327E36C0" w14:textId="77777777" w:rsidR="00965B3F" w:rsidRDefault="72EBAF92" w:rsidP="6A987B9B">
      <w:pPr>
        <w:keepNext/>
        <w:keepLines/>
        <w:pBdr>
          <w:top w:val="single" w:sz="4" w:space="1" w:color="4BB3B5"/>
          <w:left w:val="single" w:sz="4" w:space="4" w:color="4BB3B5"/>
          <w:bottom w:val="single" w:sz="4" w:space="1" w:color="4BB3B5"/>
          <w:right w:val="single" w:sz="4" w:space="4" w:color="4BB3B5"/>
        </w:pBdr>
        <w:spacing w:after="120"/>
      </w:pPr>
      <w:bookmarkStart w:id="39" w:name="_Hlk115382943"/>
      <w:r>
        <w:t xml:space="preserve">The Review recommends </w:t>
      </w:r>
      <w:r w:rsidRPr="4F9F5C11">
        <w:rPr>
          <w:lang w:val="en-US"/>
        </w:rPr>
        <w:t>I</w:t>
      </w:r>
      <w:r w:rsidR="6B36AE6D" w:rsidRPr="4F9F5C11">
        <w:rPr>
          <w:lang w:val="en-US"/>
        </w:rPr>
        <w:t xml:space="preserve">nfrastructure </w:t>
      </w:r>
      <w:r w:rsidRPr="4F9F5C11">
        <w:rPr>
          <w:lang w:val="en-US"/>
        </w:rPr>
        <w:t>A</w:t>
      </w:r>
      <w:r w:rsidR="7B724D11" w:rsidRPr="4F9F5C11">
        <w:rPr>
          <w:lang w:val="en-US"/>
        </w:rPr>
        <w:t>ustralia</w:t>
      </w:r>
      <w:r w:rsidRPr="4F9F5C11">
        <w:rPr>
          <w:lang w:val="en-US"/>
        </w:rPr>
        <w:t xml:space="preserve">’s mandate be defined as </w:t>
      </w:r>
      <w:r w:rsidR="51C32DD5" w:rsidRPr="4F9F5C11">
        <w:rPr>
          <w:lang w:val="en-US"/>
        </w:rPr>
        <w:t xml:space="preserve">‘the Australian Government’s national advisor on national infrastructure investment planning and project </w:t>
      </w:r>
      <w:proofErr w:type="spellStart"/>
      <w:r w:rsidR="51C32DD5" w:rsidRPr="4F9F5C11">
        <w:rPr>
          <w:lang w:val="en-US"/>
        </w:rPr>
        <w:t>prioritisation</w:t>
      </w:r>
      <w:proofErr w:type="spellEnd"/>
      <w:r w:rsidR="51C32DD5" w:rsidRPr="4F9F5C11">
        <w:rPr>
          <w:lang w:val="en-US"/>
        </w:rPr>
        <w:t>’</w:t>
      </w:r>
      <w:r>
        <w:t xml:space="preserve">. This should include advising the </w:t>
      </w:r>
      <w:r w:rsidR="216D316D">
        <w:t xml:space="preserve">Australian Government </w:t>
      </w:r>
      <w:r>
        <w:t xml:space="preserve">on its strategies and priorities </w:t>
      </w:r>
      <w:r w:rsidR="511DD028">
        <w:t>to</w:t>
      </w:r>
      <w:r>
        <w:t xml:space="preserve"> invest in transport, water, communications, energy, social and economic infrastructure.</w:t>
      </w:r>
      <w:r w:rsidR="7E675FB7">
        <w:t xml:space="preserve"> </w:t>
      </w:r>
    </w:p>
    <w:p w14:paraId="0882F875" w14:textId="75834BDC" w:rsidR="004E1517" w:rsidRPr="00190A0C" w:rsidRDefault="7E675FB7" w:rsidP="00BA227C">
      <w:pPr>
        <w:keepLines/>
        <w:pBdr>
          <w:top w:val="single" w:sz="4" w:space="1" w:color="4BB3B5"/>
          <w:left w:val="single" w:sz="4" w:space="4" w:color="4BB3B5"/>
          <w:bottom w:val="single" w:sz="4" w:space="1" w:color="4BB3B5"/>
          <w:right w:val="single" w:sz="4" w:space="4" w:color="4BB3B5"/>
        </w:pBdr>
        <w:spacing w:after="120"/>
        <w:rPr>
          <w:lang w:eastAsia="zh-TW"/>
        </w:rPr>
      </w:pPr>
      <w:r>
        <w:t>The Review recommends this mandate be defined in the</w:t>
      </w:r>
      <w:r w:rsidRPr="4F9F5C11">
        <w:t xml:space="preserve"> IA Act</w:t>
      </w:r>
      <w:r>
        <w:t>.</w:t>
      </w:r>
    </w:p>
    <w:bookmarkEnd w:id="39"/>
    <w:p w14:paraId="5D114A48" w14:textId="241CE060" w:rsidR="004E1517" w:rsidRPr="00B223D5" w:rsidRDefault="372BEC09" w:rsidP="00B223D5">
      <w:pPr>
        <w:pStyle w:val="Tablefigureheading"/>
      </w:pPr>
      <w:r>
        <w:lastRenderedPageBreak/>
        <w:t>Figure 1: I</w:t>
      </w:r>
      <w:r w:rsidR="6C6E0F23">
        <w:t xml:space="preserve">nfrastructure </w:t>
      </w:r>
      <w:r>
        <w:t>A</w:t>
      </w:r>
      <w:r w:rsidR="66816E2D">
        <w:t>ustralia</w:t>
      </w:r>
      <w:r>
        <w:t xml:space="preserve"> mandate and core roles </w:t>
      </w:r>
    </w:p>
    <w:p w14:paraId="0C7F1C26" w14:textId="21467D0B" w:rsidR="22D6D3BB" w:rsidRDefault="2C7D44F8" w:rsidP="74354148">
      <w:r>
        <w:rPr>
          <w:noProof/>
        </w:rPr>
        <w:drawing>
          <wp:inline distT="0" distB="0" distL="0" distR="0" wp14:anchorId="50A6A82A" wp14:editId="5E452E9B">
            <wp:extent cx="5779698" cy="3190875"/>
            <wp:effectExtent l="0" t="0" r="0" b="0"/>
            <wp:docPr id="80377378" name="Picture 80377378" descr="Figure 1 is a chart outlining the recommended mandate for Infrastructure Australia and the core roles which flow from this mandate. The core roles are in two categories. The first is Advice, where Infrastructure Australia provides advice through the Infrastructure Plan and Audit, Infrastructure Priority List, and annual products for the Australian Government. The second category is providing assurance for assessment framework accreditation, peer reviews, and post completion reviews. " title="Figure 1: Infrastructure Australia mandate and core r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77378"/>
                    <pic:cNvPicPr/>
                  </pic:nvPicPr>
                  <pic:blipFill>
                    <a:blip r:embed="rId24">
                      <a:extLst>
                        <a:ext uri="{28A0092B-C50C-407E-A947-70E740481C1C}">
                          <a14:useLocalDpi xmlns:a14="http://schemas.microsoft.com/office/drawing/2010/main" val="0"/>
                        </a:ext>
                      </a:extLst>
                    </a:blip>
                    <a:stretch>
                      <a:fillRect/>
                    </a:stretch>
                  </pic:blipFill>
                  <pic:spPr>
                    <a:xfrm>
                      <a:off x="0" y="0"/>
                      <a:ext cx="5779698" cy="3190875"/>
                    </a:xfrm>
                    <a:prstGeom prst="rect">
                      <a:avLst/>
                    </a:prstGeom>
                  </pic:spPr>
                </pic:pic>
              </a:graphicData>
            </a:graphic>
          </wp:inline>
        </w:drawing>
      </w:r>
    </w:p>
    <w:p w14:paraId="48797E3E" w14:textId="00B5D8BC" w:rsidR="00B223D5" w:rsidRPr="00965B3F" w:rsidRDefault="20CE95F6" w:rsidP="4F9F5C11">
      <w:pPr>
        <w:suppressAutoHyphens/>
        <w:spacing w:before="240" w:after="240"/>
        <w:rPr>
          <w:lang w:val="en-US"/>
        </w:rPr>
      </w:pPr>
      <w:r w:rsidRPr="4F9F5C11">
        <w:rPr>
          <w:lang w:val="en-US"/>
        </w:rPr>
        <w:t>As part of redefining its mandate as the national infrastructure advis</w:t>
      </w:r>
      <w:r w:rsidR="1AD9231D" w:rsidRPr="4F9F5C11">
        <w:rPr>
          <w:lang w:val="en-US"/>
        </w:rPr>
        <w:t>o</w:t>
      </w:r>
      <w:r w:rsidRPr="4F9F5C11">
        <w:rPr>
          <w:lang w:val="en-US"/>
        </w:rPr>
        <w:t>r, the Review recommends</w:t>
      </w:r>
      <w:r w:rsidR="4B692A09" w:rsidRPr="4F9F5C11">
        <w:rPr>
          <w:lang w:val="en-US"/>
        </w:rPr>
        <w:t xml:space="preserve"> Infrastructure Australia’s broad responsibilities focus on two areas:</w:t>
      </w:r>
      <w:r w:rsidR="2E07716D" w:rsidRPr="4F9F5C11">
        <w:rPr>
          <w:lang w:val="en-US"/>
        </w:rPr>
        <w:t xml:space="preserve"> advice and </w:t>
      </w:r>
      <w:hyperlink w:anchor="_Assurance:_Infrastructure_Australia">
        <w:r w:rsidR="2E07716D" w:rsidRPr="4F9F5C11">
          <w:rPr>
            <w:rStyle w:val="Hyperlink"/>
            <w:lang w:val="en-US"/>
          </w:rPr>
          <w:t>assurance</w:t>
        </w:r>
      </w:hyperlink>
      <w:r w:rsidR="4B692A09" w:rsidRPr="4F9F5C11">
        <w:rPr>
          <w:lang w:val="en-US"/>
        </w:rPr>
        <w:t>.</w:t>
      </w:r>
      <w:r w:rsidR="2E07716D" w:rsidRPr="4F9F5C11">
        <w:rPr>
          <w:lang w:val="en-US"/>
        </w:rPr>
        <w:t xml:space="preserve"> </w:t>
      </w:r>
    </w:p>
    <w:p w14:paraId="55190F48" w14:textId="20EE8188" w:rsidR="00B223D5" w:rsidRDefault="2A397CCF" w:rsidP="005B50FF">
      <w:pPr>
        <w:pStyle w:val="Heading3"/>
      </w:pPr>
      <w:bookmarkStart w:id="40" w:name="_Toc115379964"/>
      <w:bookmarkStart w:id="41" w:name="_Toc124783606"/>
      <w:r>
        <w:t xml:space="preserve">Advice: </w:t>
      </w:r>
      <w:r w:rsidR="1841E751">
        <w:t>a</w:t>
      </w:r>
      <w:r w:rsidR="378031DF">
        <w:t xml:space="preserve">n improved product suite to support </w:t>
      </w:r>
      <w:r w:rsidR="67A4991D">
        <w:t>A</w:t>
      </w:r>
      <w:r w:rsidR="505FC4A9">
        <w:t xml:space="preserve">ustralian </w:t>
      </w:r>
      <w:r w:rsidR="1418803E">
        <w:t>G</w:t>
      </w:r>
      <w:r w:rsidR="378031DF">
        <w:t>overnment</w:t>
      </w:r>
      <w:r w:rsidR="34016010">
        <w:t xml:space="preserve"> infrastructure investment</w:t>
      </w:r>
      <w:r w:rsidR="378031DF">
        <w:t xml:space="preserve"> objectives</w:t>
      </w:r>
      <w:bookmarkEnd w:id="40"/>
      <w:bookmarkEnd w:id="41"/>
      <w:r w:rsidR="378031DF">
        <w:t xml:space="preserve"> </w:t>
      </w:r>
    </w:p>
    <w:p w14:paraId="6D2F6A44" w14:textId="77777777" w:rsidR="005B50FF" w:rsidRDefault="005B50FF" w:rsidP="005B50FF">
      <w:pPr>
        <w:pBdr>
          <w:left w:val="single" w:sz="48" w:space="22" w:color="4BB3B5"/>
        </w:pBdr>
        <w:suppressAutoHyphens/>
        <w:spacing w:before="160"/>
        <w:ind w:left="567" w:right="567"/>
      </w:pPr>
      <w:r w:rsidRPr="4F9F5C11">
        <w:rPr>
          <w:rStyle w:val="QuoteChar"/>
        </w:rPr>
        <w:t>Whilst valuable to those with day-to-day resources in which to comprehend them, these reports tend to be more observational rather than advocacy documents. Put another way, [Infrastructure Australia] presents a snapshot of important industry insights for the future of Australia’s infrastructure industry, but rarely impacts on the outcomes of ultimate market transactions.</w:t>
      </w:r>
      <w:r>
        <w:br/>
        <w:t>Australian Owned Contractors</w:t>
      </w:r>
    </w:p>
    <w:p w14:paraId="5687CB77" w14:textId="5D4B5DF0" w:rsidR="0011275A" w:rsidRDefault="005B50FF" w:rsidP="005B50FF">
      <w:pPr>
        <w:spacing w:before="360"/>
        <w:rPr>
          <w:lang w:val="en-US"/>
        </w:rPr>
      </w:pPr>
      <w:r w:rsidRPr="4F9F5C11">
        <w:rPr>
          <w:lang w:val="en-US"/>
        </w:rPr>
        <w:t xml:space="preserve">The IA Act outlines the functions of Infrastructure Australia, including a core set of products and publications to be delivered. Section 5 of the IA Act states that Infrastructure Australia is to conduct </w:t>
      </w:r>
      <w:r w:rsidRPr="4F9F5C11">
        <w:rPr>
          <w:b/>
          <w:bCs/>
          <w:lang w:val="en-US"/>
        </w:rPr>
        <w:t>audits</w:t>
      </w:r>
      <w:r w:rsidRPr="4F9F5C11">
        <w:rPr>
          <w:lang w:val="en-US"/>
        </w:rPr>
        <w:t xml:space="preserve"> to determine the adequacy, capacity and condition of nationally significant infrastructure; to develop an </w:t>
      </w:r>
      <w:r w:rsidRPr="4F9F5C11">
        <w:rPr>
          <w:b/>
          <w:bCs/>
          <w:lang w:val="en-US"/>
        </w:rPr>
        <w:t>Infrastructure Priority List</w:t>
      </w:r>
      <w:r w:rsidRPr="4F9F5C11">
        <w:rPr>
          <w:lang w:val="en-US"/>
        </w:rPr>
        <w:t xml:space="preserve"> based on these audits; and to develop </w:t>
      </w:r>
      <w:r w:rsidRPr="4F9F5C11">
        <w:rPr>
          <w:b/>
          <w:bCs/>
          <w:lang w:val="en-US"/>
        </w:rPr>
        <w:t>Infrastructure Plans</w:t>
      </w:r>
      <w:r w:rsidRPr="4F9F5C11">
        <w:rPr>
          <w:lang w:val="en-US"/>
        </w:rPr>
        <w:t>. Section 5B of the IA Act outlines that the Infrastructure Plans must specify priorities for nationally significant infrastructure for a period of 15 years from when they are prepared, and outline productivity gains and a cost benefit analysis (amongst other things). An Infrastructure Plan must be prepared every five years and must be published on Infrastructure Australia’s website within 14 days of the Plan being given to the Minister.</w:t>
      </w:r>
    </w:p>
    <w:p w14:paraId="572A481C" w14:textId="35FDC79D" w:rsidR="72E1D650" w:rsidRDefault="206C6D10" w:rsidP="243520EA">
      <w:pPr>
        <w:rPr>
          <w:lang w:val="en-US"/>
        </w:rPr>
      </w:pPr>
      <w:r w:rsidRPr="4F9F5C11">
        <w:rPr>
          <w:lang w:val="en-US"/>
        </w:rPr>
        <w:t>A further</w:t>
      </w:r>
      <w:r w:rsidR="176394B9" w:rsidRPr="4F9F5C11">
        <w:rPr>
          <w:lang w:val="en-US"/>
        </w:rPr>
        <w:t xml:space="preserve"> current</w:t>
      </w:r>
      <w:r w:rsidRPr="4F9F5C11">
        <w:rPr>
          <w:lang w:val="en-US"/>
        </w:rPr>
        <w:t xml:space="preserve"> core function for Infrastructure Australia is to evaluate infrastructure proposals</w:t>
      </w:r>
      <w:r w:rsidR="4B218583" w:rsidRPr="4F9F5C11">
        <w:rPr>
          <w:lang w:val="en-US"/>
        </w:rPr>
        <w:t xml:space="preserve">, in accordance with section 5A of the IA Act. </w:t>
      </w:r>
      <w:r w:rsidR="7F2E44B3" w:rsidRPr="4F9F5C11">
        <w:rPr>
          <w:lang w:val="en-US"/>
        </w:rPr>
        <w:t>In practice, this serves two purposes, to assess</w:t>
      </w:r>
      <w:r w:rsidR="2A22A26D" w:rsidRPr="4F9F5C11">
        <w:rPr>
          <w:lang w:val="en-US"/>
        </w:rPr>
        <w:t xml:space="preserve"> the potential for proposals to be added to the </w:t>
      </w:r>
      <w:r w:rsidR="6FE1DA29" w:rsidRPr="4F9F5C11">
        <w:rPr>
          <w:lang w:val="en-US"/>
        </w:rPr>
        <w:t>IPL</w:t>
      </w:r>
      <w:r w:rsidR="2A22A26D" w:rsidRPr="4F9F5C11">
        <w:rPr>
          <w:lang w:val="en-US"/>
        </w:rPr>
        <w:t xml:space="preserve"> </w:t>
      </w:r>
      <w:r w:rsidR="0A9DE136" w:rsidRPr="4F9F5C11">
        <w:rPr>
          <w:lang w:val="en-US"/>
        </w:rPr>
        <w:t xml:space="preserve">for future investment </w:t>
      </w:r>
      <w:r w:rsidR="2A22A26D" w:rsidRPr="4F9F5C11">
        <w:rPr>
          <w:lang w:val="en-US"/>
        </w:rPr>
        <w:t xml:space="preserve">and </w:t>
      </w:r>
      <w:r w:rsidR="7B712962" w:rsidRPr="4F9F5C11">
        <w:rPr>
          <w:lang w:val="en-US"/>
        </w:rPr>
        <w:t xml:space="preserve">to assess projects </w:t>
      </w:r>
      <w:r w:rsidR="523895D0" w:rsidRPr="4F9F5C11">
        <w:rPr>
          <w:lang w:val="en-US"/>
        </w:rPr>
        <w:t>as part of an Australian Government funding approvals process.</w:t>
      </w:r>
      <w:r w:rsidR="0CCD34FB" w:rsidRPr="4F9F5C11">
        <w:rPr>
          <w:lang w:val="en-US"/>
        </w:rPr>
        <w:t xml:space="preserve"> The latter </w:t>
      </w:r>
      <w:r w:rsidR="73C15E5D" w:rsidRPr="4F9F5C11">
        <w:rPr>
          <w:lang w:val="en-US"/>
        </w:rPr>
        <w:t xml:space="preserve">assurance role </w:t>
      </w:r>
      <w:r w:rsidR="18CCE7D5" w:rsidRPr="4F9F5C11">
        <w:rPr>
          <w:lang w:val="en-US"/>
        </w:rPr>
        <w:t xml:space="preserve">is applied through the Minister’s </w:t>
      </w:r>
      <w:proofErr w:type="spellStart"/>
      <w:r w:rsidR="515CB54D" w:rsidRPr="4F9F5C11">
        <w:rPr>
          <w:lang w:val="en-US"/>
        </w:rPr>
        <w:t>SoE</w:t>
      </w:r>
      <w:proofErr w:type="spellEnd"/>
      <w:r w:rsidR="18CCE7D5" w:rsidRPr="4F9F5C11">
        <w:rPr>
          <w:lang w:val="en-US"/>
        </w:rPr>
        <w:t xml:space="preserve"> to Infrastructure Australia</w:t>
      </w:r>
      <w:r w:rsidR="6C7746C4" w:rsidRPr="4F9F5C11">
        <w:rPr>
          <w:lang w:val="en-US"/>
        </w:rPr>
        <w:t>,</w:t>
      </w:r>
      <w:r w:rsidR="18CCE7D5" w:rsidRPr="4F9F5C11">
        <w:rPr>
          <w:lang w:val="en-US"/>
        </w:rPr>
        <w:t xml:space="preserve"> and </w:t>
      </w:r>
      <w:r w:rsidR="6791E579" w:rsidRPr="4F9F5C11">
        <w:rPr>
          <w:lang w:val="en-US"/>
        </w:rPr>
        <w:t>comes about through</w:t>
      </w:r>
      <w:r w:rsidR="0CCD34FB" w:rsidRPr="4F9F5C11">
        <w:rPr>
          <w:lang w:val="en-US"/>
        </w:rPr>
        <w:t xml:space="preserve"> requirement</w:t>
      </w:r>
      <w:r w:rsidR="4A13A175" w:rsidRPr="4F9F5C11">
        <w:rPr>
          <w:lang w:val="en-US"/>
        </w:rPr>
        <w:t>s</w:t>
      </w:r>
      <w:r w:rsidR="0CCD34FB" w:rsidRPr="4F9F5C11">
        <w:rPr>
          <w:lang w:val="en-US"/>
        </w:rPr>
        <w:t xml:space="preserve"> under the National Partnership </w:t>
      </w:r>
      <w:r w:rsidR="749D18A1" w:rsidRPr="4F9F5C11">
        <w:rPr>
          <w:lang w:val="en-US"/>
        </w:rPr>
        <w:t>Agreement on Land Transport Infrastructure Projects and other funding agreements</w:t>
      </w:r>
      <w:r w:rsidR="473479F2" w:rsidRPr="4F9F5C11">
        <w:rPr>
          <w:lang w:val="en-US"/>
        </w:rPr>
        <w:t xml:space="preserve"> with the states and territories</w:t>
      </w:r>
      <w:r w:rsidR="1BF29734" w:rsidRPr="4F9F5C11">
        <w:rPr>
          <w:lang w:val="en-US"/>
        </w:rPr>
        <w:t xml:space="preserve"> where more than $250 million is sought from the </w:t>
      </w:r>
      <w:r w:rsidR="57E5E3FB" w:rsidRPr="4F9F5C11">
        <w:rPr>
          <w:lang w:val="en-US"/>
        </w:rPr>
        <w:t>Australian Government</w:t>
      </w:r>
      <w:r w:rsidR="1700A9D3" w:rsidRPr="4F9F5C11">
        <w:rPr>
          <w:lang w:val="en-US"/>
        </w:rPr>
        <w:t xml:space="preserve">. The output is an evaluation summary that is used to inform </w:t>
      </w:r>
      <w:r w:rsidR="47023E22" w:rsidRPr="4F9F5C11">
        <w:rPr>
          <w:lang w:val="en-US"/>
        </w:rPr>
        <w:t>final funding decisions</w:t>
      </w:r>
      <w:r w:rsidR="3F915C02" w:rsidRPr="4F9F5C11">
        <w:rPr>
          <w:lang w:val="en-US"/>
        </w:rPr>
        <w:t xml:space="preserve"> by the Australian Government</w:t>
      </w:r>
      <w:r w:rsidR="47023E22" w:rsidRPr="4F9F5C11">
        <w:rPr>
          <w:lang w:val="en-US"/>
        </w:rPr>
        <w:t>.</w:t>
      </w:r>
      <w:r w:rsidR="53614420" w:rsidRPr="4F9F5C11">
        <w:rPr>
          <w:lang w:val="en-US"/>
        </w:rPr>
        <w:t xml:space="preserve"> </w:t>
      </w:r>
      <w:r w:rsidR="3EDD4BE6" w:rsidRPr="4F9F5C11">
        <w:rPr>
          <w:lang w:val="en-US"/>
        </w:rPr>
        <w:t>DITRDCA</w:t>
      </w:r>
      <w:r w:rsidR="53614420" w:rsidRPr="4F9F5C11">
        <w:rPr>
          <w:lang w:val="en-US"/>
        </w:rPr>
        <w:t xml:space="preserve"> identified </w:t>
      </w:r>
      <w:r w:rsidR="5D59C4A2" w:rsidRPr="4F9F5C11">
        <w:rPr>
          <w:lang w:val="en-US"/>
        </w:rPr>
        <w:t xml:space="preserve">to the Review </w:t>
      </w:r>
      <w:r w:rsidR="53614420" w:rsidRPr="4F9F5C11">
        <w:rPr>
          <w:lang w:val="en-US"/>
        </w:rPr>
        <w:t xml:space="preserve">that it performs </w:t>
      </w:r>
      <w:r w:rsidR="059D8048" w:rsidRPr="4F9F5C11">
        <w:rPr>
          <w:lang w:val="en-US"/>
        </w:rPr>
        <w:t xml:space="preserve">its </w:t>
      </w:r>
      <w:r w:rsidR="604B4FFB" w:rsidRPr="4F9F5C11">
        <w:rPr>
          <w:lang w:val="en-US"/>
        </w:rPr>
        <w:t>own project evaluation as part of the funding approval process</w:t>
      </w:r>
      <w:r w:rsidR="655110AE" w:rsidRPr="4F9F5C11">
        <w:rPr>
          <w:lang w:val="en-US"/>
        </w:rPr>
        <w:t>.</w:t>
      </w:r>
      <w:r w:rsidR="402FF98E" w:rsidRPr="4F9F5C11">
        <w:rPr>
          <w:lang w:val="en-US"/>
        </w:rPr>
        <w:t xml:space="preserve"> </w:t>
      </w:r>
      <w:r w:rsidR="0CBA5C09" w:rsidRPr="4F9F5C11">
        <w:rPr>
          <w:lang w:val="en-US"/>
        </w:rPr>
        <w:t xml:space="preserve">The Infrastructure Australia evaluation </w:t>
      </w:r>
      <w:r w:rsidR="730737D3" w:rsidRPr="4F9F5C11">
        <w:rPr>
          <w:lang w:val="en-US"/>
        </w:rPr>
        <w:t>ensures there is independent assurance for high value investments by the Australian Government.</w:t>
      </w:r>
    </w:p>
    <w:p w14:paraId="509F660F" w14:textId="34474029" w:rsidR="00B223D5" w:rsidRDefault="38977FEC" w:rsidP="490A766D">
      <w:pPr>
        <w:rPr>
          <w:lang w:val="en-US"/>
        </w:rPr>
      </w:pPr>
      <w:r w:rsidRPr="4F9F5C11">
        <w:rPr>
          <w:lang w:val="en-US"/>
        </w:rPr>
        <w:lastRenderedPageBreak/>
        <w:t xml:space="preserve">While the Review heard </w:t>
      </w:r>
      <w:proofErr w:type="spellStart"/>
      <w:r w:rsidRPr="4F9F5C11">
        <w:rPr>
          <w:lang w:val="en-US"/>
        </w:rPr>
        <w:t>favourable</w:t>
      </w:r>
      <w:proofErr w:type="spellEnd"/>
      <w:r w:rsidRPr="4F9F5C11">
        <w:rPr>
          <w:lang w:val="en-US"/>
        </w:rPr>
        <w:t xml:space="preserve"> views about the </w:t>
      </w:r>
      <w:r w:rsidR="4CAE0A97" w:rsidRPr="4F9F5C11">
        <w:rPr>
          <w:lang w:val="en-US"/>
        </w:rPr>
        <w:t>A</w:t>
      </w:r>
      <w:r w:rsidRPr="4F9F5C11">
        <w:rPr>
          <w:lang w:val="en-US"/>
        </w:rPr>
        <w:t xml:space="preserve">udit and </w:t>
      </w:r>
      <w:r w:rsidR="01708CF5" w:rsidRPr="4F9F5C11">
        <w:rPr>
          <w:lang w:val="en-US"/>
        </w:rPr>
        <w:t xml:space="preserve">the </w:t>
      </w:r>
      <w:r w:rsidR="092D5F9B" w:rsidRPr="4F9F5C11">
        <w:rPr>
          <w:lang w:val="en-US"/>
        </w:rPr>
        <w:t>P</w:t>
      </w:r>
      <w:r w:rsidRPr="4F9F5C11">
        <w:rPr>
          <w:lang w:val="en-US"/>
        </w:rPr>
        <w:t>lan development processes and its recent key piece</w:t>
      </w:r>
      <w:r w:rsidR="04E7DC59" w:rsidRPr="4F9F5C11">
        <w:rPr>
          <w:lang w:val="en-US"/>
        </w:rPr>
        <w:t>s</w:t>
      </w:r>
      <w:r w:rsidRPr="4F9F5C11">
        <w:rPr>
          <w:lang w:val="en-US"/>
        </w:rPr>
        <w:t xml:space="preserve"> of analysis for </w:t>
      </w:r>
      <w:r w:rsidR="6D8E08C3" w:rsidRPr="4F9F5C11">
        <w:rPr>
          <w:lang w:val="en-US"/>
        </w:rPr>
        <w:t>g</w:t>
      </w:r>
      <w:r w:rsidRPr="4F9F5C11">
        <w:rPr>
          <w:lang w:val="en-US"/>
        </w:rPr>
        <w:t>overnments (e.g</w:t>
      </w:r>
      <w:r w:rsidR="0CE35F2E" w:rsidRPr="4F9F5C11">
        <w:rPr>
          <w:lang w:val="en-US"/>
        </w:rPr>
        <w:t>.</w:t>
      </w:r>
      <w:r w:rsidRPr="4F9F5C11">
        <w:rPr>
          <w:lang w:val="en-US"/>
        </w:rPr>
        <w:t xml:space="preserve"> I</w:t>
      </w:r>
      <w:r w:rsidR="77D8E928" w:rsidRPr="4F9F5C11">
        <w:rPr>
          <w:lang w:val="en-US"/>
        </w:rPr>
        <w:t xml:space="preserve">nfrastructure </w:t>
      </w:r>
      <w:r w:rsidRPr="4F9F5C11">
        <w:rPr>
          <w:lang w:val="en-US"/>
        </w:rPr>
        <w:t>A</w:t>
      </w:r>
      <w:r w:rsidR="45FE95F1" w:rsidRPr="4F9F5C11">
        <w:rPr>
          <w:lang w:val="en-US"/>
        </w:rPr>
        <w:t>ustralia</w:t>
      </w:r>
      <w:r w:rsidRPr="4F9F5C11">
        <w:rPr>
          <w:lang w:val="en-US"/>
        </w:rPr>
        <w:t xml:space="preserve">’s </w:t>
      </w:r>
      <w:r w:rsidRPr="4F9F5C11">
        <w:rPr>
          <w:i/>
          <w:iCs/>
          <w:lang w:val="en-US"/>
        </w:rPr>
        <w:t>2021 Market Capacity Report</w:t>
      </w:r>
      <w:r w:rsidRPr="4F9F5C11">
        <w:rPr>
          <w:lang w:val="en-US"/>
        </w:rPr>
        <w:t xml:space="preserve">), the remainder of the Infrastructure Australia product suite (in its current state) was not as well received or utilised by stakeholders. Most concerningly, many stakeholders did not understand the purpose of these products. The </w:t>
      </w:r>
      <w:r w:rsidR="0733090F" w:rsidRPr="4F9F5C11">
        <w:rPr>
          <w:lang w:val="en-US"/>
        </w:rPr>
        <w:t xml:space="preserve">IPL </w:t>
      </w:r>
      <w:r w:rsidRPr="4F9F5C11">
        <w:rPr>
          <w:lang w:val="en-US"/>
        </w:rPr>
        <w:t xml:space="preserve">was </w:t>
      </w:r>
      <w:r w:rsidR="0FDB6AD3" w:rsidRPr="4F9F5C11">
        <w:rPr>
          <w:lang w:val="en-US"/>
        </w:rPr>
        <w:t>frequently</w:t>
      </w:r>
      <w:r w:rsidRPr="4F9F5C11">
        <w:rPr>
          <w:lang w:val="en-US"/>
        </w:rPr>
        <w:t xml:space="preserve"> </w:t>
      </w:r>
      <w:proofErr w:type="spellStart"/>
      <w:r w:rsidRPr="4F9F5C11">
        <w:rPr>
          <w:lang w:val="en-US"/>
        </w:rPr>
        <w:t>criticised</w:t>
      </w:r>
      <w:proofErr w:type="spellEnd"/>
      <w:r w:rsidRPr="4F9F5C11">
        <w:rPr>
          <w:lang w:val="en-US"/>
        </w:rPr>
        <w:t xml:space="preserve">, with stakeholders noting it was disconnected from Infrastructure Australia’s other products; described as a ‘menu’ of options for the </w:t>
      </w:r>
      <w:r w:rsidR="19AFAB29" w:rsidRPr="4F9F5C11">
        <w:rPr>
          <w:lang w:val="en-US"/>
        </w:rPr>
        <w:t xml:space="preserve">Australian </w:t>
      </w:r>
      <w:r w:rsidRPr="4F9F5C11">
        <w:rPr>
          <w:lang w:val="en-US"/>
        </w:rPr>
        <w:t xml:space="preserve">Government without any </w:t>
      </w:r>
      <w:proofErr w:type="spellStart"/>
      <w:r w:rsidRPr="4F9F5C11">
        <w:rPr>
          <w:lang w:val="en-US"/>
        </w:rPr>
        <w:t>prioritisation</w:t>
      </w:r>
      <w:proofErr w:type="spellEnd"/>
      <w:r w:rsidRPr="4F9F5C11">
        <w:rPr>
          <w:lang w:val="en-US"/>
        </w:rPr>
        <w:t xml:space="preserve">; and a ‘dumping ground’ for projects where proponents were simply seeking to bid for </w:t>
      </w:r>
      <w:r w:rsidR="52AD623A" w:rsidRPr="4F9F5C11">
        <w:rPr>
          <w:lang w:val="en-US"/>
        </w:rPr>
        <w:t>federal</w:t>
      </w:r>
      <w:r w:rsidRPr="4F9F5C11">
        <w:rPr>
          <w:lang w:val="en-US"/>
        </w:rPr>
        <w:t xml:space="preserve"> funding. Feedback on the Audit and </w:t>
      </w:r>
      <w:r w:rsidR="3326D5D4" w:rsidRPr="4F9F5C11">
        <w:rPr>
          <w:lang w:val="en-US"/>
        </w:rPr>
        <w:t xml:space="preserve">the </w:t>
      </w:r>
      <w:r w:rsidRPr="4F9F5C11">
        <w:rPr>
          <w:lang w:val="en-US"/>
        </w:rPr>
        <w:t xml:space="preserve">Plan indicated </w:t>
      </w:r>
      <w:r w:rsidR="0FDB6AD3" w:rsidRPr="4F9F5C11">
        <w:rPr>
          <w:lang w:val="en-US"/>
        </w:rPr>
        <w:t>they</w:t>
      </w:r>
      <w:r w:rsidRPr="4F9F5C11">
        <w:rPr>
          <w:lang w:val="en-US"/>
        </w:rPr>
        <w:t xml:space="preserve"> </w:t>
      </w:r>
      <w:r w:rsidR="0FDB6AD3" w:rsidRPr="4F9F5C11">
        <w:rPr>
          <w:lang w:val="en-US"/>
        </w:rPr>
        <w:t xml:space="preserve">were </w:t>
      </w:r>
      <w:r w:rsidR="00FF4253">
        <w:rPr>
          <w:lang w:val="en-US"/>
        </w:rPr>
        <w:t>mostly</w:t>
      </w:r>
      <w:r w:rsidR="00FF4253" w:rsidRPr="4F9F5C11">
        <w:rPr>
          <w:lang w:val="en-US"/>
        </w:rPr>
        <w:t xml:space="preserve"> </w:t>
      </w:r>
      <w:r w:rsidRPr="4F9F5C11">
        <w:rPr>
          <w:lang w:val="en-US"/>
        </w:rPr>
        <w:t>thematic observations for further investigation and commentary, rather than providing</w:t>
      </w:r>
      <w:r w:rsidR="0FDB6AD3" w:rsidRPr="4F9F5C11">
        <w:rPr>
          <w:lang w:val="en-US"/>
        </w:rPr>
        <w:t xml:space="preserve"> any clear objectives, intended outcomes or </w:t>
      </w:r>
      <w:r w:rsidRPr="4F9F5C11">
        <w:rPr>
          <w:lang w:val="en-US"/>
        </w:rPr>
        <w:t xml:space="preserve">recommended proposals or projects.  </w:t>
      </w:r>
    </w:p>
    <w:p w14:paraId="5A90B81A" w14:textId="2EE5B83A" w:rsidR="00263B20" w:rsidRDefault="0FDB6AD3" w:rsidP="490A766D">
      <w:pPr>
        <w:rPr>
          <w:lang w:val="en-US"/>
        </w:rPr>
      </w:pPr>
      <w:r w:rsidRPr="4F9F5C11">
        <w:rPr>
          <w:lang w:val="en-US"/>
        </w:rPr>
        <w:t xml:space="preserve">More generally, Infrastructure Australia products lacked sufficient </w:t>
      </w:r>
      <w:proofErr w:type="spellStart"/>
      <w:r w:rsidRPr="4F9F5C11">
        <w:rPr>
          <w:lang w:val="en-US"/>
        </w:rPr>
        <w:t>prioritisation</w:t>
      </w:r>
      <w:proofErr w:type="spellEnd"/>
      <w:r w:rsidRPr="4F9F5C11">
        <w:rPr>
          <w:lang w:val="en-US"/>
        </w:rPr>
        <w:t xml:space="preserve"> in their advice and were quite large and complex to navigate, thereby making accessibility and usability of the contents an issue. Submissions also observed that infrastructure investment advice from Infrastructure Australia to the Australian Government had not been properly considered or utilised in recent years in government decision making processes. Submissions, on balance, argued for improving the influence of Infrastructure Australia as an expert national advisor and improving the suite of its work and products to influence government decision making.</w:t>
      </w:r>
    </w:p>
    <w:p w14:paraId="294ABE9C" w14:textId="28C2DA81" w:rsidR="00B223D5" w:rsidRDefault="0FDB6AD3" w:rsidP="00B223D5">
      <w:pPr>
        <w:rPr>
          <w:lang w:val="en-US"/>
        </w:rPr>
      </w:pPr>
      <w:r w:rsidRPr="4F9F5C11">
        <w:rPr>
          <w:lang w:val="en-US"/>
        </w:rPr>
        <w:t>The Review concludes</w:t>
      </w:r>
      <w:r w:rsidR="38977FEC" w:rsidRPr="4F9F5C11">
        <w:rPr>
          <w:lang w:val="en-US"/>
        </w:rPr>
        <w:t xml:space="preserve"> that Infrastructure Australia’s products are no longer aligned to their intended purpose as outlined in the </w:t>
      </w:r>
      <w:r w:rsidR="0B941A21" w:rsidRPr="4F9F5C11">
        <w:rPr>
          <w:lang w:val="en-US"/>
        </w:rPr>
        <w:t xml:space="preserve">IA </w:t>
      </w:r>
      <w:r w:rsidR="38977FEC" w:rsidRPr="4F9F5C11">
        <w:rPr>
          <w:lang w:val="en-US"/>
        </w:rPr>
        <w:t xml:space="preserve">Act. </w:t>
      </w:r>
      <w:r w:rsidR="76E3D1D2" w:rsidRPr="4F9F5C11">
        <w:rPr>
          <w:lang w:val="en-US"/>
        </w:rPr>
        <w:t>To ensure that future Infrastructure Australia products have the most impact and relevance, the Review recommends an updated product suite framework, developed in the following sequence.</w:t>
      </w:r>
    </w:p>
    <w:p w14:paraId="337F32BA" w14:textId="69087361" w:rsidR="00B223D5" w:rsidRPr="00B223D5" w:rsidRDefault="38977FEC" w:rsidP="00B223D5">
      <w:pPr>
        <w:pStyle w:val="Tablefigureheading"/>
      </w:pPr>
      <w:r>
        <w:t>Figure 2: I</w:t>
      </w:r>
      <w:r w:rsidR="3883A310">
        <w:t xml:space="preserve">nfrastructure </w:t>
      </w:r>
      <w:r>
        <w:t>A</w:t>
      </w:r>
      <w:r w:rsidR="3E3583AB">
        <w:t>ustralia</w:t>
      </w:r>
      <w:r>
        <w:t xml:space="preserve">’s revised product suite </w:t>
      </w:r>
      <w:r w:rsidR="0FDB6AD3">
        <w:t>as recommended by the Review</w:t>
      </w:r>
    </w:p>
    <w:p w14:paraId="095C73BB" w14:textId="5C4E9975" w:rsidR="00B223D5" w:rsidRDefault="1DB9B892" w:rsidP="243520EA">
      <w:r>
        <w:rPr>
          <w:noProof/>
        </w:rPr>
        <w:drawing>
          <wp:inline distT="0" distB="0" distL="0" distR="0" wp14:anchorId="5E8040A3" wp14:editId="69614B9A">
            <wp:extent cx="6134100" cy="1418511"/>
            <wp:effectExtent l="0" t="0" r="0" b="0"/>
            <wp:docPr id="133112913" name="Picture 133112913" descr="Figure 2 is a chart outlining the recommended product suite for Infrastructure Australia." title="Figure 2: Infrastructure Australia's revised product suite as recommended by the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12913"/>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82045" cy="1429598"/>
                    </a:xfrm>
                    <a:prstGeom prst="rect">
                      <a:avLst/>
                    </a:prstGeom>
                  </pic:spPr>
                </pic:pic>
              </a:graphicData>
            </a:graphic>
          </wp:inline>
        </w:drawing>
      </w:r>
    </w:p>
    <w:p w14:paraId="332F30DA" w14:textId="0D16107D" w:rsidR="00B223D5" w:rsidRDefault="34C83B1E" w:rsidP="00243F99">
      <w:pPr>
        <w:pStyle w:val="Heading4"/>
      </w:pPr>
      <w:bookmarkStart w:id="42" w:name="_Toc115379965"/>
      <w:bookmarkStart w:id="43" w:name="_Toc124783607"/>
      <w:r>
        <w:t>Setting the context: a</w:t>
      </w:r>
      <w:r w:rsidR="48F35A80">
        <w:t xml:space="preserve">n Australian Government </w:t>
      </w:r>
      <w:r>
        <w:t xml:space="preserve">Charter of </w:t>
      </w:r>
      <w:r w:rsidR="7C4CCF0B">
        <w:t>I</w:t>
      </w:r>
      <w:r>
        <w:t xml:space="preserve">nfrastructure </w:t>
      </w:r>
      <w:r w:rsidR="1F7A9C80">
        <w:t>Investment O</w:t>
      </w:r>
      <w:r>
        <w:t>bjectives</w:t>
      </w:r>
      <w:bookmarkEnd w:id="42"/>
      <w:bookmarkEnd w:id="43"/>
      <w:r>
        <w:t xml:space="preserve"> </w:t>
      </w:r>
    </w:p>
    <w:p w14:paraId="6C300254" w14:textId="2C4DFA97" w:rsidR="00263B20" w:rsidRDefault="34C83B1E" w:rsidP="36918AFB">
      <w:pPr>
        <w:rPr>
          <w:rFonts w:eastAsia="Calibri" w:cs="Calibri"/>
          <w:lang w:val="en-US"/>
        </w:rPr>
      </w:pPr>
      <w:r w:rsidRPr="4F9F5C11">
        <w:rPr>
          <w:rFonts w:eastAsia="Calibri" w:cs="Calibri"/>
          <w:lang w:val="en-US"/>
        </w:rPr>
        <w:t xml:space="preserve">The breadth of the provisions </w:t>
      </w:r>
      <w:r w:rsidR="08FC9BD1" w:rsidRPr="4F9F5C11">
        <w:rPr>
          <w:rFonts w:eastAsia="Calibri" w:cs="Calibri"/>
          <w:lang w:val="en-US"/>
        </w:rPr>
        <w:t>in</w:t>
      </w:r>
      <w:r w:rsidRPr="4F9F5C11">
        <w:rPr>
          <w:rFonts w:eastAsia="Calibri" w:cs="Calibri"/>
          <w:lang w:val="en-US"/>
        </w:rPr>
        <w:t xml:space="preserve"> the IA Act</w:t>
      </w:r>
      <w:r w:rsidR="792600B7" w:rsidRPr="4F9F5C11">
        <w:rPr>
          <w:rFonts w:eastAsia="Calibri" w:cs="Calibri"/>
          <w:lang w:val="en-US"/>
        </w:rPr>
        <w:t>,</w:t>
      </w:r>
      <w:r w:rsidRPr="4F9F5C11">
        <w:rPr>
          <w:rFonts w:eastAsia="Calibri" w:cs="Calibri"/>
          <w:lang w:val="en-US"/>
        </w:rPr>
        <w:t xml:space="preserve"> in its current state</w:t>
      </w:r>
      <w:r w:rsidR="6ED8235B" w:rsidRPr="4F9F5C11">
        <w:rPr>
          <w:rFonts w:eastAsia="Calibri" w:cs="Calibri"/>
          <w:lang w:val="en-US"/>
        </w:rPr>
        <w:t>,</w:t>
      </w:r>
      <w:r w:rsidRPr="4F9F5C11">
        <w:rPr>
          <w:rFonts w:eastAsia="Calibri" w:cs="Calibri"/>
          <w:lang w:val="en-US"/>
        </w:rPr>
        <w:t xml:space="preserve"> gives significant discretion to the Board on the scope of I</w:t>
      </w:r>
      <w:r w:rsidR="6BA97127" w:rsidRPr="4F9F5C11">
        <w:rPr>
          <w:rFonts w:eastAsia="Calibri" w:cs="Calibri"/>
          <w:lang w:val="en-US"/>
        </w:rPr>
        <w:t xml:space="preserve">nfrastructure </w:t>
      </w:r>
      <w:r w:rsidRPr="4F9F5C11">
        <w:rPr>
          <w:rFonts w:eastAsia="Calibri" w:cs="Calibri"/>
          <w:lang w:val="en-US"/>
        </w:rPr>
        <w:t>A</w:t>
      </w:r>
      <w:r w:rsidR="3A9941E6" w:rsidRPr="4F9F5C11">
        <w:rPr>
          <w:rFonts w:eastAsia="Calibri" w:cs="Calibri"/>
          <w:lang w:val="en-US"/>
        </w:rPr>
        <w:t>ustralia</w:t>
      </w:r>
      <w:r w:rsidRPr="4F9F5C11">
        <w:rPr>
          <w:rFonts w:eastAsia="Calibri" w:cs="Calibri"/>
          <w:lang w:val="en-US"/>
        </w:rPr>
        <w:t>’s work and advice. Without guidance from the</w:t>
      </w:r>
      <w:r w:rsidR="0FDB6AD3" w:rsidRPr="4F9F5C11">
        <w:rPr>
          <w:rFonts w:eastAsia="Calibri" w:cs="Calibri"/>
          <w:lang w:val="en-US"/>
        </w:rPr>
        <w:t xml:space="preserve"> Australian</w:t>
      </w:r>
      <w:r w:rsidRPr="4F9F5C11">
        <w:rPr>
          <w:rFonts w:eastAsia="Calibri" w:cs="Calibri"/>
          <w:lang w:val="en-US"/>
        </w:rPr>
        <w:t xml:space="preserve"> Government on what the national objectives are and what should be </w:t>
      </w:r>
      <w:proofErr w:type="spellStart"/>
      <w:r w:rsidRPr="4F9F5C11">
        <w:rPr>
          <w:rFonts w:eastAsia="Calibri" w:cs="Calibri"/>
          <w:lang w:val="en-US"/>
        </w:rPr>
        <w:t>prioritised</w:t>
      </w:r>
      <w:proofErr w:type="spellEnd"/>
      <w:r w:rsidRPr="4F9F5C11">
        <w:rPr>
          <w:rFonts w:eastAsia="Calibri" w:cs="Calibri"/>
          <w:lang w:val="en-US"/>
        </w:rPr>
        <w:t xml:space="preserve">, </w:t>
      </w:r>
      <w:r w:rsidR="0FDB6AD3" w:rsidRPr="4F9F5C11">
        <w:rPr>
          <w:rFonts w:eastAsia="Calibri" w:cs="Calibri"/>
          <w:lang w:val="en-US"/>
        </w:rPr>
        <w:t xml:space="preserve">there is a risk that </w:t>
      </w:r>
      <w:r w:rsidRPr="4F9F5C11">
        <w:rPr>
          <w:rFonts w:eastAsia="Calibri" w:cs="Calibri"/>
          <w:lang w:val="en-US"/>
        </w:rPr>
        <w:t>I</w:t>
      </w:r>
      <w:r w:rsidR="50A621E2" w:rsidRPr="4F9F5C11">
        <w:rPr>
          <w:rFonts w:eastAsia="Calibri" w:cs="Calibri"/>
          <w:lang w:val="en-US"/>
        </w:rPr>
        <w:t xml:space="preserve">nfrastructure </w:t>
      </w:r>
      <w:r w:rsidRPr="4F9F5C11">
        <w:rPr>
          <w:rFonts w:eastAsia="Calibri" w:cs="Calibri"/>
          <w:lang w:val="en-US"/>
        </w:rPr>
        <w:t>A</w:t>
      </w:r>
      <w:r w:rsidR="19F491AD" w:rsidRPr="4F9F5C11">
        <w:rPr>
          <w:rFonts w:eastAsia="Calibri" w:cs="Calibri"/>
          <w:lang w:val="en-US"/>
        </w:rPr>
        <w:t>ustralia</w:t>
      </w:r>
      <w:r w:rsidRPr="4F9F5C11">
        <w:rPr>
          <w:rFonts w:eastAsia="Calibri" w:cs="Calibri"/>
          <w:lang w:val="en-US"/>
        </w:rPr>
        <w:t xml:space="preserve"> will </w:t>
      </w:r>
      <w:r w:rsidR="0FDB6AD3" w:rsidRPr="4F9F5C11">
        <w:rPr>
          <w:rFonts w:eastAsia="Calibri" w:cs="Calibri"/>
          <w:lang w:val="en-US"/>
        </w:rPr>
        <w:t>continue to</w:t>
      </w:r>
      <w:r w:rsidRPr="4F9F5C11">
        <w:rPr>
          <w:rFonts w:eastAsia="Calibri" w:cs="Calibri"/>
          <w:lang w:val="en-US"/>
        </w:rPr>
        <w:t xml:space="preserve"> devot</w:t>
      </w:r>
      <w:r w:rsidR="0FDB6AD3" w:rsidRPr="4F9F5C11">
        <w:rPr>
          <w:rFonts w:eastAsia="Calibri" w:cs="Calibri"/>
          <w:lang w:val="en-US"/>
        </w:rPr>
        <w:t>e</w:t>
      </w:r>
      <w:r w:rsidRPr="4F9F5C11">
        <w:rPr>
          <w:rFonts w:eastAsia="Calibri" w:cs="Calibri"/>
          <w:lang w:val="en-US"/>
        </w:rPr>
        <w:t xml:space="preserve"> its resources to work that serves little value for the </w:t>
      </w:r>
      <w:r w:rsidR="00B51BCE">
        <w:rPr>
          <w:rFonts w:eastAsia="Calibri" w:cs="Calibri"/>
          <w:lang w:val="en-US"/>
        </w:rPr>
        <w:t>G</w:t>
      </w:r>
      <w:r w:rsidRPr="4F9F5C11">
        <w:rPr>
          <w:rFonts w:eastAsia="Calibri" w:cs="Calibri"/>
          <w:lang w:val="en-US"/>
        </w:rPr>
        <w:t>overnment</w:t>
      </w:r>
      <w:r w:rsidR="388859E2" w:rsidRPr="4F9F5C11">
        <w:rPr>
          <w:rFonts w:eastAsia="Calibri" w:cs="Calibri"/>
          <w:lang w:val="en-US"/>
        </w:rPr>
        <w:t>.</w:t>
      </w:r>
      <w:r w:rsidRPr="4F9F5C11">
        <w:rPr>
          <w:rFonts w:eastAsia="Calibri" w:cs="Calibri"/>
          <w:lang w:val="en-US"/>
        </w:rPr>
        <w:t xml:space="preserve"> </w:t>
      </w:r>
      <w:r w:rsidR="60581DD3" w:rsidRPr="4F9F5C11">
        <w:rPr>
          <w:rFonts w:eastAsia="Calibri" w:cs="Calibri"/>
          <w:lang w:val="en-US"/>
        </w:rPr>
        <w:t xml:space="preserve">Global </w:t>
      </w:r>
      <w:r w:rsidR="12A36A57" w:rsidRPr="4F9F5C11">
        <w:rPr>
          <w:rFonts w:eastAsia="Calibri" w:cs="Calibri"/>
          <w:lang w:val="en-US"/>
        </w:rPr>
        <w:t>b</w:t>
      </w:r>
      <w:r w:rsidRPr="4F9F5C11">
        <w:rPr>
          <w:rFonts w:eastAsia="Calibri" w:cs="Calibri"/>
          <w:lang w:val="en-US"/>
        </w:rPr>
        <w:t>est practice is that an infrastructure planning process needs to be built on clearly defined objectives which cannot be too narrow</w:t>
      </w:r>
      <w:r w:rsidR="5B4FEAE1" w:rsidRPr="4F9F5C11">
        <w:rPr>
          <w:rFonts w:eastAsia="Calibri" w:cs="Calibri"/>
          <w:lang w:val="en-US"/>
        </w:rPr>
        <w:t>, and</w:t>
      </w:r>
      <w:r w:rsidRPr="4F9F5C11">
        <w:rPr>
          <w:rFonts w:eastAsia="Calibri" w:cs="Calibri"/>
          <w:lang w:val="en-US"/>
        </w:rPr>
        <w:t xml:space="preserve"> which must set out the system-wide outcomes being sought.</w:t>
      </w:r>
      <w:r w:rsidR="1A24F6D3" w:rsidRPr="4F9F5C11">
        <w:rPr>
          <w:rFonts w:eastAsia="Calibri" w:cs="Calibri"/>
          <w:lang w:val="en-US"/>
        </w:rPr>
        <w:t xml:space="preserve"> </w:t>
      </w:r>
    </w:p>
    <w:p w14:paraId="74C4848B" w14:textId="5B486290" w:rsidR="37F33888" w:rsidRDefault="1A24F6D3" w:rsidP="36918AFB">
      <w:pPr>
        <w:rPr>
          <w:rFonts w:eastAsia="Calibri" w:cs="Calibri"/>
          <w:lang w:val="en-US"/>
        </w:rPr>
      </w:pPr>
      <w:r w:rsidRPr="4F9F5C11">
        <w:rPr>
          <w:rFonts w:eastAsia="Calibri" w:cs="Calibri"/>
          <w:lang w:val="en-US"/>
        </w:rPr>
        <w:t>This is not to say that infrastructure practice</w:t>
      </w:r>
      <w:r w:rsidR="46464247" w:rsidRPr="4F9F5C11">
        <w:rPr>
          <w:rFonts w:eastAsia="Calibri" w:cs="Calibri"/>
          <w:lang w:val="en-US"/>
        </w:rPr>
        <w:t xml:space="preserve">s and processes </w:t>
      </w:r>
      <w:r w:rsidRPr="4F9F5C11">
        <w:rPr>
          <w:rFonts w:eastAsia="Calibri" w:cs="Calibri"/>
          <w:lang w:val="en-US"/>
        </w:rPr>
        <w:t xml:space="preserve">in Australia </w:t>
      </w:r>
      <w:r w:rsidR="2E57427F" w:rsidRPr="4F9F5C11">
        <w:rPr>
          <w:rFonts w:eastAsia="Calibri" w:cs="Calibri"/>
          <w:lang w:val="en-US"/>
        </w:rPr>
        <w:t>are</w:t>
      </w:r>
      <w:r w:rsidRPr="4F9F5C11">
        <w:rPr>
          <w:rFonts w:eastAsia="Calibri" w:cs="Calibri"/>
          <w:lang w:val="en-US"/>
        </w:rPr>
        <w:t xml:space="preserve"> lacking in quality. Indeed, in</w:t>
      </w:r>
      <w:r w:rsidR="02ABF554" w:rsidRPr="4F9F5C11">
        <w:rPr>
          <w:rFonts w:eastAsia="Calibri" w:cs="Calibri"/>
          <w:lang w:val="en-US"/>
        </w:rPr>
        <w:t xml:space="preserve"> their 2019</w:t>
      </w:r>
      <w:r w:rsidR="33B73C8E" w:rsidRPr="4F9F5C11">
        <w:rPr>
          <w:rFonts w:eastAsia="Calibri" w:cs="Calibri"/>
          <w:lang w:val="en-US"/>
        </w:rPr>
        <w:t xml:space="preserve"> ‘</w:t>
      </w:r>
      <w:hyperlink r:id="rId26">
        <w:r w:rsidR="33B73C8E" w:rsidRPr="4F9F5C11">
          <w:rPr>
            <w:rStyle w:val="Hyperlink"/>
            <w:rFonts w:eastAsia="Calibri" w:cs="Calibri"/>
            <w:lang w:val="en-US"/>
          </w:rPr>
          <w:t xml:space="preserve">G20 </w:t>
        </w:r>
        <w:r w:rsidR="412A150B" w:rsidRPr="4F9F5C11">
          <w:rPr>
            <w:rStyle w:val="Hyperlink"/>
            <w:rFonts w:eastAsia="Calibri" w:cs="Calibri"/>
            <w:lang w:val="en-US"/>
          </w:rPr>
          <w:t>C</w:t>
        </w:r>
        <w:r w:rsidR="33B73C8E" w:rsidRPr="4F9F5C11">
          <w:rPr>
            <w:rStyle w:val="Hyperlink"/>
            <w:rFonts w:eastAsia="Calibri" w:cs="Calibri"/>
            <w:lang w:val="en-US"/>
          </w:rPr>
          <w:t xml:space="preserve">ompendium of </w:t>
        </w:r>
        <w:r w:rsidR="4F0629F8" w:rsidRPr="4F9F5C11">
          <w:rPr>
            <w:rStyle w:val="Hyperlink"/>
            <w:rFonts w:eastAsia="Calibri" w:cs="Calibri"/>
            <w:lang w:val="en-US"/>
          </w:rPr>
          <w:t>G</w:t>
        </w:r>
        <w:r w:rsidR="33B73C8E" w:rsidRPr="4F9F5C11">
          <w:rPr>
            <w:rStyle w:val="Hyperlink"/>
            <w:rFonts w:eastAsia="Calibri" w:cs="Calibri"/>
            <w:lang w:val="en-US"/>
          </w:rPr>
          <w:t xml:space="preserve">ood </w:t>
        </w:r>
        <w:r w:rsidR="04DC5A11" w:rsidRPr="4F9F5C11">
          <w:rPr>
            <w:rStyle w:val="Hyperlink"/>
            <w:rFonts w:eastAsia="Calibri" w:cs="Calibri"/>
            <w:lang w:val="en-US"/>
          </w:rPr>
          <w:t>P</w:t>
        </w:r>
        <w:r w:rsidR="33B73C8E" w:rsidRPr="4F9F5C11">
          <w:rPr>
            <w:rStyle w:val="Hyperlink"/>
            <w:rFonts w:eastAsia="Calibri" w:cs="Calibri"/>
            <w:lang w:val="en-US"/>
          </w:rPr>
          <w:t xml:space="preserve">ractices for </w:t>
        </w:r>
        <w:r w:rsidR="25B5BEE3" w:rsidRPr="4F9F5C11">
          <w:rPr>
            <w:rStyle w:val="Hyperlink"/>
            <w:rFonts w:eastAsia="Calibri" w:cs="Calibri"/>
            <w:lang w:val="en-US"/>
          </w:rPr>
          <w:t>P</w:t>
        </w:r>
        <w:r w:rsidR="33B73C8E" w:rsidRPr="4F9F5C11">
          <w:rPr>
            <w:rStyle w:val="Hyperlink"/>
            <w:rFonts w:eastAsia="Calibri" w:cs="Calibri"/>
            <w:lang w:val="en-US"/>
          </w:rPr>
          <w:t xml:space="preserve">romoting </w:t>
        </w:r>
        <w:r w:rsidR="20C80A06" w:rsidRPr="4F9F5C11">
          <w:rPr>
            <w:rStyle w:val="Hyperlink"/>
            <w:rFonts w:eastAsia="Calibri" w:cs="Calibri"/>
            <w:lang w:val="en-US"/>
          </w:rPr>
          <w:t>T</w:t>
        </w:r>
        <w:r w:rsidR="33B73C8E" w:rsidRPr="4F9F5C11">
          <w:rPr>
            <w:rStyle w:val="Hyperlink"/>
            <w:rFonts w:eastAsia="Calibri" w:cs="Calibri"/>
            <w:lang w:val="en-US"/>
          </w:rPr>
          <w:t>ransparency</w:t>
        </w:r>
        <w:r w:rsidR="02ABF554" w:rsidRPr="4F9F5C11">
          <w:rPr>
            <w:rStyle w:val="Hyperlink"/>
            <w:rFonts w:eastAsia="Calibri" w:cs="Calibri"/>
            <w:lang w:val="en-US"/>
          </w:rPr>
          <w:t xml:space="preserve"> </w:t>
        </w:r>
        <w:r w:rsidR="03704664" w:rsidRPr="4F9F5C11">
          <w:rPr>
            <w:rStyle w:val="Hyperlink"/>
            <w:rFonts w:eastAsia="Calibri" w:cs="Calibri"/>
            <w:lang w:val="en-US"/>
          </w:rPr>
          <w:t>in Infrastructure Development</w:t>
        </w:r>
      </w:hyperlink>
      <w:r w:rsidR="03704664" w:rsidRPr="4F9F5C11">
        <w:rPr>
          <w:rFonts w:eastAsia="Calibri" w:cs="Calibri"/>
          <w:lang w:val="en-US"/>
        </w:rPr>
        <w:t>’</w:t>
      </w:r>
      <w:r w:rsidRPr="4F9F5C11">
        <w:rPr>
          <w:rFonts w:eastAsia="Calibri" w:cs="Calibri"/>
          <w:lang w:val="en-US"/>
        </w:rPr>
        <w:t xml:space="preserve">, </w:t>
      </w:r>
      <w:r w:rsidR="364896FF" w:rsidRPr="4F9F5C11">
        <w:rPr>
          <w:rFonts w:eastAsia="Calibri" w:cs="Calibri"/>
          <w:lang w:val="en-US"/>
        </w:rPr>
        <w:t xml:space="preserve">the Organisation for Economic Co-operation and Development (OECD) highlighted existing </w:t>
      </w:r>
      <w:r w:rsidR="63B27011" w:rsidRPr="4F9F5C11">
        <w:rPr>
          <w:rFonts w:eastAsia="Calibri" w:cs="Calibri"/>
          <w:lang w:val="en-US"/>
        </w:rPr>
        <w:t>best</w:t>
      </w:r>
      <w:r w:rsidR="364896FF" w:rsidRPr="4F9F5C11">
        <w:rPr>
          <w:rFonts w:eastAsia="Calibri" w:cs="Calibri"/>
          <w:lang w:val="en-US"/>
        </w:rPr>
        <w:t xml:space="preserve"> practices in Australia</w:t>
      </w:r>
      <w:r w:rsidR="00643EEF">
        <w:rPr>
          <w:rFonts w:eastAsia="Calibri" w:cs="Calibri"/>
          <w:lang w:val="en-US"/>
        </w:rPr>
        <w:t>;</w:t>
      </w:r>
      <w:r w:rsidR="364896FF" w:rsidRPr="4F9F5C11">
        <w:rPr>
          <w:rFonts w:eastAsia="Calibri" w:cs="Calibri"/>
          <w:lang w:val="en-US"/>
        </w:rPr>
        <w:t xml:space="preserve"> </w:t>
      </w:r>
      <w:r w:rsidR="7F510598" w:rsidRPr="4F9F5C11">
        <w:rPr>
          <w:rFonts w:eastAsia="Calibri" w:cs="Calibri"/>
          <w:lang w:val="en-US"/>
        </w:rPr>
        <w:t>such as</w:t>
      </w:r>
      <w:r w:rsidR="364896FF" w:rsidRPr="4F9F5C11">
        <w:rPr>
          <w:rFonts w:eastAsia="Calibri" w:cs="Calibri"/>
          <w:lang w:val="en-US"/>
        </w:rPr>
        <w:t xml:space="preserve"> inter-jurisdictional coordination and agreement of infrastructure pol</w:t>
      </w:r>
      <w:r w:rsidR="5ED407EC" w:rsidRPr="4F9F5C11">
        <w:rPr>
          <w:rFonts w:eastAsia="Calibri" w:cs="Calibri"/>
          <w:lang w:val="en-US"/>
        </w:rPr>
        <w:t>icy, transparent decision-making and management of conflict of interest</w:t>
      </w:r>
      <w:r w:rsidR="7BA5FEA2" w:rsidRPr="4F9F5C11">
        <w:rPr>
          <w:rFonts w:eastAsia="Calibri" w:cs="Calibri"/>
          <w:lang w:val="en-US"/>
        </w:rPr>
        <w:t>s</w:t>
      </w:r>
      <w:r w:rsidR="5ED407EC" w:rsidRPr="4F9F5C11">
        <w:rPr>
          <w:rFonts w:eastAsia="Calibri" w:cs="Calibri"/>
          <w:lang w:val="en-US"/>
        </w:rPr>
        <w:t xml:space="preserve"> in tender and procurement </w:t>
      </w:r>
      <w:r w:rsidR="167A02A9" w:rsidRPr="4F9F5C11">
        <w:rPr>
          <w:rFonts w:eastAsia="Calibri" w:cs="Calibri"/>
          <w:lang w:val="en-US"/>
        </w:rPr>
        <w:t>settings</w:t>
      </w:r>
      <w:r w:rsidR="00643EEF">
        <w:rPr>
          <w:rFonts w:eastAsia="Calibri" w:cs="Calibri"/>
          <w:lang w:val="en-US"/>
        </w:rPr>
        <w:t>,</w:t>
      </w:r>
      <w:r w:rsidR="5ED407EC" w:rsidRPr="4F9F5C11">
        <w:rPr>
          <w:rFonts w:eastAsia="Calibri" w:cs="Calibri"/>
          <w:lang w:val="en-US"/>
        </w:rPr>
        <w:t xml:space="preserve"> and a clear process in determining Public-Private Partnership</w:t>
      </w:r>
      <w:r w:rsidR="6CED13C2" w:rsidRPr="4F9F5C11">
        <w:rPr>
          <w:rFonts w:eastAsia="Calibri" w:cs="Calibri"/>
          <w:lang w:val="en-US"/>
        </w:rPr>
        <w:t xml:space="preserve"> models and allocation of risks.</w:t>
      </w:r>
    </w:p>
    <w:p w14:paraId="1014CB80" w14:textId="2388F548" w:rsidR="002D59DD" w:rsidRDefault="34C83B1E" w:rsidP="002D59DD">
      <w:pPr>
        <w:rPr>
          <w:lang w:val="en-US"/>
        </w:rPr>
      </w:pPr>
      <w:r w:rsidRPr="4F9F5C11">
        <w:rPr>
          <w:rFonts w:eastAsia="Calibri" w:cs="Calibri"/>
          <w:lang w:val="en-US"/>
        </w:rPr>
        <w:t xml:space="preserve">Under current arrangements, </w:t>
      </w:r>
      <w:r w:rsidR="0371C941" w:rsidRPr="4F9F5C11">
        <w:rPr>
          <w:rFonts w:eastAsia="Calibri" w:cs="Calibri"/>
          <w:lang w:val="en-US"/>
        </w:rPr>
        <w:t xml:space="preserve">the </w:t>
      </w:r>
      <w:r w:rsidR="16D57A3E" w:rsidRPr="4F9F5C11">
        <w:rPr>
          <w:rFonts w:eastAsia="Calibri" w:cs="Calibri"/>
          <w:lang w:val="en-US"/>
        </w:rPr>
        <w:t xml:space="preserve">Australian </w:t>
      </w:r>
      <w:r w:rsidRPr="4F9F5C11">
        <w:rPr>
          <w:rFonts w:eastAsia="Calibri" w:cs="Calibri"/>
          <w:lang w:val="en-US"/>
        </w:rPr>
        <w:t>Government seeks to provide guidance to I</w:t>
      </w:r>
      <w:r w:rsidR="6269A382" w:rsidRPr="4F9F5C11">
        <w:rPr>
          <w:rFonts w:eastAsia="Calibri" w:cs="Calibri"/>
          <w:lang w:val="en-US"/>
        </w:rPr>
        <w:t xml:space="preserve">nfrastructure </w:t>
      </w:r>
      <w:r w:rsidRPr="4F9F5C11">
        <w:rPr>
          <w:rFonts w:eastAsia="Calibri" w:cs="Calibri"/>
          <w:lang w:val="en-US"/>
        </w:rPr>
        <w:t>A</w:t>
      </w:r>
      <w:r w:rsidR="0246B931" w:rsidRPr="4F9F5C11">
        <w:rPr>
          <w:rFonts w:eastAsia="Calibri" w:cs="Calibri"/>
          <w:lang w:val="en-US"/>
        </w:rPr>
        <w:t>ustralia</w:t>
      </w:r>
      <w:r w:rsidRPr="4F9F5C11">
        <w:rPr>
          <w:rFonts w:eastAsia="Calibri" w:cs="Calibri"/>
          <w:lang w:val="en-US"/>
        </w:rPr>
        <w:t xml:space="preserve"> about the </w:t>
      </w:r>
      <w:r w:rsidR="332ED98B" w:rsidRPr="4F9F5C11">
        <w:rPr>
          <w:rFonts w:eastAsia="Calibri" w:cs="Calibri"/>
          <w:lang w:val="en-US"/>
        </w:rPr>
        <w:t>G</w:t>
      </w:r>
      <w:r w:rsidRPr="4F9F5C11">
        <w:rPr>
          <w:rFonts w:eastAsia="Calibri" w:cs="Calibri"/>
          <w:lang w:val="en-US"/>
        </w:rPr>
        <w:t xml:space="preserve">overnment’s priorities for </w:t>
      </w:r>
      <w:r w:rsidR="2B4AE48B" w:rsidRPr="4F9F5C11">
        <w:rPr>
          <w:rFonts w:eastAsia="Calibri" w:cs="Calibri"/>
          <w:lang w:val="en-US"/>
        </w:rPr>
        <w:t>its</w:t>
      </w:r>
      <w:r w:rsidRPr="4F9F5C11">
        <w:rPr>
          <w:rFonts w:eastAsia="Calibri" w:cs="Calibri"/>
          <w:lang w:val="en-US"/>
        </w:rPr>
        <w:t xml:space="preserve"> work</w:t>
      </w:r>
      <w:r w:rsidR="0FDB6AD3" w:rsidRPr="4F9F5C11">
        <w:rPr>
          <w:rFonts w:eastAsia="Calibri" w:cs="Calibri"/>
          <w:lang w:val="en-US"/>
        </w:rPr>
        <w:t xml:space="preserve"> through an </w:t>
      </w:r>
      <w:proofErr w:type="spellStart"/>
      <w:r w:rsidR="0FDB6AD3" w:rsidRPr="4F9F5C11">
        <w:rPr>
          <w:rFonts w:eastAsia="Calibri" w:cs="Calibri"/>
          <w:lang w:val="en-US"/>
        </w:rPr>
        <w:t>SoE</w:t>
      </w:r>
      <w:proofErr w:type="spellEnd"/>
      <w:r w:rsidRPr="4F9F5C11">
        <w:rPr>
          <w:rFonts w:eastAsia="Calibri" w:cs="Calibri"/>
          <w:lang w:val="en-US"/>
        </w:rPr>
        <w:t>, issued by the responsible Minister</w:t>
      </w:r>
      <w:r w:rsidR="0FDB6AD3" w:rsidRPr="4F9F5C11">
        <w:rPr>
          <w:rFonts w:eastAsia="Calibri" w:cs="Calibri"/>
          <w:lang w:val="en-US"/>
        </w:rPr>
        <w:t xml:space="preserve"> either annually or as required</w:t>
      </w:r>
      <w:r w:rsidRPr="4F9F5C11">
        <w:rPr>
          <w:rFonts w:eastAsia="Calibri" w:cs="Calibri"/>
          <w:lang w:val="en-US"/>
        </w:rPr>
        <w:t xml:space="preserve">. While it is a valuable means to communicate the </w:t>
      </w:r>
      <w:r w:rsidR="67DBE482" w:rsidRPr="4F9F5C11">
        <w:rPr>
          <w:rFonts w:eastAsia="Calibri" w:cs="Calibri"/>
          <w:lang w:val="en-US"/>
        </w:rPr>
        <w:t>G</w:t>
      </w:r>
      <w:r w:rsidRPr="4F9F5C11">
        <w:rPr>
          <w:rFonts w:eastAsia="Calibri" w:cs="Calibri"/>
          <w:lang w:val="en-US"/>
        </w:rPr>
        <w:t>overnment’s near-term priorities, it becomes problematic where the overall direction for I</w:t>
      </w:r>
      <w:r w:rsidR="0490FF46" w:rsidRPr="4F9F5C11">
        <w:rPr>
          <w:rFonts w:eastAsia="Calibri" w:cs="Calibri"/>
          <w:lang w:val="en-US"/>
        </w:rPr>
        <w:t xml:space="preserve">nfrastructure </w:t>
      </w:r>
      <w:r w:rsidRPr="4F9F5C11">
        <w:rPr>
          <w:rFonts w:eastAsia="Calibri" w:cs="Calibri"/>
          <w:lang w:val="en-US"/>
        </w:rPr>
        <w:t>A</w:t>
      </w:r>
      <w:r w:rsidR="596A2EED" w:rsidRPr="4F9F5C11">
        <w:rPr>
          <w:rFonts w:eastAsia="Calibri" w:cs="Calibri"/>
          <w:lang w:val="en-US"/>
        </w:rPr>
        <w:t>ustralia</w:t>
      </w:r>
      <w:r w:rsidRPr="4F9F5C11">
        <w:rPr>
          <w:rFonts w:eastAsia="Calibri" w:cs="Calibri"/>
          <w:lang w:val="en-US"/>
        </w:rPr>
        <w:t xml:space="preserve"> changes with each new </w:t>
      </w:r>
      <w:proofErr w:type="spellStart"/>
      <w:r w:rsidRPr="4F9F5C11">
        <w:rPr>
          <w:rFonts w:eastAsia="Calibri" w:cs="Calibri"/>
          <w:lang w:val="en-US"/>
        </w:rPr>
        <w:t>SoE</w:t>
      </w:r>
      <w:proofErr w:type="spellEnd"/>
      <w:r w:rsidRPr="4F9F5C11">
        <w:rPr>
          <w:rFonts w:eastAsia="Calibri" w:cs="Calibri"/>
          <w:lang w:val="en-US"/>
        </w:rPr>
        <w:t xml:space="preserve">. </w:t>
      </w:r>
      <w:r w:rsidRPr="4F9F5C11">
        <w:rPr>
          <w:rFonts w:eastAsia="Calibri" w:cs="Calibri"/>
          <w:lang w:val="en-US"/>
        </w:rPr>
        <w:lastRenderedPageBreak/>
        <w:t>I</w:t>
      </w:r>
      <w:r w:rsidR="57D238B6" w:rsidRPr="4F9F5C11">
        <w:rPr>
          <w:rFonts w:eastAsia="Calibri" w:cs="Calibri"/>
          <w:lang w:val="en-US"/>
        </w:rPr>
        <w:t xml:space="preserve">nfrastructure </w:t>
      </w:r>
      <w:r w:rsidRPr="4F9F5C11">
        <w:rPr>
          <w:rFonts w:eastAsia="Calibri" w:cs="Calibri"/>
          <w:lang w:val="en-US"/>
        </w:rPr>
        <w:t>A</w:t>
      </w:r>
      <w:r w:rsidR="77C04162" w:rsidRPr="4F9F5C11">
        <w:rPr>
          <w:rFonts w:eastAsia="Calibri" w:cs="Calibri"/>
          <w:lang w:val="en-US"/>
        </w:rPr>
        <w:t>ustralia</w:t>
      </w:r>
      <w:r w:rsidRPr="4F9F5C11">
        <w:rPr>
          <w:rFonts w:eastAsia="Calibri" w:cs="Calibri"/>
          <w:lang w:val="en-US"/>
        </w:rPr>
        <w:t xml:space="preserve"> has identified that frequent changes in strategic priorities and direction ha</w:t>
      </w:r>
      <w:r w:rsidR="4050F8CD" w:rsidRPr="4F9F5C11">
        <w:rPr>
          <w:rFonts w:eastAsia="Calibri" w:cs="Calibri"/>
          <w:lang w:val="en-US"/>
        </w:rPr>
        <w:t>ve</w:t>
      </w:r>
      <w:r w:rsidRPr="4F9F5C11">
        <w:rPr>
          <w:rFonts w:eastAsia="Calibri" w:cs="Calibri"/>
          <w:lang w:val="en-US"/>
        </w:rPr>
        <w:t xml:space="preserve"> caused confusion about </w:t>
      </w:r>
      <w:r w:rsidR="4CC8DDCA" w:rsidRPr="4F9F5C11">
        <w:rPr>
          <w:rFonts w:eastAsia="Calibri" w:cs="Calibri"/>
          <w:lang w:val="en-US"/>
        </w:rPr>
        <w:t>its</w:t>
      </w:r>
      <w:r w:rsidRPr="4F9F5C11">
        <w:rPr>
          <w:rFonts w:eastAsia="Calibri" w:cs="Calibri"/>
          <w:lang w:val="en-US"/>
        </w:rPr>
        <w:t xml:space="preserve"> role and ha</w:t>
      </w:r>
      <w:r w:rsidR="6A4459E1" w:rsidRPr="4F9F5C11">
        <w:rPr>
          <w:rFonts w:eastAsia="Calibri" w:cs="Calibri"/>
          <w:lang w:val="en-US"/>
        </w:rPr>
        <w:t>ve</w:t>
      </w:r>
      <w:r w:rsidRPr="4F9F5C11">
        <w:rPr>
          <w:rFonts w:eastAsia="Calibri" w:cs="Calibri"/>
          <w:lang w:val="en-US"/>
        </w:rPr>
        <w:t xml:space="preserve"> required time and resources to settle the </w:t>
      </w:r>
      <w:r w:rsidR="2A52913A" w:rsidRPr="4F9F5C11">
        <w:rPr>
          <w:rFonts w:eastAsia="Calibri" w:cs="Calibri"/>
          <w:lang w:val="en-US"/>
        </w:rPr>
        <w:t>workplan</w:t>
      </w:r>
      <w:r w:rsidRPr="4F9F5C11">
        <w:rPr>
          <w:rFonts w:eastAsia="Calibri" w:cs="Calibri"/>
          <w:lang w:val="en-US"/>
        </w:rPr>
        <w:t xml:space="preserve"> and </w:t>
      </w:r>
      <w:proofErr w:type="spellStart"/>
      <w:r w:rsidRPr="4F9F5C11">
        <w:rPr>
          <w:rFonts w:eastAsia="Calibri" w:cs="Calibri"/>
          <w:lang w:val="en-US"/>
        </w:rPr>
        <w:t>reprioritise</w:t>
      </w:r>
      <w:proofErr w:type="spellEnd"/>
      <w:r w:rsidRPr="4F9F5C11">
        <w:rPr>
          <w:rFonts w:eastAsia="Calibri" w:cs="Calibri"/>
          <w:lang w:val="en-US"/>
        </w:rPr>
        <w:t xml:space="preserve"> activities. Likewise, a significant number of submissions to the Review also </w:t>
      </w:r>
      <w:r w:rsidRPr="4F9F5C11">
        <w:rPr>
          <w:lang w:val="en-US"/>
        </w:rPr>
        <w:t xml:space="preserve">pointed out that government and/or ministerial </w:t>
      </w:r>
      <w:r w:rsidR="162018B4" w:rsidRPr="4F9F5C11">
        <w:rPr>
          <w:lang w:val="en-US"/>
        </w:rPr>
        <w:t>objectives</w:t>
      </w:r>
      <w:r w:rsidRPr="4F9F5C11">
        <w:rPr>
          <w:lang w:val="en-US"/>
        </w:rPr>
        <w:t xml:space="preserve"> should guide Infrastructure Australia’s policy and research work. The current </w:t>
      </w:r>
      <w:proofErr w:type="spellStart"/>
      <w:r w:rsidRPr="4F9F5C11">
        <w:rPr>
          <w:lang w:val="en-US"/>
        </w:rPr>
        <w:t>SoE</w:t>
      </w:r>
      <w:proofErr w:type="spellEnd"/>
      <w:r w:rsidRPr="4F9F5C11">
        <w:rPr>
          <w:lang w:val="en-US"/>
        </w:rPr>
        <w:t xml:space="preserve"> does not achieve this.</w:t>
      </w:r>
    </w:p>
    <w:p w14:paraId="3A6CE37B" w14:textId="56B1D365" w:rsidR="00817ABD" w:rsidRDefault="34C83B1E" w:rsidP="002D59DD">
      <w:pPr>
        <w:rPr>
          <w:rFonts w:eastAsia="Calibri" w:cs="Calibri"/>
          <w:lang w:val="en-US"/>
        </w:rPr>
      </w:pPr>
      <w:r w:rsidRPr="4F9F5C11">
        <w:rPr>
          <w:rFonts w:eastAsia="Calibri" w:cs="Calibri"/>
          <w:lang w:val="en-US"/>
        </w:rPr>
        <w:t>The Review recommends there be a</w:t>
      </w:r>
      <w:r w:rsidR="12089C42" w:rsidRPr="4F9F5C11">
        <w:rPr>
          <w:rFonts w:eastAsia="Calibri" w:cs="Calibri"/>
          <w:lang w:val="en-US"/>
        </w:rPr>
        <w:t xml:space="preserve">n </w:t>
      </w:r>
      <w:r w:rsidR="12089C42" w:rsidRPr="4F9F5C11">
        <w:rPr>
          <w:rFonts w:eastAsia="Calibri" w:cs="Calibri"/>
          <w:b/>
          <w:bCs/>
          <w:lang w:val="en-US"/>
        </w:rPr>
        <w:t>Australian Government Charter of Infrastructure</w:t>
      </w:r>
      <w:r w:rsidR="0FDB6AD3" w:rsidRPr="4F9F5C11">
        <w:rPr>
          <w:rFonts w:eastAsia="Calibri" w:cs="Calibri"/>
          <w:b/>
          <w:bCs/>
          <w:lang w:val="en-US"/>
        </w:rPr>
        <w:t xml:space="preserve"> Investment</w:t>
      </w:r>
      <w:r w:rsidR="12089C42" w:rsidRPr="4F9F5C11">
        <w:rPr>
          <w:rFonts w:eastAsia="Calibri" w:cs="Calibri"/>
          <w:b/>
          <w:bCs/>
          <w:lang w:val="en-US"/>
        </w:rPr>
        <w:t xml:space="preserve"> Objectives</w:t>
      </w:r>
      <w:r w:rsidR="12089C42" w:rsidRPr="4F9F5C11">
        <w:rPr>
          <w:rFonts w:eastAsia="Calibri" w:cs="Calibri"/>
          <w:lang w:val="en-US"/>
        </w:rPr>
        <w:t xml:space="preserve"> (the Charter),</w:t>
      </w:r>
      <w:r w:rsidR="0FDB6AD3" w:rsidRPr="4F9F5C11">
        <w:rPr>
          <w:rFonts w:eastAsia="Calibri" w:cs="Calibri"/>
          <w:lang w:val="en-US"/>
        </w:rPr>
        <w:t xml:space="preserve"> </w:t>
      </w:r>
      <w:r w:rsidRPr="4F9F5C11">
        <w:rPr>
          <w:rFonts w:eastAsia="Calibri" w:cs="Calibri"/>
          <w:lang w:val="en-US"/>
        </w:rPr>
        <w:t xml:space="preserve">which outlines the </w:t>
      </w:r>
      <w:r w:rsidR="0012D8F2" w:rsidRPr="4F9F5C11">
        <w:rPr>
          <w:rFonts w:eastAsia="Calibri" w:cs="Calibri"/>
          <w:lang w:val="en-US"/>
        </w:rPr>
        <w:t>G</w:t>
      </w:r>
      <w:r w:rsidRPr="4F9F5C11">
        <w:rPr>
          <w:rFonts w:eastAsia="Calibri" w:cs="Calibri"/>
          <w:lang w:val="en-US"/>
        </w:rPr>
        <w:t>overnment’s national infrastructure investment objectives and intended performance standards</w:t>
      </w:r>
      <w:r w:rsidR="00BA268A" w:rsidRPr="4F9F5C11">
        <w:rPr>
          <w:rFonts w:eastAsia="Calibri" w:cs="Calibri"/>
          <w:lang w:val="en-US"/>
        </w:rPr>
        <w:t>. The Charter would be</w:t>
      </w:r>
      <w:r w:rsidRPr="4F9F5C11">
        <w:rPr>
          <w:rFonts w:eastAsia="Calibri" w:cs="Calibri"/>
          <w:lang w:val="en-US"/>
        </w:rPr>
        <w:t xml:space="preserve"> issued on a </w:t>
      </w:r>
      <w:proofErr w:type="gramStart"/>
      <w:r w:rsidRPr="4F9F5C11">
        <w:rPr>
          <w:rFonts w:eastAsia="Calibri" w:cs="Calibri"/>
          <w:lang w:val="en-US"/>
        </w:rPr>
        <w:t>five yearly</w:t>
      </w:r>
      <w:proofErr w:type="gramEnd"/>
      <w:r w:rsidRPr="4F9F5C11">
        <w:rPr>
          <w:rFonts w:eastAsia="Calibri" w:cs="Calibri"/>
          <w:lang w:val="en-US"/>
        </w:rPr>
        <w:t xml:space="preserve"> basis</w:t>
      </w:r>
      <w:r w:rsidR="08F17D02" w:rsidRPr="4F9F5C11">
        <w:rPr>
          <w:rFonts w:eastAsia="Calibri" w:cs="Calibri"/>
          <w:lang w:val="en-US"/>
        </w:rPr>
        <w:t xml:space="preserve"> in advance of the five yearly refresh of the Plan</w:t>
      </w:r>
      <w:r w:rsidR="33A2FCBB" w:rsidRPr="4F9F5C11">
        <w:rPr>
          <w:rFonts w:eastAsia="Calibri" w:cs="Calibri"/>
          <w:lang w:val="en-US"/>
        </w:rPr>
        <w:t xml:space="preserve"> (discussed below)</w:t>
      </w:r>
      <w:r w:rsidRPr="4F9F5C11">
        <w:rPr>
          <w:rFonts w:eastAsia="Calibri" w:cs="Calibri"/>
          <w:lang w:val="en-US"/>
        </w:rPr>
        <w:t xml:space="preserve">. Such an arrangement provides greater long-term certainty and guidance over the </w:t>
      </w:r>
      <w:r w:rsidR="37AF0BA6" w:rsidRPr="4F9F5C11">
        <w:rPr>
          <w:rFonts w:eastAsia="Calibri" w:cs="Calibri"/>
          <w:lang w:val="en-US"/>
        </w:rPr>
        <w:t>G</w:t>
      </w:r>
      <w:r w:rsidRPr="4F9F5C11">
        <w:rPr>
          <w:rFonts w:eastAsia="Calibri" w:cs="Calibri"/>
          <w:lang w:val="en-US"/>
        </w:rPr>
        <w:t>overnment’s priorities for national investment outcomes and set</w:t>
      </w:r>
      <w:r w:rsidR="5E9549A8" w:rsidRPr="4F9F5C11">
        <w:rPr>
          <w:rFonts w:eastAsia="Calibri" w:cs="Calibri"/>
          <w:lang w:val="en-US"/>
        </w:rPr>
        <w:t>s</w:t>
      </w:r>
      <w:r w:rsidRPr="4F9F5C11">
        <w:rPr>
          <w:rFonts w:eastAsia="Calibri" w:cs="Calibri"/>
          <w:lang w:val="en-US"/>
        </w:rPr>
        <w:t xml:space="preserve"> a clearer purpose and relationship between I</w:t>
      </w:r>
      <w:r w:rsidR="50EDA0BD" w:rsidRPr="4F9F5C11">
        <w:rPr>
          <w:rFonts w:eastAsia="Calibri" w:cs="Calibri"/>
          <w:lang w:val="en-US"/>
        </w:rPr>
        <w:t xml:space="preserve">nfrastructure </w:t>
      </w:r>
      <w:r w:rsidRPr="4F9F5C11">
        <w:rPr>
          <w:rFonts w:eastAsia="Calibri" w:cs="Calibri"/>
          <w:lang w:val="en-US"/>
        </w:rPr>
        <w:t>A</w:t>
      </w:r>
      <w:r w:rsidR="05C4F546" w:rsidRPr="4F9F5C11">
        <w:rPr>
          <w:rFonts w:eastAsia="Calibri" w:cs="Calibri"/>
          <w:lang w:val="en-US"/>
        </w:rPr>
        <w:t>ustralia</w:t>
      </w:r>
      <w:r w:rsidRPr="4F9F5C11">
        <w:rPr>
          <w:rFonts w:eastAsia="Calibri" w:cs="Calibri"/>
          <w:lang w:val="en-US"/>
        </w:rPr>
        <w:t xml:space="preserve"> and the </w:t>
      </w:r>
      <w:r w:rsidR="5B8B08CA" w:rsidRPr="4F9F5C11">
        <w:rPr>
          <w:rFonts w:eastAsia="Calibri" w:cs="Calibri"/>
          <w:lang w:val="en-US"/>
        </w:rPr>
        <w:t>G</w:t>
      </w:r>
      <w:r w:rsidRPr="4F9F5C11">
        <w:rPr>
          <w:rFonts w:eastAsia="Calibri" w:cs="Calibri"/>
          <w:lang w:val="en-US"/>
        </w:rPr>
        <w:t xml:space="preserve">overnment. </w:t>
      </w:r>
    </w:p>
    <w:p w14:paraId="49BEDC64" w14:textId="737B1AE1" w:rsidR="00263B20" w:rsidRDefault="6159554D" w:rsidP="002D59DD">
      <w:pPr>
        <w:rPr>
          <w:rFonts w:eastAsia="Calibri" w:cs="Calibri"/>
          <w:lang w:val="en-US"/>
        </w:rPr>
      </w:pPr>
      <w:r w:rsidRPr="4F9F5C11">
        <w:rPr>
          <w:rFonts w:eastAsia="Calibri" w:cs="Calibri"/>
          <w:lang w:val="en-US"/>
        </w:rPr>
        <w:t xml:space="preserve">The Minister should develop the Charter in consultation with jurisdictions and the Infrastructure Australia Board, to ensure it represents the </w:t>
      </w:r>
      <w:r w:rsidR="073FC219" w:rsidRPr="4F9F5C11">
        <w:rPr>
          <w:rFonts w:eastAsia="Calibri" w:cs="Calibri"/>
          <w:lang w:val="en-US"/>
        </w:rPr>
        <w:t>G</w:t>
      </w:r>
      <w:r w:rsidRPr="4F9F5C11">
        <w:rPr>
          <w:rFonts w:eastAsia="Calibri" w:cs="Calibri"/>
          <w:lang w:val="en-US"/>
        </w:rPr>
        <w:t xml:space="preserve">overnment’s position on future infrastructure investment objectives and considers nation-wide objectives and </w:t>
      </w:r>
      <w:r w:rsidR="7D0C1825" w:rsidRPr="4F9F5C11">
        <w:rPr>
          <w:rFonts w:eastAsia="Calibri" w:cs="Calibri"/>
          <w:lang w:val="en-US"/>
        </w:rPr>
        <w:t xml:space="preserve">system </w:t>
      </w:r>
      <w:r w:rsidRPr="4F9F5C11">
        <w:rPr>
          <w:rFonts w:eastAsia="Calibri" w:cs="Calibri"/>
          <w:lang w:val="en-US"/>
        </w:rPr>
        <w:t>needs, market influences and the economic environment. The Charter should have a statutory life and only be varied at set periods, however there would need to be a provision for the Charter to be varied in extraordinary circumstances, which are to be defined.</w:t>
      </w:r>
    </w:p>
    <w:p w14:paraId="21849B4E" w14:textId="5A14DF0E" w:rsidR="002D59DD" w:rsidRDefault="6159554D" w:rsidP="002D59DD">
      <w:pPr>
        <w:rPr>
          <w:rFonts w:eastAsia="Calibri" w:cs="Calibri"/>
          <w:lang w:val="en-US"/>
        </w:rPr>
      </w:pPr>
      <w:r w:rsidRPr="4F9F5C11">
        <w:rPr>
          <w:rFonts w:eastAsia="Calibri" w:cs="Calibri"/>
          <w:lang w:val="en-US"/>
        </w:rPr>
        <w:t>The Review anticipates t</w:t>
      </w:r>
      <w:r w:rsidR="34C83B1E" w:rsidRPr="4F9F5C11">
        <w:rPr>
          <w:rFonts w:eastAsia="Calibri" w:cs="Calibri"/>
          <w:lang w:val="en-US"/>
        </w:rPr>
        <w:t xml:space="preserve">he Charter would replace the </w:t>
      </w:r>
      <w:proofErr w:type="spellStart"/>
      <w:r w:rsidR="34C83B1E" w:rsidRPr="4F9F5C11">
        <w:rPr>
          <w:rFonts w:eastAsia="Calibri" w:cs="Calibri"/>
          <w:lang w:val="en-US"/>
        </w:rPr>
        <w:t>SoE</w:t>
      </w:r>
      <w:proofErr w:type="spellEnd"/>
      <w:r w:rsidRPr="4F9F5C11">
        <w:rPr>
          <w:rFonts w:eastAsia="Calibri" w:cs="Calibri"/>
          <w:lang w:val="en-US"/>
        </w:rPr>
        <w:t xml:space="preserve">. Alternatively, the </w:t>
      </w:r>
      <w:r w:rsidR="0E79E440" w:rsidRPr="4F9F5C11">
        <w:rPr>
          <w:rFonts w:eastAsia="Calibri" w:cs="Calibri"/>
          <w:lang w:val="en-US"/>
        </w:rPr>
        <w:t>G</w:t>
      </w:r>
      <w:r w:rsidRPr="4F9F5C11">
        <w:rPr>
          <w:rFonts w:eastAsia="Calibri" w:cs="Calibri"/>
          <w:lang w:val="en-US"/>
        </w:rPr>
        <w:t>overnment may wish to consider</w:t>
      </w:r>
      <w:r w:rsidR="34C83B1E" w:rsidRPr="4F9F5C11">
        <w:rPr>
          <w:rFonts w:eastAsia="Calibri" w:cs="Calibri"/>
          <w:lang w:val="en-US"/>
        </w:rPr>
        <w:t xml:space="preserve"> </w:t>
      </w:r>
      <w:r w:rsidRPr="4F9F5C11">
        <w:rPr>
          <w:rFonts w:eastAsia="Calibri" w:cs="Calibri"/>
          <w:lang w:val="en-US"/>
        </w:rPr>
        <w:t>issuing a revised</w:t>
      </w:r>
      <w:r w:rsidR="34C83B1E" w:rsidRPr="4F9F5C11">
        <w:rPr>
          <w:rFonts w:eastAsia="Calibri" w:cs="Calibri"/>
          <w:lang w:val="en-US"/>
        </w:rPr>
        <w:t xml:space="preserve"> </w:t>
      </w:r>
      <w:proofErr w:type="spellStart"/>
      <w:r w:rsidR="5F393E2E" w:rsidRPr="4F9F5C11">
        <w:rPr>
          <w:rFonts w:eastAsia="Calibri" w:cs="Calibri"/>
          <w:lang w:val="en-US"/>
        </w:rPr>
        <w:t>S</w:t>
      </w:r>
      <w:r w:rsidR="40BDD9C9" w:rsidRPr="4F9F5C11">
        <w:rPr>
          <w:rFonts w:eastAsia="Calibri" w:cs="Calibri"/>
          <w:lang w:val="en-US"/>
        </w:rPr>
        <w:t>o</w:t>
      </w:r>
      <w:r w:rsidR="5F393E2E" w:rsidRPr="4F9F5C11">
        <w:rPr>
          <w:rFonts w:eastAsia="Calibri" w:cs="Calibri"/>
          <w:lang w:val="en-US"/>
        </w:rPr>
        <w:t>E</w:t>
      </w:r>
      <w:proofErr w:type="spellEnd"/>
      <w:r w:rsidR="5F393E2E" w:rsidRPr="4F9F5C11">
        <w:rPr>
          <w:rFonts w:eastAsia="Calibri" w:cs="Calibri"/>
          <w:lang w:val="en-US"/>
        </w:rPr>
        <w:t xml:space="preserve"> </w:t>
      </w:r>
      <w:r w:rsidR="34C83B1E" w:rsidRPr="4F9F5C11">
        <w:rPr>
          <w:rFonts w:eastAsia="Calibri" w:cs="Calibri"/>
          <w:lang w:val="en-US"/>
        </w:rPr>
        <w:t>as a supplement to</w:t>
      </w:r>
      <w:r w:rsidR="638D6104" w:rsidRPr="4F9F5C11">
        <w:rPr>
          <w:rFonts w:eastAsia="Calibri" w:cs="Calibri"/>
          <w:lang w:val="en-US"/>
        </w:rPr>
        <w:t xml:space="preserve"> the</w:t>
      </w:r>
      <w:r w:rsidR="34C83B1E" w:rsidRPr="4F9F5C11">
        <w:rPr>
          <w:rFonts w:eastAsia="Calibri" w:cs="Calibri"/>
          <w:lang w:val="en-US"/>
        </w:rPr>
        <w:t xml:space="preserve"> </w:t>
      </w:r>
      <w:r w:rsidR="4334CDCF" w:rsidRPr="4F9F5C11">
        <w:rPr>
          <w:rFonts w:eastAsia="Calibri" w:cs="Calibri"/>
          <w:lang w:val="en-US"/>
        </w:rPr>
        <w:t>Charter</w:t>
      </w:r>
      <w:r w:rsidR="022BB707" w:rsidRPr="4F9F5C11">
        <w:rPr>
          <w:rFonts w:eastAsia="Calibri" w:cs="Calibri"/>
          <w:lang w:val="en-US"/>
        </w:rPr>
        <w:t>. The</w:t>
      </w:r>
      <w:r w:rsidR="34C83B1E" w:rsidRPr="4F9F5C11">
        <w:rPr>
          <w:rFonts w:eastAsia="Calibri" w:cs="Calibri"/>
          <w:lang w:val="en-US"/>
        </w:rPr>
        <w:t xml:space="preserve"> </w:t>
      </w:r>
      <w:proofErr w:type="spellStart"/>
      <w:r w:rsidR="022BB707" w:rsidRPr="4F9F5C11">
        <w:rPr>
          <w:rFonts w:eastAsia="Calibri" w:cs="Calibri"/>
          <w:lang w:val="en-US"/>
        </w:rPr>
        <w:t>SoE</w:t>
      </w:r>
      <w:proofErr w:type="spellEnd"/>
      <w:r w:rsidR="022BB707" w:rsidRPr="4F9F5C11">
        <w:rPr>
          <w:rFonts w:eastAsia="Calibri" w:cs="Calibri"/>
          <w:lang w:val="en-US"/>
        </w:rPr>
        <w:t xml:space="preserve"> would have a </w:t>
      </w:r>
      <w:proofErr w:type="gramStart"/>
      <w:r w:rsidR="022BB707" w:rsidRPr="4F9F5C11">
        <w:rPr>
          <w:rFonts w:eastAsia="Calibri" w:cs="Calibri"/>
          <w:lang w:val="en-US"/>
        </w:rPr>
        <w:t>shorter</w:t>
      </w:r>
      <w:r w:rsidR="4975D5BD" w:rsidRPr="4F9F5C11">
        <w:rPr>
          <w:rFonts w:eastAsia="Calibri" w:cs="Calibri"/>
          <w:lang w:val="en-US"/>
        </w:rPr>
        <w:t xml:space="preserve"> </w:t>
      </w:r>
      <w:r w:rsidR="022BB707" w:rsidRPr="4F9F5C11">
        <w:rPr>
          <w:rFonts w:eastAsia="Calibri" w:cs="Calibri"/>
          <w:lang w:val="en-US"/>
        </w:rPr>
        <w:t>term</w:t>
      </w:r>
      <w:proofErr w:type="gramEnd"/>
      <w:r w:rsidR="022BB707" w:rsidRPr="4F9F5C11">
        <w:rPr>
          <w:rFonts w:eastAsia="Calibri" w:cs="Calibri"/>
          <w:lang w:val="en-US"/>
        </w:rPr>
        <w:t xml:space="preserve"> focus, </w:t>
      </w:r>
      <w:r w:rsidR="02E76D2C" w:rsidRPr="4F9F5C11">
        <w:rPr>
          <w:rFonts w:eastAsia="Calibri" w:cs="Calibri"/>
          <w:lang w:val="en-US"/>
        </w:rPr>
        <w:t>inviting</w:t>
      </w:r>
      <w:r w:rsidR="34C83B1E" w:rsidRPr="4F9F5C11">
        <w:rPr>
          <w:rFonts w:eastAsia="Calibri" w:cs="Calibri"/>
          <w:lang w:val="en-US"/>
        </w:rPr>
        <w:t xml:space="preserve"> specific pieces of advice pertinent to the challenges and opportunities </w:t>
      </w:r>
      <w:r w:rsidRPr="4F9F5C11">
        <w:rPr>
          <w:rFonts w:eastAsia="Calibri" w:cs="Calibri"/>
          <w:lang w:val="en-US"/>
        </w:rPr>
        <w:t>for</w:t>
      </w:r>
      <w:r w:rsidR="34C83B1E" w:rsidRPr="4F9F5C11">
        <w:rPr>
          <w:rFonts w:eastAsia="Calibri" w:cs="Calibri"/>
          <w:lang w:val="en-US"/>
        </w:rPr>
        <w:t xml:space="preserve"> the </w:t>
      </w:r>
      <w:r w:rsidR="3DE9405D" w:rsidRPr="4F9F5C11">
        <w:rPr>
          <w:rFonts w:eastAsia="Calibri" w:cs="Calibri"/>
          <w:lang w:val="en-US"/>
        </w:rPr>
        <w:t>year ahead</w:t>
      </w:r>
      <w:r w:rsidRPr="4F9F5C11">
        <w:rPr>
          <w:rFonts w:eastAsia="Calibri" w:cs="Calibri"/>
          <w:lang w:val="en-US"/>
        </w:rPr>
        <w:t xml:space="preserve"> to support the longer term objectives as outlined in the Charter.</w:t>
      </w:r>
      <w:r w:rsidR="34C83B1E" w:rsidRPr="4F9F5C11">
        <w:rPr>
          <w:rFonts w:eastAsia="Calibri" w:cs="Calibri"/>
          <w:lang w:val="en-US"/>
        </w:rPr>
        <w:t xml:space="preserve"> Broader strategic and infrastructure investment directions should be confined to the Charter. </w:t>
      </w:r>
      <w:r w:rsidRPr="4F9F5C11">
        <w:rPr>
          <w:rFonts w:eastAsia="Calibri" w:cs="Calibri"/>
          <w:lang w:val="en-US"/>
        </w:rPr>
        <w:t>While different in scope, the Review observes that the United Kingdom National Infrastructure Commission (UK NIC) is guided by a Charter. For the UK NIC, the Charter is supplemented by public remit letters, to provide specific guidance on the activities to be undertaken, and a Framework Document that further details the working relationship.</w:t>
      </w:r>
    </w:p>
    <w:p w14:paraId="6E74A52A" w14:textId="34651A91" w:rsidR="002D59DD" w:rsidRPr="00817ABD" w:rsidRDefault="34C83B1E" w:rsidP="00817ABD">
      <w:pPr>
        <w:rPr>
          <w:rFonts w:eastAsia="Calibri" w:cs="Calibri"/>
          <w:lang w:val="en-US"/>
        </w:rPr>
      </w:pPr>
      <w:r w:rsidRPr="4F9F5C11">
        <w:rPr>
          <w:rFonts w:eastAsia="Calibri" w:cs="Calibri"/>
          <w:lang w:val="en-US"/>
        </w:rPr>
        <w:t>A requirement could be inserted into the IA Act that there is to be a Charter</w:t>
      </w:r>
      <w:r w:rsidR="69C62178" w:rsidRPr="4F9F5C11">
        <w:rPr>
          <w:rFonts w:eastAsia="Calibri" w:cs="Calibri"/>
          <w:lang w:val="en-US"/>
        </w:rPr>
        <w:t>,</w:t>
      </w:r>
      <w:r w:rsidRPr="4F9F5C11">
        <w:rPr>
          <w:rFonts w:eastAsia="Calibri" w:cs="Calibri"/>
          <w:lang w:val="en-US"/>
        </w:rPr>
        <w:t xml:space="preserve"> </w:t>
      </w:r>
      <w:r w:rsidR="7244ED76" w:rsidRPr="4F9F5C11">
        <w:rPr>
          <w:rFonts w:eastAsia="Calibri" w:cs="Calibri"/>
          <w:lang w:val="en-US"/>
        </w:rPr>
        <w:t>making it</w:t>
      </w:r>
      <w:r w:rsidRPr="4F9F5C11">
        <w:rPr>
          <w:rFonts w:eastAsia="Calibri" w:cs="Calibri"/>
          <w:lang w:val="en-US"/>
        </w:rPr>
        <w:t xml:space="preserve"> a statutory instrument. As well as empowering Infrastructure Australia’s </w:t>
      </w:r>
      <w:r w:rsidR="6159554D" w:rsidRPr="4F9F5C11">
        <w:rPr>
          <w:rFonts w:eastAsia="Calibri" w:cs="Calibri"/>
          <w:lang w:val="en-US"/>
        </w:rPr>
        <w:t>mandate</w:t>
      </w:r>
      <w:r w:rsidRPr="4F9F5C11">
        <w:rPr>
          <w:rFonts w:eastAsia="Calibri" w:cs="Calibri"/>
          <w:lang w:val="en-US"/>
        </w:rPr>
        <w:t>, a legislative requirement for a Charter also encourages accountability and provides certainty for potential proponents, both public and private.</w:t>
      </w:r>
    </w:p>
    <w:p w14:paraId="0BF12097" w14:textId="74A99DE9" w:rsidR="002D59DD" w:rsidRPr="00B223D5" w:rsidRDefault="1C855514" w:rsidP="002D59DD">
      <w:pPr>
        <w:pBdr>
          <w:left w:val="single" w:sz="48" w:space="22" w:color="4BB3B5"/>
        </w:pBdr>
        <w:suppressAutoHyphens/>
        <w:spacing w:before="160"/>
        <w:ind w:left="567" w:right="567"/>
      </w:pPr>
      <w:r w:rsidRPr="4F9F5C11">
        <w:rPr>
          <w:rStyle w:val="QuoteChar"/>
        </w:rPr>
        <w:t>If the development of a national investment plan allowed for the coordination of the project pipeline across jurisdictions, it would greatly improve industry’s capacity to deliver, given supply chain constraints and current skills shortages. It is widely recognised that the unpredictability of government infrastructure investment inhibits private sector investment in long term capacity.</w:t>
      </w:r>
      <w:r w:rsidR="002D59DD">
        <w:br/>
      </w:r>
      <w:r>
        <w:t xml:space="preserve">Australasian Railway Association </w:t>
      </w:r>
    </w:p>
    <w:p w14:paraId="7B9B2410" w14:textId="4B8F49A5" w:rsidR="002D59DD" w:rsidRDefault="1C855514" w:rsidP="00BA227C">
      <w:pPr>
        <w:pStyle w:val="Heading3notshowing"/>
        <w:spacing w:before="360"/>
      </w:pPr>
      <w:bookmarkStart w:id="44" w:name="_Hlk115383002"/>
      <w:r>
        <w:t>Recommendation 2</w:t>
      </w:r>
    </w:p>
    <w:p w14:paraId="09C3785F" w14:textId="4075B5E5" w:rsidR="002D59DD" w:rsidRDefault="34C83B1E" w:rsidP="002D59DD">
      <w:pPr>
        <w:keepNext/>
        <w:keepLines/>
        <w:pBdr>
          <w:top w:val="single" w:sz="4" w:space="1" w:color="4BB3B5"/>
          <w:left w:val="single" w:sz="4" w:space="4" w:color="4BB3B5"/>
          <w:bottom w:val="single" w:sz="4" w:space="1" w:color="4BB3B5"/>
          <w:right w:val="single" w:sz="4" w:space="4" w:color="4BB3B5"/>
        </w:pBdr>
        <w:spacing w:after="120"/>
      </w:pPr>
      <w:r>
        <w:t xml:space="preserve">The Review recommends that to support Infrastructure Australia’s mandate, the </w:t>
      </w:r>
      <w:r w:rsidR="638FC764">
        <w:t>Australian</w:t>
      </w:r>
      <w:r>
        <w:t xml:space="preserve"> </w:t>
      </w:r>
      <w:r w:rsidR="2A488CDB">
        <w:t>G</w:t>
      </w:r>
      <w:r>
        <w:t xml:space="preserve">overnment formally </w:t>
      </w:r>
      <w:r w:rsidR="6159554D">
        <w:t>issues</w:t>
      </w:r>
      <w:r>
        <w:t xml:space="preserve"> a Charter </w:t>
      </w:r>
      <w:r w:rsidR="749525FA">
        <w:t>of Infrastructure Investment Objectives</w:t>
      </w:r>
      <w:r>
        <w:t>, which outlines the Government's national infrastructure investment objectives and intended performance standards. To provide long-term certainty and guidance, the Review recommends this Charter be issued on a five yearly basis</w:t>
      </w:r>
      <w:r w:rsidR="2082D83C">
        <w:t xml:space="preserve"> ahead of the refresh of the Infrastructure Plan</w:t>
      </w:r>
      <w:r>
        <w:t>.</w:t>
      </w:r>
      <w:r w:rsidR="6159554D">
        <w:t xml:space="preserve"> </w:t>
      </w:r>
    </w:p>
    <w:p w14:paraId="7ECFF05F" w14:textId="04C8BF18" w:rsidR="00817ABD" w:rsidRPr="00190A0C" w:rsidRDefault="6159554D" w:rsidP="00BA227C">
      <w:pPr>
        <w:keepLines/>
        <w:pBdr>
          <w:top w:val="single" w:sz="4" w:space="1" w:color="4BB3B5"/>
          <w:left w:val="single" w:sz="4" w:space="4" w:color="4BB3B5"/>
          <w:bottom w:val="single" w:sz="4" w:space="1" w:color="4BB3B5"/>
          <w:right w:val="single" w:sz="4" w:space="4" w:color="4BB3B5"/>
        </w:pBdr>
        <w:spacing w:after="120"/>
        <w:rPr>
          <w:rFonts w:eastAsia="PMingLiU" w:cs="Mangal"/>
          <w:lang w:eastAsia="zh-TW"/>
        </w:rPr>
      </w:pPr>
      <w:r w:rsidRPr="4F9F5C11">
        <w:rPr>
          <w:rFonts w:eastAsia="PMingLiU" w:cs="Mangal"/>
          <w:lang w:eastAsia="zh-TW"/>
        </w:rPr>
        <w:t xml:space="preserve">The Review recommends the requirement for this Charter be formalised in the IA Act. </w:t>
      </w:r>
    </w:p>
    <w:p w14:paraId="7456144A" w14:textId="50B31489" w:rsidR="002D59DD" w:rsidRDefault="34C83B1E" w:rsidP="00DC6B1C">
      <w:pPr>
        <w:pStyle w:val="Heading4"/>
      </w:pPr>
      <w:bookmarkStart w:id="45" w:name="_Toc115379966"/>
      <w:bookmarkStart w:id="46" w:name="_Toc124783608"/>
      <w:bookmarkEnd w:id="44"/>
      <w:r>
        <w:lastRenderedPageBreak/>
        <w:t>The Plan</w:t>
      </w:r>
      <w:r w:rsidR="199B8CE7">
        <w:t xml:space="preserve">: </w:t>
      </w:r>
      <w:r>
        <w:t>to meet the</w:t>
      </w:r>
      <w:r w:rsidR="6159554D">
        <w:t xml:space="preserve"> Charter</w:t>
      </w:r>
      <w:r>
        <w:t xml:space="preserve"> objectives </w:t>
      </w:r>
      <w:r w:rsidR="012977F4">
        <w:t>requires</w:t>
      </w:r>
      <w:r>
        <w:t xml:space="preserve"> collaboration with states, territories and proponents</w:t>
      </w:r>
      <w:bookmarkEnd w:id="45"/>
      <w:bookmarkEnd w:id="46"/>
    </w:p>
    <w:p w14:paraId="2555431C" w14:textId="5AA1460A" w:rsidR="00A407BE" w:rsidRPr="00A407BE" w:rsidRDefault="1928B94C" w:rsidP="00BA227C">
      <w:pPr>
        <w:keepNext/>
        <w:rPr>
          <w:lang w:val="en-US"/>
        </w:rPr>
      </w:pPr>
      <w:r>
        <w:t xml:space="preserve">The </w:t>
      </w:r>
      <w:r w:rsidRPr="4F9F5C11">
        <w:rPr>
          <w:lang w:val="en-US"/>
        </w:rPr>
        <w:t>Review recommends that the first core product from Infrastructure Australia</w:t>
      </w:r>
      <w:r w:rsidR="6159554D" w:rsidRPr="4F9F5C11">
        <w:rPr>
          <w:lang w:val="en-US"/>
        </w:rPr>
        <w:t xml:space="preserve"> be the </w:t>
      </w:r>
      <w:r w:rsidR="6159554D" w:rsidRPr="4F9F5C11">
        <w:rPr>
          <w:b/>
          <w:bCs/>
          <w:lang w:val="en-US"/>
        </w:rPr>
        <w:t>Plan</w:t>
      </w:r>
      <w:r w:rsidR="6159554D" w:rsidRPr="4F9F5C11">
        <w:rPr>
          <w:lang w:val="en-US"/>
        </w:rPr>
        <w:t xml:space="preserve">, </w:t>
      </w:r>
      <w:r w:rsidRPr="4F9F5C11">
        <w:rPr>
          <w:lang w:val="en-US"/>
        </w:rPr>
        <w:t xml:space="preserve">developed to reflect the Charter </w:t>
      </w:r>
      <w:r w:rsidR="6159554D" w:rsidRPr="4F9F5C11">
        <w:rPr>
          <w:lang w:val="en-US"/>
        </w:rPr>
        <w:t>objectives by</w:t>
      </w:r>
      <w:r w:rsidRPr="4F9F5C11">
        <w:rPr>
          <w:lang w:val="en-US"/>
        </w:rPr>
        <w:t xml:space="preserve"> identifying investment gaps and outlining a specific pathway or strategy towards achieving these objectives.</w:t>
      </w:r>
    </w:p>
    <w:p w14:paraId="65561919" w14:textId="03AC2B2C" w:rsidR="00817ABD" w:rsidRDefault="78BBC7CE" w:rsidP="002D59DD">
      <w:pPr>
        <w:rPr>
          <w:lang w:val="en-US"/>
        </w:rPr>
      </w:pPr>
      <w:r w:rsidRPr="4F9F5C11">
        <w:rPr>
          <w:lang w:val="en-US"/>
        </w:rPr>
        <w:t xml:space="preserve">The Plan would be informed by both the Charter as well as a revised </w:t>
      </w:r>
      <w:r w:rsidRPr="4F9F5C11">
        <w:rPr>
          <w:b/>
          <w:bCs/>
          <w:lang w:val="en-US"/>
        </w:rPr>
        <w:t>Audit</w:t>
      </w:r>
      <w:r w:rsidRPr="4F9F5C11">
        <w:rPr>
          <w:lang w:val="en-US"/>
        </w:rPr>
        <w:t>, also developed by Infrastructure Australia as part of the Plan drafting process. The Review recommends that the revised Audit be structured as a national top</w:t>
      </w:r>
      <w:r w:rsidR="7AE09B98" w:rsidRPr="4F9F5C11">
        <w:rPr>
          <w:lang w:val="en-US"/>
        </w:rPr>
        <w:t>-</w:t>
      </w:r>
      <w:r w:rsidRPr="4F9F5C11">
        <w:rPr>
          <w:lang w:val="en-US"/>
        </w:rPr>
        <w:t xml:space="preserve">down review of existing state and territory </w:t>
      </w:r>
      <w:r w:rsidR="1EA562AE" w:rsidRPr="4F9F5C11">
        <w:rPr>
          <w:lang w:val="en-US"/>
        </w:rPr>
        <w:t xml:space="preserve">plans, </w:t>
      </w:r>
      <w:r w:rsidRPr="4F9F5C11">
        <w:rPr>
          <w:lang w:val="en-US"/>
        </w:rPr>
        <w:t xml:space="preserve">strategies and projects. As well as presenting the landscape of current </w:t>
      </w:r>
      <w:r w:rsidR="5FBE4440" w:rsidRPr="4F9F5C11">
        <w:rPr>
          <w:lang w:val="en-US"/>
        </w:rPr>
        <w:t xml:space="preserve">strategies and </w:t>
      </w:r>
      <w:r w:rsidRPr="4F9F5C11">
        <w:rPr>
          <w:lang w:val="en-US"/>
        </w:rPr>
        <w:t xml:space="preserve">projects across the country and understanding existing work from a jurisdictional and/or sectoral perspective, the Audit </w:t>
      </w:r>
      <w:r w:rsidR="794AAE33" w:rsidRPr="4F9F5C11">
        <w:rPr>
          <w:lang w:val="en-US"/>
        </w:rPr>
        <w:t xml:space="preserve">should </w:t>
      </w:r>
      <w:r w:rsidRPr="4F9F5C11">
        <w:rPr>
          <w:lang w:val="en-US"/>
        </w:rPr>
        <w:t xml:space="preserve">also </w:t>
      </w:r>
      <w:proofErr w:type="spellStart"/>
      <w:r w:rsidRPr="4F9F5C11">
        <w:rPr>
          <w:lang w:val="en-US"/>
        </w:rPr>
        <w:t>recognise</w:t>
      </w:r>
      <w:proofErr w:type="spellEnd"/>
      <w:r w:rsidRPr="4F9F5C11">
        <w:rPr>
          <w:lang w:val="en-US"/>
        </w:rPr>
        <w:t xml:space="preserve"> the expertise and capabilities of state and territory </w:t>
      </w:r>
      <w:r w:rsidR="003B671A">
        <w:rPr>
          <w:lang w:val="en-US"/>
        </w:rPr>
        <w:t>I-</w:t>
      </w:r>
      <w:r w:rsidRPr="4F9F5C11">
        <w:rPr>
          <w:lang w:val="en-US"/>
        </w:rPr>
        <w:t xml:space="preserve">bodies and present an opportunity for close collaboration between Infrastructure Australia and </w:t>
      </w:r>
      <w:r w:rsidR="00BF0767">
        <w:rPr>
          <w:lang w:val="en-US"/>
        </w:rPr>
        <w:t>its</w:t>
      </w:r>
      <w:r w:rsidRPr="4F9F5C11">
        <w:rPr>
          <w:lang w:val="en-US"/>
        </w:rPr>
        <w:t xml:space="preserve"> jurisdictional counterparts. The Audit and </w:t>
      </w:r>
      <w:r w:rsidR="1EB13E9D" w:rsidRPr="4F9F5C11">
        <w:rPr>
          <w:lang w:val="en-US"/>
        </w:rPr>
        <w:t xml:space="preserve">the </w:t>
      </w:r>
      <w:r w:rsidRPr="4F9F5C11">
        <w:rPr>
          <w:lang w:val="en-US"/>
        </w:rPr>
        <w:t>Plan can then best identify national investment needs and priorities.</w:t>
      </w:r>
    </w:p>
    <w:p w14:paraId="3580D202" w14:textId="7726DD37" w:rsidR="00A407BE" w:rsidRDefault="5412F59D" w:rsidP="002D59DD">
      <w:pPr>
        <w:rPr>
          <w:lang w:val="en-US"/>
        </w:rPr>
      </w:pPr>
      <w:r w:rsidRPr="4F9F5C11">
        <w:rPr>
          <w:lang w:val="en-US"/>
        </w:rPr>
        <w:t xml:space="preserve">To allow for a balance of certainty and timely advice but also flexibility in case priorities change, the Review recommends that the Plan continue to be developed for a </w:t>
      </w:r>
      <w:proofErr w:type="gramStart"/>
      <w:r w:rsidRPr="4F9F5C11">
        <w:rPr>
          <w:lang w:val="en-US"/>
        </w:rPr>
        <w:t>15 year</w:t>
      </w:r>
      <w:proofErr w:type="gramEnd"/>
      <w:r w:rsidRPr="4F9F5C11">
        <w:rPr>
          <w:lang w:val="en-US"/>
        </w:rPr>
        <w:t xml:space="preserve"> period and be refreshed on a five year cycle. The Plan should chart a course for the </w:t>
      </w:r>
      <w:r w:rsidR="003B671A">
        <w:rPr>
          <w:lang w:val="en-US"/>
        </w:rPr>
        <w:t>G</w:t>
      </w:r>
      <w:r w:rsidRPr="4F9F5C11">
        <w:rPr>
          <w:lang w:val="en-US"/>
        </w:rPr>
        <w:t xml:space="preserve">overnment to deliver on the priorities and objectives set out in the </w:t>
      </w:r>
      <w:proofErr w:type="gramStart"/>
      <w:r w:rsidRPr="4F9F5C11">
        <w:rPr>
          <w:lang w:val="en-US"/>
        </w:rPr>
        <w:t>five year</w:t>
      </w:r>
      <w:proofErr w:type="gramEnd"/>
      <w:r w:rsidRPr="4F9F5C11">
        <w:rPr>
          <w:lang w:val="en-US"/>
        </w:rPr>
        <w:t xml:space="preserve"> Charter</w:t>
      </w:r>
      <w:r w:rsidR="6159554D" w:rsidRPr="4F9F5C11">
        <w:rPr>
          <w:lang w:val="en-US"/>
        </w:rPr>
        <w:t>,</w:t>
      </w:r>
      <w:r w:rsidRPr="4F9F5C11">
        <w:rPr>
          <w:lang w:val="en-US"/>
        </w:rPr>
        <w:t xml:space="preserve"> focusing on whole of system reforms and project</w:t>
      </w:r>
      <w:r w:rsidR="749DE3BD" w:rsidRPr="4F9F5C11">
        <w:rPr>
          <w:lang w:val="en-US"/>
        </w:rPr>
        <w:t>s</w:t>
      </w:r>
      <w:r w:rsidRPr="4F9F5C11">
        <w:rPr>
          <w:lang w:val="en-US"/>
        </w:rPr>
        <w:t xml:space="preserve"> which cut across the infrastructure sub-sectors.</w:t>
      </w:r>
    </w:p>
    <w:p w14:paraId="2A055C09" w14:textId="2A290536" w:rsidR="00A407BE" w:rsidRDefault="6DBB1DC8" w:rsidP="00DC6B1C">
      <w:pPr>
        <w:pStyle w:val="Heading4"/>
      </w:pPr>
      <w:bookmarkStart w:id="47" w:name="_Toc115379967"/>
      <w:bookmarkStart w:id="48" w:name="_Toc124783609"/>
      <w:r>
        <w:t>Improving investment decisions</w:t>
      </w:r>
      <w:r w:rsidR="5412F59D">
        <w:t xml:space="preserve">: a meaningful </w:t>
      </w:r>
      <w:r w:rsidR="6159554D">
        <w:t>IPL</w:t>
      </w:r>
      <w:bookmarkEnd w:id="47"/>
      <w:bookmarkEnd w:id="48"/>
      <w:r w:rsidR="5412F59D">
        <w:t xml:space="preserve"> </w:t>
      </w:r>
    </w:p>
    <w:p w14:paraId="2AA89FC9" w14:textId="2A9B0AC3" w:rsidR="00A407BE" w:rsidRDefault="78BBC7CE" w:rsidP="002D59DD">
      <w:pPr>
        <w:rPr>
          <w:lang w:val="en-US"/>
        </w:rPr>
      </w:pPr>
      <w:r w:rsidRPr="4F9F5C11">
        <w:rPr>
          <w:lang w:val="en-US"/>
        </w:rPr>
        <w:t xml:space="preserve">The Review recommends the second core product from Infrastructure Australia would be a revised, meaningful </w:t>
      </w:r>
      <w:r w:rsidR="0A403D6D" w:rsidRPr="4F9F5C11">
        <w:rPr>
          <w:b/>
          <w:bCs/>
          <w:lang w:val="en-US"/>
        </w:rPr>
        <w:t>IPL</w:t>
      </w:r>
      <w:r w:rsidRPr="4F9F5C11">
        <w:rPr>
          <w:lang w:val="en-US"/>
        </w:rPr>
        <w:t xml:space="preserve">. As part of developing the </w:t>
      </w:r>
      <w:r w:rsidR="1CEBED7E" w:rsidRPr="4F9F5C11">
        <w:rPr>
          <w:lang w:val="en-US"/>
        </w:rPr>
        <w:t>IPL</w:t>
      </w:r>
      <w:r w:rsidRPr="4F9F5C11">
        <w:rPr>
          <w:lang w:val="en-US"/>
        </w:rPr>
        <w:t>, the Review recommends Infrastructure Australia should develop a standing expression of interest (EOI) process, inviting proponents to submit projects and programs that</w:t>
      </w:r>
      <w:r w:rsidR="6159554D" w:rsidRPr="4F9F5C11">
        <w:rPr>
          <w:lang w:val="en-US"/>
        </w:rPr>
        <w:t xml:space="preserve"> </w:t>
      </w:r>
      <w:r w:rsidRPr="4F9F5C11">
        <w:rPr>
          <w:lang w:val="en-US"/>
        </w:rPr>
        <w:t xml:space="preserve">address the Charter </w:t>
      </w:r>
      <w:r w:rsidR="18F6CE09" w:rsidRPr="4F9F5C11">
        <w:rPr>
          <w:lang w:val="en-US"/>
        </w:rPr>
        <w:t xml:space="preserve">and Plan </w:t>
      </w:r>
      <w:r w:rsidRPr="4F9F5C11">
        <w:rPr>
          <w:lang w:val="en-US"/>
        </w:rPr>
        <w:t xml:space="preserve">outcome </w:t>
      </w:r>
      <w:r w:rsidR="404677E9" w:rsidRPr="4F9F5C11">
        <w:rPr>
          <w:lang w:val="en-US"/>
        </w:rPr>
        <w:t xml:space="preserve">priority </w:t>
      </w:r>
      <w:r w:rsidRPr="4F9F5C11">
        <w:rPr>
          <w:lang w:val="en-US"/>
        </w:rPr>
        <w:t>areas.</w:t>
      </w:r>
    </w:p>
    <w:p w14:paraId="2206A5AF" w14:textId="02FA05FC" w:rsidR="00A407BE" w:rsidRDefault="78BBC7CE" w:rsidP="002D59DD">
      <w:pPr>
        <w:rPr>
          <w:lang w:val="en-US"/>
        </w:rPr>
      </w:pPr>
      <w:r w:rsidRPr="4F9F5C11">
        <w:rPr>
          <w:lang w:val="en-US"/>
        </w:rPr>
        <w:t xml:space="preserve">The </w:t>
      </w:r>
      <w:r w:rsidR="3A2735A2" w:rsidRPr="4F9F5C11">
        <w:rPr>
          <w:lang w:val="en-US"/>
        </w:rPr>
        <w:t>IPL</w:t>
      </w:r>
      <w:r w:rsidRPr="4F9F5C11">
        <w:rPr>
          <w:lang w:val="en-US"/>
        </w:rPr>
        <w:t xml:space="preserve"> would be comprised of projects responding to this EOI that Infrastructure Australia identifies as satisfying the threshold test of meeting the Charter outcomes and objectives,</w:t>
      </w:r>
      <w:r w:rsidR="000B8248" w:rsidRPr="4F9F5C11">
        <w:rPr>
          <w:lang w:val="en-US"/>
        </w:rPr>
        <w:t xml:space="preserve"> </w:t>
      </w:r>
      <w:r w:rsidR="47D849E0" w:rsidRPr="4F9F5C11">
        <w:rPr>
          <w:lang w:val="en-US"/>
        </w:rPr>
        <w:t>and</w:t>
      </w:r>
      <w:r w:rsidRPr="4F9F5C11">
        <w:rPr>
          <w:lang w:val="en-US"/>
        </w:rPr>
        <w:t xml:space="preserve"> </w:t>
      </w:r>
      <w:r w:rsidR="6C1B5527" w:rsidRPr="4F9F5C11">
        <w:rPr>
          <w:lang w:val="en-US"/>
        </w:rPr>
        <w:t xml:space="preserve">the revised definition of </w:t>
      </w:r>
      <w:r w:rsidR="7468A2C4" w:rsidRPr="4F9F5C11">
        <w:rPr>
          <w:lang w:val="en-US"/>
        </w:rPr>
        <w:t>‘</w:t>
      </w:r>
      <w:r w:rsidR="6C1B5527" w:rsidRPr="4F9F5C11">
        <w:rPr>
          <w:lang w:val="en-US"/>
        </w:rPr>
        <w:t>nationally significant</w:t>
      </w:r>
      <w:r w:rsidR="0FB5FEF2" w:rsidRPr="4F9F5C11">
        <w:rPr>
          <w:lang w:val="en-US"/>
        </w:rPr>
        <w:t>’</w:t>
      </w:r>
      <w:r w:rsidR="6C1B5527" w:rsidRPr="4F9F5C11">
        <w:rPr>
          <w:lang w:val="en-US"/>
        </w:rPr>
        <w:t xml:space="preserve"> </w:t>
      </w:r>
      <w:r w:rsidR="27FF8650" w:rsidRPr="4F9F5C11">
        <w:rPr>
          <w:lang w:val="en-US"/>
        </w:rPr>
        <w:t xml:space="preserve">(see </w:t>
      </w:r>
      <w:hyperlink w:anchor="_‘Nationally_significant’_infrastruc">
        <w:r w:rsidR="27FF8650" w:rsidRPr="4F9F5C11">
          <w:rPr>
            <w:rStyle w:val="Hyperlink"/>
            <w:lang w:val="en-US"/>
          </w:rPr>
          <w:t>‘nationally significant’ infrastructure</w:t>
        </w:r>
      </w:hyperlink>
      <w:r w:rsidR="27FF8650" w:rsidRPr="4F9F5C11">
        <w:rPr>
          <w:lang w:val="en-US"/>
        </w:rPr>
        <w:t>)</w:t>
      </w:r>
      <w:r w:rsidR="6C1B5527" w:rsidRPr="4F9F5C11">
        <w:rPr>
          <w:lang w:val="en-US"/>
        </w:rPr>
        <w:t xml:space="preserve">, </w:t>
      </w:r>
      <w:r w:rsidRPr="4F9F5C11">
        <w:rPr>
          <w:lang w:val="en-US"/>
        </w:rPr>
        <w:t xml:space="preserve">ranked in order of priority. The </w:t>
      </w:r>
      <w:r w:rsidR="238098FD" w:rsidRPr="4F9F5C11">
        <w:rPr>
          <w:lang w:val="en-US"/>
        </w:rPr>
        <w:t>IPL</w:t>
      </w:r>
      <w:r w:rsidRPr="4F9F5C11">
        <w:rPr>
          <w:lang w:val="en-US"/>
        </w:rPr>
        <w:t xml:space="preserve"> should also reflect the findings from the Audit and recommendations from the Plan.</w:t>
      </w:r>
    </w:p>
    <w:p w14:paraId="7181D981" w14:textId="6516C341" w:rsidR="00A407BE" w:rsidRDefault="598B827D" w:rsidP="490A766D">
      <w:pPr>
        <w:rPr>
          <w:rStyle w:val="normaltextrun"/>
          <w:rFonts w:cs="Calibri"/>
        </w:rPr>
      </w:pPr>
      <w:r w:rsidRPr="4F9F5C11">
        <w:rPr>
          <w:lang w:val="en-US"/>
        </w:rPr>
        <w:t xml:space="preserve">Overall, this should result in a sustainable, targeted pipeline of infrastructure investment projects for forward planning, as informed by the </w:t>
      </w:r>
      <w:r w:rsidR="47BC5348" w:rsidRPr="4F9F5C11">
        <w:rPr>
          <w:lang w:val="en-US"/>
        </w:rPr>
        <w:t>G</w:t>
      </w:r>
      <w:r w:rsidRPr="4F9F5C11">
        <w:rPr>
          <w:lang w:val="en-US"/>
        </w:rPr>
        <w:t xml:space="preserve">overnment’s objectives and supported by robust coordination and analysis and evidence-based advice from Infrastructure Australia. This would also ensure that government expenditure on future projects is prudent, efficient and, most importantly, achieves the intended </w:t>
      </w:r>
      <w:r w:rsidR="27FF8650" w:rsidRPr="4F9F5C11">
        <w:rPr>
          <w:lang w:val="en-US"/>
        </w:rPr>
        <w:t xml:space="preserve">infrastructure investment </w:t>
      </w:r>
      <w:r w:rsidRPr="4F9F5C11">
        <w:rPr>
          <w:lang w:val="en-US"/>
        </w:rPr>
        <w:t>objectives</w:t>
      </w:r>
      <w:r w:rsidR="27FF8650" w:rsidRPr="4F9F5C11">
        <w:rPr>
          <w:lang w:val="en-US"/>
        </w:rPr>
        <w:t xml:space="preserve"> as outlined in the Charter</w:t>
      </w:r>
      <w:r w:rsidRPr="4F9F5C11">
        <w:rPr>
          <w:lang w:val="en-US"/>
        </w:rPr>
        <w:t>.</w:t>
      </w:r>
    </w:p>
    <w:p w14:paraId="13601AB0" w14:textId="21446E07" w:rsidR="00A407BE" w:rsidRDefault="598B827D" w:rsidP="00DC6B1C">
      <w:pPr>
        <w:pStyle w:val="Heading4"/>
      </w:pPr>
      <w:bookmarkStart w:id="49" w:name="_Toc115379968"/>
      <w:bookmarkStart w:id="50" w:name="_Toc124783610"/>
      <w:r>
        <w:t>Unassessed Government announcements and commitments</w:t>
      </w:r>
      <w:bookmarkEnd w:id="49"/>
      <w:bookmarkEnd w:id="50"/>
    </w:p>
    <w:p w14:paraId="740EDEDF" w14:textId="4253D710" w:rsidR="00A407BE" w:rsidRDefault="1928B94C" w:rsidP="002D59DD">
      <w:pPr>
        <w:rPr>
          <w:rStyle w:val="normaltextrun"/>
          <w:rFonts w:cs="Calibri"/>
        </w:rPr>
      </w:pPr>
      <w:r w:rsidRPr="4F9F5C11">
        <w:rPr>
          <w:rStyle w:val="normaltextrun"/>
          <w:rFonts w:cs="Calibri"/>
        </w:rPr>
        <w:t xml:space="preserve">The Review identified concerns and challenges initiating from </w:t>
      </w:r>
      <w:r w:rsidR="003B671A">
        <w:rPr>
          <w:rStyle w:val="normaltextrun"/>
          <w:rFonts w:cs="Calibri"/>
        </w:rPr>
        <w:t xml:space="preserve">the </w:t>
      </w:r>
      <w:r w:rsidR="5B5E0C30" w:rsidRPr="4F9F5C11">
        <w:rPr>
          <w:rStyle w:val="normaltextrun"/>
          <w:rFonts w:cs="Calibri"/>
        </w:rPr>
        <w:t>G</w:t>
      </w:r>
      <w:r w:rsidRPr="4F9F5C11">
        <w:rPr>
          <w:rStyle w:val="normaltextrun"/>
          <w:rFonts w:cs="Calibri"/>
        </w:rPr>
        <w:t>overnment announcing or committing to a project prior to receiving advice or an assessment from Infrastructure Australia, particularly in the election and budget contexts. It is anticipated that the revised product suite from I</w:t>
      </w:r>
      <w:r w:rsidR="312A631A" w:rsidRPr="4F9F5C11">
        <w:rPr>
          <w:rStyle w:val="normaltextrun"/>
          <w:rFonts w:cs="Calibri"/>
        </w:rPr>
        <w:t xml:space="preserve">nfrastructure </w:t>
      </w:r>
      <w:r w:rsidRPr="4F9F5C11">
        <w:rPr>
          <w:rStyle w:val="normaltextrun"/>
          <w:rFonts w:cs="Calibri"/>
        </w:rPr>
        <w:t>A</w:t>
      </w:r>
      <w:r w:rsidR="0165BF55" w:rsidRPr="4F9F5C11">
        <w:rPr>
          <w:rStyle w:val="normaltextrun"/>
          <w:rFonts w:cs="Calibri"/>
        </w:rPr>
        <w:t>ustralia</w:t>
      </w:r>
      <w:r w:rsidRPr="4F9F5C11">
        <w:rPr>
          <w:rStyle w:val="normaltextrun"/>
          <w:rFonts w:cs="Calibri"/>
        </w:rPr>
        <w:t xml:space="preserve"> as outlined above</w:t>
      </w:r>
      <w:r w:rsidR="2E872A8E" w:rsidRPr="4F9F5C11">
        <w:rPr>
          <w:rStyle w:val="normaltextrun"/>
          <w:rFonts w:cs="Calibri"/>
        </w:rPr>
        <w:t>,</w:t>
      </w:r>
      <w:r w:rsidRPr="4F9F5C11">
        <w:rPr>
          <w:rStyle w:val="normaltextrun"/>
          <w:rFonts w:cs="Calibri"/>
        </w:rPr>
        <w:t xml:space="preserve"> and further recommendations on the Infrastructure Australia assessment framework as described below</w:t>
      </w:r>
      <w:r w:rsidR="1EE0935D" w:rsidRPr="4F9F5C11">
        <w:rPr>
          <w:rStyle w:val="normaltextrun"/>
          <w:rFonts w:cs="Calibri"/>
        </w:rPr>
        <w:t>,</w:t>
      </w:r>
      <w:r w:rsidRPr="4F9F5C11">
        <w:rPr>
          <w:rStyle w:val="normaltextrun"/>
          <w:rFonts w:cs="Calibri"/>
        </w:rPr>
        <w:t xml:space="preserve"> will assist in mitigating </w:t>
      </w:r>
      <w:r w:rsidR="27FF8650" w:rsidRPr="4F9F5C11">
        <w:rPr>
          <w:rStyle w:val="normaltextrun"/>
          <w:rFonts w:cs="Calibri"/>
        </w:rPr>
        <w:t>associated risks of such</w:t>
      </w:r>
      <w:r w:rsidRPr="4F9F5C11">
        <w:rPr>
          <w:rStyle w:val="normaltextrun"/>
          <w:rFonts w:cs="Calibri"/>
        </w:rPr>
        <w:t xml:space="preserve"> announcements</w:t>
      </w:r>
      <w:r w:rsidR="27FF8650" w:rsidRPr="4F9F5C11">
        <w:rPr>
          <w:rStyle w:val="normaltextrun"/>
          <w:rFonts w:cs="Calibri"/>
        </w:rPr>
        <w:t xml:space="preserve"> in the future.</w:t>
      </w:r>
    </w:p>
    <w:p w14:paraId="798908F8" w14:textId="62003BAA" w:rsidR="00A407BE" w:rsidRDefault="1A5EA590" w:rsidP="00DC6B1C">
      <w:pPr>
        <w:pStyle w:val="Heading4"/>
      </w:pPr>
      <w:bookmarkStart w:id="51" w:name="_Toc115379969"/>
      <w:bookmarkStart w:id="52" w:name="_Toc124783611"/>
      <w:r>
        <w:t xml:space="preserve">Improved influence and </w:t>
      </w:r>
      <w:r w:rsidR="5412F59D">
        <w:t xml:space="preserve">value: input into the </w:t>
      </w:r>
      <w:r w:rsidR="27FF8650">
        <w:t>b</w:t>
      </w:r>
      <w:r w:rsidR="5412F59D">
        <w:t>udget process and annual updates</w:t>
      </w:r>
      <w:bookmarkEnd w:id="51"/>
      <w:bookmarkEnd w:id="52"/>
    </w:p>
    <w:p w14:paraId="192A0AF5" w14:textId="2901889C" w:rsidR="00A407BE" w:rsidRDefault="73D95A4D" w:rsidP="002D59DD">
      <w:pPr>
        <w:rPr>
          <w:lang w:val="en-US"/>
        </w:rPr>
      </w:pPr>
      <w:r w:rsidRPr="4F9F5C11">
        <w:rPr>
          <w:lang w:val="en-US"/>
        </w:rPr>
        <w:t xml:space="preserve">To fully </w:t>
      </w:r>
      <w:proofErr w:type="spellStart"/>
      <w:r w:rsidRPr="4F9F5C11">
        <w:rPr>
          <w:lang w:val="en-US"/>
        </w:rPr>
        <w:t>utilise</w:t>
      </w:r>
      <w:proofErr w:type="spellEnd"/>
      <w:r w:rsidRPr="4F9F5C11">
        <w:rPr>
          <w:lang w:val="en-US"/>
        </w:rPr>
        <w:t xml:space="preserve"> the value of Infrastructure Australia and its core products, the Review recommends that Infrastructure Australia ha</w:t>
      </w:r>
      <w:r w:rsidR="003B671A">
        <w:rPr>
          <w:lang w:val="en-US"/>
        </w:rPr>
        <w:t>s</w:t>
      </w:r>
      <w:r w:rsidRPr="4F9F5C11">
        <w:rPr>
          <w:lang w:val="en-US"/>
        </w:rPr>
        <w:t xml:space="preserve"> an express a role in informing and supporting the </w:t>
      </w:r>
      <w:r w:rsidR="27FF8650" w:rsidRPr="4F9F5C11">
        <w:rPr>
          <w:lang w:val="en-US"/>
        </w:rPr>
        <w:t>b</w:t>
      </w:r>
      <w:r w:rsidRPr="4F9F5C11">
        <w:rPr>
          <w:lang w:val="en-US"/>
        </w:rPr>
        <w:t>udget process and outcomes. Stakeholders were supportive of this, noting it would assist with greater transparency in funding allocations, budget commitments and project expenditures.</w:t>
      </w:r>
    </w:p>
    <w:p w14:paraId="13215D22" w14:textId="54A9BC68" w:rsidR="00A407BE" w:rsidRPr="00B223D5" w:rsidRDefault="73D95A4D" w:rsidP="00BA227C">
      <w:pPr>
        <w:keepLines/>
        <w:pBdr>
          <w:left w:val="single" w:sz="48" w:space="22" w:color="4BB3B5"/>
        </w:pBdr>
        <w:suppressAutoHyphens/>
        <w:spacing w:before="160"/>
        <w:ind w:left="567" w:right="567"/>
      </w:pPr>
      <w:r w:rsidRPr="4F9F5C11">
        <w:rPr>
          <w:rStyle w:val="QuoteChar"/>
        </w:rPr>
        <w:lastRenderedPageBreak/>
        <w:t xml:space="preserve">Infrastructure Australia’s advice should be frank and tailored for decision makers, and subject to Cabinet confidentiality. The intention of this is to develop the relationship between the Government and Infrastructure Australia, whereby the Government can receive trusted independent advice in confidence. The elected government is the ultimate arbiter of how tax dollars are spent. But it must make these decisions in the context of high quality, clear eyed independent infrastructure advice. For Infrastructure Australia to be a trusted expert </w:t>
      </w:r>
      <w:r w:rsidR="3BCEB81E" w:rsidRPr="4F9F5C11">
        <w:rPr>
          <w:rStyle w:val="QuoteChar"/>
        </w:rPr>
        <w:t>advisor</w:t>
      </w:r>
      <w:r w:rsidRPr="4F9F5C11">
        <w:rPr>
          <w:rStyle w:val="QuoteChar"/>
        </w:rPr>
        <w:t xml:space="preserve"> to the Government, it must have the Government’s confidence. … [T]he Federal Government must be fully informed about the strategic fit, benefits, costs, risks and readiness of a project for investment independent of the proponent’s assessment. By bringing this within the Cabinet process, it provides for this opportunity.</w:t>
      </w:r>
      <w:r>
        <w:t xml:space="preserve"> </w:t>
      </w:r>
      <w:r w:rsidR="00A407BE">
        <w:br/>
      </w:r>
      <w:r>
        <w:t>Business Council of Australia</w:t>
      </w:r>
    </w:p>
    <w:p w14:paraId="2243B0CA" w14:textId="021DA5B9" w:rsidR="00A407BE" w:rsidRDefault="3780D731" w:rsidP="00591CDB">
      <w:pPr>
        <w:spacing w:before="480"/>
        <w:rPr>
          <w:lang w:val="en-US"/>
        </w:rPr>
      </w:pPr>
      <w:r w:rsidRPr="4F9F5C11">
        <w:rPr>
          <w:lang w:val="en-US"/>
        </w:rPr>
        <w:t xml:space="preserve">The Review recommends that as part of its core product suite, Infrastructure Australia </w:t>
      </w:r>
      <w:r w:rsidR="751A1777" w:rsidRPr="4F9F5C11">
        <w:rPr>
          <w:lang w:val="en-US"/>
        </w:rPr>
        <w:t>produce</w:t>
      </w:r>
      <w:r w:rsidRPr="4F9F5C11">
        <w:rPr>
          <w:lang w:val="en-US"/>
        </w:rPr>
        <w:t xml:space="preserve"> two annual products towards informing the </w:t>
      </w:r>
      <w:r w:rsidR="003B671A">
        <w:rPr>
          <w:lang w:val="en-US"/>
        </w:rPr>
        <w:t>G</w:t>
      </w:r>
      <w:r w:rsidRPr="4F9F5C11">
        <w:rPr>
          <w:lang w:val="en-US"/>
        </w:rPr>
        <w:t xml:space="preserve">overnment and input into the Commonwealth budget process: </w:t>
      </w:r>
      <w:proofErr w:type="gramStart"/>
      <w:r w:rsidRPr="4F9F5C11">
        <w:rPr>
          <w:lang w:val="en-US"/>
        </w:rPr>
        <w:t>an</w:t>
      </w:r>
      <w:proofErr w:type="gramEnd"/>
      <w:r w:rsidRPr="4F9F5C11">
        <w:rPr>
          <w:lang w:val="en-US"/>
        </w:rPr>
        <w:t xml:space="preserve"> </w:t>
      </w:r>
      <w:r w:rsidRPr="4F9F5C11">
        <w:rPr>
          <w:b/>
          <w:bCs/>
          <w:lang w:val="en-US"/>
        </w:rPr>
        <w:t>Annual Investment Advice Report</w:t>
      </w:r>
      <w:r w:rsidRPr="4F9F5C11">
        <w:rPr>
          <w:lang w:val="en-US"/>
        </w:rPr>
        <w:t xml:space="preserve"> and an </w:t>
      </w:r>
      <w:r w:rsidRPr="4F9F5C11">
        <w:rPr>
          <w:b/>
          <w:bCs/>
          <w:lang w:val="en-US"/>
        </w:rPr>
        <w:t>Annual Performance Statement</w:t>
      </w:r>
      <w:r w:rsidRPr="4F9F5C11">
        <w:rPr>
          <w:lang w:val="en-US"/>
        </w:rPr>
        <w:t>. Both products would be informed by, and result from, the Charter, the Plan and the List.</w:t>
      </w:r>
    </w:p>
    <w:p w14:paraId="19E1EFE8" w14:textId="77777777" w:rsidR="00A407BE" w:rsidRDefault="4B968F4D" w:rsidP="00DC6B1C">
      <w:pPr>
        <w:pStyle w:val="Heading5"/>
      </w:pPr>
      <w:r>
        <w:t xml:space="preserve">Annual Investment Advice Report </w:t>
      </w:r>
    </w:p>
    <w:p w14:paraId="0BBD5C72" w14:textId="4FBEF5E7" w:rsidR="004201CF" w:rsidRDefault="3780D731" w:rsidP="004201CF">
      <w:r>
        <w:t>The Review recommends that Infrastructure Australia p</w:t>
      </w:r>
      <w:r w:rsidR="546F6232">
        <w:t>rovide</w:t>
      </w:r>
      <w:r w:rsidR="003B671A">
        <w:t>s</w:t>
      </w:r>
      <w:r>
        <w:t xml:space="preserve"> an Annual Investment Advice Report, to the Minister and Treasurer by </w:t>
      </w:r>
      <w:r w:rsidR="56AE6D09">
        <w:t>1</w:t>
      </w:r>
      <w:r>
        <w:t xml:space="preserve"> December each year ahead of the </w:t>
      </w:r>
      <w:r w:rsidR="27FF8650">
        <w:t>b</w:t>
      </w:r>
      <w:r>
        <w:t>udget process</w:t>
      </w:r>
      <w:r w:rsidR="5FC779F7">
        <w:t xml:space="preserve">, </w:t>
      </w:r>
      <w:r>
        <w:t xml:space="preserve">to feed into the next </w:t>
      </w:r>
      <w:r w:rsidR="27FF8650">
        <w:t>b</w:t>
      </w:r>
      <w:r>
        <w:t>udget process.</w:t>
      </w:r>
    </w:p>
    <w:p w14:paraId="725E335E" w14:textId="6D7D0C3A" w:rsidR="00C61A7A" w:rsidRDefault="5054E804" w:rsidP="004201CF">
      <w:r>
        <w:t>This Report would include advice from I</w:t>
      </w:r>
      <w:r w:rsidR="3BEAD51B">
        <w:t xml:space="preserve">nfrastructure </w:t>
      </w:r>
      <w:r>
        <w:t>A</w:t>
      </w:r>
      <w:r w:rsidR="1BFDB56C">
        <w:t>ustralia</w:t>
      </w:r>
      <w:r>
        <w:t xml:space="preserve"> on the prioritisation of projects from the </w:t>
      </w:r>
      <w:r w:rsidR="27FF8650">
        <w:t xml:space="preserve">IPL that </w:t>
      </w:r>
      <w:r>
        <w:t>I</w:t>
      </w:r>
      <w:r w:rsidR="39C21C84">
        <w:t xml:space="preserve">nfrastructure </w:t>
      </w:r>
      <w:r>
        <w:t>A</w:t>
      </w:r>
      <w:r w:rsidR="62291D17">
        <w:t>ustralia</w:t>
      </w:r>
      <w:r>
        <w:t xml:space="preserve"> consider</w:t>
      </w:r>
      <w:r w:rsidR="1A1BAFA7">
        <w:t>s</w:t>
      </w:r>
      <w:r>
        <w:t xml:space="preserve"> best meet the objectives of the Charter and the Plan for Commonwealth investment in the next </w:t>
      </w:r>
      <w:r w:rsidR="40009D17">
        <w:t>five</w:t>
      </w:r>
      <w:r>
        <w:t xml:space="preserve"> year period. </w:t>
      </w:r>
    </w:p>
    <w:p w14:paraId="7A9027A0" w14:textId="4CC4410E" w:rsidR="004201CF" w:rsidRDefault="5054E804" w:rsidP="004201CF">
      <w:r>
        <w:t xml:space="preserve">A similar product, which Infrastructure Australia may have regard to, is the annual </w:t>
      </w:r>
      <w:hyperlink r:id="rId27">
        <w:r w:rsidRPr="4F9F5C11">
          <w:rPr>
            <w:rStyle w:val="Hyperlink"/>
          </w:rPr>
          <w:t>Capital Intentions Statement</w:t>
        </w:r>
      </w:hyperlink>
      <w:r>
        <w:t xml:space="preserve"> (CIS) from Infrastructure S</w:t>
      </w:r>
      <w:r w:rsidR="265390A8">
        <w:t xml:space="preserve">outh </w:t>
      </w:r>
      <w:r>
        <w:t>A</w:t>
      </w:r>
      <w:r w:rsidR="03D478F9">
        <w:t>ustralia</w:t>
      </w:r>
      <w:r>
        <w:t>. The CIS operates as a five-year rolling annual plan that identifies specific major infrastructure projects or programs which, in I</w:t>
      </w:r>
      <w:r w:rsidR="004C631C">
        <w:t xml:space="preserve">nfrastructure </w:t>
      </w:r>
      <w:r>
        <w:t>S</w:t>
      </w:r>
      <w:r w:rsidR="004C631C">
        <w:t xml:space="preserve">outh </w:t>
      </w:r>
      <w:r>
        <w:t>A</w:t>
      </w:r>
      <w:r w:rsidR="004C631C">
        <w:t>ustralia</w:t>
      </w:r>
      <w:r>
        <w:t xml:space="preserve">’s assessment, should be given specific consideration or implemented in South Australia as a priority within the next five years. More relevantly, the annual CIS assessment and recommendations are ‘designed to assist the South Australian Government to prioritise infrastructure and </w:t>
      </w:r>
      <w:r w:rsidRPr="4F9F5C11">
        <w:rPr>
          <w:b/>
          <w:bCs/>
        </w:rPr>
        <w:t>efficiently allocate capital through the Budget process</w:t>
      </w:r>
      <w:r>
        <w:t>’. The CIS focuses on projects that are:</w:t>
      </w:r>
    </w:p>
    <w:p w14:paraId="27351FF9" w14:textId="5C1FE442" w:rsidR="0031754F" w:rsidRDefault="604544E1" w:rsidP="009B5758">
      <w:pPr>
        <w:pStyle w:val="Listparagraphbullets"/>
        <w:ind w:left="567" w:hanging="567"/>
      </w:pPr>
      <w:r>
        <w:t>l</w:t>
      </w:r>
      <w:r w:rsidR="5054E804">
        <w:t>imited to those submitted to I</w:t>
      </w:r>
      <w:r w:rsidR="004C631C">
        <w:t xml:space="preserve">nfrastructure </w:t>
      </w:r>
      <w:r w:rsidR="5054E804">
        <w:t>S</w:t>
      </w:r>
      <w:r w:rsidR="004C631C">
        <w:t xml:space="preserve">outh </w:t>
      </w:r>
      <w:r w:rsidR="5054E804">
        <w:t>A</w:t>
      </w:r>
      <w:r w:rsidR="004C631C">
        <w:t>ustralia</w:t>
      </w:r>
      <w:r w:rsidR="5054E804">
        <w:t xml:space="preserve"> for assessment by state agencies or local councils</w:t>
      </w:r>
    </w:p>
    <w:p w14:paraId="33E8D8A1" w14:textId="77777777" w:rsidR="0031754F" w:rsidRDefault="564A6229" w:rsidP="009B5758">
      <w:pPr>
        <w:pStyle w:val="Listparagraphbullets"/>
        <w:ind w:left="567" w:hanging="567"/>
      </w:pPr>
      <w:r>
        <w:t>g</w:t>
      </w:r>
      <w:r w:rsidR="5054E804">
        <w:t>enerally over $50 million in value</w:t>
      </w:r>
    </w:p>
    <w:p w14:paraId="3853A471" w14:textId="1FB6B6EF" w:rsidR="004201CF" w:rsidRDefault="09FBBE78" w:rsidP="009B5758">
      <w:pPr>
        <w:pStyle w:val="Listparagraphbullets"/>
        <w:ind w:left="567" w:hanging="567"/>
      </w:pPr>
      <w:r>
        <w:t>c</w:t>
      </w:r>
      <w:r w:rsidR="5054E804">
        <w:t xml:space="preserve">ontingent upon South Australian government funding (it does not include projects that are already funded in the </w:t>
      </w:r>
      <w:r w:rsidR="27FF8650">
        <w:t>b</w:t>
      </w:r>
      <w:r w:rsidR="5054E804">
        <w:t xml:space="preserve">udget). </w:t>
      </w:r>
    </w:p>
    <w:p w14:paraId="647BD008" w14:textId="423EE928" w:rsidR="004201CF" w:rsidRDefault="525E6DDF" w:rsidP="004201CF">
      <w:r>
        <w:t>While the Review looks favourably upon the content and purpose of the I</w:t>
      </w:r>
      <w:r w:rsidR="004C631C">
        <w:t xml:space="preserve">nfrastructure </w:t>
      </w:r>
      <w:r>
        <w:t>S</w:t>
      </w:r>
      <w:r w:rsidR="004C631C">
        <w:t xml:space="preserve">outh </w:t>
      </w:r>
      <w:r>
        <w:t>A</w:t>
      </w:r>
      <w:r w:rsidR="004C631C">
        <w:t>ustralia</w:t>
      </w:r>
      <w:r>
        <w:t xml:space="preserve">’s CIS, the Review suggests that a more appropriate </w:t>
      </w:r>
      <w:r w:rsidR="6681FA17">
        <w:t>timeframe</w:t>
      </w:r>
      <w:r>
        <w:t xml:space="preserve"> would be a </w:t>
      </w:r>
      <w:r w:rsidR="4BC2BD9A">
        <w:t>10</w:t>
      </w:r>
      <w:r>
        <w:t xml:space="preserve"> year rolling annual plan, similar to that of Infrastructure Western Australia’s</w:t>
      </w:r>
      <w:r w:rsidR="38403095">
        <w:t xml:space="preserve"> </w:t>
      </w:r>
      <w:r>
        <w:t xml:space="preserve">annual </w:t>
      </w:r>
      <w:r w:rsidR="117C02C5">
        <w:t xml:space="preserve">10 </w:t>
      </w:r>
      <w:r>
        <w:t>year State Infrastructure Program.</w:t>
      </w:r>
    </w:p>
    <w:p w14:paraId="7CE8BA6A" w14:textId="77777777" w:rsidR="004201CF" w:rsidRDefault="4B968F4D" w:rsidP="00DC6B1C">
      <w:pPr>
        <w:pStyle w:val="Heading5"/>
      </w:pPr>
      <w:r>
        <w:t xml:space="preserve">Annual Performance Statement  </w:t>
      </w:r>
    </w:p>
    <w:p w14:paraId="074469D9" w14:textId="6DF5EA12" w:rsidR="004201CF" w:rsidRDefault="5054E804" w:rsidP="004201CF">
      <w:pPr>
        <w:rPr>
          <w:lang w:val="en-US"/>
        </w:rPr>
      </w:pPr>
      <w:r w:rsidRPr="4F9F5C11">
        <w:rPr>
          <w:lang w:val="en-US"/>
        </w:rPr>
        <w:t>The Review also recommends that Infrastructure Australia publish</w:t>
      </w:r>
      <w:r w:rsidR="002E71E9">
        <w:rPr>
          <w:lang w:val="en-US"/>
        </w:rPr>
        <w:t>es</w:t>
      </w:r>
      <w:r w:rsidRPr="4F9F5C11">
        <w:rPr>
          <w:lang w:val="en-US"/>
        </w:rPr>
        <w:t xml:space="preserve"> an Annual Performance Statement, which reports the progress and performance of investments approved on the basis of meeting the </w:t>
      </w:r>
      <w:r w:rsidR="27FF8650" w:rsidRPr="4F9F5C11">
        <w:rPr>
          <w:lang w:val="en-US"/>
        </w:rPr>
        <w:t>Charter</w:t>
      </w:r>
      <w:r w:rsidRPr="4F9F5C11">
        <w:rPr>
          <w:lang w:val="en-US"/>
        </w:rPr>
        <w:t xml:space="preserve"> objectives</w:t>
      </w:r>
      <w:r w:rsidR="07105C35" w:rsidRPr="4F9F5C11">
        <w:rPr>
          <w:lang w:val="en-US"/>
        </w:rPr>
        <w:t>,</w:t>
      </w:r>
      <w:r w:rsidRPr="4F9F5C11">
        <w:rPr>
          <w:lang w:val="en-US"/>
        </w:rPr>
        <w:t xml:space="preserve"> and measures the performance of these projects against the relevant </w:t>
      </w:r>
      <w:r w:rsidR="27FF8650" w:rsidRPr="4F9F5C11">
        <w:rPr>
          <w:lang w:val="en-US"/>
        </w:rPr>
        <w:t>objective</w:t>
      </w:r>
      <w:r w:rsidRPr="4F9F5C11">
        <w:rPr>
          <w:lang w:val="en-US"/>
        </w:rPr>
        <w:t>. Options for Infrastructure Australia to refer to when drafting the Annual Performance Statement (with adjustments to reflect Infrastructure Australia’s specific duties) include:</w:t>
      </w:r>
    </w:p>
    <w:p w14:paraId="669D6EB0" w14:textId="20008BE2" w:rsidR="004201CF" w:rsidRPr="009B5758" w:rsidRDefault="4109C5C5" w:rsidP="009B5758">
      <w:pPr>
        <w:pStyle w:val="Listparagraphbullets"/>
        <w:ind w:left="567" w:hanging="567"/>
      </w:pPr>
      <w:r w:rsidRPr="009B5758">
        <w:t>Infr</w:t>
      </w:r>
      <w:r w:rsidR="27FF8650" w:rsidRPr="009B5758">
        <w:t xml:space="preserve">astructure </w:t>
      </w:r>
      <w:r w:rsidRPr="009B5758">
        <w:t xml:space="preserve">NSW </w:t>
      </w:r>
      <w:hyperlink r:id="rId28" w:history="1">
        <w:r w:rsidRPr="009B5758">
          <w:rPr>
            <w:rStyle w:val="Hyperlink"/>
          </w:rPr>
          <w:t>2021 Progress Report</w:t>
        </w:r>
      </w:hyperlink>
      <w:r w:rsidRPr="009B5758">
        <w:t>. The report draws on data from 40 major infrastructure projects across New South Wales, representing a total value of over $23 billion, and outlines progress against the NSW 10 Point Commitment to the Construction Sector Government Action Plan.</w:t>
      </w:r>
    </w:p>
    <w:p w14:paraId="2E071989" w14:textId="500326C1" w:rsidR="00996F63" w:rsidRPr="0011275A" w:rsidRDefault="7C81C3EA" w:rsidP="0011275A">
      <w:pPr>
        <w:pStyle w:val="Listparagraphbullets"/>
        <w:ind w:left="567" w:hanging="567"/>
      </w:pPr>
      <w:r w:rsidRPr="009B5758">
        <w:lastRenderedPageBreak/>
        <w:t>U</w:t>
      </w:r>
      <w:r w:rsidR="57A3D0C0" w:rsidRPr="009B5758">
        <w:t xml:space="preserve">nited </w:t>
      </w:r>
      <w:r w:rsidRPr="009B5758">
        <w:t>K</w:t>
      </w:r>
      <w:r w:rsidR="49F18F3D" w:rsidRPr="009B5758">
        <w:t>ingdom</w:t>
      </w:r>
      <w:r w:rsidRPr="009B5758">
        <w:t xml:space="preserve"> Infrastructure and Projects Authority </w:t>
      </w:r>
      <w:r w:rsidR="609C2269" w:rsidRPr="009B5758">
        <w:t xml:space="preserve">(UK IPA) </w:t>
      </w:r>
      <w:r w:rsidRPr="009B5758">
        <w:t>Government Major Projects Portfolio Delivery Confidence Assessment (DCA). The UK IPA arranges and manages independent assurance reviews of major government projects</w:t>
      </w:r>
      <w:r w:rsidRPr="0011275A">
        <w:t xml:space="preserve"> on a yearly basis. In </w:t>
      </w:r>
      <w:r w:rsidR="0784E720" w:rsidRPr="0011275A">
        <w:t>its</w:t>
      </w:r>
      <w:r w:rsidRPr="0011275A">
        <w:t xml:space="preserve"> </w:t>
      </w:r>
      <w:hyperlink r:id="rId29" w:history="1">
        <w:r w:rsidRPr="0011275A">
          <w:rPr>
            <w:rStyle w:val="Hyperlink"/>
            <w:i/>
          </w:rPr>
          <w:t>Annual Report on Major Projects</w:t>
        </w:r>
      </w:hyperlink>
      <w:r w:rsidRPr="0011275A">
        <w:t>, the UK IPA includes a DCA that assesses the likelihood of a project delivering its objectives to time and cost.</w:t>
      </w:r>
      <w:r w:rsidR="3484C971" w:rsidRPr="0011275A">
        <w:rPr>
          <w:rStyle w:val="FootnoteReference"/>
          <w:rFonts w:asciiTheme="minorHAnsi" w:hAnsiTheme="minorHAnsi"/>
          <w:lang w:val="en-US" w:eastAsia="en-US"/>
        </w:rPr>
        <w:footnoteReference w:id="8"/>
      </w:r>
      <w:r w:rsidRPr="0011275A">
        <w:rPr>
          <w:rStyle w:val="FootnoteReference"/>
          <w:rFonts w:asciiTheme="minorHAnsi" w:hAnsiTheme="minorHAnsi"/>
          <w:lang w:val="en-US" w:eastAsia="en-US"/>
        </w:rPr>
        <w:t xml:space="preserve"> </w:t>
      </w:r>
      <w:r w:rsidRPr="0011275A">
        <w:t xml:space="preserve">Ratings are categorised into three groups ranging from ‘red’ to ‘green’, with each providing an indication of likelihood of successful delivery and level of associated risks. </w:t>
      </w:r>
      <w:r w:rsidR="4AF04AAD" w:rsidRPr="0011275A">
        <w:t>As the 2021</w:t>
      </w:r>
      <w:r w:rsidR="7898FA87" w:rsidRPr="0011275A">
        <w:t>–</w:t>
      </w:r>
      <w:r w:rsidR="4AF04AAD" w:rsidRPr="0011275A">
        <w:t xml:space="preserve">22 Report explains: </w:t>
      </w:r>
      <w:r w:rsidRPr="0011275A">
        <w:t xml:space="preserve">DCAs are not a comprehensive reflection of project performance, but reflect a project’s likelihood of success at a specific snapshot in time if issues and risks are left unaddressed. DCAs change depending on the challenges projects are facing, the results of focused independent assurance reviews and actions taken by projects. By taking the right steps following reviews and managing delivery challenges effectively, DCAs are often </w:t>
      </w:r>
      <w:bookmarkStart w:id="53" w:name="_Hlk117246323"/>
      <w:r w:rsidRPr="0011275A">
        <w:t>improved over time.</w:t>
      </w:r>
      <w:r w:rsidR="003F08CD" w:rsidRPr="0011275A">
        <w:rPr>
          <w:rStyle w:val="FootnoteReference"/>
          <w:rFonts w:asciiTheme="minorHAnsi" w:hAnsiTheme="minorHAnsi"/>
          <w:lang w:val="en-US" w:eastAsia="en-US"/>
        </w:rPr>
        <w:footnoteReference w:id="9"/>
      </w:r>
      <w:bookmarkEnd w:id="53"/>
    </w:p>
    <w:p w14:paraId="616B752F" w14:textId="3E578CC7" w:rsidR="00996F63" w:rsidRDefault="37026799" w:rsidP="00996F63">
      <w:pPr>
        <w:rPr>
          <w:lang w:val="en-US"/>
        </w:rPr>
      </w:pPr>
      <w:r w:rsidRPr="4F9F5C11">
        <w:rPr>
          <w:lang w:val="en-US"/>
        </w:rPr>
        <w:t>The Review r</w:t>
      </w:r>
      <w:r w:rsidR="5CC397C8" w:rsidRPr="4F9F5C11">
        <w:rPr>
          <w:lang w:val="en-US"/>
        </w:rPr>
        <w:t>ecommends</w:t>
      </w:r>
      <w:r w:rsidRPr="4F9F5C11">
        <w:rPr>
          <w:lang w:val="en-US"/>
        </w:rPr>
        <w:t xml:space="preserve"> that the </w:t>
      </w:r>
      <w:r w:rsidR="09940FFB" w:rsidRPr="4F9F5C11">
        <w:rPr>
          <w:lang w:val="en-US"/>
        </w:rPr>
        <w:t>G</w:t>
      </w:r>
      <w:r w:rsidRPr="4F9F5C11">
        <w:rPr>
          <w:lang w:val="en-US"/>
        </w:rPr>
        <w:t>overnment consider tabling these</w:t>
      </w:r>
      <w:r w:rsidR="5CC397C8" w:rsidRPr="4F9F5C11">
        <w:rPr>
          <w:lang w:val="en-US"/>
        </w:rPr>
        <w:t xml:space="preserve"> annual</w:t>
      </w:r>
      <w:r w:rsidRPr="4F9F5C11">
        <w:rPr>
          <w:lang w:val="en-US"/>
        </w:rPr>
        <w:t xml:space="preserve"> products in the interests of transparency and accountability. </w:t>
      </w:r>
    </w:p>
    <w:p w14:paraId="27435609" w14:textId="77777777" w:rsidR="00084383" w:rsidRDefault="5CC397C8" w:rsidP="00084383">
      <w:pPr>
        <w:pStyle w:val="Heading3notshowing"/>
      </w:pPr>
      <w:r>
        <w:t>Recommendation 3</w:t>
      </w:r>
    </w:p>
    <w:p w14:paraId="5D485229" w14:textId="7D75F6E4" w:rsidR="00084383" w:rsidRPr="00996F63" w:rsidRDefault="5CC397C8" w:rsidP="00084383">
      <w:pPr>
        <w:keepNext/>
        <w:keepLines/>
        <w:pBdr>
          <w:top w:val="single" w:sz="4" w:space="1" w:color="4BB3B5"/>
          <w:left w:val="single" w:sz="4" w:space="4" w:color="4BB3B5"/>
          <w:bottom w:val="single" w:sz="4" w:space="1" w:color="4BB3B5"/>
          <w:right w:val="single" w:sz="4" w:space="4" w:color="4BB3B5"/>
        </w:pBdr>
        <w:spacing w:after="120"/>
        <w:rPr>
          <w:rFonts w:eastAsia="PMingLiU" w:cs="Mangal"/>
          <w:lang w:eastAsia="zh-TW"/>
        </w:rPr>
      </w:pPr>
      <w:r>
        <w:t xml:space="preserve">The Review recommends </w:t>
      </w:r>
      <w:r w:rsidRPr="4F9F5C11">
        <w:rPr>
          <w:lang w:val="en-US"/>
        </w:rPr>
        <w:t xml:space="preserve">that Infrastructure Australia’s existing product suite be refined to better support government infrastructure investment objectives and to inform the </w:t>
      </w:r>
      <w:r w:rsidR="002C6954">
        <w:rPr>
          <w:lang w:val="en-US"/>
        </w:rPr>
        <w:t>b</w:t>
      </w:r>
      <w:r w:rsidRPr="4F9F5C11">
        <w:rPr>
          <w:lang w:val="en-US"/>
        </w:rPr>
        <w:t>udget process.</w:t>
      </w:r>
    </w:p>
    <w:p w14:paraId="3B9106F0" w14:textId="77777777" w:rsidR="00084383" w:rsidRDefault="5CC397C8" w:rsidP="00084383">
      <w:pPr>
        <w:pStyle w:val="Heading3notshowing"/>
      </w:pPr>
      <w:r>
        <w:t>Recommendation 4</w:t>
      </w:r>
    </w:p>
    <w:p w14:paraId="45C40C10" w14:textId="33B466EE" w:rsidR="00084383" w:rsidRDefault="5CC397C8" w:rsidP="00084383">
      <w:pPr>
        <w:keepNext/>
        <w:keepLines/>
        <w:pBdr>
          <w:top w:val="single" w:sz="4" w:space="1" w:color="4BB3B5"/>
          <w:left w:val="single" w:sz="4" w:space="4" w:color="4BB3B5"/>
          <w:bottom w:val="single" w:sz="4" w:space="1" w:color="4BB3B5"/>
          <w:right w:val="single" w:sz="4" w:space="4" w:color="4BB3B5"/>
        </w:pBdr>
        <w:spacing w:after="120"/>
        <w:rPr>
          <w:lang w:val="en-US"/>
        </w:rPr>
      </w:pPr>
      <w:r w:rsidRPr="4F9F5C11">
        <w:rPr>
          <w:lang w:val="en-US"/>
        </w:rPr>
        <w:t>The Review recommends that Infrastructure Australia also provide</w:t>
      </w:r>
      <w:r w:rsidR="0040170B">
        <w:rPr>
          <w:lang w:val="en-US"/>
        </w:rPr>
        <w:t>s</w:t>
      </w:r>
      <w:r w:rsidRPr="4F9F5C11">
        <w:rPr>
          <w:lang w:val="en-US"/>
        </w:rPr>
        <w:t xml:space="preserve"> two new annual statements to the </w:t>
      </w:r>
      <w:r w:rsidR="60DCBB7C" w:rsidRPr="4F9F5C11">
        <w:rPr>
          <w:lang w:val="en-US"/>
        </w:rPr>
        <w:t>Australian</w:t>
      </w:r>
      <w:r w:rsidRPr="4F9F5C11">
        <w:rPr>
          <w:lang w:val="en-US"/>
        </w:rPr>
        <w:t xml:space="preserve"> Government to inform the a</w:t>
      </w:r>
      <w:r w:rsidRPr="00DD236E">
        <w:rPr>
          <w:lang w:val="en-US"/>
        </w:rPr>
        <w:t xml:space="preserve">nnual </w:t>
      </w:r>
      <w:r w:rsidR="002C6954" w:rsidRPr="00DD236E">
        <w:rPr>
          <w:lang w:val="en-US"/>
        </w:rPr>
        <w:t>b</w:t>
      </w:r>
      <w:r w:rsidRPr="00DD236E">
        <w:rPr>
          <w:lang w:val="en-US"/>
        </w:rPr>
        <w:t>udget</w:t>
      </w:r>
      <w:r w:rsidRPr="4F9F5C11">
        <w:rPr>
          <w:lang w:val="en-US"/>
        </w:rPr>
        <w:t xml:space="preserve"> process on infrastructure investment, and report on the performance outcomes being achieved from the investment program and the existing project initiatives.</w:t>
      </w:r>
    </w:p>
    <w:p w14:paraId="74173965" w14:textId="28837A1F" w:rsidR="00084383" w:rsidRPr="000C390F" w:rsidRDefault="5CC397C8" w:rsidP="000C390F">
      <w:pPr>
        <w:keepNext/>
        <w:keepLines/>
        <w:pBdr>
          <w:top w:val="single" w:sz="4" w:space="1" w:color="4BB3B5"/>
          <w:left w:val="single" w:sz="4" w:space="4" w:color="4BB3B5"/>
          <w:bottom w:val="single" w:sz="4" w:space="1" w:color="4BB3B5"/>
          <w:right w:val="single" w:sz="4" w:space="4" w:color="4BB3B5"/>
        </w:pBdr>
        <w:spacing w:after="120"/>
        <w:rPr>
          <w:rFonts w:eastAsia="PMingLiU" w:cs="Mangal"/>
          <w:lang w:eastAsia="zh-TW"/>
        </w:rPr>
      </w:pPr>
      <w:r w:rsidRPr="4F9F5C11">
        <w:rPr>
          <w:rFonts w:eastAsia="PMingLiU" w:cs="Mangal"/>
          <w:lang w:eastAsia="zh-TW"/>
        </w:rPr>
        <w:t xml:space="preserve">The Review recommends </w:t>
      </w:r>
      <w:r w:rsidRPr="4F9F5C11">
        <w:rPr>
          <w:lang w:val="en-US"/>
        </w:rPr>
        <w:t xml:space="preserve">that the Government consider tabling these annual products in the interests of transparency and accountability. </w:t>
      </w:r>
      <w:r w:rsidRPr="4F9F5C11">
        <w:rPr>
          <w:rFonts w:eastAsia="PMingLiU" w:cs="Mangal"/>
          <w:lang w:eastAsia="zh-TW"/>
        </w:rPr>
        <w:t xml:space="preserve"> </w:t>
      </w:r>
    </w:p>
    <w:p w14:paraId="52CABAF3" w14:textId="030641B2" w:rsidR="00182799" w:rsidRDefault="0A259830" w:rsidP="00DC6B1C">
      <w:pPr>
        <w:pStyle w:val="Heading4"/>
      </w:pPr>
      <w:bookmarkStart w:id="54" w:name="_Toc115379970"/>
      <w:bookmarkStart w:id="55" w:name="_Toc124783612"/>
      <w:r>
        <w:t xml:space="preserve">Improved accountability: </w:t>
      </w:r>
      <w:r w:rsidR="17975862">
        <w:t>Government response</w:t>
      </w:r>
      <w:bookmarkEnd w:id="54"/>
      <w:bookmarkEnd w:id="55"/>
      <w:r w:rsidR="17975862">
        <w:t xml:space="preserve"> </w:t>
      </w:r>
    </w:p>
    <w:p w14:paraId="4672E567" w14:textId="38C166FF" w:rsidR="00182799" w:rsidRDefault="6818A2DA" w:rsidP="00182799">
      <w:pPr>
        <w:rPr>
          <w:lang w:val="en-US"/>
        </w:rPr>
      </w:pPr>
      <w:r w:rsidRPr="4F9F5C11">
        <w:rPr>
          <w:lang w:val="en-US"/>
        </w:rPr>
        <w:t xml:space="preserve">During consultation with state agencies and I-bodies, </w:t>
      </w:r>
      <w:r w:rsidR="60DCBB7C" w:rsidRPr="4F9F5C11">
        <w:rPr>
          <w:lang w:val="en-US"/>
        </w:rPr>
        <w:t>stakeholders</w:t>
      </w:r>
      <w:r w:rsidRPr="4F9F5C11">
        <w:rPr>
          <w:lang w:val="en-US"/>
        </w:rPr>
        <w:t xml:space="preserve"> identified several occasions </w:t>
      </w:r>
      <w:r w:rsidR="1338AB88" w:rsidRPr="4F9F5C11">
        <w:rPr>
          <w:lang w:val="en-US"/>
        </w:rPr>
        <w:t xml:space="preserve">in the past five years </w:t>
      </w:r>
      <w:r w:rsidRPr="4F9F5C11">
        <w:rPr>
          <w:lang w:val="en-US"/>
        </w:rPr>
        <w:t>where I</w:t>
      </w:r>
      <w:r w:rsidR="541F5BE4" w:rsidRPr="4F9F5C11">
        <w:rPr>
          <w:lang w:val="en-US"/>
        </w:rPr>
        <w:t xml:space="preserve">nfrastructure </w:t>
      </w:r>
      <w:r w:rsidRPr="4F9F5C11">
        <w:rPr>
          <w:lang w:val="en-US"/>
        </w:rPr>
        <w:t>A</w:t>
      </w:r>
      <w:r w:rsidR="26875674" w:rsidRPr="4F9F5C11">
        <w:rPr>
          <w:lang w:val="en-US"/>
        </w:rPr>
        <w:t>ustralia</w:t>
      </w:r>
      <w:r w:rsidRPr="4F9F5C11">
        <w:rPr>
          <w:lang w:val="en-US"/>
        </w:rPr>
        <w:t xml:space="preserve">’s work had not been </w:t>
      </w:r>
      <w:r w:rsidR="38FDD341" w:rsidRPr="4F9F5C11">
        <w:rPr>
          <w:lang w:val="en-US"/>
        </w:rPr>
        <w:t xml:space="preserve">formally </w:t>
      </w:r>
      <w:r w:rsidRPr="4F9F5C11">
        <w:rPr>
          <w:lang w:val="en-US"/>
        </w:rPr>
        <w:t xml:space="preserve">considered or </w:t>
      </w:r>
      <w:r w:rsidR="60F1F6B1" w:rsidRPr="4F9F5C11">
        <w:rPr>
          <w:lang w:val="en-US"/>
        </w:rPr>
        <w:t xml:space="preserve">in any way </w:t>
      </w:r>
      <w:r w:rsidRPr="4F9F5C11">
        <w:rPr>
          <w:lang w:val="en-US"/>
        </w:rPr>
        <w:t>responded to by</w:t>
      </w:r>
      <w:r w:rsidR="60DCBB7C" w:rsidRPr="4F9F5C11">
        <w:rPr>
          <w:lang w:val="en-US"/>
        </w:rPr>
        <w:t xml:space="preserve"> </w:t>
      </w:r>
      <w:r w:rsidR="1A7A436F" w:rsidRPr="4F9F5C11">
        <w:rPr>
          <w:lang w:val="en-US"/>
        </w:rPr>
        <w:t xml:space="preserve">former </w:t>
      </w:r>
      <w:r w:rsidRPr="4F9F5C11">
        <w:rPr>
          <w:lang w:val="en-US"/>
        </w:rPr>
        <w:t>government</w:t>
      </w:r>
      <w:r w:rsidR="5C50FF75" w:rsidRPr="4F9F5C11">
        <w:rPr>
          <w:lang w:val="en-US"/>
        </w:rPr>
        <w:t>s</w:t>
      </w:r>
      <w:r w:rsidRPr="4F9F5C11">
        <w:rPr>
          <w:lang w:val="en-US"/>
        </w:rPr>
        <w:t xml:space="preserve">. Stakeholders </w:t>
      </w:r>
      <w:r w:rsidR="2D6AE68E" w:rsidRPr="4F9F5C11">
        <w:rPr>
          <w:lang w:val="en-US"/>
        </w:rPr>
        <w:t xml:space="preserve">particularly </w:t>
      </w:r>
      <w:r w:rsidRPr="4F9F5C11">
        <w:rPr>
          <w:lang w:val="en-US"/>
        </w:rPr>
        <w:t xml:space="preserve">lamented the failure of the </w:t>
      </w:r>
      <w:r w:rsidR="4F87E168" w:rsidRPr="4F9F5C11">
        <w:rPr>
          <w:lang w:val="en-US"/>
        </w:rPr>
        <w:t>Australian</w:t>
      </w:r>
      <w:r w:rsidRPr="4F9F5C11">
        <w:rPr>
          <w:lang w:val="en-US"/>
        </w:rPr>
        <w:t xml:space="preserve"> Government to respond or implement </w:t>
      </w:r>
      <w:r w:rsidR="005178F8">
        <w:rPr>
          <w:lang w:val="en-US"/>
        </w:rPr>
        <w:t xml:space="preserve">one of the few key </w:t>
      </w:r>
      <w:r w:rsidRPr="4F9F5C11">
        <w:rPr>
          <w:lang w:val="en-US"/>
        </w:rPr>
        <w:t>recommendations from the 2021 Australia Infrastructure Plan to deliver improved infrastructure outcomes for Australia.</w:t>
      </w:r>
    </w:p>
    <w:p w14:paraId="24913220" w14:textId="580E4A08" w:rsidR="003F5327" w:rsidRPr="00B223D5" w:rsidRDefault="0F9F7A74" w:rsidP="003F5327">
      <w:pPr>
        <w:pBdr>
          <w:left w:val="single" w:sz="48" w:space="22" w:color="4BB3B5"/>
        </w:pBdr>
        <w:suppressAutoHyphens/>
        <w:spacing w:before="160"/>
        <w:ind w:left="567" w:right="567"/>
      </w:pPr>
      <w:r w:rsidRPr="4F9F5C11">
        <w:rPr>
          <w:rStyle w:val="QuoteChar"/>
        </w:rPr>
        <w:t xml:space="preserve">A formal response from the Federal Government to IA’s recommendations, the key priorities and proposed way forward on these is necessary. This action will demonstrate the authority, credibility and influence intended for IA as an independent </w:t>
      </w:r>
      <w:r w:rsidR="3BCEB81E" w:rsidRPr="4F9F5C11">
        <w:rPr>
          <w:rStyle w:val="QuoteChar"/>
        </w:rPr>
        <w:t>advisor</w:t>
      </w:r>
      <w:r w:rsidRPr="4F9F5C11">
        <w:rPr>
          <w:rStyle w:val="QuoteChar"/>
        </w:rPr>
        <w:t xml:space="preserve">. </w:t>
      </w:r>
      <w:r>
        <w:t xml:space="preserve"> </w:t>
      </w:r>
      <w:r w:rsidR="003F5327">
        <w:br/>
      </w:r>
      <w:r>
        <w:t>Infrastructure Sustainability Council</w:t>
      </w:r>
    </w:p>
    <w:p w14:paraId="4326CE77" w14:textId="61671688" w:rsidR="00182799" w:rsidRDefault="573DCAB7" w:rsidP="00591CDB">
      <w:pPr>
        <w:spacing w:before="480"/>
        <w:rPr>
          <w:lang w:val="en-US"/>
        </w:rPr>
      </w:pPr>
      <w:r w:rsidRPr="1D890AB4">
        <w:rPr>
          <w:lang w:val="en-US"/>
        </w:rPr>
        <w:t>To strengthen I</w:t>
      </w:r>
      <w:r w:rsidR="3CAA756D" w:rsidRPr="36918AFB">
        <w:rPr>
          <w:lang w:val="en-US"/>
        </w:rPr>
        <w:t xml:space="preserve">nfrastructure </w:t>
      </w:r>
      <w:r w:rsidRPr="1D890AB4">
        <w:rPr>
          <w:lang w:val="en-US"/>
        </w:rPr>
        <w:t>A</w:t>
      </w:r>
      <w:r w:rsidR="11046D49" w:rsidRPr="36918AFB">
        <w:rPr>
          <w:lang w:val="en-US"/>
        </w:rPr>
        <w:t>ustralia</w:t>
      </w:r>
      <w:r w:rsidRPr="1D890AB4">
        <w:rPr>
          <w:lang w:val="en-US"/>
        </w:rPr>
        <w:t xml:space="preserve">’s influence in advising the </w:t>
      </w:r>
      <w:r w:rsidR="60EC3170" w:rsidRPr="1D890AB4">
        <w:rPr>
          <w:lang w:val="en-US"/>
        </w:rPr>
        <w:t>G</w:t>
      </w:r>
      <w:r w:rsidRPr="1D890AB4">
        <w:rPr>
          <w:lang w:val="en-US"/>
        </w:rPr>
        <w:t>overnment, and ensur</w:t>
      </w:r>
      <w:r w:rsidR="60DCBB7C">
        <w:rPr>
          <w:lang w:val="en-US"/>
        </w:rPr>
        <w:t>e</w:t>
      </w:r>
      <w:r w:rsidRPr="1D890AB4">
        <w:rPr>
          <w:lang w:val="en-US"/>
        </w:rPr>
        <w:t xml:space="preserve"> </w:t>
      </w:r>
      <w:r w:rsidR="79379F2C" w:rsidRPr="36918AFB">
        <w:rPr>
          <w:lang w:val="en-US"/>
        </w:rPr>
        <w:t xml:space="preserve">its </w:t>
      </w:r>
      <w:r w:rsidRPr="1D890AB4">
        <w:rPr>
          <w:lang w:val="en-US"/>
        </w:rPr>
        <w:t xml:space="preserve">products and advice </w:t>
      </w:r>
      <w:r w:rsidR="60DCBB7C">
        <w:rPr>
          <w:lang w:val="en-US"/>
        </w:rPr>
        <w:t>have been</w:t>
      </w:r>
      <w:r w:rsidRPr="1D890AB4">
        <w:rPr>
          <w:lang w:val="en-US"/>
        </w:rPr>
        <w:t xml:space="preserve"> appropriately considered prior to</w:t>
      </w:r>
      <w:r w:rsidR="60DCBB7C">
        <w:rPr>
          <w:lang w:val="en-US"/>
        </w:rPr>
        <w:t xml:space="preserve"> a decision</w:t>
      </w:r>
      <w:r w:rsidRPr="1D890AB4">
        <w:rPr>
          <w:lang w:val="en-US"/>
        </w:rPr>
        <w:t>, the Review recommends a formal requirement be introduced</w:t>
      </w:r>
      <w:r w:rsidR="60DCBB7C">
        <w:rPr>
          <w:lang w:val="en-US"/>
        </w:rPr>
        <w:t xml:space="preserve"> in the IA Act</w:t>
      </w:r>
      <w:r w:rsidRPr="1D890AB4">
        <w:rPr>
          <w:lang w:val="en-US"/>
        </w:rPr>
        <w:t xml:space="preserve"> that the</w:t>
      </w:r>
      <w:r w:rsidR="67FA269F" w:rsidRPr="36918AFB">
        <w:rPr>
          <w:lang w:val="en-US"/>
        </w:rPr>
        <w:t xml:space="preserve"> Australian </w:t>
      </w:r>
      <w:r w:rsidRPr="1D890AB4">
        <w:rPr>
          <w:lang w:val="en-US"/>
        </w:rPr>
        <w:t>Gove</w:t>
      </w:r>
      <w:r w:rsidRPr="1C433DC4">
        <w:rPr>
          <w:lang w:val="en-US"/>
        </w:rPr>
        <w:t>rnment must respond to the advice</w:t>
      </w:r>
      <w:r w:rsidR="60DCBB7C">
        <w:rPr>
          <w:lang w:val="en-US"/>
        </w:rPr>
        <w:t xml:space="preserve">, </w:t>
      </w:r>
      <w:r w:rsidRPr="1C433DC4">
        <w:rPr>
          <w:lang w:val="en-US"/>
        </w:rPr>
        <w:t>findings</w:t>
      </w:r>
      <w:r w:rsidR="60DCBB7C">
        <w:rPr>
          <w:lang w:val="en-US"/>
        </w:rPr>
        <w:t xml:space="preserve"> and recommendations</w:t>
      </w:r>
      <w:r w:rsidRPr="1C433DC4">
        <w:rPr>
          <w:lang w:val="en-US"/>
        </w:rPr>
        <w:t xml:space="preserve"> of I</w:t>
      </w:r>
      <w:r w:rsidR="7EF3F94C" w:rsidRPr="36918AFB">
        <w:rPr>
          <w:lang w:val="en-US"/>
        </w:rPr>
        <w:t xml:space="preserve">nfrastructure </w:t>
      </w:r>
      <w:r w:rsidRPr="1C433DC4">
        <w:rPr>
          <w:lang w:val="en-US"/>
        </w:rPr>
        <w:t>A</w:t>
      </w:r>
      <w:r w:rsidR="2ED495FC" w:rsidRPr="36918AFB">
        <w:rPr>
          <w:lang w:val="en-US"/>
        </w:rPr>
        <w:t>ustralia</w:t>
      </w:r>
      <w:r w:rsidRPr="1C433DC4">
        <w:rPr>
          <w:lang w:val="en-US"/>
        </w:rPr>
        <w:t xml:space="preserve"> resulting from its core roles</w:t>
      </w:r>
      <w:r w:rsidR="00DD236E">
        <w:rPr>
          <w:lang w:val="en-US"/>
        </w:rPr>
        <w:t xml:space="preserve"> and products</w:t>
      </w:r>
      <w:r w:rsidRPr="1C433DC4">
        <w:rPr>
          <w:lang w:val="en-US"/>
        </w:rPr>
        <w:t xml:space="preserve"> within a recommended timeframe </w:t>
      </w:r>
      <w:r w:rsidRPr="00471925">
        <w:rPr>
          <w:lang w:val="en-US"/>
        </w:rPr>
        <w:t>of</w:t>
      </w:r>
      <w:r w:rsidR="00471925">
        <w:rPr>
          <w:lang w:val="en-US"/>
        </w:rPr>
        <w:t xml:space="preserve"> six months.</w:t>
      </w:r>
    </w:p>
    <w:p w14:paraId="42CB87C4" w14:textId="77777777" w:rsidR="003F5327" w:rsidRDefault="0F9F7A74" w:rsidP="003F5327">
      <w:pPr>
        <w:pStyle w:val="Heading3notshowing"/>
      </w:pPr>
      <w:bookmarkStart w:id="56" w:name="_Hlk115384134"/>
      <w:r>
        <w:lastRenderedPageBreak/>
        <w:t>Recommendation 5</w:t>
      </w:r>
    </w:p>
    <w:p w14:paraId="1524508F" w14:textId="0610028D" w:rsidR="003F5327" w:rsidRPr="003F5327" w:rsidRDefault="573DCAB7" w:rsidP="00BA227C">
      <w:pPr>
        <w:keepLines/>
        <w:pBdr>
          <w:top w:val="single" w:sz="4" w:space="1" w:color="4BB3B5"/>
          <w:left w:val="single" w:sz="4" w:space="4" w:color="4BB3B5"/>
          <w:bottom w:val="single" w:sz="4" w:space="1" w:color="4BB3B5"/>
          <w:right w:val="single" w:sz="4" w:space="4" w:color="4BB3B5"/>
        </w:pBdr>
        <w:spacing w:after="120"/>
        <w:rPr>
          <w:rFonts w:eastAsia="PMingLiU" w:cs="Mangal"/>
          <w:lang w:eastAsia="zh-TW"/>
        </w:rPr>
      </w:pPr>
      <w:r w:rsidRPr="4F9F5C11">
        <w:rPr>
          <w:lang w:val="en-US"/>
        </w:rPr>
        <w:t>The Review recommends that the</w:t>
      </w:r>
      <w:r w:rsidR="0AB321DB" w:rsidRPr="4F9F5C11">
        <w:rPr>
          <w:lang w:val="en-US"/>
        </w:rPr>
        <w:t xml:space="preserve">re is a requirement </w:t>
      </w:r>
      <w:r w:rsidR="60DCBB7C" w:rsidRPr="4F9F5C11">
        <w:rPr>
          <w:lang w:val="en-US"/>
        </w:rPr>
        <w:t xml:space="preserve">within the IA Act </w:t>
      </w:r>
      <w:r w:rsidR="0AB321DB" w:rsidRPr="4F9F5C11">
        <w:rPr>
          <w:lang w:val="en-US"/>
        </w:rPr>
        <w:t xml:space="preserve">that the </w:t>
      </w:r>
      <w:r w:rsidR="7118EA23" w:rsidRPr="4F9F5C11">
        <w:rPr>
          <w:lang w:val="en-US"/>
        </w:rPr>
        <w:t xml:space="preserve">Australian </w:t>
      </w:r>
      <w:r w:rsidRPr="4F9F5C11">
        <w:rPr>
          <w:lang w:val="en-US"/>
        </w:rPr>
        <w:t>Government must formally</w:t>
      </w:r>
      <w:r w:rsidR="7165C135" w:rsidRPr="4F9F5C11">
        <w:rPr>
          <w:lang w:val="en-US"/>
        </w:rPr>
        <w:t>,</w:t>
      </w:r>
      <w:r w:rsidRPr="4F9F5C11">
        <w:rPr>
          <w:lang w:val="en-US"/>
        </w:rPr>
        <w:t xml:space="preserve"> </w:t>
      </w:r>
      <w:r w:rsidR="798E152A" w:rsidRPr="4F9F5C11">
        <w:rPr>
          <w:lang w:val="en-US"/>
        </w:rPr>
        <w:t>and publicly</w:t>
      </w:r>
      <w:r w:rsidR="53F645B9" w:rsidRPr="4F9F5C11">
        <w:rPr>
          <w:lang w:val="en-US"/>
        </w:rPr>
        <w:t>,</w:t>
      </w:r>
      <w:r w:rsidR="798E152A" w:rsidRPr="4F9F5C11">
        <w:rPr>
          <w:lang w:val="en-US"/>
        </w:rPr>
        <w:t xml:space="preserve"> </w:t>
      </w:r>
      <w:r w:rsidRPr="4F9F5C11">
        <w:rPr>
          <w:lang w:val="en-US"/>
        </w:rPr>
        <w:t xml:space="preserve">respond to Infrastructure Australia’s </w:t>
      </w:r>
      <w:r w:rsidR="60DCBB7C" w:rsidRPr="4F9F5C11">
        <w:rPr>
          <w:lang w:val="en-US"/>
        </w:rPr>
        <w:t>advice, findings and recommendations</w:t>
      </w:r>
      <w:r w:rsidRPr="4F9F5C11">
        <w:rPr>
          <w:lang w:val="en-US"/>
        </w:rPr>
        <w:t xml:space="preserve"> within six months.</w:t>
      </w:r>
    </w:p>
    <w:p w14:paraId="2D333612" w14:textId="6586CA77" w:rsidR="003F5327" w:rsidRDefault="297FA98F" w:rsidP="00243F99">
      <w:pPr>
        <w:pStyle w:val="Heading3"/>
      </w:pPr>
      <w:bookmarkStart w:id="57" w:name="_Toc115379971"/>
      <w:bookmarkStart w:id="58" w:name="_Toc124783613"/>
      <w:bookmarkEnd w:id="56"/>
      <w:r>
        <w:t>I</w:t>
      </w:r>
      <w:r w:rsidR="381DB7D4">
        <w:t xml:space="preserve">nfrastructure </w:t>
      </w:r>
      <w:r>
        <w:t>A</w:t>
      </w:r>
      <w:r w:rsidR="1C79D2CC">
        <w:t>ustralia</w:t>
      </w:r>
      <w:r>
        <w:t>, social infrastructure and future investment challenges</w:t>
      </w:r>
      <w:bookmarkEnd w:id="57"/>
      <w:bookmarkEnd w:id="58"/>
      <w:r>
        <w:t xml:space="preserve"> </w:t>
      </w:r>
    </w:p>
    <w:p w14:paraId="20AE2C41" w14:textId="3F8764C2" w:rsidR="00182799" w:rsidRDefault="112EF325" w:rsidP="00E47447">
      <w:pPr>
        <w:rPr>
          <w:lang w:val="en-US"/>
        </w:rPr>
      </w:pPr>
      <w:r w:rsidRPr="36918AFB">
        <w:rPr>
          <w:lang w:val="en-US"/>
        </w:rPr>
        <w:t xml:space="preserve">Reflecting its role as national advisor, the Review believes that Infrastructure Australia is in a </w:t>
      </w:r>
      <w:r w:rsidR="5CB2D3B7" w:rsidRPr="36918AFB">
        <w:rPr>
          <w:lang w:val="en-US"/>
        </w:rPr>
        <w:t xml:space="preserve">strong </w:t>
      </w:r>
      <w:r w:rsidRPr="36918AFB">
        <w:rPr>
          <w:lang w:val="en-US"/>
        </w:rPr>
        <w:t xml:space="preserve">position to identify </w:t>
      </w:r>
      <w:r w:rsidR="3668F96C" w:rsidRPr="36918AFB">
        <w:rPr>
          <w:lang w:val="en-US"/>
        </w:rPr>
        <w:t xml:space="preserve">policy and investment </w:t>
      </w:r>
      <w:r w:rsidRPr="36918AFB">
        <w:rPr>
          <w:lang w:val="en-US"/>
        </w:rPr>
        <w:t>linkages between different infrastructure sectors, including that of social infrastructure. Under current legislation, Infrastructure Australia is to consider investment opportunities across the transport, energy, communications and water infrastructure sectors (under the umbrella of ‘nationally significant’ infrastructure).</w:t>
      </w:r>
      <w:r w:rsidR="002D7563">
        <w:rPr>
          <w:rStyle w:val="FootnoteReference"/>
          <w:lang w:val="en-US"/>
        </w:rPr>
        <w:footnoteReference w:id="10"/>
      </w:r>
      <w:r w:rsidRPr="36918AFB">
        <w:rPr>
          <w:lang w:val="en-US"/>
        </w:rPr>
        <w:t xml:space="preserve"> The Review heard strong support from stakeholders that Infrastructure Australia’s </w:t>
      </w:r>
      <w:r w:rsidR="60DCBB7C">
        <w:rPr>
          <w:lang w:val="en-US"/>
        </w:rPr>
        <w:t xml:space="preserve">advice and </w:t>
      </w:r>
      <w:r w:rsidRPr="36918AFB">
        <w:rPr>
          <w:lang w:val="en-US"/>
        </w:rPr>
        <w:t>assurance</w:t>
      </w:r>
      <w:r w:rsidR="60DCBB7C">
        <w:rPr>
          <w:lang w:val="en-US"/>
        </w:rPr>
        <w:t xml:space="preserve"> responsibilities</w:t>
      </w:r>
      <w:r w:rsidRPr="36918AFB">
        <w:rPr>
          <w:lang w:val="en-US"/>
        </w:rPr>
        <w:t xml:space="preserve"> should extend to include that of social infrastructure, especially where it involves precincts or place-based investments, or will have an impact on the core roles and functions of Infrastructure Australia.</w:t>
      </w:r>
    </w:p>
    <w:p w14:paraId="0E662057" w14:textId="602C4839" w:rsidR="002D7563" w:rsidRPr="00B223D5" w:rsidRDefault="60DCBB7C" w:rsidP="002D7563">
      <w:pPr>
        <w:pBdr>
          <w:left w:val="single" w:sz="48" w:space="22" w:color="4BB3B5"/>
        </w:pBdr>
        <w:suppressAutoHyphens/>
        <w:spacing w:before="160"/>
        <w:ind w:left="567" w:right="567"/>
      </w:pPr>
      <w:r w:rsidRPr="4F9F5C11">
        <w:rPr>
          <w:rStyle w:val="QuoteChar"/>
        </w:rPr>
        <w:t>The reintroduction of social infrastructure to Infrastructure Australia’s remit would provide a more comprehensive understanding of nationally significant infrastructure challenges and opportunities, reflect the strategic significance and interdependencies of key social infrastructure needs within the broader infrastructure sector, and provide an important assurance process for large scale social infrastructure investments.</w:t>
      </w:r>
      <w:r w:rsidR="002D7563">
        <w:br/>
      </w:r>
      <w:r>
        <w:t>Infrastructure Western Australia</w:t>
      </w:r>
    </w:p>
    <w:p w14:paraId="488DA76E" w14:textId="77777777" w:rsidR="00071F7B" w:rsidRPr="00B223D5" w:rsidRDefault="00071F7B" w:rsidP="00071F7B">
      <w:pPr>
        <w:pStyle w:val="Quote"/>
        <w:ind w:left="0"/>
      </w:pPr>
    </w:p>
    <w:p w14:paraId="7D5D0179" w14:textId="29EE793C" w:rsidR="00071F7B" w:rsidRPr="00B223D5" w:rsidRDefault="1BB77D84" w:rsidP="00071F7B">
      <w:pPr>
        <w:pBdr>
          <w:left w:val="single" w:sz="48" w:space="22" w:color="4BB3B5"/>
        </w:pBdr>
        <w:suppressAutoHyphens/>
        <w:spacing w:before="160"/>
        <w:ind w:left="567" w:right="567"/>
      </w:pPr>
      <w:r w:rsidRPr="4F9F5C11">
        <w:rPr>
          <w:rStyle w:val="QuoteChar"/>
        </w:rPr>
        <w:t>[Infrastructure Australia should] broaden their scope into all aspects and classes of infrastructure – including social infrastructure – and recognise the importance of the spatial planning context of infrastructure projects and programs. Programs and projects should address revealed community needs and achieve joined up results for supply chains, industries, cities or places.</w:t>
      </w:r>
      <w:r w:rsidR="00071F7B">
        <w:br/>
      </w:r>
      <w:r>
        <w:t>Planning Institute of Australia</w:t>
      </w:r>
    </w:p>
    <w:p w14:paraId="0E5E4381" w14:textId="3BABAA53" w:rsidR="002D7563" w:rsidRDefault="60DCBB7C" w:rsidP="00591CDB">
      <w:pPr>
        <w:spacing w:before="480"/>
        <w:rPr>
          <w:lang w:val="en-US"/>
        </w:rPr>
      </w:pPr>
      <w:r w:rsidRPr="4F9F5C11">
        <w:rPr>
          <w:lang w:val="en-US"/>
        </w:rPr>
        <w:t>Given its ability to undertake a broader oversight and national coordination, t</w:t>
      </w:r>
      <w:r w:rsidR="297FA98F" w:rsidRPr="4F9F5C11">
        <w:rPr>
          <w:lang w:val="en-US"/>
        </w:rPr>
        <w:t xml:space="preserve">here was also strong support for Infrastructure Australia’s work to consider and integrate the future investment challenges such as national </w:t>
      </w:r>
      <w:proofErr w:type="spellStart"/>
      <w:r w:rsidR="297FA98F" w:rsidRPr="4F9F5C11">
        <w:rPr>
          <w:lang w:val="en-US"/>
        </w:rPr>
        <w:t>decarbonisation</w:t>
      </w:r>
      <w:proofErr w:type="spellEnd"/>
      <w:r w:rsidR="297FA98F" w:rsidRPr="4F9F5C11">
        <w:rPr>
          <w:lang w:val="en-US"/>
        </w:rPr>
        <w:t>, productivity and sustainability.</w:t>
      </w:r>
    </w:p>
    <w:p w14:paraId="707D1C5D" w14:textId="60DB3291" w:rsidR="00071F7B" w:rsidRPr="00B223D5" w:rsidRDefault="1BB77D84" w:rsidP="00071F7B">
      <w:pPr>
        <w:pBdr>
          <w:left w:val="single" w:sz="48" w:space="22" w:color="4BB3B5"/>
        </w:pBdr>
        <w:suppressAutoHyphens/>
        <w:spacing w:before="160"/>
        <w:ind w:left="567" w:right="567"/>
      </w:pPr>
      <w:r w:rsidRPr="4F9F5C11">
        <w:rPr>
          <w:rStyle w:val="QuoteChar"/>
        </w:rPr>
        <w:t>Infrastructure Australia can be the driving force behind Australia’s net zero infrastructure future, by playing a leading role in determining what Australia’s asset portfolio and pipeline should look like to accelerate and achieve the transition to net zero. Through the guidance and assessments it provides, Infrastructure Australia shapes the infrastructure future of Australia from the very start of the infrastructure lifecycle. In doing so, Infrastructure Australia has the opportunity to ensure all projects submitted effectively contribute and do not endanger Australia’s greenhouse gas emissions reduction targets.</w:t>
      </w:r>
      <w:r w:rsidR="00071F7B">
        <w:br/>
      </w:r>
      <w:proofErr w:type="spellStart"/>
      <w:r>
        <w:t>Climateworks</w:t>
      </w:r>
      <w:proofErr w:type="spellEnd"/>
      <w:r>
        <w:t xml:space="preserve"> Centre</w:t>
      </w:r>
    </w:p>
    <w:p w14:paraId="54E479AD" w14:textId="23F2A929" w:rsidR="003F5327" w:rsidRDefault="297FA98F" w:rsidP="00BA227C">
      <w:pPr>
        <w:spacing w:before="240"/>
        <w:rPr>
          <w:lang w:val="en-US"/>
        </w:rPr>
      </w:pPr>
      <w:r w:rsidRPr="4F9F5C11">
        <w:rPr>
          <w:lang w:val="en-US"/>
        </w:rPr>
        <w:t xml:space="preserve">As part of considering how to integrate these challenges in its work moving forward, Infrastructure Australia may wish to consider the UK </w:t>
      </w:r>
      <w:r w:rsidR="60DCBB7C" w:rsidRPr="4F9F5C11">
        <w:rPr>
          <w:lang w:val="en-US"/>
        </w:rPr>
        <w:t>IPA</w:t>
      </w:r>
      <w:r w:rsidRPr="4F9F5C11">
        <w:rPr>
          <w:lang w:val="en-US"/>
        </w:rPr>
        <w:t xml:space="preserve"> </w:t>
      </w:r>
      <w:hyperlink r:id="rId30" w:anchor="case-studies">
        <w:r w:rsidRPr="4F9F5C11">
          <w:rPr>
            <w:rStyle w:val="Hyperlink"/>
            <w:i/>
            <w:iCs/>
            <w:lang w:val="en-US"/>
          </w:rPr>
          <w:t>Transforming Infrastructure Performance: Roadmap to 2030</w:t>
        </w:r>
      </w:hyperlink>
      <w:r w:rsidRPr="4F9F5C11">
        <w:rPr>
          <w:lang w:val="en-US"/>
        </w:rPr>
        <w:t xml:space="preserve"> report. The </w:t>
      </w:r>
      <w:r w:rsidR="60DCBB7C" w:rsidRPr="4F9F5C11">
        <w:rPr>
          <w:lang w:val="en-US"/>
        </w:rPr>
        <w:t>report</w:t>
      </w:r>
      <w:r w:rsidRPr="4F9F5C11">
        <w:rPr>
          <w:lang w:val="en-US"/>
        </w:rPr>
        <w:t xml:space="preserve"> identifies five focus areas (including place-based regeneration and delivery, social infrastructure and achieving net zero greenhouse gas emissions) to change interventions in the built environment and apply a whole system view to decision making.</w:t>
      </w:r>
    </w:p>
    <w:p w14:paraId="40B495ED" w14:textId="77777777" w:rsidR="0044098D" w:rsidRDefault="3E2D37B3" w:rsidP="0044098D">
      <w:pPr>
        <w:pStyle w:val="Heading3notshowing"/>
      </w:pPr>
      <w:bookmarkStart w:id="59" w:name="_Hlk115384442"/>
      <w:r>
        <w:lastRenderedPageBreak/>
        <w:t>Recommendation 6</w:t>
      </w:r>
    </w:p>
    <w:p w14:paraId="6AE870C6" w14:textId="7A912E6B" w:rsidR="0044098D" w:rsidRPr="003F5327" w:rsidRDefault="002C8336" w:rsidP="0044098D">
      <w:pPr>
        <w:keepNext/>
        <w:keepLines/>
        <w:pBdr>
          <w:top w:val="single" w:sz="4" w:space="1" w:color="4BB3B5"/>
          <w:left w:val="single" w:sz="4" w:space="4" w:color="4BB3B5"/>
          <w:bottom w:val="single" w:sz="4" w:space="1" w:color="4BB3B5"/>
          <w:right w:val="single" w:sz="4" w:space="4" w:color="4BB3B5"/>
        </w:pBdr>
        <w:spacing w:after="120"/>
        <w:rPr>
          <w:rFonts w:eastAsia="PMingLiU" w:cs="Mangal"/>
          <w:lang w:eastAsia="zh-TW"/>
        </w:rPr>
      </w:pPr>
      <w:r>
        <w:t>The Review recommends that Infrastructure Australia’s remit be expanded to include social infrastructure (where it is relevant to the infrastructure investment project</w:t>
      </w:r>
      <w:r w:rsidR="00D4499A">
        <w:t>,</w:t>
      </w:r>
      <w:r>
        <w:t xml:space="preserve"> or place and precinct in question) as well as future investment challenges where Infrastructure Australia’s position as the national advisor </w:t>
      </w:r>
      <w:r w:rsidR="10CCD94A">
        <w:t xml:space="preserve">best enables </w:t>
      </w:r>
      <w:r>
        <w:t>it to incorporate those challenges in its advice and analysis</w:t>
      </w:r>
      <w:r w:rsidRPr="4F9F5C11">
        <w:rPr>
          <w:lang w:val="en-US"/>
        </w:rPr>
        <w:t>.</w:t>
      </w:r>
    </w:p>
    <w:p w14:paraId="723B474D" w14:textId="00A58840" w:rsidR="0044098D" w:rsidRDefault="3E2D37B3" w:rsidP="00243F99">
      <w:pPr>
        <w:pStyle w:val="Heading3"/>
      </w:pPr>
      <w:bookmarkStart w:id="60" w:name="_Toc115379972"/>
      <w:bookmarkStart w:id="61" w:name="_Toc124783614"/>
      <w:bookmarkEnd w:id="59"/>
      <w:r>
        <w:t>Engagement with local governments</w:t>
      </w:r>
      <w:bookmarkEnd w:id="60"/>
      <w:bookmarkEnd w:id="61"/>
    </w:p>
    <w:p w14:paraId="672B3A0D" w14:textId="28C763D5" w:rsidR="0044098D" w:rsidRDefault="3E2D37B3" w:rsidP="004201CF">
      <w:pPr>
        <w:rPr>
          <w:rStyle w:val="normaltextrun"/>
          <w:rFonts w:cs="Calibri"/>
        </w:rPr>
      </w:pPr>
      <w:r w:rsidRPr="4F9F5C11">
        <w:rPr>
          <w:rStyle w:val="normaltextrun"/>
          <w:rFonts w:cs="Calibri"/>
        </w:rPr>
        <w:t xml:space="preserve">Throughout the Review, there were references to the work of local governments and the importance of Infrastructure Australia’s engagement with governments at the local level. The Review heard concerns about the lack of national focus </w:t>
      </w:r>
      <w:r w:rsidR="1BB77D84" w:rsidRPr="4F9F5C11">
        <w:rPr>
          <w:rStyle w:val="normaltextrun"/>
          <w:rFonts w:cs="Calibri"/>
        </w:rPr>
        <w:t>and</w:t>
      </w:r>
      <w:r w:rsidRPr="4F9F5C11">
        <w:rPr>
          <w:rStyle w:val="normaltextrun"/>
          <w:rFonts w:cs="Calibri"/>
        </w:rPr>
        <w:t xml:space="preserve"> attention on local government infrastructure, including asset management and investing and maintaining the large asset base which local government has responsibility for. Examples were provided of the need for national strategies on asset management, maintenance, resilience building and the significant task of reconstruction after climatic events, which often leave local governments to struggle with multi-billion dollars' worth of infrastructure backlog.</w:t>
      </w:r>
    </w:p>
    <w:p w14:paraId="005EDFEA" w14:textId="0F4F33E0" w:rsidR="0044098D" w:rsidRDefault="1135A528" w:rsidP="004201CF">
      <w:pPr>
        <w:rPr>
          <w:rStyle w:val="normaltextrun"/>
          <w:rFonts w:cs="Calibri"/>
        </w:rPr>
      </w:pPr>
      <w:r w:rsidRPr="4F9F5C11">
        <w:rPr>
          <w:rStyle w:val="normaltextrun"/>
          <w:rFonts w:cs="Calibri"/>
        </w:rPr>
        <w:t xml:space="preserve">The Review acknowledges the vital work of local governments and agrees that that there must be a refocus on local government infrastructure responsibilities. However, the Review also notes the existing role of Regional Development Australia (RDA), administered by DITRDCA, to work with all levels of government to support, amongst other topics, local procurement, strategic regional planning and inform government programs and infrastructure investments to support the development of regional Australia. </w:t>
      </w:r>
      <w:r w:rsidR="716B6A66" w:rsidRPr="4F9F5C11">
        <w:rPr>
          <w:rStyle w:val="normaltextrun"/>
          <w:rFonts w:cs="Calibri"/>
        </w:rPr>
        <w:t>T</w:t>
      </w:r>
      <w:r w:rsidRPr="4F9F5C11">
        <w:rPr>
          <w:rStyle w:val="normaltextrun"/>
          <w:rFonts w:cs="Calibri"/>
        </w:rPr>
        <w:t>he Review supports the need for a stronger focus on and prioritisation of local government infrastructure responsibilities</w:t>
      </w:r>
      <w:r w:rsidR="41677C72" w:rsidRPr="4F9F5C11">
        <w:rPr>
          <w:rStyle w:val="normaltextrun"/>
          <w:rFonts w:cs="Calibri"/>
        </w:rPr>
        <w:t xml:space="preserve">, especially where such programs </w:t>
      </w:r>
      <w:r w:rsidR="01E7B1BD" w:rsidRPr="4F9F5C11">
        <w:rPr>
          <w:rStyle w:val="normaltextrun"/>
          <w:rFonts w:cs="Calibri"/>
        </w:rPr>
        <w:t>address the Charter</w:t>
      </w:r>
      <w:r w:rsidR="7DCAC40A" w:rsidRPr="4F9F5C11">
        <w:rPr>
          <w:rStyle w:val="normaltextrun"/>
          <w:rFonts w:cs="Calibri"/>
        </w:rPr>
        <w:t xml:space="preserve"> objectives</w:t>
      </w:r>
      <w:r w:rsidR="01E7B1BD" w:rsidRPr="4F9F5C11">
        <w:rPr>
          <w:rStyle w:val="normaltextrun"/>
          <w:rFonts w:cs="Calibri"/>
        </w:rPr>
        <w:t xml:space="preserve"> or meet the national significance criteria.</w:t>
      </w:r>
      <w:r w:rsidRPr="4F9F5C11">
        <w:rPr>
          <w:rStyle w:val="normaltextrun"/>
          <w:rFonts w:cs="Calibri"/>
        </w:rPr>
        <w:t xml:space="preserve"> </w:t>
      </w:r>
      <w:r w:rsidR="476363E6" w:rsidRPr="4F9F5C11">
        <w:rPr>
          <w:rStyle w:val="normaltextrun"/>
          <w:rFonts w:cs="Calibri"/>
        </w:rPr>
        <w:t xml:space="preserve">Accordingly, </w:t>
      </w:r>
      <w:r w:rsidR="11A3D22C" w:rsidRPr="4F9F5C11">
        <w:rPr>
          <w:rStyle w:val="normaltextrun"/>
          <w:rFonts w:cs="Calibri"/>
        </w:rPr>
        <w:t>t</w:t>
      </w:r>
      <w:r w:rsidRPr="4F9F5C11">
        <w:rPr>
          <w:rStyle w:val="normaltextrun"/>
          <w:rFonts w:cs="Calibri"/>
        </w:rPr>
        <w:t>he Review strongly urges the</w:t>
      </w:r>
      <w:r w:rsidR="106DC183" w:rsidRPr="4F9F5C11">
        <w:rPr>
          <w:rStyle w:val="normaltextrun"/>
          <w:rFonts w:cs="Calibri"/>
        </w:rPr>
        <w:t xml:space="preserve"> Australian</w:t>
      </w:r>
      <w:r w:rsidRPr="4F9F5C11">
        <w:rPr>
          <w:rStyle w:val="normaltextrun"/>
          <w:rFonts w:cs="Calibri"/>
        </w:rPr>
        <w:t xml:space="preserve"> Government</w:t>
      </w:r>
      <w:r w:rsidR="38916892" w:rsidRPr="4F9F5C11">
        <w:rPr>
          <w:rStyle w:val="normaltextrun"/>
          <w:rFonts w:cs="Calibri"/>
        </w:rPr>
        <w:t xml:space="preserve"> to</w:t>
      </w:r>
      <w:r w:rsidRPr="4F9F5C11">
        <w:rPr>
          <w:rStyle w:val="normaltextrun"/>
          <w:rFonts w:cs="Calibri"/>
        </w:rPr>
        <w:t xml:space="preserve"> consider, especially from the asset maintenance, management and resilience building perspective, how to utilise the existing RDA structure </w:t>
      </w:r>
      <w:r w:rsidR="4A6357BB" w:rsidRPr="4F9F5C11">
        <w:rPr>
          <w:rStyle w:val="normaltextrun"/>
          <w:rFonts w:cs="Calibri"/>
        </w:rPr>
        <w:t>to enhance coordination and</w:t>
      </w:r>
      <w:r w:rsidRPr="4F9F5C11">
        <w:rPr>
          <w:rStyle w:val="normaltextrun"/>
          <w:rFonts w:cs="Calibri"/>
        </w:rPr>
        <w:t xml:space="preserve"> collaboration </w:t>
      </w:r>
      <w:r w:rsidR="51C392C5" w:rsidRPr="4F9F5C11">
        <w:rPr>
          <w:rStyle w:val="normaltextrun"/>
          <w:rFonts w:cs="Calibri"/>
        </w:rPr>
        <w:t xml:space="preserve">in regions </w:t>
      </w:r>
      <w:r w:rsidRPr="4F9F5C11">
        <w:rPr>
          <w:rStyle w:val="normaltextrun"/>
          <w:rFonts w:cs="Calibri"/>
        </w:rPr>
        <w:t>with local government and support their program delivery responsibilities.</w:t>
      </w:r>
    </w:p>
    <w:p w14:paraId="52C0C9A8" w14:textId="77777777" w:rsidR="0044098D" w:rsidRDefault="3E2D37B3" w:rsidP="0044098D">
      <w:pPr>
        <w:pStyle w:val="Heading3notshowing"/>
      </w:pPr>
      <w:bookmarkStart w:id="62" w:name="_Hlk115384522"/>
      <w:r>
        <w:t xml:space="preserve">For government consideration </w:t>
      </w:r>
    </w:p>
    <w:p w14:paraId="49050DF8" w14:textId="43B21AC6" w:rsidR="0044098D" w:rsidRPr="003F5327" w:rsidRDefault="761AF3E9" w:rsidP="0044098D">
      <w:pPr>
        <w:keepNext/>
        <w:keepLines/>
        <w:pBdr>
          <w:top w:val="single" w:sz="4" w:space="1" w:color="4BB3B5"/>
          <w:left w:val="single" w:sz="4" w:space="4" w:color="4BB3B5"/>
          <w:bottom w:val="single" w:sz="4" w:space="1" w:color="4BB3B5"/>
          <w:right w:val="single" w:sz="4" w:space="4" w:color="4BB3B5"/>
        </w:pBdr>
        <w:spacing w:after="120"/>
        <w:rPr>
          <w:rFonts w:eastAsia="PMingLiU" w:cs="Mangal"/>
          <w:lang w:eastAsia="zh-TW"/>
        </w:rPr>
      </w:pPr>
      <w:r w:rsidRPr="4F9F5C11">
        <w:rPr>
          <w:rStyle w:val="normaltextrun"/>
          <w:rFonts w:cs="Calibri"/>
        </w:rPr>
        <w:t xml:space="preserve">The Review urges the </w:t>
      </w:r>
      <w:r w:rsidR="66CAD263" w:rsidRPr="4F9F5C11">
        <w:rPr>
          <w:rStyle w:val="normaltextrun"/>
          <w:rFonts w:cs="Calibri"/>
        </w:rPr>
        <w:t xml:space="preserve">Australian </w:t>
      </w:r>
      <w:r w:rsidRPr="4F9F5C11">
        <w:rPr>
          <w:rStyle w:val="normaltextrun"/>
          <w:rFonts w:cs="Calibri"/>
        </w:rPr>
        <w:t xml:space="preserve">Government consider, especially from the asset maintenance, management and resilience building perspective, how to utilise the existing RDA structure to </w:t>
      </w:r>
      <w:r w:rsidR="04E26D81" w:rsidRPr="4F9F5C11">
        <w:rPr>
          <w:rStyle w:val="normaltextrun"/>
          <w:rFonts w:cs="Calibri"/>
        </w:rPr>
        <w:t>enhance coordination and</w:t>
      </w:r>
      <w:r w:rsidRPr="4F9F5C11">
        <w:rPr>
          <w:rStyle w:val="normaltextrun"/>
          <w:rFonts w:cs="Calibri"/>
        </w:rPr>
        <w:t xml:space="preserve"> collaboration with local government and support their program delivery responsibilities.</w:t>
      </w:r>
    </w:p>
    <w:p w14:paraId="0281DFA5" w14:textId="77777777" w:rsidR="00B041CB" w:rsidRPr="00B041CB" w:rsidRDefault="3E2D37B3" w:rsidP="00243F99">
      <w:pPr>
        <w:pStyle w:val="Heading2"/>
      </w:pPr>
      <w:bookmarkStart w:id="63" w:name="_Toc115379973"/>
      <w:bookmarkStart w:id="64" w:name="_Toc124783615"/>
      <w:bookmarkEnd w:id="62"/>
      <w:r>
        <w:t>Recognising the value of Infrastructure Australia</w:t>
      </w:r>
      <w:bookmarkEnd w:id="63"/>
      <w:bookmarkEnd w:id="64"/>
      <w:r>
        <w:t xml:space="preserve"> </w:t>
      </w:r>
    </w:p>
    <w:p w14:paraId="4B6D6E05" w14:textId="51352719" w:rsidR="001C0B0C" w:rsidRPr="001C0B0C" w:rsidRDefault="761AF3E9" w:rsidP="004729CA">
      <w:pPr>
        <w:rPr>
          <w:rFonts w:eastAsia="Calibri" w:cs="Times New Roman"/>
          <w:color w:val="377B88"/>
          <w:kern w:val="12"/>
          <w:sz w:val="26"/>
          <w:szCs w:val="26"/>
          <w:lang w:val="en-US"/>
        </w:rPr>
      </w:pPr>
      <w:bookmarkStart w:id="65" w:name="_Hlk115384562"/>
      <w:r w:rsidRPr="001C0B0C">
        <w:rPr>
          <w:rFonts w:eastAsia="Calibri" w:cs="Times New Roman"/>
          <w:color w:val="377B88"/>
          <w:kern w:val="12"/>
          <w:sz w:val="26"/>
          <w:szCs w:val="26"/>
          <w:lang w:val="en-US"/>
        </w:rPr>
        <w:t xml:space="preserve">Key finding: Infrastructure Australia’s </w:t>
      </w:r>
      <w:r w:rsidR="1BB77D84">
        <w:rPr>
          <w:rFonts w:eastAsia="Calibri" w:cs="Times New Roman"/>
          <w:color w:val="377B88"/>
          <w:kern w:val="12"/>
          <w:sz w:val="26"/>
          <w:szCs w:val="26"/>
          <w:lang w:val="en-US"/>
        </w:rPr>
        <w:t xml:space="preserve">assurance </w:t>
      </w:r>
      <w:r w:rsidRPr="001C0B0C">
        <w:rPr>
          <w:rFonts w:eastAsia="Calibri" w:cs="Times New Roman"/>
          <w:color w:val="377B88"/>
          <w:kern w:val="12"/>
          <w:sz w:val="26"/>
          <w:szCs w:val="26"/>
          <w:lang w:val="en-US"/>
        </w:rPr>
        <w:t xml:space="preserve">role </w:t>
      </w:r>
      <w:r w:rsidR="1BB77D84">
        <w:rPr>
          <w:rFonts w:eastAsia="Calibri" w:cs="Times New Roman"/>
          <w:color w:val="377B88"/>
          <w:kern w:val="12"/>
          <w:sz w:val="26"/>
          <w:szCs w:val="26"/>
          <w:lang w:val="en-US"/>
        </w:rPr>
        <w:t xml:space="preserve">and assessment responsibilities </w:t>
      </w:r>
      <w:r w:rsidRPr="001C0B0C">
        <w:rPr>
          <w:rFonts w:eastAsia="Calibri" w:cs="Times New Roman"/>
          <w:color w:val="377B88"/>
          <w:kern w:val="12"/>
          <w:sz w:val="26"/>
          <w:szCs w:val="26"/>
          <w:lang w:val="en-US"/>
        </w:rPr>
        <w:t xml:space="preserve">must also be revised in order to </w:t>
      </w:r>
      <w:proofErr w:type="spellStart"/>
      <w:r w:rsidRPr="001C0B0C">
        <w:rPr>
          <w:rFonts w:eastAsia="Calibri" w:cs="Times New Roman"/>
          <w:color w:val="377B88"/>
          <w:kern w:val="12"/>
          <w:sz w:val="26"/>
          <w:szCs w:val="26"/>
          <w:lang w:val="en-US"/>
        </w:rPr>
        <w:t>recognise</w:t>
      </w:r>
      <w:proofErr w:type="spellEnd"/>
      <w:r w:rsidRPr="001C0B0C">
        <w:rPr>
          <w:rFonts w:eastAsia="Calibri" w:cs="Times New Roman"/>
          <w:color w:val="377B88"/>
          <w:kern w:val="12"/>
          <w:sz w:val="26"/>
          <w:szCs w:val="26"/>
          <w:lang w:val="en-US"/>
        </w:rPr>
        <w:t xml:space="preserve"> and enhance its value as the national advisor to the </w:t>
      </w:r>
      <w:r w:rsidR="435FC467" w:rsidRPr="001C0B0C">
        <w:rPr>
          <w:rFonts w:eastAsia="Calibri" w:cs="Times New Roman"/>
          <w:color w:val="377B88"/>
          <w:kern w:val="12"/>
          <w:sz w:val="26"/>
          <w:szCs w:val="26"/>
          <w:lang w:val="en-US"/>
        </w:rPr>
        <w:t>Australian</w:t>
      </w:r>
      <w:r w:rsidR="1BB77D84">
        <w:rPr>
          <w:rFonts w:eastAsia="Calibri" w:cs="Times New Roman"/>
          <w:color w:val="377B88"/>
          <w:kern w:val="12"/>
          <w:sz w:val="26"/>
          <w:szCs w:val="26"/>
          <w:lang w:val="en-US"/>
        </w:rPr>
        <w:t xml:space="preserve"> </w:t>
      </w:r>
      <w:r w:rsidRPr="001C0B0C">
        <w:rPr>
          <w:rFonts w:eastAsia="Calibri" w:cs="Times New Roman"/>
          <w:color w:val="377B88"/>
          <w:kern w:val="12"/>
          <w:sz w:val="26"/>
          <w:szCs w:val="26"/>
          <w:lang w:val="en-US"/>
        </w:rPr>
        <w:t>Government. This includes a reconsideration of what is regarded as ‘nationally significant’ infrastructure</w:t>
      </w:r>
      <w:r w:rsidR="298B4B36">
        <w:rPr>
          <w:rFonts w:eastAsia="Calibri" w:cs="Times New Roman"/>
          <w:color w:val="377B88"/>
          <w:kern w:val="12"/>
          <w:sz w:val="26"/>
          <w:szCs w:val="26"/>
          <w:lang w:val="en-US"/>
        </w:rPr>
        <w:t>.</w:t>
      </w:r>
    </w:p>
    <w:bookmarkEnd w:id="65"/>
    <w:p w14:paraId="40228EAF" w14:textId="32FBAA90" w:rsidR="001C0B0C" w:rsidRDefault="1427B4F3" w:rsidP="004729CA">
      <w:pPr>
        <w:rPr>
          <w:lang w:val="en-US"/>
        </w:rPr>
      </w:pPr>
      <w:r w:rsidRPr="4F9F5C11">
        <w:rPr>
          <w:lang w:val="en-US"/>
        </w:rPr>
        <w:t>From the above discussion of I</w:t>
      </w:r>
      <w:r w:rsidR="24DB4C01" w:rsidRPr="4F9F5C11">
        <w:rPr>
          <w:lang w:val="en-US"/>
        </w:rPr>
        <w:t xml:space="preserve">nfrastructure </w:t>
      </w:r>
      <w:r w:rsidRPr="4F9F5C11">
        <w:rPr>
          <w:lang w:val="en-US"/>
        </w:rPr>
        <w:t>A</w:t>
      </w:r>
      <w:r w:rsidR="4802D193" w:rsidRPr="4F9F5C11">
        <w:rPr>
          <w:lang w:val="en-US"/>
        </w:rPr>
        <w:t>ustralia</w:t>
      </w:r>
      <w:r w:rsidRPr="4F9F5C11">
        <w:rPr>
          <w:lang w:val="en-US"/>
        </w:rPr>
        <w:t xml:space="preserve">’s core </w:t>
      </w:r>
      <w:r w:rsidR="744B7BA5" w:rsidRPr="4F9F5C11">
        <w:rPr>
          <w:lang w:val="en-US"/>
        </w:rPr>
        <w:t>roles,</w:t>
      </w:r>
      <w:r w:rsidRPr="4F9F5C11">
        <w:rPr>
          <w:lang w:val="en-US"/>
        </w:rPr>
        <w:t xml:space="preserve"> the Review</w:t>
      </w:r>
      <w:r w:rsidR="744B7BA5" w:rsidRPr="4F9F5C11">
        <w:rPr>
          <w:lang w:val="en-US"/>
        </w:rPr>
        <w:t xml:space="preserve"> also</w:t>
      </w:r>
      <w:r w:rsidRPr="4F9F5C11">
        <w:rPr>
          <w:lang w:val="en-US"/>
        </w:rPr>
        <w:t xml:space="preserve"> considered how to best </w:t>
      </w:r>
      <w:proofErr w:type="spellStart"/>
      <w:r w:rsidRPr="4F9F5C11">
        <w:rPr>
          <w:lang w:val="en-US"/>
        </w:rPr>
        <w:t>re</w:t>
      </w:r>
      <w:r w:rsidR="38B30EA2" w:rsidRPr="4F9F5C11">
        <w:rPr>
          <w:lang w:val="en-US"/>
        </w:rPr>
        <w:t>alise</w:t>
      </w:r>
      <w:proofErr w:type="spellEnd"/>
      <w:r w:rsidR="38B30EA2" w:rsidRPr="4F9F5C11">
        <w:rPr>
          <w:lang w:val="en-US"/>
        </w:rPr>
        <w:t xml:space="preserve"> </w:t>
      </w:r>
      <w:r w:rsidRPr="4F9F5C11">
        <w:rPr>
          <w:lang w:val="en-US"/>
        </w:rPr>
        <w:t>the value of Infrastructure Australia,</w:t>
      </w:r>
      <w:r w:rsidR="1BB77D84" w:rsidRPr="4F9F5C11">
        <w:rPr>
          <w:lang w:val="en-US"/>
        </w:rPr>
        <w:t xml:space="preserve"> including enhancing its assurance role and assessment responsibilities.</w:t>
      </w:r>
      <w:r w:rsidRPr="4F9F5C11">
        <w:rPr>
          <w:lang w:val="en-US"/>
        </w:rPr>
        <w:t xml:space="preserve"> </w:t>
      </w:r>
    </w:p>
    <w:p w14:paraId="08C8AA64" w14:textId="6DD05A30" w:rsidR="001C0B0C" w:rsidRPr="00B041CB" w:rsidRDefault="51BD685C" w:rsidP="001C0B0C">
      <w:pPr>
        <w:pStyle w:val="Heading3"/>
      </w:pPr>
      <w:bookmarkStart w:id="66" w:name="_Assurance:_Infrastructure_Australia"/>
      <w:bookmarkStart w:id="67" w:name="_Toc115379974"/>
      <w:bookmarkStart w:id="68" w:name="_Toc124783616"/>
      <w:bookmarkEnd w:id="66"/>
      <w:r>
        <w:t xml:space="preserve">Assurance: </w:t>
      </w:r>
      <w:r w:rsidR="507E20E8">
        <w:t>I</w:t>
      </w:r>
      <w:r w:rsidR="3AC2D066">
        <w:t xml:space="preserve">nfrastructure </w:t>
      </w:r>
      <w:r w:rsidR="507E20E8">
        <w:t>A</w:t>
      </w:r>
      <w:r w:rsidR="7EDB1E61">
        <w:t>ustralia</w:t>
      </w:r>
      <w:r w:rsidR="507E20E8">
        <w:t>’s role in the assessment process</w:t>
      </w:r>
      <w:bookmarkEnd w:id="67"/>
      <w:bookmarkEnd w:id="68"/>
      <w:r w:rsidR="507E20E8">
        <w:t xml:space="preserve"> </w:t>
      </w:r>
    </w:p>
    <w:p w14:paraId="2FD03B1D" w14:textId="0964A026" w:rsidR="001C0B0C" w:rsidRDefault="0045DAD2" w:rsidP="4F9F5C11">
      <w:pPr>
        <w:rPr>
          <w:rFonts w:eastAsia="Calibri" w:cs="Calibri"/>
          <w:lang w:val="en-US"/>
        </w:rPr>
      </w:pPr>
      <w:r w:rsidRPr="4F9F5C11">
        <w:rPr>
          <w:rFonts w:eastAsia="Calibri" w:cs="Calibri"/>
          <w:lang w:val="en-US"/>
        </w:rPr>
        <w:t>There has been a significant improvement in the national infrastructure planning and project selection processes across the country since I</w:t>
      </w:r>
      <w:r w:rsidR="63DCD378" w:rsidRPr="4F9F5C11">
        <w:rPr>
          <w:rFonts w:eastAsia="Calibri" w:cs="Calibri"/>
          <w:lang w:val="en-US"/>
        </w:rPr>
        <w:t xml:space="preserve">nfrastructure </w:t>
      </w:r>
      <w:r w:rsidRPr="4F9F5C11">
        <w:rPr>
          <w:rFonts w:eastAsia="Calibri" w:cs="Calibri"/>
          <w:lang w:val="en-US"/>
        </w:rPr>
        <w:t>A</w:t>
      </w:r>
      <w:r w:rsidR="760FC3CF" w:rsidRPr="4F9F5C11">
        <w:rPr>
          <w:rFonts w:eastAsia="Calibri" w:cs="Calibri"/>
          <w:lang w:val="en-US"/>
        </w:rPr>
        <w:t>ustralia</w:t>
      </w:r>
      <w:r w:rsidRPr="4F9F5C11">
        <w:rPr>
          <w:rFonts w:eastAsia="Calibri" w:cs="Calibri"/>
          <w:lang w:val="en-US"/>
        </w:rPr>
        <w:t xml:space="preserve"> was established in 2008.</w:t>
      </w:r>
    </w:p>
    <w:p w14:paraId="141AD468" w14:textId="0160A6B4" w:rsidR="001C0B0C" w:rsidRDefault="1BB77D84" w:rsidP="36918AFB">
      <w:r w:rsidRPr="4F9F5C11">
        <w:rPr>
          <w:rFonts w:eastAsia="Calibri" w:cs="Calibri"/>
          <w:lang w:val="en-US"/>
        </w:rPr>
        <w:t>As discussed earlier, w</w:t>
      </w:r>
      <w:r w:rsidR="744B7BA5" w:rsidRPr="4F9F5C11">
        <w:rPr>
          <w:rFonts w:eastAsia="Calibri" w:cs="Calibri"/>
          <w:lang w:val="en-US"/>
        </w:rPr>
        <w:t xml:space="preserve">ith the </w:t>
      </w:r>
      <w:r w:rsidR="40C7EDAB" w:rsidRPr="4F9F5C11">
        <w:rPr>
          <w:rFonts w:eastAsia="Calibri" w:cs="Calibri"/>
          <w:lang w:val="en-US"/>
        </w:rPr>
        <w:t xml:space="preserve">maturity </w:t>
      </w:r>
      <w:r w:rsidR="744B7BA5" w:rsidRPr="4F9F5C11">
        <w:rPr>
          <w:rFonts w:eastAsia="Calibri" w:cs="Calibri"/>
          <w:lang w:val="en-US"/>
        </w:rPr>
        <w:t>of state and territory infrastructure bodies</w:t>
      </w:r>
      <w:r w:rsidR="2B118F62" w:rsidRPr="4F9F5C11">
        <w:rPr>
          <w:rFonts w:eastAsia="Calibri" w:cs="Calibri"/>
          <w:lang w:val="en-US"/>
        </w:rPr>
        <w:t xml:space="preserve"> and </w:t>
      </w:r>
      <w:r w:rsidR="2B118F62">
        <w:t xml:space="preserve">state and territories undertaking their own </w:t>
      </w:r>
      <w:r w:rsidR="6A430A94">
        <w:t xml:space="preserve">long-term strategic planning and </w:t>
      </w:r>
      <w:r w:rsidR="2B118F62">
        <w:t>project assessments</w:t>
      </w:r>
      <w:r w:rsidR="744B7BA5" w:rsidRPr="4F9F5C11">
        <w:rPr>
          <w:rFonts w:eastAsia="Calibri" w:cs="Calibri"/>
          <w:lang w:val="en-US"/>
        </w:rPr>
        <w:t xml:space="preserve">, </w:t>
      </w:r>
      <w:r w:rsidR="744B7BA5">
        <w:t>there is a legitimate question about the role of I</w:t>
      </w:r>
      <w:r w:rsidR="781EA68F">
        <w:t xml:space="preserve">nfrastructure </w:t>
      </w:r>
      <w:r w:rsidR="744B7BA5">
        <w:t>A</w:t>
      </w:r>
      <w:r w:rsidR="13E11E89">
        <w:t>ustralia</w:t>
      </w:r>
      <w:r w:rsidR="744B7BA5">
        <w:t xml:space="preserve"> in project assessment</w:t>
      </w:r>
      <w:r w:rsidR="0FAB83B5">
        <w:t xml:space="preserve"> </w:t>
      </w:r>
      <w:r w:rsidR="02C0702A">
        <w:t>on behalf of</w:t>
      </w:r>
      <w:r w:rsidR="0FAB83B5">
        <w:t xml:space="preserve"> the Australian Government</w:t>
      </w:r>
      <w:r w:rsidR="744B7BA5">
        <w:t xml:space="preserve">. </w:t>
      </w:r>
      <w:r w:rsidR="461B15FB">
        <w:t xml:space="preserve">As noted in the discussion of Infrastructure Australia’s core role, </w:t>
      </w:r>
      <w:r w:rsidR="7B8C024C">
        <w:t>the Australian Government requires</w:t>
      </w:r>
      <w:r w:rsidR="77A04993">
        <w:t>,</w:t>
      </w:r>
      <w:r w:rsidR="7B8C024C">
        <w:t xml:space="preserve"> through certain funding agreements</w:t>
      </w:r>
      <w:r w:rsidR="2AEFB8A3">
        <w:t>,</w:t>
      </w:r>
      <w:r w:rsidR="7B8C024C">
        <w:t xml:space="preserve"> that project business cas</w:t>
      </w:r>
      <w:r w:rsidR="1E90B535">
        <w:t xml:space="preserve">es be evaluated by Infrastructure Australia. </w:t>
      </w:r>
    </w:p>
    <w:p w14:paraId="794D47EE" w14:textId="172B1790" w:rsidR="001C0B0C" w:rsidRDefault="434DA72B" w:rsidP="36918AFB">
      <w:r>
        <w:lastRenderedPageBreak/>
        <w:t xml:space="preserve">The assessment framework used by </w:t>
      </w:r>
      <w:r w:rsidR="20335797">
        <w:t xml:space="preserve">Infrastructure Australia </w:t>
      </w:r>
      <w:r w:rsidR="5DD07DB8">
        <w:t>to evaluate the merit of projects is</w:t>
      </w:r>
      <w:r w:rsidR="20335797">
        <w:t xml:space="preserve"> based on the best practice Australian Transport Assessment and Pl</w:t>
      </w:r>
      <w:r w:rsidR="3995994E">
        <w:t>anning</w:t>
      </w:r>
      <w:r w:rsidR="1BB77D84">
        <w:t xml:space="preserve"> (ATAP)</w:t>
      </w:r>
      <w:r w:rsidR="3995994E">
        <w:t xml:space="preserve"> Guidelines</w:t>
      </w:r>
      <w:r w:rsidR="515C43CD">
        <w:t>, which i</w:t>
      </w:r>
      <w:r w:rsidR="2400BBBD">
        <w:t>s also used by state and territory I-bodies to design their own frameworks</w:t>
      </w:r>
      <w:r w:rsidR="515C43CD">
        <w:t xml:space="preserve">. </w:t>
      </w:r>
      <w:r w:rsidR="5935CAB3">
        <w:t xml:space="preserve">Infrastructure Australia advises it has sought to align its framework with these as far as possible. </w:t>
      </w:r>
      <w:r w:rsidR="515C43CD">
        <w:t>The assessment framework</w:t>
      </w:r>
      <w:r w:rsidR="5167F4A8">
        <w:t xml:space="preserve"> conside</w:t>
      </w:r>
      <w:r w:rsidR="469BFA10">
        <w:t>rs</w:t>
      </w:r>
      <w:r w:rsidR="5167F4A8">
        <w:t xml:space="preserve"> </w:t>
      </w:r>
      <w:r w:rsidR="5D8510FE">
        <w:t xml:space="preserve">the </w:t>
      </w:r>
      <w:r w:rsidR="5167F4A8">
        <w:t>s</w:t>
      </w:r>
      <w:r w:rsidR="5167F4A8" w:rsidRPr="4F9F5C11">
        <w:rPr>
          <w:rFonts w:eastAsia="Calibri" w:cs="Calibri"/>
        </w:rPr>
        <w:t>trategic fit</w:t>
      </w:r>
      <w:r w:rsidR="2CE210D2" w:rsidRPr="4F9F5C11">
        <w:rPr>
          <w:rFonts w:eastAsia="Calibri" w:cs="Calibri"/>
        </w:rPr>
        <w:t xml:space="preserve"> of projects with announced infrastructure plans and objectives</w:t>
      </w:r>
      <w:r w:rsidR="5167F4A8" w:rsidRPr="4F9F5C11">
        <w:rPr>
          <w:rFonts w:eastAsia="Calibri" w:cs="Calibri"/>
        </w:rPr>
        <w:t xml:space="preserve">, </w:t>
      </w:r>
      <w:r w:rsidR="654A4C2E" w:rsidRPr="4F9F5C11">
        <w:rPr>
          <w:rFonts w:eastAsia="Calibri" w:cs="Calibri"/>
        </w:rPr>
        <w:t>the</w:t>
      </w:r>
      <w:r w:rsidR="4F9486CE" w:rsidRPr="4F9F5C11">
        <w:rPr>
          <w:rFonts w:eastAsia="Calibri" w:cs="Calibri"/>
        </w:rPr>
        <w:t>ir</w:t>
      </w:r>
      <w:r w:rsidR="654A4C2E" w:rsidRPr="4F9F5C11">
        <w:rPr>
          <w:rFonts w:eastAsia="Calibri" w:cs="Calibri"/>
        </w:rPr>
        <w:t xml:space="preserve"> </w:t>
      </w:r>
      <w:r w:rsidR="5167F4A8" w:rsidRPr="4F9F5C11">
        <w:rPr>
          <w:rFonts w:eastAsia="Calibri" w:cs="Calibri"/>
        </w:rPr>
        <w:t>societal impact</w:t>
      </w:r>
      <w:r w:rsidR="1B53FECE" w:rsidRPr="4F9F5C11">
        <w:rPr>
          <w:rFonts w:eastAsia="Calibri" w:cs="Calibri"/>
        </w:rPr>
        <w:t xml:space="preserve"> </w:t>
      </w:r>
      <w:r w:rsidR="5167F4A8" w:rsidRPr="4F9F5C11">
        <w:rPr>
          <w:rFonts w:eastAsia="Calibri" w:cs="Calibri"/>
        </w:rPr>
        <w:t>and deliverability</w:t>
      </w:r>
      <w:r w:rsidR="52001338" w:rsidRPr="4F9F5C11">
        <w:rPr>
          <w:rFonts w:eastAsia="Calibri" w:cs="Calibri"/>
        </w:rPr>
        <w:t xml:space="preserve">. The </w:t>
      </w:r>
      <w:r w:rsidR="1F5B81C7" w:rsidRPr="4F9F5C11">
        <w:rPr>
          <w:rFonts w:eastAsia="Calibri" w:cs="Calibri"/>
        </w:rPr>
        <w:t xml:space="preserve">Review heard </w:t>
      </w:r>
      <w:r w:rsidR="52001338" w:rsidRPr="4F9F5C11">
        <w:rPr>
          <w:rFonts w:eastAsia="Calibri" w:cs="Calibri"/>
        </w:rPr>
        <w:t>deliverability assessment is particularly valuable for</w:t>
      </w:r>
      <w:r w:rsidR="20E7A04D" w:rsidRPr="4F9F5C11">
        <w:rPr>
          <w:rFonts w:eastAsia="Calibri" w:cs="Calibri"/>
        </w:rPr>
        <w:t xml:space="preserve"> informing</w:t>
      </w:r>
      <w:r w:rsidR="52001338" w:rsidRPr="4F9F5C11">
        <w:rPr>
          <w:rFonts w:eastAsia="Calibri" w:cs="Calibri"/>
        </w:rPr>
        <w:t xml:space="preserve"> the Australian Government’s </w:t>
      </w:r>
      <w:r w:rsidR="3ECB44C4" w:rsidRPr="4F9F5C11">
        <w:rPr>
          <w:rFonts w:eastAsia="Calibri" w:cs="Calibri"/>
        </w:rPr>
        <w:t>final funding assessment</w:t>
      </w:r>
      <w:r w:rsidR="551B2757" w:rsidRPr="4F9F5C11">
        <w:rPr>
          <w:rFonts w:eastAsia="Calibri" w:cs="Calibri"/>
        </w:rPr>
        <w:t>, given Infrastructure Australia’s ability to get different insights</w:t>
      </w:r>
      <w:r w:rsidR="3ECB44C4" w:rsidRPr="4F9F5C11">
        <w:rPr>
          <w:rFonts w:eastAsia="Calibri" w:cs="Calibri"/>
        </w:rPr>
        <w:t>.</w:t>
      </w:r>
      <w:r w:rsidR="2939CEBD" w:rsidRPr="4F9F5C11">
        <w:rPr>
          <w:rFonts w:eastAsia="Calibri" w:cs="Calibri"/>
        </w:rPr>
        <w:t xml:space="preserve"> The </w:t>
      </w:r>
      <w:r w:rsidR="5440E45B" w:rsidRPr="4F9F5C11">
        <w:rPr>
          <w:rFonts w:eastAsia="Calibri" w:cs="Calibri"/>
        </w:rPr>
        <w:t xml:space="preserve">deliverability </w:t>
      </w:r>
      <w:r w:rsidR="2939CEBD" w:rsidRPr="4F9F5C11">
        <w:rPr>
          <w:rFonts w:eastAsia="Calibri" w:cs="Calibri"/>
        </w:rPr>
        <w:t xml:space="preserve">assessment considers </w:t>
      </w:r>
      <w:r w:rsidR="266A0EFC" w:rsidRPr="4F9F5C11">
        <w:rPr>
          <w:rFonts w:eastAsia="Calibri" w:cs="Calibri"/>
        </w:rPr>
        <w:t>the maturity of pr</w:t>
      </w:r>
      <w:r w:rsidR="5AEF8FD8" w:rsidRPr="4F9F5C11">
        <w:rPr>
          <w:rFonts w:eastAsia="Calibri" w:cs="Calibri"/>
        </w:rPr>
        <w:t>oject</w:t>
      </w:r>
      <w:r w:rsidR="266A0EFC" w:rsidRPr="4F9F5C11">
        <w:rPr>
          <w:rFonts w:eastAsia="Calibri" w:cs="Calibri"/>
        </w:rPr>
        <w:t xml:space="preserve"> design and costs, market capability and capacity, risks, governance, procurement models, and funding and financing.</w:t>
      </w:r>
      <w:r w:rsidR="20335797">
        <w:t xml:space="preserve"> </w:t>
      </w:r>
    </w:p>
    <w:p w14:paraId="7CBE36F4" w14:textId="053305A0" w:rsidR="00471814" w:rsidRDefault="744B7BA5" w:rsidP="4F9F5C11">
      <w:pPr>
        <w:rPr>
          <w:lang w:val="en-US"/>
        </w:rPr>
      </w:pPr>
      <w:r>
        <w:t>A number of submissions, particular</w:t>
      </w:r>
      <w:r w:rsidR="131BA851">
        <w:t>ly</w:t>
      </w:r>
      <w:r>
        <w:t xml:space="preserve"> from those jurisdictions whose infrastructure bodies had an active role in business case assessment, called for a readjustment to I</w:t>
      </w:r>
      <w:r w:rsidR="15E978A1">
        <w:t xml:space="preserve">nfrastructure </w:t>
      </w:r>
      <w:r>
        <w:t>A</w:t>
      </w:r>
      <w:r w:rsidR="18AE32BA">
        <w:t>ustralia</w:t>
      </w:r>
      <w:r>
        <w:t>’s role in the assessment of projects to avoid duplication of state and territory efforts and potential competing interests, and for I</w:t>
      </w:r>
      <w:r w:rsidR="6239D560">
        <w:t xml:space="preserve">nfrastructure </w:t>
      </w:r>
      <w:r>
        <w:t>A</w:t>
      </w:r>
      <w:r w:rsidR="571F4EAE">
        <w:t>ustralia</w:t>
      </w:r>
      <w:r>
        <w:t xml:space="preserve"> to focus on projects of national</w:t>
      </w:r>
      <w:r w:rsidR="0221FD57">
        <w:t xml:space="preserve"> significance.</w:t>
      </w:r>
      <w:r w:rsidR="4BE33DF2">
        <w:t xml:space="preserve"> </w:t>
      </w:r>
      <w:r w:rsidR="4BE33DF2" w:rsidRPr="4F9F5C11">
        <w:rPr>
          <w:lang w:val="en-US"/>
        </w:rPr>
        <w:t>State agencies and I-bodies identified several areas of overlap between Infrastructure Australia’s functions and their own remit, which has led to duplication of effort and work. As well as states and territories having their own respective strategies and plans, another area of concern was assurance processes for infrastructure project proposals. As states now have their own established assurance processes, submitting proposals for further review by Infrastructure Australia was viewed as unnecessarily burdensome by some stakeholders. The expertise that now exists across Australia’s infrastructure sector provides opportunities for Infrastructure Australia and I-bodies to leverage each other’s work, and take advantage of each other’s respective strengths.</w:t>
      </w:r>
    </w:p>
    <w:p w14:paraId="0BB16D4F" w14:textId="0001EFD5" w:rsidR="00EB7535" w:rsidRPr="00B223D5" w:rsidRDefault="154C8362" w:rsidP="00EB7535">
      <w:pPr>
        <w:pBdr>
          <w:left w:val="single" w:sz="48" w:space="22" w:color="4BB3B5"/>
        </w:pBdr>
        <w:suppressAutoHyphens/>
        <w:spacing w:before="160"/>
        <w:ind w:left="567" w:right="567"/>
      </w:pPr>
      <w:r w:rsidRPr="4F9F5C11">
        <w:rPr>
          <w:rStyle w:val="QuoteChar"/>
        </w:rPr>
        <w:t>States have established their own infrastructure bodies to provide expert advice on investment programs, including project selection, infrastructure policy, and project procurement and delivery, grounded in local market knowledge. States have developed strong rigour and routines for investment decision-making. Infrastructure NSW regularly engages with similar agencies in other countries which has proven useful but also revealed that Australian bodies are among leaders in infrastructure advice.</w:t>
      </w:r>
      <w:r w:rsidR="26A4BA55">
        <w:br/>
      </w:r>
      <w:r>
        <w:t>N</w:t>
      </w:r>
      <w:r w:rsidR="683C4529">
        <w:t xml:space="preserve">ew </w:t>
      </w:r>
      <w:r>
        <w:t>S</w:t>
      </w:r>
      <w:r w:rsidR="4576D52B">
        <w:t xml:space="preserve">outh </w:t>
      </w:r>
      <w:r>
        <w:t>W</w:t>
      </w:r>
      <w:r w:rsidR="709BCD70">
        <w:t>ales</w:t>
      </w:r>
      <w:r>
        <w:t xml:space="preserve"> Government</w:t>
      </w:r>
    </w:p>
    <w:p w14:paraId="30BB341C" w14:textId="77777777" w:rsidR="00EB7535" w:rsidRPr="00B223D5" w:rsidRDefault="00EB7535" w:rsidP="00591CDB">
      <w:pPr>
        <w:pStyle w:val="Quote"/>
        <w:spacing w:after="120"/>
        <w:ind w:left="0"/>
      </w:pPr>
    </w:p>
    <w:p w14:paraId="18CAE9CB" w14:textId="5F876CB2" w:rsidR="00EB7535" w:rsidRPr="00B223D5" w:rsidRDefault="7D44AE6B" w:rsidP="00EB7535">
      <w:pPr>
        <w:pBdr>
          <w:left w:val="single" w:sz="48" w:space="22" w:color="4BB3B5"/>
        </w:pBdr>
        <w:suppressAutoHyphens/>
        <w:spacing w:before="160"/>
        <w:ind w:left="567" w:right="567"/>
      </w:pPr>
      <w:r w:rsidRPr="4F9F5C11">
        <w:rPr>
          <w:rStyle w:val="QuoteChar"/>
        </w:rPr>
        <w:t>Businesses want to see clear points of responsibility and clear decision making so there is confidence in where investment will occur and when. This means there must be a clear understanding of the domain of the Federal Government and the domain of the states and territories. There should be no processes that see competing plans developed at different levels of government. Governments and their respective agencies should refrain from undermining infrastructure decisions made by other governments.</w:t>
      </w:r>
      <w:r w:rsidR="00EB7535">
        <w:br/>
      </w:r>
      <w:r>
        <w:t>Business Council of Australia</w:t>
      </w:r>
    </w:p>
    <w:p w14:paraId="606E0109" w14:textId="2F5044B7" w:rsidR="00071F7B" w:rsidRDefault="0036635B" w:rsidP="004729CA">
      <w:pPr>
        <w:rPr>
          <w:lang w:val="en-US"/>
        </w:rPr>
      </w:pPr>
      <w:r>
        <w:br/>
      </w:r>
      <w:r w:rsidR="744B7BA5" w:rsidRPr="4F9F5C11">
        <w:rPr>
          <w:rFonts w:eastAsia="Calibri" w:cs="Calibri"/>
          <w:lang w:val="en-US"/>
        </w:rPr>
        <w:t xml:space="preserve">The </w:t>
      </w:r>
      <w:r w:rsidR="1BB77D84" w:rsidRPr="4F9F5C11">
        <w:rPr>
          <w:rFonts w:eastAsia="Calibri" w:cs="Calibri"/>
          <w:lang w:val="en-US"/>
        </w:rPr>
        <w:t>Review</w:t>
      </w:r>
      <w:r w:rsidR="744B7BA5">
        <w:t xml:space="preserve"> met with</w:t>
      </w:r>
      <w:r w:rsidR="2DFF48E9">
        <w:t xml:space="preserve"> state and territory</w:t>
      </w:r>
      <w:r w:rsidR="744B7BA5">
        <w:t xml:space="preserve"> </w:t>
      </w:r>
      <w:r w:rsidR="1BB77D84">
        <w:t>I</w:t>
      </w:r>
      <w:r w:rsidR="744B7BA5">
        <w:t xml:space="preserve">-bodies, who described their roles in project assessment varying from having their own self-sufficient assessment processes, to not being involved in project assessment at all (see </w:t>
      </w:r>
      <w:hyperlink w:anchor="_Appendix_A:_State">
        <w:r w:rsidR="744B7BA5" w:rsidRPr="4F9F5C11">
          <w:rPr>
            <w:rStyle w:val="Hyperlink"/>
            <w:b/>
            <w:bCs/>
            <w:lang w:val="en-US"/>
          </w:rPr>
          <w:t>Appendix A</w:t>
        </w:r>
      </w:hyperlink>
      <w:r w:rsidR="744B7BA5" w:rsidRPr="4F9F5C11">
        <w:rPr>
          <w:b/>
          <w:bCs/>
          <w:lang w:val="en-US"/>
        </w:rPr>
        <w:t xml:space="preserve"> for a comparison of the state and territory </w:t>
      </w:r>
      <w:r w:rsidR="1BB77D84" w:rsidRPr="4F9F5C11">
        <w:rPr>
          <w:b/>
          <w:bCs/>
          <w:lang w:val="en-US"/>
        </w:rPr>
        <w:t>I</w:t>
      </w:r>
      <w:r w:rsidR="744B7BA5" w:rsidRPr="4F9F5C11">
        <w:rPr>
          <w:b/>
          <w:bCs/>
          <w:lang w:val="en-US"/>
        </w:rPr>
        <w:t>-body functions</w:t>
      </w:r>
      <w:r w:rsidR="744B7BA5" w:rsidRPr="4F9F5C11">
        <w:rPr>
          <w:lang w:val="en-US"/>
        </w:rPr>
        <w:t>). In reflecting on Infrastructure Australia’s mandate, the Review recommends that Infrastructure Australia’s role in the assessment framework be readjusted to that of an ‘accreditor’, either leveraging off existing state or territory-based assessment frameworks</w:t>
      </w:r>
      <w:r w:rsidR="1C876B5F" w:rsidRPr="4F9F5C11">
        <w:rPr>
          <w:lang w:val="en-US"/>
        </w:rPr>
        <w:t>,</w:t>
      </w:r>
      <w:r w:rsidR="744B7BA5" w:rsidRPr="4F9F5C11">
        <w:rPr>
          <w:lang w:val="en-US"/>
        </w:rPr>
        <w:t xml:space="preserve"> or guiding states and territories to develop best practice assessment frameworks. The Review also recommends Infrastructure Australia </w:t>
      </w:r>
      <w:r w:rsidR="1BB77D84" w:rsidRPr="4F9F5C11">
        <w:rPr>
          <w:lang w:val="en-US"/>
        </w:rPr>
        <w:t>adopt</w:t>
      </w:r>
      <w:r w:rsidR="744B7BA5" w:rsidRPr="4F9F5C11">
        <w:rPr>
          <w:lang w:val="en-US"/>
        </w:rPr>
        <w:t xml:space="preserve"> a much more active role in the post</w:t>
      </w:r>
      <w:r w:rsidR="1BB77D84" w:rsidRPr="4F9F5C11">
        <w:rPr>
          <w:lang w:val="en-US"/>
        </w:rPr>
        <w:t xml:space="preserve"> </w:t>
      </w:r>
      <w:r w:rsidR="744B7BA5" w:rsidRPr="4F9F5C11">
        <w:rPr>
          <w:lang w:val="en-US"/>
        </w:rPr>
        <w:t xml:space="preserve">completion review </w:t>
      </w:r>
      <w:r w:rsidR="6F71BE24" w:rsidRPr="4F9F5C11">
        <w:rPr>
          <w:lang w:val="en-US"/>
        </w:rPr>
        <w:t xml:space="preserve">(PCR) </w:t>
      </w:r>
      <w:r w:rsidR="744B7BA5" w:rsidRPr="4F9F5C11">
        <w:rPr>
          <w:lang w:val="en-US"/>
        </w:rPr>
        <w:t xml:space="preserve">process. </w:t>
      </w:r>
    </w:p>
    <w:p w14:paraId="00C5E14F" w14:textId="76101068" w:rsidR="00EB7535" w:rsidRPr="00071F7B" w:rsidRDefault="1BB77D84" w:rsidP="004729CA">
      <w:pPr>
        <w:rPr>
          <w:lang w:val="en-US"/>
        </w:rPr>
      </w:pPr>
      <w:r w:rsidRPr="4F9F5C11">
        <w:rPr>
          <w:lang w:val="en-US"/>
        </w:rPr>
        <w:t>Any</w:t>
      </w:r>
      <w:r w:rsidR="79EB935D" w:rsidRPr="4F9F5C11">
        <w:rPr>
          <w:lang w:val="en-US"/>
        </w:rPr>
        <w:t xml:space="preserve"> </w:t>
      </w:r>
      <w:r w:rsidR="744B7BA5" w:rsidRPr="4F9F5C11">
        <w:rPr>
          <w:lang w:val="en-US"/>
        </w:rPr>
        <w:t>evaluation work that remains with Infrastructure Australia must be assessed and measured against the Charter and the Plan, not as individual audits of projects.</w:t>
      </w:r>
    </w:p>
    <w:p w14:paraId="426142D4" w14:textId="77777777" w:rsidR="00EB7535" w:rsidRDefault="7D44AE6B" w:rsidP="00EB7535">
      <w:pPr>
        <w:pStyle w:val="Heading4"/>
      </w:pPr>
      <w:bookmarkStart w:id="69" w:name="_Toc115379975"/>
      <w:bookmarkStart w:id="70" w:name="_Toc124783617"/>
      <w:r>
        <w:lastRenderedPageBreak/>
        <w:t>Assurance, accreditation and peer review</w:t>
      </w:r>
      <w:bookmarkEnd w:id="69"/>
      <w:bookmarkEnd w:id="70"/>
      <w:r>
        <w:t xml:space="preserve"> </w:t>
      </w:r>
    </w:p>
    <w:p w14:paraId="284DA286" w14:textId="388B563A" w:rsidR="00EB7535" w:rsidRDefault="29721C5E" w:rsidP="00EB7535">
      <w:pPr>
        <w:rPr>
          <w:lang w:val="en-US"/>
        </w:rPr>
      </w:pPr>
      <w:r w:rsidRPr="4F9F5C11">
        <w:rPr>
          <w:lang w:val="en-US"/>
        </w:rPr>
        <w:t>In recognition of where state and territor</w:t>
      </w:r>
      <w:r w:rsidR="30FDD47A" w:rsidRPr="4F9F5C11">
        <w:rPr>
          <w:lang w:val="en-US"/>
        </w:rPr>
        <w:t>y</w:t>
      </w:r>
      <w:r w:rsidRPr="4F9F5C11">
        <w:rPr>
          <w:lang w:val="en-US"/>
        </w:rPr>
        <w:t xml:space="preserve"> </w:t>
      </w:r>
      <w:r w:rsidR="187FB70B" w:rsidRPr="4F9F5C11">
        <w:rPr>
          <w:lang w:val="en-US"/>
        </w:rPr>
        <w:t>I-bodies</w:t>
      </w:r>
      <w:r w:rsidR="1BB77D84" w:rsidRPr="4F9F5C11">
        <w:rPr>
          <w:lang w:val="en-US"/>
        </w:rPr>
        <w:t xml:space="preserve"> </w:t>
      </w:r>
      <w:r w:rsidRPr="4F9F5C11">
        <w:rPr>
          <w:lang w:val="en-US"/>
        </w:rPr>
        <w:t>have their own assessment processes that meet the national assessment processes, the Review recommends that Infrastructure Australia’s role in project assessment be clarified as follows:</w:t>
      </w:r>
    </w:p>
    <w:p w14:paraId="3FFA2156" w14:textId="7CFB392B" w:rsidR="00071F7B" w:rsidRPr="009B5758" w:rsidRDefault="744B7BA5" w:rsidP="009B5758">
      <w:pPr>
        <w:pStyle w:val="Listparagraphbullets"/>
        <w:ind w:left="567" w:hanging="567"/>
      </w:pPr>
      <w:r w:rsidRPr="009B5758">
        <w:t>Develop</w:t>
      </w:r>
      <w:r w:rsidR="73ECEAA3" w:rsidRPr="009B5758">
        <w:t>ment of</w:t>
      </w:r>
      <w:r w:rsidRPr="009B5758">
        <w:t xml:space="preserve"> a national planning and assessment framework and uniform guidelines based on best practice to support national consistency and coordination in infrastructure assessment. This work must also have regard to and build in the broader </w:t>
      </w:r>
      <w:r w:rsidR="1BB77D84" w:rsidRPr="009B5758">
        <w:t>g</w:t>
      </w:r>
      <w:r w:rsidRPr="009B5758">
        <w:t>overnment infrastructure objectives as outlined in the Charter and the Plan</w:t>
      </w:r>
      <w:r w:rsidR="16E8879A" w:rsidRPr="009B5758">
        <w:t>.</w:t>
      </w:r>
    </w:p>
    <w:p w14:paraId="744FEE1D" w14:textId="3605AFB6" w:rsidR="00071F7B" w:rsidRPr="009B5758" w:rsidRDefault="69668C98" w:rsidP="009B5758">
      <w:pPr>
        <w:pStyle w:val="Listparagraphbullets"/>
        <w:ind w:left="567" w:hanging="567"/>
      </w:pPr>
      <w:r w:rsidRPr="009B5758">
        <w:t>L</w:t>
      </w:r>
      <w:r w:rsidR="744B7BA5" w:rsidRPr="009B5758">
        <w:t>everage existing state and territory assessment frameworks through an accreditation process or bilateral arrangement where I</w:t>
      </w:r>
      <w:r w:rsidR="5ADA62A4" w:rsidRPr="009B5758">
        <w:t xml:space="preserve">nfrastructure </w:t>
      </w:r>
      <w:r w:rsidR="744B7BA5" w:rsidRPr="009B5758">
        <w:t>A</w:t>
      </w:r>
      <w:r w:rsidR="2710101E" w:rsidRPr="009B5758">
        <w:t>ustralia</w:t>
      </w:r>
      <w:r w:rsidR="744B7BA5" w:rsidRPr="009B5758">
        <w:t xml:space="preserve"> recognises the state and territory assessment framework</w:t>
      </w:r>
      <w:r w:rsidR="1274DED0" w:rsidRPr="009B5758">
        <w:t>.</w:t>
      </w:r>
    </w:p>
    <w:p w14:paraId="03AB5FAE" w14:textId="5D231F93" w:rsidR="00071F7B" w:rsidRPr="009B5758" w:rsidRDefault="744B7BA5" w:rsidP="009B5758">
      <w:pPr>
        <w:pStyle w:val="Listparagraphbullets"/>
        <w:ind w:left="567" w:hanging="567"/>
      </w:pPr>
      <w:r w:rsidRPr="009B5758">
        <w:t>Adopt a peer review role of state and territory assessment work as part of broader project assurance</w:t>
      </w:r>
      <w:r w:rsidR="2F73C9BF" w:rsidRPr="009B5758">
        <w:t>.</w:t>
      </w:r>
    </w:p>
    <w:p w14:paraId="277F2657" w14:textId="30240B4C" w:rsidR="00071F7B" w:rsidRPr="009B5758" w:rsidRDefault="1BB77D84" w:rsidP="009B5758">
      <w:pPr>
        <w:pStyle w:val="Listparagraphbullets"/>
        <w:ind w:left="567" w:hanging="567"/>
      </w:pPr>
      <w:r w:rsidRPr="009B5758">
        <w:t xml:space="preserve">Where </w:t>
      </w:r>
      <w:r w:rsidR="6F71BE24" w:rsidRPr="009B5758">
        <w:t xml:space="preserve">a </w:t>
      </w:r>
      <w:r w:rsidRPr="009B5758">
        <w:t xml:space="preserve">state </w:t>
      </w:r>
      <w:r w:rsidR="6F71BE24" w:rsidRPr="009B5758">
        <w:t>or</w:t>
      </w:r>
      <w:r w:rsidRPr="009B5758">
        <w:t xml:space="preserve"> territory framework do</w:t>
      </w:r>
      <w:r w:rsidR="6F71BE24" w:rsidRPr="009B5758">
        <w:t>es</w:t>
      </w:r>
      <w:r w:rsidRPr="009B5758">
        <w:t xml:space="preserve"> not provide the necessary assurance or have not been accredited and the project involves Commonwealth investments of over $250 million or is recognised as ‘nationally significant’ Infrastructure Australia will undertake a full assessment. Infrastructure Australia’s assessment must be against the Charter objectives and strategies as outlined in the Plan.</w:t>
      </w:r>
    </w:p>
    <w:p w14:paraId="0F3173B9" w14:textId="1F718955" w:rsidR="00071F7B" w:rsidRDefault="6342DCAC" w:rsidP="00471814">
      <w:pPr>
        <w:rPr>
          <w:lang w:val="en-US"/>
        </w:rPr>
      </w:pPr>
      <w:r w:rsidRPr="4F9F5C11">
        <w:rPr>
          <w:lang w:val="en-US"/>
        </w:rPr>
        <w:t>Infrastructure Australia’s accreditation and peer</w:t>
      </w:r>
      <w:r w:rsidR="1BB77D84" w:rsidRPr="4F9F5C11">
        <w:rPr>
          <w:lang w:val="en-US"/>
        </w:rPr>
        <w:t xml:space="preserve"> </w:t>
      </w:r>
      <w:r w:rsidRPr="4F9F5C11">
        <w:rPr>
          <w:lang w:val="en-US"/>
        </w:rPr>
        <w:t xml:space="preserve">review arrangements should apply across all projects, including those involving Commonwealth investments of over $250 million or recognised as ‘nationally significant’. </w:t>
      </w:r>
    </w:p>
    <w:p w14:paraId="57AE7DE3" w14:textId="41DA6A64" w:rsidR="01BB796A" w:rsidRPr="00071F7B" w:rsidRDefault="526061BB" w:rsidP="00071F7B">
      <w:pPr>
        <w:rPr>
          <w:lang w:val="en-US"/>
        </w:rPr>
      </w:pPr>
      <w:r w:rsidRPr="4F9F5C11">
        <w:rPr>
          <w:lang w:val="en-US"/>
        </w:rPr>
        <w:t xml:space="preserve">In </w:t>
      </w:r>
      <w:proofErr w:type="spellStart"/>
      <w:r w:rsidRPr="4F9F5C11">
        <w:rPr>
          <w:lang w:val="en-US"/>
        </w:rPr>
        <w:t>recognising</w:t>
      </w:r>
      <w:proofErr w:type="spellEnd"/>
      <w:r w:rsidRPr="4F9F5C11">
        <w:rPr>
          <w:lang w:val="en-US"/>
        </w:rPr>
        <w:t xml:space="preserve"> and formally accrediting a state </w:t>
      </w:r>
      <w:r w:rsidR="39BDEE6D" w:rsidRPr="4F9F5C11">
        <w:rPr>
          <w:lang w:val="en-US"/>
        </w:rPr>
        <w:t>or</w:t>
      </w:r>
      <w:r w:rsidRPr="4F9F5C11">
        <w:rPr>
          <w:lang w:val="en-US"/>
        </w:rPr>
        <w:t xml:space="preserve"> territory assessment framework, the Review anticipates this will encourage general infrastructure body capability and upskilling, so that </w:t>
      </w:r>
      <w:r w:rsidR="58EB708B" w:rsidRPr="4F9F5C11">
        <w:rPr>
          <w:lang w:val="en-US"/>
        </w:rPr>
        <w:t>I</w:t>
      </w:r>
      <w:r w:rsidRPr="4F9F5C11">
        <w:rPr>
          <w:lang w:val="en-US"/>
        </w:rPr>
        <w:t>-bodies with existing frameworks are encouraged to undertake improvement and those that do not, develop one. The proposed approach also reduces I</w:t>
      </w:r>
      <w:r w:rsidR="716C772D" w:rsidRPr="4F9F5C11">
        <w:rPr>
          <w:lang w:val="en-US"/>
        </w:rPr>
        <w:t xml:space="preserve">nfrastructure </w:t>
      </w:r>
      <w:r w:rsidRPr="4F9F5C11">
        <w:rPr>
          <w:lang w:val="en-US"/>
        </w:rPr>
        <w:t>A</w:t>
      </w:r>
      <w:r w:rsidR="4C07B6A8" w:rsidRPr="4F9F5C11">
        <w:rPr>
          <w:lang w:val="en-US"/>
        </w:rPr>
        <w:t>ustralia</w:t>
      </w:r>
      <w:r w:rsidRPr="4F9F5C11">
        <w:rPr>
          <w:lang w:val="en-US"/>
        </w:rPr>
        <w:t>’s workload, allowing it to take on a primary focus on projects that are the subject of significant Commonwealth investment and a secondary role for proposals where a state or territory-based assurance process is sufficient.</w:t>
      </w:r>
    </w:p>
    <w:p w14:paraId="7D464714" w14:textId="24038CB7" w:rsidR="00EB7535" w:rsidRDefault="154C8362" w:rsidP="00EB7535">
      <w:pPr>
        <w:pStyle w:val="Heading4"/>
      </w:pPr>
      <w:bookmarkStart w:id="71" w:name="_Toc115379976"/>
      <w:bookmarkStart w:id="72" w:name="_Toc124783618"/>
      <w:r>
        <w:t>Assurance in post</w:t>
      </w:r>
      <w:r w:rsidR="7E2F7E8F">
        <w:t xml:space="preserve"> </w:t>
      </w:r>
      <w:r>
        <w:t>completion reviews</w:t>
      </w:r>
      <w:bookmarkEnd w:id="71"/>
      <w:bookmarkEnd w:id="72"/>
      <w:r>
        <w:t xml:space="preserve"> </w:t>
      </w:r>
    </w:p>
    <w:p w14:paraId="0C21D350" w14:textId="23D88216" w:rsidR="00EB7535" w:rsidRDefault="744B7BA5" w:rsidP="00EB7535">
      <w:pPr>
        <w:rPr>
          <w:lang w:val="en-US"/>
        </w:rPr>
      </w:pPr>
      <w:r w:rsidRPr="4F9F5C11">
        <w:rPr>
          <w:lang w:val="en-US"/>
        </w:rPr>
        <w:t>Under the current I</w:t>
      </w:r>
      <w:r w:rsidR="04F8BE66" w:rsidRPr="4F9F5C11">
        <w:rPr>
          <w:lang w:val="en-US"/>
        </w:rPr>
        <w:t xml:space="preserve">nfrastructure </w:t>
      </w:r>
      <w:r w:rsidRPr="4F9F5C11">
        <w:rPr>
          <w:lang w:val="en-US"/>
        </w:rPr>
        <w:t>A</w:t>
      </w:r>
      <w:r w:rsidR="288A1FC1" w:rsidRPr="4F9F5C11">
        <w:rPr>
          <w:lang w:val="en-US"/>
        </w:rPr>
        <w:t>ustralia</w:t>
      </w:r>
      <w:r w:rsidRPr="4F9F5C11">
        <w:rPr>
          <w:lang w:val="en-US"/>
        </w:rPr>
        <w:t xml:space="preserve"> Assessment Framework, Stage 4 provides for a </w:t>
      </w:r>
      <w:r w:rsidR="6F71BE24" w:rsidRPr="4F9F5C11">
        <w:rPr>
          <w:lang w:val="en-US"/>
        </w:rPr>
        <w:t>PCR</w:t>
      </w:r>
      <w:r w:rsidRPr="4F9F5C11">
        <w:rPr>
          <w:lang w:val="en-US"/>
        </w:rPr>
        <w:t>. The process is voluntary and relies on proponents conduct</w:t>
      </w:r>
      <w:r w:rsidR="788D1FBA" w:rsidRPr="4F9F5C11">
        <w:rPr>
          <w:lang w:val="en-US"/>
        </w:rPr>
        <w:t>ing</w:t>
      </w:r>
      <w:r w:rsidRPr="4F9F5C11">
        <w:rPr>
          <w:lang w:val="en-US"/>
        </w:rPr>
        <w:t xml:space="preserve"> their own PCR and submit</w:t>
      </w:r>
      <w:r w:rsidR="3DAB707C" w:rsidRPr="4F9F5C11">
        <w:rPr>
          <w:lang w:val="en-US"/>
        </w:rPr>
        <w:t>ting</w:t>
      </w:r>
      <w:r w:rsidRPr="4F9F5C11">
        <w:rPr>
          <w:lang w:val="en-US"/>
        </w:rPr>
        <w:t xml:space="preserve"> their findings to I</w:t>
      </w:r>
      <w:r w:rsidR="6364EE62" w:rsidRPr="4F9F5C11">
        <w:rPr>
          <w:lang w:val="en-US"/>
        </w:rPr>
        <w:t xml:space="preserve">nfrastructure </w:t>
      </w:r>
      <w:r w:rsidRPr="4F9F5C11">
        <w:rPr>
          <w:lang w:val="en-US"/>
        </w:rPr>
        <w:t>A</w:t>
      </w:r>
      <w:r w:rsidR="253375AE" w:rsidRPr="4F9F5C11">
        <w:rPr>
          <w:lang w:val="en-US"/>
        </w:rPr>
        <w:t>ustralia</w:t>
      </w:r>
      <w:r w:rsidRPr="4F9F5C11">
        <w:rPr>
          <w:lang w:val="en-US"/>
        </w:rPr>
        <w:t>. Stage 4 considers whether the project achieved its intended objectives, whether it delivered the benefits as described in the business case and whether the outcomes could have been achieved in a more effective and efficient way.</w:t>
      </w:r>
    </w:p>
    <w:p w14:paraId="08B46015" w14:textId="71D2B52F" w:rsidR="00EB7535" w:rsidRDefault="29721C5E" w:rsidP="00EB7535">
      <w:r>
        <w:t>The Review heard significant support for I</w:t>
      </w:r>
      <w:r w:rsidR="3CC0BD88">
        <w:t xml:space="preserve">nfrastructure </w:t>
      </w:r>
      <w:r>
        <w:t>A</w:t>
      </w:r>
      <w:r w:rsidR="2285223C">
        <w:t>ustralia</w:t>
      </w:r>
      <w:r>
        <w:t xml:space="preserve"> playing a stronger and more active role in conducting regular national evaluations and PCRs following the completion and delivery of projects to provide lessons learned and guidance for future project development, assessment and delivery. Submissions also supported PCRs becoming a compulsory component of the assessment process, with findings and recommendations of I</w:t>
      </w:r>
      <w:r w:rsidR="01B5E9E6">
        <w:t xml:space="preserve">nfrastructure </w:t>
      </w:r>
      <w:r>
        <w:t>A</w:t>
      </w:r>
      <w:r w:rsidR="4A4FD0D9">
        <w:t>ustralia</w:t>
      </w:r>
      <w:r>
        <w:t xml:space="preserve"> being published to increase transparency and accountability as well as sharing the </w:t>
      </w:r>
      <w:r w:rsidR="1CE3982F">
        <w:t xml:space="preserve">national </w:t>
      </w:r>
      <w:r>
        <w:t>‘lessons learnt’. PCR findings from I</w:t>
      </w:r>
      <w:r w:rsidR="4543C7BE">
        <w:t xml:space="preserve">nfrastructure </w:t>
      </w:r>
      <w:r>
        <w:t>A</w:t>
      </w:r>
      <w:r w:rsidR="4AB4D567">
        <w:t>ustralia</w:t>
      </w:r>
      <w:r>
        <w:t xml:space="preserve"> should also include an assessment decision of delivery against the Government’s policies or objectives of the day.</w:t>
      </w:r>
    </w:p>
    <w:p w14:paraId="0AD6CC11" w14:textId="2CC1CF43" w:rsidR="00EB7535" w:rsidRDefault="744B7BA5" w:rsidP="00EB7535">
      <w:r>
        <w:t>The Review agrees with these observations, noting that such a role would be consistent with I</w:t>
      </w:r>
      <w:r w:rsidR="23AC20AD">
        <w:t xml:space="preserve">nfrastructure </w:t>
      </w:r>
      <w:r>
        <w:t>A</w:t>
      </w:r>
      <w:r w:rsidR="38AE1113">
        <w:t>ustralia</w:t>
      </w:r>
      <w:r>
        <w:t xml:space="preserve">’s core role of integrated coordination, oversight of the national infrastructure eco-system and assessment against the broader national infrastructure objectives and </w:t>
      </w:r>
      <w:r w:rsidR="41C6E65C">
        <w:t>the</w:t>
      </w:r>
      <w:r>
        <w:t xml:space="preserve"> Plan. Such an arrangement would provide I</w:t>
      </w:r>
      <w:r w:rsidR="02167C05">
        <w:t xml:space="preserve">nfrastructure </w:t>
      </w:r>
      <w:r>
        <w:t>A</w:t>
      </w:r>
      <w:r w:rsidR="4F45F751">
        <w:t>ustralia</w:t>
      </w:r>
      <w:r>
        <w:t xml:space="preserve"> a richer and more complete picture and data set than each jurisdiction completing their own, piecemeal review on a voluntary basis. A more active role in the post-completion stage also allows Infrastructure Australia to provide national oversight of lessons learnt, including from an investment perspective (e.g. where there is a material change in estimated costs for major infrastructure projects). While there may be sensitivities to I</w:t>
      </w:r>
      <w:r w:rsidR="49574BA4">
        <w:t xml:space="preserve">nfrastructure </w:t>
      </w:r>
      <w:r>
        <w:t>A</w:t>
      </w:r>
      <w:r w:rsidR="2F85C815">
        <w:t>ustralia</w:t>
      </w:r>
      <w:r>
        <w:t xml:space="preserve"> identifying lessons learnt in the projects of jurisdictions, the Review believe</w:t>
      </w:r>
      <w:r w:rsidR="105AA573">
        <w:t>s</w:t>
      </w:r>
      <w:r>
        <w:t xml:space="preserve"> that the benefits from this work are worthwhile and that any sensitivities </w:t>
      </w:r>
      <w:r w:rsidR="6B5EB8D0">
        <w:t>can be</w:t>
      </w:r>
      <w:r>
        <w:t xml:space="preserve"> manage</w:t>
      </w:r>
      <w:r w:rsidR="26226A70">
        <w:t>d</w:t>
      </w:r>
      <w:r w:rsidR="6A562A53">
        <w:t xml:space="preserve"> by focusing on system level themes</w:t>
      </w:r>
      <w:r>
        <w:t>.</w:t>
      </w:r>
    </w:p>
    <w:p w14:paraId="7CD07868" w14:textId="4618049B" w:rsidR="00EB7535" w:rsidRPr="00B223D5" w:rsidRDefault="7D44AE6B" w:rsidP="00EB7535">
      <w:pPr>
        <w:pBdr>
          <w:left w:val="single" w:sz="48" w:space="22" w:color="4BB3B5"/>
        </w:pBdr>
        <w:suppressAutoHyphens/>
        <w:spacing w:before="160"/>
        <w:ind w:left="567" w:right="567"/>
      </w:pPr>
      <w:r w:rsidRPr="4F9F5C11">
        <w:rPr>
          <w:rStyle w:val="QuoteChar"/>
        </w:rPr>
        <w:lastRenderedPageBreak/>
        <w:t>The learnings from conducting these reviews on major projects could ultimately result in significant cost savings for future infrastructure projects, as well as improved productivity and efficiency in the delivery of projects.</w:t>
      </w:r>
      <w:r w:rsidR="00EB7535">
        <w:br/>
      </w:r>
      <w:r>
        <w:t>Australasian Railway Association</w:t>
      </w:r>
    </w:p>
    <w:p w14:paraId="6F99B19B" w14:textId="3568EA83" w:rsidR="00C77B8F" w:rsidRDefault="39805C2D" w:rsidP="00547667">
      <w:pPr>
        <w:spacing w:before="360"/>
        <w:rPr>
          <w:rFonts w:eastAsia="Calibri" w:cs="Calibri"/>
          <w:lang w:val="en-US"/>
        </w:rPr>
      </w:pPr>
      <w:r w:rsidRPr="4F9F5C11">
        <w:rPr>
          <w:lang w:val="en-US"/>
        </w:rPr>
        <w:t>Stakeholders suggested that as part of improving its post-completion review responsibility, Infrastructure Australia have regard to the UK</w:t>
      </w:r>
      <w:r w:rsidR="2B6E9723" w:rsidRPr="4F9F5C11">
        <w:rPr>
          <w:lang w:val="en-US"/>
        </w:rPr>
        <w:t xml:space="preserve"> </w:t>
      </w:r>
      <w:r w:rsidR="09FF18B3" w:rsidRPr="4F9F5C11">
        <w:rPr>
          <w:lang w:val="en-US"/>
        </w:rPr>
        <w:t>IPA</w:t>
      </w:r>
      <w:r w:rsidRPr="4F9F5C11">
        <w:rPr>
          <w:lang w:val="en-US"/>
        </w:rPr>
        <w:t xml:space="preserve">’s </w:t>
      </w:r>
      <w:hyperlink r:id="rId31">
        <w:r w:rsidRPr="4F9F5C11">
          <w:rPr>
            <w:rStyle w:val="Hyperlink"/>
            <w:lang w:val="en-US"/>
          </w:rPr>
          <w:t xml:space="preserve">Project </w:t>
        </w:r>
        <w:proofErr w:type="spellStart"/>
        <w:r w:rsidRPr="4F9F5C11">
          <w:rPr>
            <w:rStyle w:val="Hyperlink"/>
            <w:lang w:val="en-US"/>
          </w:rPr>
          <w:t>Routemap</w:t>
        </w:r>
        <w:proofErr w:type="spellEnd"/>
      </w:hyperlink>
      <w:r w:rsidRPr="4F9F5C11">
        <w:rPr>
          <w:lang w:val="en-US"/>
        </w:rPr>
        <w:t xml:space="preserve">. Project </w:t>
      </w:r>
      <w:proofErr w:type="spellStart"/>
      <w:r w:rsidRPr="4F9F5C11">
        <w:rPr>
          <w:lang w:val="en-US"/>
        </w:rPr>
        <w:t>Routemap</w:t>
      </w:r>
      <w:proofErr w:type="spellEnd"/>
      <w:r w:rsidRPr="4F9F5C11">
        <w:rPr>
          <w:lang w:val="en-US"/>
        </w:rPr>
        <w:t xml:space="preserve"> is the UK IPA’s support tool for novel or complex major projects that helps proponents understand capabilities </w:t>
      </w:r>
      <w:r w:rsidR="00ED32BA">
        <w:rPr>
          <w:lang w:val="en-US"/>
        </w:rPr>
        <w:t>required</w:t>
      </w:r>
      <w:r w:rsidRPr="4F9F5C11">
        <w:rPr>
          <w:lang w:val="en-US"/>
        </w:rPr>
        <w:t xml:space="preserve"> to set up projects for success, capturing best practice and learning about project failures and successes from ove</w:t>
      </w:r>
      <w:r w:rsidRPr="4F9F5C11">
        <w:rPr>
          <w:rFonts w:eastAsiaTheme="minorEastAsia"/>
          <w:lang w:val="en-US"/>
        </w:rPr>
        <w:t xml:space="preserve">r £300 billion of </w:t>
      </w:r>
      <w:r w:rsidRPr="4F9F5C11">
        <w:rPr>
          <w:rFonts w:eastAsia="Calibri" w:cs="Calibri"/>
          <w:lang w:val="en-US"/>
        </w:rPr>
        <w:t xml:space="preserve">capital programs. The </w:t>
      </w:r>
      <w:proofErr w:type="spellStart"/>
      <w:r w:rsidRPr="4F9F5C11">
        <w:rPr>
          <w:rFonts w:eastAsia="Calibri" w:cs="Calibri"/>
          <w:lang w:val="en-US"/>
        </w:rPr>
        <w:t>Routemap’s</w:t>
      </w:r>
      <w:proofErr w:type="spellEnd"/>
      <w:r w:rsidRPr="4F9F5C11">
        <w:rPr>
          <w:rFonts w:eastAsia="Calibri" w:cs="Calibri"/>
          <w:lang w:val="en-US"/>
        </w:rPr>
        <w:t xml:space="preserve"> intended audience includes proponents and teams wanting to learn from other projects and sectors to improve delivery.</w:t>
      </w:r>
    </w:p>
    <w:p w14:paraId="743ABB9A" w14:textId="77777777" w:rsidR="00C77B8F" w:rsidRDefault="6F71BE24" w:rsidP="00C77B8F">
      <w:pPr>
        <w:pStyle w:val="Heading3notshowing"/>
      </w:pPr>
      <w:bookmarkStart w:id="73" w:name="_Hlk115386106"/>
      <w:r>
        <w:t>Recommendation 7</w:t>
      </w:r>
    </w:p>
    <w:p w14:paraId="1E154E2E" w14:textId="2A151D8D" w:rsidR="00C77B8F" w:rsidRPr="003F08CD" w:rsidRDefault="6F71BE24" w:rsidP="003F08CD">
      <w:pPr>
        <w:keepNext/>
        <w:keepLines/>
        <w:pBdr>
          <w:top w:val="single" w:sz="4" w:space="1" w:color="4BB3B5"/>
          <w:left w:val="single" w:sz="4" w:space="4" w:color="4BB3B5"/>
          <w:bottom w:val="single" w:sz="4" w:space="1" w:color="4BB3B5"/>
          <w:right w:val="single" w:sz="4" w:space="4" w:color="4BB3B5"/>
        </w:pBdr>
        <w:spacing w:after="120"/>
        <w:rPr>
          <w:rFonts w:eastAsia="PMingLiU" w:cs="Mangal"/>
          <w:lang w:eastAsia="zh-TW"/>
        </w:rPr>
      </w:pPr>
      <w:r>
        <w:t>The Review recommends that Infrastructure Australia develop</w:t>
      </w:r>
      <w:r w:rsidR="0AD54A07">
        <w:t>s</w:t>
      </w:r>
      <w:r>
        <w:t xml:space="preserve"> a national planning and assessment framework, providing uniform guidelines based on best practice to support national consistency and coordination in infrastructure assessment. This work must have regard </w:t>
      </w:r>
      <w:r w:rsidRPr="4F9F5C11">
        <w:rPr>
          <w:rFonts w:eastAsia="Calibri" w:cs="Calibri"/>
          <w:lang w:val="en-US"/>
        </w:rPr>
        <w:t>to and build in the broader government infrastructure objectives as outlined in the Charter and the Plan</w:t>
      </w:r>
      <w:r w:rsidR="003F08CD">
        <w:rPr>
          <w:rFonts w:eastAsia="PMingLiU" w:cs="Mangal"/>
          <w:lang w:eastAsia="zh-TW"/>
        </w:rPr>
        <w:t xml:space="preserve">. </w:t>
      </w:r>
    </w:p>
    <w:p w14:paraId="16A88198" w14:textId="2C088FB2" w:rsidR="00C77B8F" w:rsidRDefault="6F71BE24" w:rsidP="00C77B8F">
      <w:pPr>
        <w:pStyle w:val="Heading3notshowing"/>
      </w:pPr>
      <w:r>
        <w:t>Recommendation 8</w:t>
      </w:r>
    </w:p>
    <w:p w14:paraId="598074C4" w14:textId="59734778" w:rsidR="00C77B8F" w:rsidRDefault="6F71BE24" w:rsidP="00C77B8F">
      <w:pPr>
        <w:keepNext/>
        <w:keepLines/>
        <w:pBdr>
          <w:top w:val="single" w:sz="4" w:space="1" w:color="4BB3B5"/>
          <w:left w:val="single" w:sz="4" w:space="4" w:color="4BB3B5"/>
          <w:bottom w:val="single" w:sz="4" w:space="1" w:color="4BB3B5"/>
          <w:right w:val="single" w:sz="4" w:space="4" w:color="4BB3B5"/>
        </w:pBdr>
        <w:spacing w:after="120"/>
        <w:rPr>
          <w:lang w:val="en-US"/>
        </w:rPr>
      </w:pPr>
      <w:r w:rsidRPr="4F9F5C11">
        <w:rPr>
          <w:lang w:val="en-US"/>
        </w:rPr>
        <w:t>The Review recommends that Infrastructure Australia’s role in the project assessment context becomes one of accreditation or peer-review, acknowledging that many state and territories have developed their own project assessment capabilities. Such arrangements should apply across all projects, including those involving Commonwealth investments of over $250 million or recognised as ‘nationally significant’.</w:t>
      </w:r>
    </w:p>
    <w:p w14:paraId="42FAA6DD" w14:textId="589B73BA" w:rsidR="00C77B8F" w:rsidRPr="00C77B8F" w:rsidRDefault="6F71BE24" w:rsidP="00C77B8F">
      <w:pPr>
        <w:keepNext/>
        <w:keepLines/>
        <w:pBdr>
          <w:top w:val="single" w:sz="4" w:space="1" w:color="4BB3B5"/>
          <w:left w:val="single" w:sz="4" w:space="4" w:color="4BB3B5"/>
          <w:bottom w:val="single" w:sz="4" w:space="1" w:color="4BB3B5"/>
          <w:right w:val="single" w:sz="4" w:space="4" w:color="4BB3B5"/>
        </w:pBdr>
        <w:spacing w:after="120"/>
        <w:rPr>
          <w:rFonts w:eastAsia="PMingLiU" w:cs="Mangal"/>
          <w:lang w:eastAsia="zh-TW"/>
        </w:rPr>
      </w:pPr>
      <w:r w:rsidRPr="4F9F5C11">
        <w:rPr>
          <w:rFonts w:eastAsia="PMingLiU" w:cs="Mangal"/>
          <w:lang w:eastAsia="zh-TW"/>
        </w:rPr>
        <w:t xml:space="preserve">Where </w:t>
      </w:r>
      <w:r w:rsidRPr="4F9F5C11">
        <w:rPr>
          <w:rFonts w:eastAsia="Calibri" w:cs="Calibri"/>
          <w:lang w:val="en-US"/>
        </w:rPr>
        <w:t>a state or territory framework does not provide the necessary assurance or have not been accredited and the project involves Commonwealth investments of over $250 million or is recognised as ‘nationally significant’</w:t>
      </w:r>
      <w:r w:rsidR="00D4499A">
        <w:rPr>
          <w:rFonts w:eastAsia="Calibri" w:cs="Calibri"/>
          <w:lang w:val="en-US"/>
        </w:rPr>
        <w:t>,</w:t>
      </w:r>
      <w:r w:rsidRPr="4F9F5C11">
        <w:rPr>
          <w:rFonts w:eastAsia="Calibri" w:cs="Calibri"/>
          <w:lang w:val="en-US"/>
        </w:rPr>
        <w:t xml:space="preserve"> Infrastructure Australia will undertake a full assessment</w:t>
      </w:r>
      <w:r w:rsidRPr="4F9F5C11">
        <w:rPr>
          <w:lang w:val="en-US"/>
        </w:rPr>
        <w:t>. Infrastructure Australia’s assessment must be against the Charter objectives and strategies as outlined in the Plan.</w:t>
      </w:r>
    </w:p>
    <w:p w14:paraId="7A3D78C3" w14:textId="77777777" w:rsidR="00C77B8F" w:rsidRDefault="6F71BE24" w:rsidP="00C77B8F">
      <w:pPr>
        <w:pStyle w:val="Heading3notshowing"/>
      </w:pPr>
      <w:r>
        <w:t>Recommendation 9</w:t>
      </w:r>
    </w:p>
    <w:p w14:paraId="234ED77D" w14:textId="30AB6876" w:rsidR="00C77B8F" w:rsidRPr="006A2866" w:rsidRDefault="6F71BE24" w:rsidP="00C77B8F">
      <w:pPr>
        <w:keepNext/>
        <w:keepLines/>
        <w:pBdr>
          <w:top w:val="single" w:sz="4" w:space="1" w:color="4BB3B5"/>
          <w:left w:val="single" w:sz="4" w:space="4" w:color="4BB3B5"/>
          <w:bottom w:val="single" w:sz="4" w:space="1" w:color="4BB3B5"/>
          <w:right w:val="single" w:sz="4" w:space="4" w:color="4BB3B5"/>
        </w:pBdr>
        <w:spacing w:after="120"/>
        <w:rPr>
          <w:rFonts w:eastAsia="PMingLiU" w:cs="Mangal"/>
          <w:lang w:eastAsia="zh-TW"/>
        </w:rPr>
      </w:pPr>
      <w:r>
        <w:t>The Review also recommends that, reflecting Infrastructure Australia’s role as the national advisor, it adopts a much more active role in the post-completion stage through having a clear national evaluation and assurance role against the Charter and Plan</w:t>
      </w:r>
      <w:r w:rsidRPr="4F9F5C11">
        <w:rPr>
          <w:lang w:val="en-US"/>
        </w:rPr>
        <w:t>.</w:t>
      </w:r>
    </w:p>
    <w:p w14:paraId="2E4C783B" w14:textId="77777777" w:rsidR="001C0B0C" w:rsidRDefault="5564B82B" w:rsidP="001C0B0C">
      <w:pPr>
        <w:pStyle w:val="Heading3"/>
      </w:pPr>
      <w:bookmarkStart w:id="74" w:name="_Toc115379977"/>
      <w:bookmarkStart w:id="75" w:name="_Toc124783619"/>
      <w:bookmarkEnd w:id="73"/>
      <w:r>
        <w:t>Collaboration with state and territory infrastructure bodies</w:t>
      </w:r>
      <w:bookmarkEnd w:id="74"/>
      <w:bookmarkEnd w:id="75"/>
      <w:r>
        <w:t xml:space="preserve"> </w:t>
      </w:r>
    </w:p>
    <w:p w14:paraId="46AD2A1A" w14:textId="5633E1A7" w:rsidR="00EB7535" w:rsidRDefault="41F4215C" w:rsidP="00EB7535">
      <w:pPr>
        <w:rPr>
          <w:lang w:val="en-US"/>
        </w:rPr>
      </w:pPr>
      <w:r w:rsidRPr="4F9F5C11">
        <w:rPr>
          <w:lang w:val="en-US"/>
        </w:rPr>
        <w:t xml:space="preserve">While the </w:t>
      </w:r>
      <w:r w:rsidR="7A40C4B2" w:rsidRPr="4F9F5C11">
        <w:rPr>
          <w:lang w:val="en-US"/>
        </w:rPr>
        <w:t xml:space="preserve">Australian </w:t>
      </w:r>
      <w:r w:rsidRPr="4F9F5C11">
        <w:rPr>
          <w:lang w:val="en-US"/>
        </w:rPr>
        <w:t>Government provides funding for nationally significant infrastructure projects, state and territory governments have primary responsibility for planning and delivery of infrastructure in their jurisdictions.</w:t>
      </w:r>
    </w:p>
    <w:p w14:paraId="7C3509E6" w14:textId="65640A97" w:rsidR="00CD2038" w:rsidRDefault="41F4215C" w:rsidP="00EB7535">
      <w:pPr>
        <w:rPr>
          <w:lang w:val="en-US"/>
        </w:rPr>
      </w:pPr>
      <w:r w:rsidRPr="4F9F5C11">
        <w:rPr>
          <w:lang w:val="en-US"/>
        </w:rPr>
        <w:t>Noting the divided responsibilities for infrastructure across governments, Infrastructure Australia was established with the function of providing independent advice on Australia’s infrastructure needs to all levels of government, investors and owners of infrastructure. This, to some degree, has resulted in Infrastructure Australia attempting to be all things to all people, resulting in it</w:t>
      </w:r>
      <w:r w:rsidR="0229BE9F" w:rsidRPr="4F9F5C11">
        <w:rPr>
          <w:lang w:val="en-US"/>
        </w:rPr>
        <w:t xml:space="preserve"> being seen by some as</w:t>
      </w:r>
      <w:r w:rsidRPr="4F9F5C11">
        <w:rPr>
          <w:lang w:val="en-US"/>
        </w:rPr>
        <w:t xml:space="preserve"> losing its way.</w:t>
      </w:r>
    </w:p>
    <w:p w14:paraId="3B9FC075" w14:textId="4EA8E8C5" w:rsidR="00CD2038" w:rsidRDefault="6F71BE24" w:rsidP="00CD2038">
      <w:pPr>
        <w:rPr>
          <w:lang w:val="en-US"/>
        </w:rPr>
      </w:pPr>
      <w:r w:rsidRPr="4F9F5C11">
        <w:rPr>
          <w:lang w:val="en-US"/>
        </w:rPr>
        <w:t>In relation to the I-bodies, a</w:t>
      </w:r>
      <w:r w:rsidR="41F4215C" w:rsidRPr="4F9F5C11">
        <w:rPr>
          <w:lang w:val="en-US"/>
        </w:rPr>
        <w:t>n</w:t>
      </w:r>
      <w:r w:rsidRPr="4F9F5C11">
        <w:rPr>
          <w:lang w:val="en-US"/>
        </w:rPr>
        <w:t>other</w:t>
      </w:r>
      <w:r w:rsidR="41F4215C" w:rsidRPr="4F9F5C11">
        <w:rPr>
          <w:lang w:val="en-US"/>
        </w:rPr>
        <w:t xml:space="preserve"> area of focus for the Review, and a common theme emerging during consultations, was consideration </w:t>
      </w:r>
      <w:r w:rsidRPr="4F9F5C11">
        <w:rPr>
          <w:lang w:val="en-US"/>
        </w:rPr>
        <w:t xml:space="preserve">of collaboration between </w:t>
      </w:r>
      <w:r w:rsidR="41F4215C" w:rsidRPr="4F9F5C11">
        <w:rPr>
          <w:lang w:val="en-US"/>
        </w:rPr>
        <w:t xml:space="preserve">Infrastructure Australia </w:t>
      </w:r>
      <w:r w:rsidRPr="4F9F5C11">
        <w:rPr>
          <w:lang w:val="en-US"/>
        </w:rPr>
        <w:t>and the</w:t>
      </w:r>
      <w:r w:rsidR="41F4215C" w:rsidRPr="4F9F5C11">
        <w:rPr>
          <w:lang w:val="en-US"/>
        </w:rPr>
        <w:t xml:space="preserve"> </w:t>
      </w:r>
      <w:r w:rsidRPr="4F9F5C11">
        <w:rPr>
          <w:lang w:val="en-US"/>
        </w:rPr>
        <w:t>I</w:t>
      </w:r>
      <w:r w:rsidR="41F4215C" w:rsidRPr="4F9F5C11">
        <w:rPr>
          <w:lang w:val="en-US"/>
        </w:rPr>
        <w:t>-bodies</w:t>
      </w:r>
      <w:r w:rsidRPr="4F9F5C11">
        <w:rPr>
          <w:lang w:val="en-US"/>
        </w:rPr>
        <w:t>.</w:t>
      </w:r>
      <w:r w:rsidR="4BE33DF2" w:rsidRPr="4F9F5C11">
        <w:rPr>
          <w:lang w:val="en-US"/>
        </w:rPr>
        <w:t xml:space="preserve"> </w:t>
      </w:r>
      <w:r w:rsidR="41F4215C" w:rsidRPr="4F9F5C11">
        <w:rPr>
          <w:lang w:val="en-US"/>
        </w:rPr>
        <w:t>Stakeholders identified one of I</w:t>
      </w:r>
      <w:r w:rsidR="41CC058B" w:rsidRPr="4F9F5C11">
        <w:rPr>
          <w:lang w:val="en-US"/>
        </w:rPr>
        <w:t xml:space="preserve">nfrastructure </w:t>
      </w:r>
      <w:r w:rsidR="41F4215C" w:rsidRPr="4F9F5C11">
        <w:rPr>
          <w:lang w:val="en-US"/>
        </w:rPr>
        <w:t>A</w:t>
      </w:r>
      <w:r w:rsidR="76F6453C" w:rsidRPr="4F9F5C11">
        <w:rPr>
          <w:lang w:val="en-US"/>
        </w:rPr>
        <w:t>ustralia</w:t>
      </w:r>
      <w:r w:rsidR="41F4215C" w:rsidRPr="4F9F5C11">
        <w:rPr>
          <w:lang w:val="en-US"/>
        </w:rPr>
        <w:t>’s key strengths as its ability to provide leadership on cross-cutting infrastructure matters. I</w:t>
      </w:r>
      <w:r w:rsidR="77ACB32B" w:rsidRPr="4F9F5C11">
        <w:rPr>
          <w:lang w:val="en-US"/>
        </w:rPr>
        <w:t xml:space="preserve">nfrastructure </w:t>
      </w:r>
      <w:r w:rsidR="41F4215C" w:rsidRPr="4F9F5C11">
        <w:rPr>
          <w:lang w:val="en-US"/>
        </w:rPr>
        <w:t>A</w:t>
      </w:r>
      <w:r w:rsidR="14EC29C1" w:rsidRPr="4F9F5C11">
        <w:rPr>
          <w:lang w:val="en-US"/>
        </w:rPr>
        <w:t>ustralia</w:t>
      </w:r>
      <w:r w:rsidR="41F4215C" w:rsidRPr="4F9F5C11">
        <w:rPr>
          <w:lang w:val="en-US"/>
        </w:rPr>
        <w:t>’s recent research on infrastructure market capacity was highlighted as an example of I</w:t>
      </w:r>
      <w:r w:rsidR="10F0BA3B" w:rsidRPr="4F9F5C11">
        <w:rPr>
          <w:lang w:val="en-US"/>
        </w:rPr>
        <w:t xml:space="preserve">nfrastructure </w:t>
      </w:r>
      <w:r w:rsidR="41F4215C" w:rsidRPr="4F9F5C11">
        <w:rPr>
          <w:lang w:val="en-US"/>
        </w:rPr>
        <w:t>A</w:t>
      </w:r>
      <w:r w:rsidR="702412F8" w:rsidRPr="4F9F5C11">
        <w:rPr>
          <w:lang w:val="en-US"/>
        </w:rPr>
        <w:t>ustralia</w:t>
      </w:r>
      <w:r w:rsidR="41F4215C" w:rsidRPr="4F9F5C11">
        <w:rPr>
          <w:lang w:val="en-US"/>
        </w:rPr>
        <w:t>’s ability to support the work of both Commonwealth and state</w:t>
      </w:r>
      <w:r w:rsidR="69ACB5A5" w:rsidRPr="4F9F5C11">
        <w:rPr>
          <w:lang w:val="en-US"/>
        </w:rPr>
        <w:t xml:space="preserve"> and territory</w:t>
      </w:r>
      <w:r w:rsidR="41F4215C" w:rsidRPr="4F9F5C11">
        <w:rPr>
          <w:lang w:val="en-US"/>
        </w:rPr>
        <w:t xml:space="preserve"> agencies through cross-sectoral analysis and identification of interdependencies.</w:t>
      </w:r>
    </w:p>
    <w:p w14:paraId="7AA7263C" w14:textId="08F4A1C8" w:rsidR="00CD2038" w:rsidRDefault="41F4215C" w:rsidP="00CD2038">
      <w:pPr>
        <w:rPr>
          <w:lang w:val="en-US"/>
        </w:rPr>
      </w:pPr>
      <w:r w:rsidRPr="4F9F5C11">
        <w:rPr>
          <w:lang w:val="en-US"/>
        </w:rPr>
        <w:t>I</w:t>
      </w:r>
      <w:r w:rsidR="1973DE32" w:rsidRPr="4F9F5C11">
        <w:rPr>
          <w:lang w:val="en-US"/>
        </w:rPr>
        <w:t xml:space="preserve">nfrastructure </w:t>
      </w:r>
      <w:r w:rsidRPr="4F9F5C11">
        <w:rPr>
          <w:lang w:val="en-US"/>
        </w:rPr>
        <w:t>A</w:t>
      </w:r>
      <w:r w:rsidR="1EBD0EF4" w:rsidRPr="4F9F5C11">
        <w:rPr>
          <w:lang w:val="en-US"/>
        </w:rPr>
        <w:t>ustralia</w:t>
      </w:r>
      <w:r w:rsidRPr="4F9F5C11">
        <w:rPr>
          <w:lang w:val="en-US"/>
        </w:rPr>
        <w:t>’s extensive stakeholder networks and its standing with industry were also seen as key strengths. Stakeholders appreciated I</w:t>
      </w:r>
      <w:r w:rsidR="581138BD" w:rsidRPr="4F9F5C11">
        <w:rPr>
          <w:lang w:val="en-US"/>
        </w:rPr>
        <w:t xml:space="preserve">nfrastructure </w:t>
      </w:r>
      <w:r w:rsidRPr="4F9F5C11">
        <w:rPr>
          <w:lang w:val="en-US"/>
        </w:rPr>
        <w:t>A</w:t>
      </w:r>
      <w:r w:rsidR="713E8B60" w:rsidRPr="4F9F5C11">
        <w:rPr>
          <w:lang w:val="en-US"/>
        </w:rPr>
        <w:t>ustralia</w:t>
      </w:r>
      <w:r w:rsidRPr="4F9F5C11">
        <w:rPr>
          <w:lang w:val="en-US"/>
        </w:rPr>
        <w:t xml:space="preserve">’s efforts in building partnerships and convening </w:t>
      </w:r>
      <w:r w:rsidRPr="4F9F5C11">
        <w:rPr>
          <w:lang w:val="en-US"/>
        </w:rPr>
        <w:lastRenderedPageBreak/>
        <w:t>forums that promote collaboration between jurisdictions. Some stakeholders considered I</w:t>
      </w:r>
      <w:r w:rsidR="7A024922" w:rsidRPr="4F9F5C11">
        <w:rPr>
          <w:lang w:val="en-US"/>
        </w:rPr>
        <w:t xml:space="preserve">nfrastructure </w:t>
      </w:r>
      <w:r w:rsidRPr="4F9F5C11">
        <w:rPr>
          <w:lang w:val="en-US"/>
        </w:rPr>
        <w:t>A</w:t>
      </w:r>
      <w:r w:rsidR="7835A977" w:rsidRPr="4F9F5C11">
        <w:rPr>
          <w:lang w:val="en-US"/>
        </w:rPr>
        <w:t>ustralia</w:t>
      </w:r>
      <w:r w:rsidRPr="4F9F5C11">
        <w:rPr>
          <w:lang w:val="en-US"/>
        </w:rPr>
        <w:t>’s leadership and guidance had been instrumental in building capability and capacity across Australia’s infrastructure sector to an international standard.</w:t>
      </w:r>
    </w:p>
    <w:p w14:paraId="7972D4EA" w14:textId="26D47224" w:rsidR="00CD2038" w:rsidRPr="00B041CB" w:rsidRDefault="41F4215C" w:rsidP="00CD2038">
      <w:pPr>
        <w:pStyle w:val="Heading4"/>
      </w:pPr>
      <w:bookmarkStart w:id="76" w:name="_Establishing_an_‘I-bodies’"/>
      <w:bookmarkStart w:id="77" w:name="_Toc115379978"/>
      <w:bookmarkStart w:id="78" w:name="_Toc124783620"/>
      <w:bookmarkEnd w:id="76"/>
      <w:r>
        <w:t>Establishing an ‘</w:t>
      </w:r>
      <w:r w:rsidR="4BE33DF2">
        <w:t>I</w:t>
      </w:r>
      <w:r>
        <w:t>-bodies’ council</w:t>
      </w:r>
      <w:bookmarkEnd w:id="77"/>
      <w:bookmarkEnd w:id="78"/>
    </w:p>
    <w:p w14:paraId="455EFE6F" w14:textId="66CC9D03" w:rsidR="00CD2038" w:rsidRDefault="41F4215C" w:rsidP="00CD2038">
      <w:pPr>
        <w:rPr>
          <w:lang w:val="en-US"/>
        </w:rPr>
      </w:pPr>
      <w:r w:rsidRPr="4F9F5C11">
        <w:rPr>
          <w:lang w:val="en-US"/>
        </w:rPr>
        <w:t>A number of stakeholders suggested a more formal relationship between I</w:t>
      </w:r>
      <w:r w:rsidR="2543F933" w:rsidRPr="4F9F5C11">
        <w:rPr>
          <w:lang w:val="en-US"/>
        </w:rPr>
        <w:t xml:space="preserve">nfrastructure </w:t>
      </w:r>
      <w:r w:rsidRPr="4F9F5C11">
        <w:rPr>
          <w:lang w:val="en-US"/>
        </w:rPr>
        <w:t>A</w:t>
      </w:r>
      <w:r w:rsidR="1AF95B53" w:rsidRPr="4F9F5C11">
        <w:rPr>
          <w:lang w:val="en-US"/>
        </w:rPr>
        <w:t>ustralia</w:t>
      </w:r>
      <w:r w:rsidRPr="4F9F5C11">
        <w:rPr>
          <w:lang w:val="en-US"/>
        </w:rPr>
        <w:t xml:space="preserve"> and </w:t>
      </w:r>
      <w:r w:rsidR="38ED21F4" w:rsidRPr="4F9F5C11">
        <w:rPr>
          <w:lang w:val="en-US"/>
        </w:rPr>
        <w:t>I</w:t>
      </w:r>
      <w:r w:rsidRPr="4F9F5C11">
        <w:rPr>
          <w:lang w:val="en-US"/>
        </w:rPr>
        <w:t>-bodies would encourage closer collaboration and lead to better coordination and integration processes. For example, I</w:t>
      </w:r>
      <w:r w:rsidR="7FAFF0F8" w:rsidRPr="4F9F5C11">
        <w:rPr>
          <w:lang w:val="en-US"/>
        </w:rPr>
        <w:t xml:space="preserve">nfrastructure </w:t>
      </w:r>
      <w:r w:rsidRPr="4F9F5C11">
        <w:rPr>
          <w:lang w:val="en-US"/>
        </w:rPr>
        <w:t>A</w:t>
      </w:r>
      <w:r w:rsidR="0E4D47F3" w:rsidRPr="4F9F5C11">
        <w:rPr>
          <w:lang w:val="en-US"/>
        </w:rPr>
        <w:t>ustralia</w:t>
      </w:r>
      <w:r w:rsidRPr="4F9F5C11">
        <w:rPr>
          <w:lang w:val="en-US"/>
        </w:rPr>
        <w:t xml:space="preserve"> could undertake a stronger ‘top down’ approach on national issues while states focus on a ‘bottom up’ approach.</w:t>
      </w:r>
    </w:p>
    <w:p w14:paraId="6853B1AD" w14:textId="753311F4" w:rsidR="00CD2038" w:rsidRDefault="41F4215C" w:rsidP="00CD2038">
      <w:r w:rsidRPr="4F9F5C11">
        <w:rPr>
          <w:lang w:val="en-US"/>
        </w:rPr>
        <w:t xml:space="preserve">One option for </w:t>
      </w:r>
      <w:proofErr w:type="spellStart"/>
      <w:r w:rsidRPr="4F9F5C11">
        <w:rPr>
          <w:lang w:val="en-US"/>
        </w:rPr>
        <w:t>formalising</w:t>
      </w:r>
      <w:proofErr w:type="spellEnd"/>
      <w:r w:rsidRPr="4F9F5C11">
        <w:rPr>
          <w:lang w:val="en-US"/>
        </w:rPr>
        <w:t xml:space="preserve"> the relationship would be to establish a council of </w:t>
      </w:r>
      <w:r w:rsidR="4BE33DF2" w:rsidRPr="4F9F5C11">
        <w:rPr>
          <w:lang w:val="en-US"/>
        </w:rPr>
        <w:t>I</w:t>
      </w:r>
      <w:r w:rsidRPr="4F9F5C11">
        <w:rPr>
          <w:lang w:val="en-US"/>
        </w:rPr>
        <w:t>-bodies (or infrastructure advisors), led by I</w:t>
      </w:r>
      <w:r w:rsidR="5F224B84" w:rsidRPr="4F9F5C11">
        <w:rPr>
          <w:lang w:val="en-US"/>
        </w:rPr>
        <w:t xml:space="preserve">nfrastructure </w:t>
      </w:r>
      <w:r w:rsidRPr="4F9F5C11">
        <w:rPr>
          <w:lang w:val="en-US"/>
        </w:rPr>
        <w:t>A</w:t>
      </w:r>
      <w:r w:rsidR="141A3C4B" w:rsidRPr="4F9F5C11">
        <w:rPr>
          <w:lang w:val="en-US"/>
        </w:rPr>
        <w:t>ustralia</w:t>
      </w:r>
      <w:r w:rsidRPr="4F9F5C11">
        <w:rPr>
          <w:lang w:val="en-US"/>
        </w:rPr>
        <w:t xml:space="preserve"> with representatives from each jurisdiction. The council could have a focus on national infrastructure matters and coordinating strategic responses to cross-jurisdictional challenges, as well as sharing of information and data and promoting best practice. This model would build on I</w:t>
      </w:r>
      <w:r w:rsidR="533BEF4C" w:rsidRPr="4F9F5C11">
        <w:rPr>
          <w:lang w:val="en-US"/>
        </w:rPr>
        <w:t xml:space="preserve">nfrastructure </w:t>
      </w:r>
      <w:r w:rsidRPr="4F9F5C11">
        <w:rPr>
          <w:lang w:val="en-US"/>
        </w:rPr>
        <w:t>A</w:t>
      </w:r>
      <w:r w:rsidR="2938153C" w:rsidRPr="4F9F5C11">
        <w:rPr>
          <w:lang w:val="en-US"/>
        </w:rPr>
        <w:t>ustralia</w:t>
      </w:r>
      <w:r w:rsidRPr="4F9F5C11">
        <w:rPr>
          <w:lang w:val="en-US"/>
        </w:rPr>
        <w:t>’s efforts to promote collaboration and strengthen its role as national leader in infrastructure policy and planning. It would also provide I</w:t>
      </w:r>
      <w:r w:rsidR="733C66EC" w:rsidRPr="4F9F5C11">
        <w:rPr>
          <w:lang w:val="en-US"/>
        </w:rPr>
        <w:t xml:space="preserve">nfrastructure </w:t>
      </w:r>
      <w:r w:rsidRPr="4F9F5C11">
        <w:rPr>
          <w:lang w:val="en-US"/>
        </w:rPr>
        <w:t>A</w:t>
      </w:r>
      <w:r w:rsidR="30B87B85" w:rsidRPr="4F9F5C11">
        <w:rPr>
          <w:lang w:val="en-US"/>
        </w:rPr>
        <w:t>ustralia</w:t>
      </w:r>
      <w:r w:rsidRPr="4F9F5C11">
        <w:rPr>
          <w:lang w:val="en-US"/>
        </w:rPr>
        <w:t xml:space="preserve"> with a deeper understanding of the role and function of states and territories. </w:t>
      </w:r>
      <w:r>
        <w:t>Such a council could either be formalised in the IA Act or be made a sub-committee of the Board.</w:t>
      </w:r>
    </w:p>
    <w:p w14:paraId="00C401E9" w14:textId="4F7B5E56" w:rsidR="00CD2038" w:rsidRPr="00B223D5" w:rsidRDefault="41F4215C" w:rsidP="00CD2038">
      <w:pPr>
        <w:pBdr>
          <w:left w:val="single" w:sz="48" w:space="22" w:color="4BB3B5"/>
        </w:pBdr>
        <w:suppressAutoHyphens/>
        <w:spacing w:before="160"/>
        <w:ind w:left="567" w:right="567"/>
      </w:pPr>
      <w:r w:rsidRPr="4F9F5C11">
        <w:rPr>
          <w:rStyle w:val="QuoteChar"/>
        </w:rPr>
        <w:t>Strengthening I</w:t>
      </w:r>
      <w:r w:rsidR="19137C48" w:rsidRPr="4F9F5C11">
        <w:rPr>
          <w:rStyle w:val="QuoteChar"/>
        </w:rPr>
        <w:t xml:space="preserve">nfrastructure </w:t>
      </w:r>
      <w:r w:rsidRPr="4F9F5C11">
        <w:rPr>
          <w:rStyle w:val="QuoteChar"/>
        </w:rPr>
        <w:t>A</w:t>
      </w:r>
      <w:r w:rsidR="24F99419" w:rsidRPr="4F9F5C11">
        <w:rPr>
          <w:rStyle w:val="QuoteChar"/>
        </w:rPr>
        <w:t>ustralia</w:t>
      </w:r>
      <w:r w:rsidRPr="4F9F5C11">
        <w:rPr>
          <w:rStyle w:val="QuoteChar"/>
        </w:rPr>
        <w:t xml:space="preserve">’s position as a respected and influential independent advisor, and moving toward a ‘federated </w:t>
      </w:r>
      <w:proofErr w:type="spellStart"/>
      <w:r w:rsidRPr="4F9F5C11">
        <w:rPr>
          <w:rStyle w:val="QuoteChar"/>
        </w:rPr>
        <w:t>i</w:t>
      </w:r>
      <w:proofErr w:type="spellEnd"/>
      <w:r w:rsidRPr="4F9F5C11">
        <w:rPr>
          <w:rStyle w:val="QuoteChar"/>
        </w:rPr>
        <w:t>-body model’ in which I</w:t>
      </w:r>
      <w:r w:rsidR="432EE77E" w:rsidRPr="4F9F5C11">
        <w:rPr>
          <w:rStyle w:val="QuoteChar"/>
        </w:rPr>
        <w:t xml:space="preserve">nfrastructure </w:t>
      </w:r>
      <w:r w:rsidRPr="4F9F5C11">
        <w:rPr>
          <w:rStyle w:val="QuoteChar"/>
        </w:rPr>
        <w:t>A</w:t>
      </w:r>
      <w:r w:rsidR="661C7E1A" w:rsidRPr="4F9F5C11">
        <w:rPr>
          <w:rStyle w:val="QuoteChar"/>
        </w:rPr>
        <w:t>ustralia</w:t>
      </w:r>
      <w:r w:rsidRPr="4F9F5C11">
        <w:rPr>
          <w:rStyle w:val="QuoteChar"/>
        </w:rPr>
        <w:t xml:space="preserve"> and state infrastructure bodies work more closely together to </w:t>
      </w:r>
      <w:proofErr w:type="spellStart"/>
      <w:r w:rsidRPr="4F9F5C11">
        <w:rPr>
          <w:rStyle w:val="QuoteChar"/>
        </w:rPr>
        <w:t>strategise</w:t>
      </w:r>
      <w:proofErr w:type="spellEnd"/>
      <w:r w:rsidRPr="4F9F5C11">
        <w:rPr>
          <w:rStyle w:val="QuoteChar"/>
        </w:rPr>
        <w:t xml:space="preserve"> and guide investment, will be critical to positioning Australia to successfully navigate key challenges and capitalise on strategic opportunities over the next 20 years and beyond.</w:t>
      </w:r>
      <w:r w:rsidR="5DE09D53">
        <w:br/>
      </w:r>
      <w:r>
        <w:t>Infrastructure Western Australia</w:t>
      </w:r>
    </w:p>
    <w:p w14:paraId="17DE83AF" w14:textId="1AF2F510" w:rsidR="00CD2038" w:rsidRPr="00A86CB7" w:rsidRDefault="41F4215C" w:rsidP="00547667">
      <w:pPr>
        <w:spacing w:before="360"/>
        <w:rPr>
          <w:lang w:val="en-US"/>
        </w:rPr>
      </w:pPr>
      <w:r w:rsidRPr="4F9F5C11">
        <w:rPr>
          <w:lang w:val="en-US"/>
        </w:rPr>
        <w:t xml:space="preserve">Stakeholders identified a number of processes and activities that would benefit from greater coordination across governments and jurisdictions. A council of </w:t>
      </w:r>
      <w:r w:rsidR="4BE33DF2" w:rsidRPr="4F9F5C11">
        <w:rPr>
          <w:lang w:val="en-US"/>
        </w:rPr>
        <w:t>I</w:t>
      </w:r>
      <w:r w:rsidRPr="4F9F5C11">
        <w:rPr>
          <w:lang w:val="en-US"/>
        </w:rPr>
        <w:t>-bodies might play a valuable role in facilitating some of these activities, including:</w:t>
      </w:r>
    </w:p>
    <w:p w14:paraId="4E6E83E6" w14:textId="0F565529" w:rsidR="00CD2038" w:rsidRPr="00834717" w:rsidRDefault="33BD1497" w:rsidP="009B5758">
      <w:pPr>
        <w:pStyle w:val="Listparagraphbullets"/>
        <w:ind w:left="567" w:hanging="567"/>
      </w:pPr>
      <w:r w:rsidRPr="00834717">
        <w:t>s</w:t>
      </w:r>
      <w:r w:rsidR="41F4215C" w:rsidRPr="00834717">
        <w:t>ynchronising national and state planning cycles to strengthen alignment, integration and implementation</w:t>
      </w:r>
    </w:p>
    <w:p w14:paraId="00C6F8A8" w14:textId="7E0DD0D2" w:rsidR="00CD2038" w:rsidRPr="00834717" w:rsidRDefault="6DD4D91C" w:rsidP="009B5758">
      <w:pPr>
        <w:pStyle w:val="Listparagraphbullets"/>
        <w:ind w:left="567" w:hanging="567"/>
      </w:pPr>
      <w:r w:rsidRPr="00834717">
        <w:t>c</w:t>
      </w:r>
      <w:r w:rsidR="41F4215C" w:rsidRPr="00834717">
        <w:t>ross-jurisdictional project coordination activities, including scheduling the delivery of large projects which divert resources away from other jurisdictions</w:t>
      </w:r>
    </w:p>
    <w:p w14:paraId="6C3E004C" w14:textId="78F1A0C7" w:rsidR="00CD2038" w:rsidRPr="00834717" w:rsidRDefault="199A0595" w:rsidP="009B5758">
      <w:pPr>
        <w:pStyle w:val="Listparagraphbullets"/>
        <w:ind w:left="567" w:hanging="567"/>
      </w:pPr>
      <w:r w:rsidRPr="00834717">
        <w:t>i</w:t>
      </w:r>
      <w:r w:rsidR="41F4215C" w:rsidRPr="00834717">
        <w:t>ntegration of national project prioritisation with state infrastructure planning to support the efficient delivery of infrastructure projects</w:t>
      </w:r>
    </w:p>
    <w:p w14:paraId="219E5774" w14:textId="4AE201DE" w:rsidR="00CD2038" w:rsidRDefault="0267B551" w:rsidP="009B5758">
      <w:pPr>
        <w:pStyle w:val="Listparagraphbullets"/>
        <w:ind w:left="567" w:hanging="567"/>
      </w:pPr>
      <w:r w:rsidRPr="00834717">
        <w:t>t</w:t>
      </w:r>
      <w:r w:rsidR="41F4215C" w:rsidRPr="00834717">
        <w:t>argeted policies on cross-cutting infrastructure matters, such as climate change mitigation and adaption, digital technologies, energy transition</w:t>
      </w:r>
      <w:r w:rsidR="41F4215C">
        <w:t xml:space="preserve"> and other areas of national importance.</w:t>
      </w:r>
    </w:p>
    <w:p w14:paraId="528DB51C" w14:textId="38241BE7" w:rsidR="00CD2038" w:rsidRDefault="0E36F567" w:rsidP="00CD2038">
      <w:pPr>
        <w:pStyle w:val="Heading3notshowing"/>
      </w:pPr>
      <w:bookmarkStart w:id="79" w:name="_Hlk115386122"/>
      <w:r>
        <w:t>Recommendation 10</w:t>
      </w:r>
    </w:p>
    <w:p w14:paraId="2169E750" w14:textId="14F968C0" w:rsidR="00CD2038" w:rsidRPr="00CD2038" w:rsidRDefault="62F6240D" w:rsidP="00547667">
      <w:pPr>
        <w:keepLines/>
        <w:pBdr>
          <w:top w:val="single" w:sz="4" w:space="1" w:color="4BB3B5"/>
          <w:left w:val="single" w:sz="4" w:space="4" w:color="4BB3B5"/>
          <w:bottom w:val="single" w:sz="4" w:space="1" w:color="4BB3B5"/>
          <w:right w:val="single" w:sz="4" w:space="4" w:color="4BB3B5"/>
        </w:pBdr>
        <w:spacing w:after="120"/>
        <w:rPr>
          <w:rFonts w:eastAsia="PMingLiU" w:cs="Mangal"/>
          <w:lang w:eastAsia="zh-TW"/>
        </w:rPr>
      </w:pPr>
      <w:r>
        <w:t xml:space="preserve">The Review recommends the formation of an </w:t>
      </w:r>
      <w:r w:rsidR="79A5013A">
        <w:t>I</w:t>
      </w:r>
      <w:r>
        <w:t>-bodies council to enable better collaboration and coordination between Infrastructure Australia and state and territories. This formation could be formalised in the IA Act or be made a sub-committee of the</w:t>
      </w:r>
      <w:r w:rsidR="082DD19D">
        <w:t xml:space="preserve"> </w:t>
      </w:r>
      <w:r>
        <w:t>Board</w:t>
      </w:r>
      <w:r w:rsidR="4B94A4A3">
        <w:t xml:space="preserve"> (see also</w:t>
      </w:r>
      <w:r w:rsidR="2CE13C43">
        <w:t xml:space="preserve"> </w:t>
      </w:r>
      <w:hyperlink w:anchor="_An_appropriate_Board">
        <w:r w:rsidR="2CE13C43" w:rsidRPr="4F9F5C11">
          <w:rPr>
            <w:rStyle w:val="Hyperlink"/>
          </w:rPr>
          <w:t>‘An appropriate Board and governance model’</w:t>
        </w:r>
      </w:hyperlink>
      <w:r w:rsidR="2CE13C43">
        <w:t>)</w:t>
      </w:r>
      <w:r w:rsidRPr="4F9F5C11">
        <w:rPr>
          <w:lang w:val="en-US"/>
        </w:rPr>
        <w:t>.</w:t>
      </w:r>
    </w:p>
    <w:p w14:paraId="76DBB05E" w14:textId="7059F429" w:rsidR="00EB7535" w:rsidRPr="00B041CB" w:rsidRDefault="00547667" w:rsidP="00EB7535">
      <w:pPr>
        <w:pStyle w:val="Heading3"/>
      </w:pPr>
      <w:bookmarkStart w:id="80" w:name="_‘Nationally_significant’_infrastruc"/>
      <w:bookmarkStart w:id="81" w:name="_Toc115379979"/>
      <w:bookmarkStart w:id="82" w:name="_‘Nationally_significant’_infrastructure"/>
      <w:bookmarkEnd w:id="79"/>
      <w:bookmarkEnd w:id="80"/>
      <w:r>
        <w:lastRenderedPageBreak/>
        <w:t xml:space="preserve"> </w:t>
      </w:r>
      <w:bookmarkStart w:id="83" w:name="_Toc124783621"/>
      <w:r w:rsidR="29721C5E">
        <w:t>‘Nationally significant’ infrastructure</w:t>
      </w:r>
      <w:bookmarkEnd w:id="81"/>
      <w:bookmarkEnd w:id="82"/>
      <w:bookmarkEnd w:id="83"/>
    </w:p>
    <w:p w14:paraId="6509EADA" w14:textId="1EBD7D99" w:rsidR="00EB7535" w:rsidRDefault="08D67143" w:rsidP="00547667">
      <w:pPr>
        <w:keepLines/>
        <w:rPr>
          <w:rFonts w:eastAsia="Calibri" w:cs="Calibri"/>
          <w:lang w:val="en-US"/>
        </w:rPr>
      </w:pPr>
      <w:r w:rsidRPr="4F9F5C11">
        <w:rPr>
          <w:rFonts w:eastAsia="Calibri" w:cs="Calibri"/>
          <w:lang w:val="en-US"/>
        </w:rPr>
        <w:t>While there was strong agreement for I</w:t>
      </w:r>
      <w:r w:rsidR="042B144F" w:rsidRPr="4F9F5C11">
        <w:rPr>
          <w:rFonts w:eastAsia="Calibri" w:cs="Calibri"/>
          <w:lang w:val="en-US"/>
        </w:rPr>
        <w:t xml:space="preserve">nfrastructure </w:t>
      </w:r>
      <w:r w:rsidRPr="4F9F5C11">
        <w:rPr>
          <w:rFonts w:eastAsia="Calibri" w:cs="Calibri"/>
          <w:lang w:val="en-US"/>
        </w:rPr>
        <w:t>A</w:t>
      </w:r>
      <w:r w:rsidR="37F6573F" w:rsidRPr="4F9F5C11">
        <w:rPr>
          <w:rFonts w:eastAsia="Calibri" w:cs="Calibri"/>
          <w:lang w:val="en-US"/>
        </w:rPr>
        <w:t>ustralia</w:t>
      </w:r>
      <w:r w:rsidRPr="4F9F5C11">
        <w:rPr>
          <w:rFonts w:eastAsia="Calibri" w:cs="Calibri"/>
          <w:lang w:val="en-US"/>
        </w:rPr>
        <w:t xml:space="preserve"> to advise on projects of ‘national significance’, there was also general agreement among stakeholders that the definition of a ‘national threshold’ required rethinking. Section 5A of the </w:t>
      </w:r>
      <w:r w:rsidR="1B345CFB" w:rsidRPr="4F9F5C11">
        <w:rPr>
          <w:rFonts w:eastAsia="Calibri" w:cs="Calibri"/>
          <w:lang w:val="en-US"/>
        </w:rPr>
        <w:t xml:space="preserve">IA Act </w:t>
      </w:r>
      <w:r w:rsidRPr="4F9F5C11">
        <w:rPr>
          <w:rFonts w:eastAsia="Calibri" w:cs="Calibri"/>
          <w:lang w:val="en-US"/>
        </w:rPr>
        <w:t>states that I</w:t>
      </w:r>
      <w:r w:rsidR="675C055C" w:rsidRPr="4F9F5C11">
        <w:rPr>
          <w:rFonts w:eastAsia="Calibri" w:cs="Calibri"/>
          <w:lang w:val="en-US"/>
        </w:rPr>
        <w:t xml:space="preserve">nfrastructure </w:t>
      </w:r>
      <w:r w:rsidRPr="4F9F5C11">
        <w:rPr>
          <w:rFonts w:eastAsia="Calibri" w:cs="Calibri"/>
          <w:lang w:val="en-US"/>
        </w:rPr>
        <w:t>A</w:t>
      </w:r>
      <w:r w:rsidR="28445D89" w:rsidRPr="4F9F5C11">
        <w:rPr>
          <w:rFonts w:eastAsia="Calibri" w:cs="Calibri"/>
          <w:lang w:val="en-US"/>
        </w:rPr>
        <w:t>ustralia</w:t>
      </w:r>
      <w:r w:rsidRPr="4F9F5C11">
        <w:rPr>
          <w:rFonts w:eastAsia="Calibri" w:cs="Calibri"/>
          <w:lang w:val="en-US"/>
        </w:rPr>
        <w:t xml:space="preserve"> has the function of evaluating proposals for investment in, or enhancements to ‘nationally significant infrastructure’. Section 5C of the </w:t>
      </w:r>
      <w:r w:rsidR="7F8C2B46" w:rsidRPr="4F9F5C11">
        <w:rPr>
          <w:rFonts w:eastAsia="Calibri" w:cs="Calibri"/>
          <w:lang w:val="en-US"/>
        </w:rPr>
        <w:t xml:space="preserve">IA </w:t>
      </w:r>
      <w:r w:rsidRPr="4F9F5C11">
        <w:rPr>
          <w:rFonts w:eastAsia="Calibri" w:cs="Calibri"/>
          <w:lang w:val="en-US"/>
        </w:rPr>
        <w:t>Act states that I</w:t>
      </w:r>
      <w:r w:rsidR="0883CB4E" w:rsidRPr="4F9F5C11">
        <w:rPr>
          <w:rFonts w:eastAsia="Calibri" w:cs="Calibri"/>
          <w:lang w:val="en-US"/>
        </w:rPr>
        <w:t xml:space="preserve">nfrastructure </w:t>
      </w:r>
      <w:r w:rsidRPr="4F9F5C11">
        <w:rPr>
          <w:rFonts w:eastAsia="Calibri" w:cs="Calibri"/>
          <w:lang w:val="en-US"/>
        </w:rPr>
        <w:t>A</w:t>
      </w:r>
      <w:r w:rsidR="25ED52F2" w:rsidRPr="4F9F5C11">
        <w:rPr>
          <w:rFonts w:eastAsia="Calibri" w:cs="Calibri"/>
          <w:lang w:val="en-US"/>
        </w:rPr>
        <w:t>ustralia</w:t>
      </w:r>
      <w:r w:rsidRPr="4F9F5C11">
        <w:rPr>
          <w:rFonts w:eastAsia="Calibri" w:cs="Calibri"/>
          <w:lang w:val="en-US"/>
        </w:rPr>
        <w:t xml:space="preserve"> is to provide advice to the Commonwealth on matters including ‘Australia’s current and future needs and priorities relating to nationally significant infrastructure’. However, apart from </w:t>
      </w:r>
      <w:r w:rsidR="005B2F5C">
        <w:rPr>
          <w:rFonts w:eastAsia="Calibri" w:cs="Calibri"/>
          <w:lang w:val="en-US"/>
        </w:rPr>
        <w:t>S</w:t>
      </w:r>
      <w:r w:rsidRPr="4F9F5C11">
        <w:rPr>
          <w:rFonts w:eastAsia="Calibri" w:cs="Calibri"/>
          <w:lang w:val="en-US"/>
        </w:rPr>
        <w:t xml:space="preserve">ection 3 of the </w:t>
      </w:r>
      <w:r w:rsidR="4D971492" w:rsidRPr="4F9F5C11">
        <w:rPr>
          <w:rFonts w:eastAsia="Calibri" w:cs="Calibri"/>
          <w:lang w:val="en-US"/>
        </w:rPr>
        <w:t xml:space="preserve">IA </w:t>
      </w:r>
      <w:r w:rsidRPr="4F9F5C11">
        <w:rPr>
          <w:rFonts w:eastAsia="Calibri" w:cs="Calibri"/>
          <w:lang w:val="en-US"/>
        </w:rPr>
        <w:t>Act defining ‘nationally significant infrastructure’ to include that of transport, energy, communications and water, there is no clear definition of what constitutes ‘nationally significant infrastructure’ in its own right.</w:t>
      </w:r>
    </w:p>
    <w:p w14:paraId="48838BD4" w14:textId="6C428A9B" w:rsidR="00796DBC" w:rsidRDefault="35C8ABA6" w:rsidP="00796DBC">
      <w:pPr>
        <w:rPr>
          <w:rFonts w:eastAsia="Calibri" w:cs="Calibri"/>
          <w:lang w:val="en-US"/>
        </w:rPr>
      </w:pPr>
      <w:r w:rsidRPr="4F9F5C11">
        <w:rPr>
          <w:rFonts w:eastAsia="Calibri" w:cs="Calibri"/>
          <w:lang w:val="en-US"/>
        </w:rPr>
        <w:t>Currently, I</w:t>
      </w:r>
      <w:r w:rsidR="12BB6672" w:rsidRPr="4F9F5C11">
        <w:rPr>
          <w:rFonts w:eastAsia="Calibri" w:cs="Calibri"/>
          <w:lang w:val="en-US"/>
        </w:rPr>
        <w:t xml:space="preserve">nfrastructure </w:t>
      </w:r>
      <w:r w:rsidRPr="4F9F5C11">
        <w:rPr>
          <w:rFonts w:eastAsia="Calibri" w:cs="Calibri"/>
          <w:lang w:val="en-US"/>
        </w:rPr>
        <w:t>A</w:t>
      </w:r>
      <w:r w:rsidR="4889FE1A" w:rsidRPr="4F9F5C11">
        <w:rPr>
          <w:rFonts w:eastAsia="Calibri" w:cs="Calibri"/>
          <w:lang w:val="en-US"/>
        </w:rPr>
        <w:t>ustralia</w:t>
      </w:r>
      <w:r w:rsidRPr="4F9F5C11">
        <w:rPr>
          <w:rFonts w:eastAsia="Calibri" w:cs="Calibri"/>
          <w:lang w:val="en-US"/>
        </w:rPr>
        <w:t xml:space="preserve"> adopts a practical guide where a proposal is considered to be nationally significant if it concerns a problem or opportunity that will have more than </w:t>
      </w:r>
      <w:r w:rsidRPr="4F9F5C11">
        <w:rPr>
          <w:rFonts w:eastAsia="Calibri" w:cs="Calibri"/>
          <w:b/>
          <w:bCs/>
          <w:lang w:val="en-US"/>
        </w:rPr>
        <w:t>$30 million per annum impact on the economy</w:t>
      </w:r>
      <w:r w:rsidRPr="4F9F5C11">
        <w:rPr>
          <w:rFonts w:eastAsia="Calibri" w:cs="Calibri"/>
          <w:lang w:val="en-US"/>
        </w:rPr>
        <w:t xml:space="preserve"> (nominal, undiscounted). I</w:t>
      </w:r>
      <w:r w:rsidR="581A30B6" w:rsidRPr="4F9F5C11">
        <w:rPr>
          <w:rFonts w:eastAsia="Calibri" w:cs="Calibri"/>
          <w:lang w:val="en-US"/>
        </w:rPr>
        <w:t xml:space="preserve">nfrastructure </w:t>
      </w:r>
      <w:r w:rsidRPr="4F9F5C11">
        <w:rPr>
          <w:rFonts w:eastAsia="Calibri" w:cs="Calibri"/>
          <w:lang w:val="en-US"/>
        </w:rPr>
        <w:t>A</w:t>
      </w:r>
      <w:r w:rsidR="68A29DD2" w:rsidRPr="4F9F5C11">
        <w:rPr>
          <w:rFonts w:eastAsia="Calibri" w:cs="Calibri"/>
          <w:lang w:val="en-US"/>
        </w:rPr>
        <w:t>ustralia</w:t>
      </w:r>
      <w:r w:rsidRPr="4F9F5C11">
        <w:rPr>
          <w:rFonts w:eastAsia="Calibri" w:cs="Calibri"/>
          <w:lang w:val="en-US"/>
        </w:rPr>
        <w:t xml:space="preserve"> will </w:t>
      </w:r>
      <w:r w:rsidR="3088E85D" w:rsidRPr="4F9F5C11">
        <w:rPr>
          <w:rFonts w:eastAsia="Calibri" w:cs="Calibri"/>
          <w:lang w:val="en-US"/>
        </w:rPr>
        <w:t xml:space="preserve">also </w:t>
      </w:r>
      <w:r w:rsidRPr="4F9F5C11">
        <w:rPr>
          <w:rFonts w:eastAsia="Calibri" w:cs="Calibri"/>
          <w:lang w:val="en-US"/>
        </w:rPr>
        <w:t>evaluate all business cases where more than $250 million in Australian Government funding has been committed</w:t>
      </w:r>
      <w:r w:rsidR="714612E6" w:rsidRPr="4F9F5C11">
        <w:rPr>
          <w:rFonts w:eastAsia="Calibri" w:cs="Calibri"/>
          <w:lang w:val="en-US"/>
        </w:rPr>
        <w:t>, as requested by the</w:t>
      </w:r>
      <w:r w:rsidR="3E473CB4" w:rsidRPr="4F9F5C11">
        <w:rPr>
          <w:rFonts w:eastAsia="Calibri" w:cs="Calibri"/>
          <w:lang w:val="en-US"/>
        </w:rPr>
        <w:t xml:space="preserve"> Minister’s</w:t>
      </w:r>
      <w:r w:rsidR="714612E6" w:rsidRPr="4F9F5C11">
        <w:rPr>
          <w:rFonts w:eastAsia="Calibri" w:cs="Calibri"/>
          <w:lang w:val="en-US"/>
        </w:rPr>
        <w:t xml:space="preserve"> </w:t>
      </w:r>
      <w:proofErr w:type="spellStart"/>
      <w:r w:rsidR="714612E6" w:rsidRPr="4F9F5C11">
        <w:rPr>
          <w:rFonts w:eastAsia="Calibri" w:cs="Calibri"/>
          <w:lang w:val="en-US"/>
        </w:rPr>
        <w:t>S</w:t>
      </w:r>
      <w:r w:rsidR="16585C50" w:rsidRPr="4F9F5C11">
        <w:rPr>
          <w:rFonts w:eastAsia="Calibri" w:cs="Calibri"/>
          <w:lang w:val="en-US"/>
        </w:rPr>
        <w:t>oE</w:t>
      </w:r>
      <w:proofErr w:type="spellEnd"/>
      <w:r w:rsidRPr="4F9F5C11">
        <w:rPr>
          <w:rFonts w:eastAsia="Calibri" w:cs="Calibri"/>
          <w:lang w:val="en-US"/>
        </w:rPr>
        <w:t xml:space="preserve">. </w:t>
      </w:r>
    </w:p>
    <w:p w14:paraId="2D3F3097" w14:textId="6C1C99DE" w:rsidR="00796DBC" w:rsidRDefault="31AFA96E" w:rsidP="4F9F5C11">
      <w:pPr>
        <w:rPr>
          <w:rFonts w:eastAsia="Calibri" w:cs="Calibri"/>
          <w:lang w:val="en-US"/>
        </w:rPr>
      </w:pPr>
      <w:r w:rsidRPr="4F9F5C11">
        <w:rPr>
          <w:rFonts w:eastAsia="Calibri" w:cs="Calibri"/>
          <w:lang w:val="en-US"/>
        </w:rPr>
        <w:t xml:space="preserve">Submissions which discussed the definition of ‘national significance’ mostly focused on the $250 million threshold. A minority of stakeholders were satisfied with the guidance of a monetary threshold alone, </w:t>
      </w:r>
      <w:r w:rsidR="4FA71654" w:rsidRPr="4F9F5C11">
        <w:rPr>
          <w:rFonts w:eastAsia="Calibri" w:cs="Calibri"/>
          <w:lang w:val="en-US"/>
        </w:rPr>
        <w:t xml:space="preserve">setting out </w:t>
      </w:r>
      <w:r w:rsidRPr="4F9F5C11">
        <w:rPr>
          <w:rFonts w:eastAsia="Calibri" w:cs="Calibri"/>
          <w:lang w:val="en-US"/>
        </w:rPr>
        <w:t xml:space="preserve">that $250 million was an appropriate figure or advocated for a higher ($500 million) or lower </w:t>
      </w:r>
      <w:r w:rsidR="08232FD1">
        <w:br/>
      </w:r>
      <w:r w:rsidRPr="4F9F5C11">
        <w:rPr>
          <w:rFonts w:eastAsia="Calibri" w:cs="Calibri"/>
          <w:lang w:val="en-US"/>
        </w:rPr>
        <w:t>($100 million) threshold figure. Supporters of a lower threshold noted that many projects of national significance</w:t>
      </w:r>
      <w:r w:rsidR="21CD4121" w:rsidRPr="4F9F5C11">
        <w:rPr>
          <w:rFonts w:eastAsia="Calibri" w:cs="Calibri"/>
          <w:lang w:val="en-US"/>
        </w:rPr>
        <w:t>,</w:t>
      </w:r>
      <w:r w:rsidRPr="4F9F5C11">
        <w:rPr>
          <w:rFonts w:eastAsia="Calibri" w:cs="Calibri"/>
          <w:lang w:val="en-US"/>
        </w:rPr>
        <w:t xml:space="preserve"> which were of a smaller scale</w:t>
      </w:r>
      <w:r w:rsidR="12B7DF72" w:rsidRPr="4F9F5C11">
        <w:rPr>
          <w:rFonts w:eastAsia="Calibri" w:cs="Calibri"/>
          <w:lang w:val="en-US"/>
        </w:rPr>
        <w:t>,</w:t>
      </w:r>
      <w:r w:rsidRPr="4F9F5C11">
        <w:rPr>
          <w:rFonts w:eastAsia="Calibri" w:cs="Calibri"/>
          <w:lang w:val="en-US"/>
        </w:rPr>
        <w:t xml:space="preserve"> did not necessarily go over the $250 million threshold (e.g</w:t>
      </w:r>
      <w:r w:rsidR="00ED32BA">
        <w:rPr>
          <w:rFonts w:eastAsia="Calibri" w:cs="Calibri"/>
          <w:lang w:val="en-US"/>
        </w:rPr>
        <w:t>.</w:t>
      </w:r>
      <w:r w:rsidRPr="4F9F5C11">
        <w:rPr>
          <w:rFonts w:eastAsia="Calibri" w:cs="Calibri"/>
          <w:lang w:val="en-US"/>
        </w:rPr>
        <w:t xml:space="preserve"> – Growth Areas of Perth and the Peel Recreational Facilities Project). In this case, submissions suggested that projects needed for growth areas could be bundled to assist in meeting the threshold and provide the necessary assessment and engagement with I</w:t>
      </w:r>
      <w:r w:rsidR="249FA4B7" w:rsidRPr="4F9F5C11">
        <w:rPr>
          <w:rFonts w:eastAsia="Calibri" w:cs="Calibri"/>
          <w:lang w:val="en-US"/>
        </w:rPr>
        <w:t xml:space="preserve">nfrastructure </w:t>
      </w:r>
      <w:r w:rsidRPr="4F9F5C11">
        <w:rPr>
          <w:rFonts w:eastAsia="Calibri" w:cs="Calibri"/>
          <w:lang w:val="en-US"/>
        </w:rPr>
        <w:t>A</w:t>
      </w:r>
      <w:r w:rsidR="3B330F36" w:rsidRPr="4F9F5C11">
        <w:rPr>
          <w:rFonts w:eastAsia="Calibri" w:cs="Calibri"/>
          <w:lang w:val="en-US"/>
        </w:rPr>
        <w:t>ustralia</w:t>
      </w:r>
      <w:r w:rsidRPr="4F9F5C11">
        <w:rPr>
          <w:rFonts w:eastAsia="Calibri" w:cs="Calibri"/>
          <w:lang w:val="en-US"/>
        </w:rPr>
        <w:t>.</w:t>
      </w:r>
    </w:p>
    <w:p w14:paraId="5E1CB0F1" w14:textId="5FAD1A07" w:rsidR="00796DBC" w:rsidRDefault="198E92CB" w:rsidP="4F9F5C11">
      <w:pPr>
        <w:rPr>
          <w:rFonts w:eastAsia="Calibri" w:cs="Calibri"/>
          <w:lang w:val="en-US"/>
        </w:rPr>
      </w:pPr>
      <w:r w:rsidRPr="4F9F5C11">
        <w:rPr>
          <w:rFonts w:eastAsia="Calibri" w:cs="Calibri"/>
          <w:color w:val="000000" w:themeColor="text1"/>
          <w:lang w:val="en-US"/>
        </w:rPr>
        <w:t>Stakeholders who supported a $250 million or higher threshold noted that a higher threshold figure reduces Infrastructure Australia’s project assessment workload, thus allowing Infrastructure Australia to focus on more significant project assessments as well as its current responsibilities, including the Audit, the Plan and the IPL.</w:t>
      </w:r>
    </w:p>
    <w:p w14:paraId="0DBCF3D5" w14:textId="49016C61" w:rsidR="00796DBC" w:rsidRDefault="003F08CD" w:rsidP="00796DBC">
      <w:pPr>
        <w:rPr>
          <w:rFonts w:eastAsia="Calibri" w:cs="Calibri"/>
          <w:lang w:val="en-US"/>
        </w:rPr>
      </w:pPr>
      <w:r>
        <w:rPr>
          <w:rFonts w:eastAsia="Calibri" w:cs="Calibri"/>
          <w:lang w:val="en-US"/>
        </w:rPr>
        <w:t>T</w:t>
      </w:r>
      <w:r w:rsidR="73290F58" w:rsidRPr="4F9F5C11">
        <w:rPr>
          <w:rFonts w:eastAsia="Calibri" w:cs="Calibri"/>
          <w:lang w:val="en-US"/>
        </w:rPr>
        <w:t xml:space="preserve">he majority of stakeholders highlighted that a monetary threshold figure alone is insufficient and unsatisfactory in defining whether a project is ‘nationally significant’. </w:t>
      </w:r>
    </w:p>
    <w:p w14:paraId="2F3FB83E" w14:textId="3E67923E" w:rsidR="000329D9" w:rsidRPr="00B223D5" w:rsidRDefault="47001EEB" w:rsidP="000329D9">
      <w:pPr>
        <w:pBdr>
          <w:left w:val="single" w:sz="48" w:space="22" w:color="4BB3B5"/>
        </w:pBdr>
        <w:suppressAutoHyphens/>
        <w:spacing w:before="160"/>
        <w:ind w:left="567" w:right="567"/>
      </w:pPr>
      <w:r w:rsidRPr="4F9F5C11">
        <w:rPr>
          <w:rStyle w:val="QuoteChar"/>
        </w:rPr>
        <w:t>National significance has been a central plan of both Infrastructure Australia’s policy work and project assessment since inception. However, the clarity of definition and adherence to the principle has drifted over time. I</w:t>
      </w:r>
      <w:r w:rsidR="563BEE08" w:rsidRPr="4F9F5C11">
        <w:rPr>
          <w:rStyle w:val="QuoteChar"/>
        </w:rPr>
        <w:t xml:space="preserve">nfrastructure </w:t>
      </w:r>
      <w:r w:rsidRPr="4F9F5C11">
        <w:rPr>
          <w:rStyle w:val="QuoteChar"/>
        </w:rPr>
        <w:t>A</w:t>
      </w:r>
      <w:r w:rsidR="66446CE0" w:rsidRPr="4F9F5C11">
        <w:rPr>
          <w:rStyle w:val="QuoteChar"/>
        </w:rPr>
        <w:t>ustralia</w:t>
      </w:r>
      <w:r w:rsidRPr="4F9F5C11">
        <w:rPr>
          <w:rStyle w:val="QuoteChar"/>
        </w:rPr>
        <w:t xml:space="preserve">, and the proponents of the projects it assesses, would benefit from a much greater clarity on what constitutes a nationally significant policy or investment intervention. Whilst adherence to a dollar figure threshold of capital spend has attractions for simplicity, it is a blunt measure that is unlikely to capture the nuances inherent in investment and policy decisions. Either separately, or in combination with a dollar threshold, the Independent Review should consider a principles-based definition of national significance. </w:t>
      </w:r>
      <w:r w:rsidR="79279EFF">
        <w:br/>
      </w:r>
      <w:r>
        <w:t>Infrastructure Partnerships Australia</w:t>
      </w:r>
    </w:p>
    <w:p w14:paraId="23721A98" w14:textId="29ED87FB" w:rsidR="00796DBC" w:rsidRDefault="35C8ABA6" w:rsidP="00547667">
      <w:pPr>
        <w:keepNext/>
        <w:spacing w:before="360"/>
        <w:rPr>
          <w:rFonts w:eastAsia="Calibri" w:cs="Calibri"/>
          <w:lang w:val="en-US"/>
        </w:rPr>
      </w:pPr>
      <w:r w:rsidRPr="4F9F5C11">
        <w:rPr>
          <w:rFonts w:eastAsia="Calibri" w:cs="Calibri"/>
          <w:lang w:val="en-US"/>
        </w:rPr>
        <w:t>The Review</w:t>
      </w:r>
      <w:r w:rsidR="023681E7" w:rsidRPr="4F9F5C11">
        <w:rPr>
          <w:rFonts w:eastAsia="Calibri" w:cs="Calibri"/>
          <w:lang w:val="en-US"/>
        </w:rPr>
        <w:t xml:space="preserve">, on balance, </w:t>
      </w:r>
      <w:r w:rsidRPr="4F9F5C11">
        <w:rPr>
          <w:rFonts w:eastAsia="Calibri" w:cs="Calibri"/>
          <w:lang w:val="en-US"/>
        </w:rPr>
        <w:t>support</w:t>
      </w:r>
      <w:r w:rsidR="16C2B1C6" w:rsidRPr="4F9F5C11">
        <w:rPr>
          <w:rFonts w:eastAsia="Calibri" w:cs="Calibri"/>
          <w:lang w:val="en-US"/>
        </w:rPr>
        <w:t>s</w:t>
      </w:r>
      <w:r w:rsidRPr="4F9F5C11">
        <w:rPr>
          <w:rFonts w:eastAsia="Calibri" w:cs="Calibri"/>
          <w:lang w:val="en-US"/>
        </w:rPr>
        <w:t xml:space="preserve"> a revised definition of ‘national significance’</w:t>
      </w:r>
      <w:r w:rsidR="24AC3CA6" w:rsidRPr="4F9F5C11">
        <w:rPr>
          <w:rFonts w:eastAsia="Calibri" w:cs="Calibri"/>
          <w:lang w:val="en-US"/>
        </w:rPr>
        <w:t>. The Review recommends</w:t>
      </w:r>
      <w:r w:rsidRPr="4F9F5C11">
        <w:rPr>
          <w:rFonts w:eastAsia="Calibri" w:cs="Calibri"/>
          <w:lang w:val="en-US"/>
        </w:rPr>
        <w:t xml:space="preserve"> retaining the $250 million threshold figure</w:t>
      </w:r>
      <w:r w:rsidR="612D486A" w:rsidRPr="4F9F5C11">
        <w:rPr>
          <w:rFonts w:eastAsia="Calibri" w:cs="Calibri"/>
          <w:lang w:val="en-US"/>
        </w:rPr>
        <w:t>,</w:t>
      </w:r>
      <w:r w:rsidRPr="4F9F5C11">
        <w:rPr>
          <w:rFonts w:eastAsia="Calibri" w:cs="Calibri"/>
          <w:lang w:val="en-US"/>
        </w:rPr>
        <w:t xml:space="preserve"> </w:t>
      </w:r>
      <w:r w:rsidR="5D302A85" w:rsidRPr="4F9F5C11">
        <w:rPr>
          <w:rFonts w:eastAsia="Calibri" w:cs="Calibri"/>
          <w:lang w:val="en-US"/>
        </w:rPr>
        <w:t>with</w:t>
      </w:r>
      <w:r w:rsidRPr="4F9F5C11">
        <w:rPr>
          <w:rFonts w:eastAsia="Calibri" w:cs="Calibri"/>
          <w:lang w:val="en-US"/>
        </w:rPr>
        <w:t xml:space="preserve"> consideration of other non-monetary metrics including:</w:t>
      </w:r>
    </w:p>
    <w:p w14:paraId="6B72FF0D" w14:textId="52EF983A" w:rsidR="00796DBC" w:rsidRDefault="7E9D1E0C" w:rsidP="00591CDB">
      <w:pPr>
        <w:pStyle w:val="Listparagraphbullets"/>
        <w:keepNext/>
        <w:ind w:left="567" w:hanging="567"/>
      </w:pPr>
      <w:r>
        <w:t>a</w:t>
      </w:r>
      <w:r w:rsidR="08D67143">
        <w:t xml:space="preserve">lignment with the </w:t>
      </w:r>
      <w:r w:rsidR="10D9C722">
        <w:t>Australian</w:t>
      </w:r>
      <w:r w:rsidR="08D67143">
        <w:t xml:space="preserve"> Government’s infrastructure investment objectives or performance expectations</w:t>
      </w:r>
    </w:p>
    <w:p w14:paraId="35AF7AA7" w14:textId="36A10B6C" w:rsidR="00796DBC" w:rsidRPr="009B5758" w:rsidRDefault="43EF9E94" w:rsidP="00591CDB">
      <w:pPr>
        <w:pStyle w:val="Listparagraphbullets"/>
        <w:keepNext/>
        <w:ind w:left="567" w:hanging="567"/>
      </w:pPr>
      <w:r w:rsidRPr="009B5758">
        <w:t>v</w:t>
      </w:r>
      <w:r w:rsidR="08D67143" w:rsidRPr="009B5758">
        <w:t xml:space="preserve">olume and significance of Commonwealth funding sought </w:t>
      </w:r>
    </w:p>
    <w:p w14:paraId="280125EC" w14:textId="41F898C8" w:rsidR="00796DBC" w:rsidRPr="009B5758" w:rsidRDefault="271750A4" w:rsidP="00591CDB">
      <w:pPr>
        <w:pStyle w:val="Listparagraphbullets"/>
        <w:keepNext/>
        <w:ind w:left="567" w:hanging="567"/>
      </w:pPr>
      <w:r w:rsidRPr="009B5758">
        <w:t>s</w:t>
      </w:r>
      <w:r w:rsidR="08D67143" w:rsidRPr="009B5758">
        <w:t xml:space="preserve">trategic merits of the project </w:t>
      </w:r>
    </w:p>
    <w:p w14:paraId="4F188CA0" w14:textId="1216323E" w:rsidR="00796DBC" w:rsidRPr="009B5758" w:rsidRDefault="7756B4A5" w:rsidP="009B5758">
      <w:pPr>
        <w:pStyle w:val="Listparagraphbullets"/>
        <w:ind w:left="567" w:hanging="567"/>
      </w:pPr>
      <w:r w:rsidRPr="009B5758">
        <w:t>c</w:t>
      </w:r>
      <w:r w:rsidR="08D67143" w:rsidRPr="009B5758">
        <w:t xml:space="preserve">omplexity and level of risk involved </w:t>
      </w:r>
    </w:p>
    <w:p w14:paraId="7BD7B14F" w14:textId="1A4ED717" w:rsidR="00796DBC" w:rsidRPr="009B5758" w:rsidRDefault="6DBC5DA7" w:rsidP="009B5758">
      <w:pPr>
        <w:pStyle w:val="Listparagraphbullets"/>
        <w:ind w:left="567" w:hanging="567"/>
      </w:pPr>
      <w:r w:rsidRPr="009B5758">
        <w:t>l</w:t>
      </w:r>
      <w:r w:rsidR="08D67143" w:rsidRPr="009B5758">
        <w:t xml:space="preserve">inkages to other projects of national significance, or part of a broader project or scheme </w:t>
      </w:r>
    </w:p>
    <w:p w14:paraId="1CBA2614" w14:textId="1A440766" w:rsidR="00796DBC" w:rsidRPr="009B5758" w:rsidRDefault="5B75C03E" w:rsidP="009B5758">
      <w:pPr>
        <w:pStyle w:val="Listparagraphbullets"/>
        <w:ind w:left="567" w:hanging="567"/>
      </w:pPr>
      <w:r w:rsidRPr="009B5758">
        <w:lastRenderedPageBreak/>
        <w:t>t</w:t>
      </w:r>
      <w:r w:rsidR="08D67143" w:rsidRPr="009B5758">
        <w:t>he project’s capacity to deliver long-term national benefit (e.g. economic, social, environmental) and</w:t>
      </w:r>
    </w:p>
    <w:p w14:paraId="2C5382D7" w14:textId="05027CF7" w:rsidR="00796DBC" w:rsidRPr="009B5758" w:rsidRDefault="1548C9E3" w:rsidP="009B5758">
      <w:pPr>
        <w:pStyle w:val="Listparagraphbullets"/>
        <w:ind w:left="567" w:hanging="567"/>
      </w:pPr>
      <w:r w:rsidRPr="009B5758">
        <w:t>a</w:t>
      </w:r>
      <w:r w:rsidR="08D67143" w:rsidRPr="009B5758">
        <w:t xml:space="preserve">ny other factors that the </w:t>
      </w:r>
      <w:r w:rsidR="66C6B7B4" w:rsidRPr="009B5758">
        <w:t>G</w:t>
      </w:r>
      <w:r w:rsidR="08D67143" w:rsidRPr="009B5758">
        <w:t>overnment of the day may consider to influence ‘national significance’.</w:t>
      </w:r>
    </w:p>
    <w:p w14:paraId="1ACF4714" w14:textId="3E3A21DC" w:rsidR="00796DBC" w:rsidRDefault="08D67143" w:rsidP="000329D9">
      <w:pPr>
        <w:rPr>
          <w:rFonts w:eastAsia="Calibri" w:cs="Calibri"/>
          <w:lang w:val="en-US"/>
        </w:rPr>
      </w:pPr>
      <w:r w:rsidRPr="4F9F5C11">
        <w:rPr>
          <w:rFonts w:eastAsia="Calibri" w:cs="Calibri"/>
          <w:lang w:val="en-US"/>
        </w:rPr>
        <w:t xml:space="preserve">Other factors could be outlined in the five yearly Charter </w:t>
      </w:r>
      <w:r w:rsidR="4BE33DF2" w:rsidRPr="4F9F5C11">
        <w:rPr>
          <w:rFonts w:eastAsia="Calibri" w:cs="Calibri"/>
          <w:lang w:val="en-US"/>
        </w:rPr>
        <w:t>or the supplementary</w:t>
      </w:r>
      <w:r w:rsidRPr="4F9F5C11">
        <w:rPr>
          <w:rFonts w:eastAsia="Calibri" w:cs="Calibri"/>
          <w:lang w:val="en-US"/>
        </w:rPr>
        <w:t xml:space="preserve"> </w:t>
      </w:r>
      <w:proofErr w:type="spellStart"/>
      <w:r w:rsidR="74D97DFB" w:rsidRPr="4F9F5C11">
        <w:rPr>
          <w:rFonts w:eastAsia="Calibri" w:cs="Calibri"/>
          <w:lang w:val="en-US"/>
        </w:rPr>
        <w:t>SoE</w:t>
      </w:r>
      <w:proofErr w:type="spellEnd"/>
      <w:r w:rsidRPr="4F9F5C11">
        <w:rPr>
          <w:rFonts w:eastAsia="Calibri" w:cs="Calibri"/>
          <w:lang w:val="en-US"/>
        </w:rPr>
        <w:t xml:space="preserve">, allowing the </w:t>
      </w:r>
      <w:r w:rsidR="052489AD" w:rsidRPr="4F9F5C11">
        <w:rPr>
          <w:rFonts w:eastAsia="Calibri" w:cs="Calibri"/>
          <w:lang w:val="en-US"/>
        </w:rPr>
        <w:t>G</w:t>
      </w:r>
      <w:r w:rsidRPr="4F9F5C11">
        <w:rPr>
          <w:rFonts w:eastAsia="Calibri" w:cs="Calibri"/>
          <w:lang w:val="en-US"/>
        </w:rPr>
        <w:t>overnment to focus I</w:t>
      </w:r>
      <w:r w:rsidR="057A37F2" w:rsidRPr="4F9F5C11">
        <w:rPr>
          <w:rFonts w:eastAsia="Calibri" w:cs="Calibri"/>
          <w:lang w:val="en-US"/>
        </w:rPr>
        <w:t xml:space="preserve">nfrastructure </w:t>
      </w:r>
      <w:r w:rsidRPr="4F9F5C11">
        <w:rPr>
          <w:rFonts w:eastAsia="Calibri" w:cs="Calibri"/>
          <w:lang w:val="en-US"/>
        </w:rPr>
        <w:t>A</w:t>
      </w:r>
      <w:r w:rsidR="275DF20B" w:rsidRPr="4F9F5C11">
        <w:rPr>
          <w:rFonts w:eastAsia="Calibri" w:cs="Calibri"/>
          <w:lang w:val="en-US"/>
        </w:rPr>
        <w:t>ustralia</w:t>
      </w:r>
      <w:r w:rsidRPr="4F9F5C11">
        <w:rPr>
          <w:rFonts w:eastAsia="Calibri" w:cs="Calibri"/>
          <w:lang w:val="en-US"/>
        </w:rPr>
        <w:t xml:space="preserve">’s attention on those projects and programs that align most closely with </w:t>
      </w:r>
      <w:r w:rsidR="28C8281F" w:rsidRPr="4F9F5C11">
        <w:rPr>
          <w:rFonts w:eastAsia="Calibri" w:cs="Calibri"/>
          <w:lang w:val="en-US"/>
        </w:rPr>
        <w:t>its</w:t>
      </w:r>
      <w:r w:rsidRPr="4F9F5C11">
        <w:rPr>
          <w:rFonts w:eastAsia="Calibri" w:cs="Calibri"/>
          <w:lang w:val="en-US"/>
        </w:rPr>
        <w:t xml:space="preserve"> strategic focus.</w:t>
      </w:r>
    </w:p>
    <w:p w14:paraId="1CE67CFF" w14:textId="77777777" w:rsidR="000329D9" w:rsidRDefault="3CDCDBC2" w:rsidP="000329D9">
      <w:pPr>
        <w:pStyle w:val="Heading3notshowing"/>
      </w:pPr>
      <w:bookmarkStart w:id="84" w:name="_Hlk115386184"/>
      <w:r>
        <w:t>Recommendation 11</w:t>
      </w:r>
    </w:p>
    <w:p w14:paraId="5155F4FD" w14:textId="1B8C74B8" w:rsidR="00796DBC" w:rsidRPr="000329D9" w:rsidRDefault="1B755C45" w:rsidP="000329D9">
      <w:pPr>
        <w:keepNext/>
        <w:keepLines/>
        <w:pBdr>
          <w:top w:val="single" w:sz="4" w:space="1" w:color="4BB3B5"/>
          <w:left w:val="single" w:sz="4" w:space="4" w:color="4BB3B5"/>
          <w:bottom w:val="single" w:sz="4" w:space="1" w:color="4BB3B5"/>
          <w:right w:val="single" w:sz="4" w:space="4" w:color="4BB3B5"/>
        </w:pBdr>
        <w:spacing w:after="120"/>
        <w:rPr>
          <w:rFonts w:eastAsia="PMingLiU" w:cs="Mangal"/>
          <w:lang w:eastAsia="zh-TW"/>
        </w:rPr>
      </w:pPr>
      <w:r>
        <w:t>The Review recommends the definition of ‘national significance’</w:t>
      </w:r>
      <w:r w:rsidR="09E28604">
        <w:t>,</w:t>
      </w:r>
      <w:r>
        <w:t xml:space="preserve"> in the context of project assessment</w:t>
      </w:r>
      <w:r w:rsidR="51BDEB99">
        <w:t>,</w:t>
      </w:r>
      <w:r>
        <w:t xml:space="preserve"> is revised to include both the $250 million monetary threshold figure as well as a list of non-monetary metrics</w:t>
      </w:r>
      <w:r w:rsidR="78A97E30">
        <w:t>, including factors</w:t>
      </w:r>
      <w:r>
        <w:t xml:space="preserve"> as </w:t>
      </w:r>
      <w:r w:rsidR="569E8036">
        <w:t>outlined</w:t>
      </w:r>
      <w:r>
        <w:t xml:space="preserve"> in the five yearly Charter and</w:t>
      </w:r>
      <w:r w:rsidR="4BE33DF2">
        <w:t>/or</w:t>
      </w:r>
      <w:r>
        <w:t xml:space="preserve"> </w:t>
      </w:r>
      <w:r w:rsidR="4BE33DF2">
        <w:t>a supplementary</w:t>
      </w:r>
      <w:r w:rsidR="6E2CE958">
        <w:t xml:space="preserve"> </w:t>
      </w:r>
      <w:proofErr w:type="spellStart"/>
      <w:r w:rsidR="6E2CE958">
        <w:t>SoE</w:t>
      </w:r>
      <w:proofErr w:type="spellEnd"/>
      <w:r w:rsidRPr="4F9F5C11">
        <w:rPr>
          <w:lang w:val="en-US"/>
        </w:rPr>
        <w:t>.</w:t>
      </w:r>
    </w:p>
    <w:p w14:paraId="69A46A25" w14:textId="4BF92027" w:rsidR="000329D9" w:rsidRPr="00B041CB" w:rsidRDefault="05A4DABA" w:rsidP="000329D9">
      <w:pPr>
        <w:pStyle w:val="Heading3"/>
      </w:pPr>
      <w:bookmarkStart w:id="85" w:name="_Improving_national_investment"/>
      <w:bookmarkStart w:id="86" w:name="_Toc115379980"/>
      <w:bookmarkStart w:id="87" w:name="_Toc124783622"/>
      <w:bookmarkEnd w:id="84"/>
      <w:bookmarkEnd w:id="85"/>
      <w:r>
        <w:t xml:space="preserve">Improving national investment planning on complex issues: </w:t>
      </w:r>
      <w:r w:rsidR="47001EEB">
        <w:t>Infrastructure Australia inquiry powers</w:t>
      </w:r>
      <w:bookmarkEnd w:id="86"/>
      <w:bookmarkEnd w:id="87"/>
      <w:r w:rsidR="47001EEB">
        <w:t xml:space="preserve"> </w:t>
      </w:r>
    </w:p>
    <w:p w14:paraId="6388FE48" w14:textId="73AE210E" w:rsidR="000329D9" w:rsidRPr="007D68BA" w:rsidRDefault="47001EEB" w:rsidP="4F9F5C11">
      <w:r>
        <w:t>As part of recognising the value of Infrastructure Australia and its role and capabilities, the Review also heard strong support from stakeholders for the proposition of giving I</w:t>
      </w:r>
      <w:r w:rsidR="736F6995">
        <w:t xml:space="preserve">nfrastructure </w:t>
      </w:r>
      <w:r>
        <w:t>A</w:t>
      </w:r>
      <w:r w:rsidR="6081007A">
        <w:t>ustralia</w:t>
      </w:r>
      <w:r>
        <w:t xml:space="preserve"> research and inquiry powers similar to that of the Productivity Commission (PC)</w:t>
      </w:r>
      <w:r w:rsidR="682E7D6A">
        <w:t>. This would</w:t>
      </w:r>
      <w:r w:rsidR="4BE33DF2">
        <w:t xml:space="preserve"> </w:t>
      </w:r>
      <w:r>
        <w:t xml:space="preserve">harness its position as the </w:t>
      </w:r>
      <w:r w:rsidR="40F94B91">
        <w:t xml:space="preserve">expert </w:t>
      </w:r>
      <w:r>
        <w:t>national advis</w:t>
      </w:r>
      <w:r w:rsidR="3C56F646">
        <w:t>o</w:t>
      </w:r>
      <w:r>
        <w:t>r to take on a national perspective, gather and analyse data and make recommendations on specific topics. Government agencies and external stakeholders expressed strong support for this proposal, noting that PC</w:t>
      </w:r>
      <w:r w:rsidR="12A5FF21">
        <w:t>-</w:t>
      </w:r>
      <w:r w:rsidR="74D66B33">
        <w:t>like</w:t>
      </w:r>
      <w:r>
        <w:t xml:space="preserve"> powers provided I</w:t>
      </w:r>
      <w:r w:rsidR="7575D7E2">
        <w:t xml:space="preserve">nfrastructure </w:t>
      </w:r>
      <w:r>
        <w:t>A</w:t>
      </w:r>
      <w:r w:rsidR="577C7CCC">
        <w:t>ustralia</w:t>
      </w:r>
      <w:r>
        <w:t xml:space="preserve"> </w:t>
      </w:r>
      <w:r w:rsidR="2670F63C">
        <w:t xml:space="preserve">strengthened </w:t>
      </w:r>
      <w:r w:rsidR="3B679665">
        <w:t>powers</w:t>
      </w:r>
      <w:r w:rsidR="37FB075E">
        <w:t xml:space="preserve"> that </w:t>
      </w:r>
      <w:r w:rsidR="2670F63C">
        <w:t>enabl</w:t>
      </w:r>
      <w:r w:rsidR="37FB075E">
        <w:t>ed</w:t>
      </w:r>
      <w:r w:rsidR="1DE6A76E">
        <w:t xml:space="preserve"> a</w:t>
      </w:r>
      <w:r w:rsidR="2670F63C">
        <w:t xml:space="preserve"> </w:t>
      </w:r>
      <w:r>
        <w:t xml:space="preserve">range of </w:t>
      </w:r>
      <w:r w:rsidR="35BFD558">
        <w:t xml:space="preserve">views and </w:t>
      </w:r>
      <w:r>
        <w:t>inputs into</w:t>
      </w:r>
      <w:r w:rsidR="0471AB35">
        <w:t xml:space="preserve"> </w:t>
      </w:r>
      <w:r w:rsidR="42AFC8B6">
        <w:t>the</w:t>
      </w:r>
      <w:r>
        <w:t xml:space="preserve"> research and advi</w:t>
      </w:r>
      <w:r w:rsidR="4717151E">
        <w:t>ce</w:t>
      </w:r>
      <w:r>
        <w:t xml:space="preserve"> process.</w:t>
      </w:r>
    </w:p>
    <w:p w14:paraId="198FFF21" w14:textId="25139234" w:rsidR="000329D9" w:rsidRDefault="47001EEB" w:rsidP="000329D9">
      <w:r>
        <w:t>Stakeholders noted I</w:t>
      </w:r>
      <w:r w:rsidR="225C00C1">
        <w:t xml:space="preserve">nfrastructure </w:t>
      </w:r>
      <w:r>
        <w:t>A</w:t>
      </w:r>
      <w:r w:rsidR="09E6AD41">
        <w:t>ustralia</w:t>
      </w:r>
      <w:r>
        <w:t xml:space="preserve">’s expertise and ability to address topics in an in-depth manner, pointing to </w:t>
      </w:r>
      <w:r w:rsidR="15138BD0">
        <w:t>its</w:t>
      </w:r>
      <w:r>
        <w:t xml:space="preserve"> </w:t>
      </w:r>
      <w:r w:rsidR="09A775FE">
        <w:t>m</w:t>
      </w:r>
      <w:r>
        <w:t xml:space="preserve">arket </w:t>
      </w:r>
      <w:r w:rsidR="0EB15B02">
        <w:t>c</w:t>
      </w:r>
      <w:r>
        <w:t>apacity work as an example. The Review also received submissions suggesting that I</w:t>
      </w:r>
      <w:r w:rsidR="1B64B1CC">
        <w:t xml:space="preserve">nfrastructure </w:t>
      </w:r>
      <w:r>
        <w:t>A</w:t>
      </w:r>
      <w:r w:rsidR="5ACDA072">
        <w:t>ustralia</w:t>
      </w:r>
      <w:r>
        <w:t xml:space="preserve"> could better support specific infrastructure, such as transport infrastructure</w:t>
      </w:r>
      <w:r w:rsidR="005B2F5C">
        <w:t>,</w:t>
      </w:r>
      <w:r>
        <w:t xml:space="preserve"> by adopting the National Airport Safeguarding Framework or the National Urban Freight Planning Principles.</w:t>
      </w:r>
    </w:p>
    <w:p w14:paraId="31662E42" w14:textId="03D9D60E" w:rsidR="000329D9" w:rsidRPr="00B223D5" w:rsidRDefault="3CDCDBC2" w:rsidP="000329D9">
      <w:pPr>
        <w:pBdr>
          <w:left w:val="single" w:sz="48" w:space="22" w:color="4BB3B5"/>
        </w:pBdr>
        <w:suppressAutoHyphens/>
        <w:spacing w:before="160"/>
        <w:ind w:left="567" w:right="567"/>
      </w:pPr>
      <w:r w:rsidRPr="4F9F5C11">
        <w:rPr>
          <w:rStyle w:val="QuoteChar"/>
        </w:rPr>
        <w:t xml:space="preserve">Infrastructure Australia must be an agile organisation that is able to respond to the challenges presented to it and deliver </w:t>
      </w:r>
      <w:r w:rsidR="6AB86E26" w:rsidRPr="4F9F5C11">
        <w:rPr>
          <w:rStyle w:val="QuoteChar"/>
        </w:rPr>
        <w:t>advice that is not only expert in nature but also timely and independent</w:t>
      </w:r>
      <w:r w:rsidRPr="4F9F5C11">
        <w:rPr>
          <w:rStyle w:val="QuoteChar"/>
        </w:rPr>
        <w:t>.</w:t>
      </w:r>
      <w:r w:rsidR="6AB86E26" w:rsidRPr="4F9F5C11">
        <w:rPr>
          <w:rStyle w:val="QuoteChar"/>
        </w:rPr>
        <w:t xml:space="preserve"> It is important that Infrastructure Australia remain a small but flexible organisation, able to engage in external expertise as required to complete tasks before it today, and then move quickly to respond to the next challenge.</w:t>
      </w:r>
      <w:r w:rsidRPr="4F9F5C11">
        <w:rPr>
          <w:rStyle w:val="QuoteChar"/>
        </w:rPr>
        <w:t xml:space="preserve"> </w:t>
      </w:r>
      <w:r w:rsidR="000329D9">
        <w:br/>
      </w:r>
      <w:r w:rsidR="6AB86E26">
        <w:t>Business Council of Australia</w:t>
      </w:r>
    </w:p>
    <w:p w14:paraId="2FCF5B4A" w14:textId="6EDEEDB4" w:rsidR="005B7958" w:rsidRDefault="7CA47077" w:rsidP="00547667">
      <w:pPr>
        <w:spacing w:before="360"/>
      </w:pPr>
      <w:r>
        <w:t xml:space="preserve">Inquiry </w:t>
      </w:r>
      <w:r w:rsidR="5359D3EF">
        <w:t>t</w:t>
      </w:r>
      <w:r w:rsidR="1B755C45">
        <w:t xml:space="preserve">opics could be determined through a formal referral from the Commonwealth Minister </w:t>
      </w:r>
      <w:r w:rsidR="49C230A8">
        <w:t>for</w:t>
      </w:r>
      <w:r w:rsidR="1B755C45">
        <w:t xml:space="preserve"> Infrastructure</w:t>
      </w:r>
      <w:r w:rsidR="34693724">
        <w:t>,</w:t>
      </w:r>
      <w:r w:rsidR="1B755C45">
        <w:t xml:space="preserve"> or through I</w:t>
      </w:r>
      <w:r w:rsidR="3464B6B0">
        <w:t xml:space="preserve">nfrastructure </w:t>
      </w:r>
      <w:r w:rsidR="1B755C45">
        <w:t>A</w:t>
      </w:r>
      <w:r w:rsidR="449A70B6">
        <w:t>ustralia</w:t>
      </w:r>
      <w:r w:rsidR="1B755C45">
        <w:t>’s own initiative. Infrastructure Australia’s inquiry scope should be to consider and investigate specific issues of interest to infrastructure, with a whole of system focus</w:t>
      </w:r>
      <w:r w:rsidR="7A7F9127">
        <w:t>, having regard to the Charter objectives</w:t>
      </w:r>
      <w:r w:rsidR="1B755C45">
        <w:t>. Suggested topics of focus included maintenance of existing nationally significant infrastructure; waste, recycling and the circular economy; productivity improvements</w:t>
      </w:r>
      <w:r w:rsidR="70619EB4">
        <w:t>;</w:t>
      </w:r>
      <w:r w:rsidR="1B755C45">
        <w:t xml:space="preserve"> </w:t>
      </w:r>
      <w:r w:rsidR="680F04AF">
        <w:t>supply chain resilience</w:t>
      </w:r>
      <w:r w:rsidR="609F9226">
        <w:t>;</w:t>
      </w:r>
      <w:r w:rsidR="680F04AF">
        <w:t xml:space="preserve"> t</w:t>
      </w:r>
      <w:r w:rsidR="1B755C45">
        <w:t>he path to net zero</w:t>
      </w:r>
      <w:r w:rsidR="0EC71851">
        <w:t>;</w:t>
      </w:r>
      <w:r w:rsidR="1B755C45">
        <w:t xml:space="preserve"> and the use of technology.</w:t>
      </w:r>
    </w:p>
    <w:p w14:paraId="5A852EF0" w14:textId="429CA3F1" w:rsidR="005B7958" w:rsidRDefault="1B755C45" w:rsidP="005B7958">
      <w:r>
        <w:t xml:space="preserve">The Review </w:t>
      </w:r>
      <w:r w:rsidR="089BD1BC">
        <w:t xml:space="preserve">reflects </w:t>
      </w:r>
      <w:r>
        <w:t>that it is appropriate for I</w:t>
      </w:r>
      <w:r w:rsidR="1599C4E4">
        <w:t xml:space="preserve">nfrastructure </w:t>
      </w:r>
      <w:r>
        <w:t>A</w:t>
      </w:r>
      <w:r w:rsidR="45360ADF">
        <w:t>ustralia</w:t>
      </w:r>
      <w:r>
        <w:t xml:space="preserve"> to investigate and provide advice on specific issues of interest to infrastructure, by providing I</w:t>
      </w:r>
      <w:r w:rsidR="55E92570">
        <w:t xml:space="preserve">nfrastructure </w:t>
      </w:r>
      <w:r>
        <w:t>A</w:t>
      </w:r>
      <w:r w:rsidR="1FC27BF7">
        <w:t>ustralia</w:t>
      </w:r>
      <w:r>
        <w:t xml:space="preserve"> inquiry powers similar to that of the PC</w:t>
      </w:r>
      <w:r w:rsidR="10AB1D0F">
        <w:t>.</w:t>
      </w:r>
      <w:r w:rsidR="46F73B47">
        <w:t xml:space="preserve"> The Review considers that formalising such a role with clear</w:t>
      </w:r>
      <w:r w:rsidR="06605B21">
        <w:t xml:space="preserve"> and</w:t>
      </w:r>
      <w:r w:rsidR="46F73B47">
        <w:t xml:space="preserve"> structured </w:t>
      </w:r>
      <w:r w:rsidR="2F77490A">
        <w:t>i</w:t>
      </w:r>
      <w:r w:rsidR="46F73B47">
        <w:t xml:space="preserve">nquiry processes will be valuable in dealing with the complex economic restructure which </w:t>
      </w:r>
      <w:r w:rsidR="1C23833F">
        <w:t>A</w:t>
      </w:r>
      <w:r w:rsidR="46F73B47">
        <w:t>ustr</w:t>
      </w:r>
      <w:r w:rsidR="66EE5669">
        <w:t>a</w:t>
      </w:r>
      <w:r w:rsidR="46F73B47">
        <w:t>lia is undertaking</w:t>
      </w:r>
      <w:r w:rsidR="44DDA216">
        <w:t>, and</w:t>
      </w:r>
      <w:r w:rsidR="47B372ED">
        <w:t xml:space="preserve"> which requires working across transport, energy, water and other utilities in an integrated way</w:t>
      </w:r>
      <w:r w:rsidR="46F73B47">
        <w:t>. The model will enabl</w:t>
      </w:r>
      <w:r w:rsidR="03568A39">
        <w:t>e I</w:t>
      </w:r>
      <w:r w:rsidR="2D779D75">
        <w:t xml:space="preserve">nfrastructure </w:t>
      </w:r>
      <w:r w:rsidR="03568A39">
        <w:t>A</w:t>
      </w:r>
      <w:r w:rsidR="3EEC6757">
        <w:t>ustralia</w:t>
      </w:r>
      <w:r w:rsidR="03568A39">
        <w:t xml:space="preserve"> to appoint expert </w:t>
      </w:r>
      <w:r w:rsidR="4235861E">
        <w:t>‘</w:t>
      </w:r>
      <w:r w:rsidR="062EEE22">
        <w:t>c</w:t>
      </w:r>
      <w:r w:rsidR="03568A39">
        <w:t>ommissioners</w:t>
      </w:r>
      <w:r w:rsidR="686B471E">
        <w:t>’</w:t>
      </w:r>
      <w:r w:rsidR="03568A39">
        <w:t xml:space="preserve"> from across the infrastructure modes to lead </w:t>
      </w:r>
      <w:r w:rsidR="368C9BBB">
        <w:t>i</w:t>
      </w:r>
      <w:r w:rsidR="03568A39">
        <w:t xml:space="preserve">nquiries into </w:t>
      </w:r>
      <w:r w:rsidR="75CFBED6">
        <w:t>particular matters. This would include powers to appoint experts from the states and territories, the inf</w:t>
      </w:r>
      <w:r w:rsidR="4ECE8C4F">
        <w:t>r</w:t>
      </w:r>
      <w:r w:rsidR="75CFBED6">
        <w:t xml:space="preserve">astructure industry, unions and </w:t>
      </w:r>
      <w:r w:rsidR="3FA88249">
        <w:t xml:space="preserve">academia to lead and work on specific </w:t>
      </w:r>
      <w:r w:rsidR="151E49B6">
        <w:t>i</w:t>
      </w:r>
      <w:r w:rsidR="3FA88249">
        <w:t>nquiries</w:t>
      </w:r>
      <w:r>
        <w:t>.</w:t>
      </w:r>
      <w:r w:rsidR="1DB86155">
        <w:t xml:space="preserve"> This would enable a bringing to</w:t>
      </w:r>
      <w:r w:rsidR="57DDE462">
        <w:t>ge</w:t>
      </w:r>
      <w:r w:rsidR="1DB86155">
        <w:t xml:space="preserve">ther of </w:t>
      </w:r>
      <w:r w:rsidR="43314565">
        <w:t xml:space="preserve">the </w:t>
      </w:r>
      <w:r w:rsidR="1DB86155">
        <w:t xml:space="preserve">expertise </w:t>
      </w:r>
      <w:r w:rsidR="238E8032">
        <w:t xml:space="preserve">and views </w:t>
      </w:r>
      <w:r w:rsidR="1DB86155">
        <w:t xml:space="preserve">which will be necessary to deal effectively with the complexity of the investment required to underpin Australia’s economic </w:t>
      </w:r>
      <w:r w:rsidR="15FBCC0B">
        <w:t>transformation.</w:t>
      </w:r>
    </w:p>
    <w:p w14:paraId="42668DB2" w14:textId="77777777" w:rsidR="005B7958" w:rsidRDefault="6AB86E26" w:rsidP="005B7958">
      <w:pPr>
        <w:pStyle w:val="Heading3notshowing"/>
      </w:pPr>
      <w:bookmarkStart w:id="88" w:name="_Hlk115386305"/>
      <w:r>
        <w:lastRenderedPageBreak/>
        <w:t>Recommendation 12</w:t>
      </w:r>
    </w:p>
    <w:p w14:paraId="7356BDB4" w14:textId="6C550756" w:rsidR="005B7958" w:rsidRDefault="2BD228AC" w:rsidP="005B7958">
      <w:pPr>
        <w:keepNext/>
        <w:keepLines/>
        <w:pBdr>
          <w:top w:val="single" w:sz="4" w:space="1" w:color="4BB3B5"/>
          <w:left w:val="single" w:sz="4" w:space="4" w:color="4BB3B5"/>
          <w:bottom w:val="single" w:sz="4" w:space="1" w:color="4BB3B5"/>
          <w:right w:val="single" w:sz="4" w:space="4" w:color="4BB3B5"/>
        </w:pBdr>
        <w:spacing w:after="120"/>
      </w:pPr>
      <w:r>
        <w:t>The Review recommends that I</w:t>
      </w:r>
      <w:r w:rsidR="3641B14B">
        <w:t xml:space="preserve">nfrastructure </w:t>
      </w:r>
      <w:r>
        <w:t>A</w:t>
      </w:r>
      <w:r w:rsidR="3C7DBF3B">
        <w:t>ustralia</w:t>
      </w:r>
      <w:r>
        <w:t xml:space="preserve"> be provided powers to undertake formal inquiries into national infrastructure investment topics</w:t>
      </w:r>
      <w:r w:rsidR="2033FCD9">
        <w:t>,</w:t>
      </w:r>
      <w:r>
        <w:t xml:space="preserve"> and supporting powers to enable it to carry out such inquiries. Matters may be referred by the Minister or may be undertaken by I</w:t>
      </w:r>
      <w:r w:rsidR="20D9343F">
        <w:t xml:space="preserve">nfrastructure </w:t>
      </w:r>
      <w:r>
        <w:t>A</w:t>
      </w:r>
      <w:r w:rsidR="6BF71EEB">
        <w:t>ustralia</w:t>
      </w:r>
      <w:r>
        <w:t>, on its own initiative</w:t>
      </w:r>
      <w:r w:rsidR="1C035BEE">
        <w:t xml:space="preserve"> and in line with its Charter</w:t>
      </w:r>
      <w:r>
        <w:t>.</w:t>
      </w:r>
    </w:p>
    <w:p w14:paraId="61B88CA3" w14:textId="77777777" w:rsidR="005B7958" w:rsidRDefault="6AB86E26" w:rsidP="005B7958">
      <w:pPr>
        <w:keepNext/>
        <w:keepLines/>
        <w:pBdr>
          <w:top w:val="single" w:sz="4" w:space="1" w:color="4BB3B5"/>
          <w:left w:val="single" w:sz="4" w:space="4" w:color="4BB3B5"/>
          <w:bottom w:val="single" w:sz="4" w:space="1" w:color="4BB3B5"/>
          <w:right w:val="single" w:sz="4" w:space="4" w:color="4BB3B5"/>
        </w:pBdr>
        <w:spacing w:after="120"/>
      </w:pPr>
      <w:r>
        <w:t xml:space="preserve">The IA Act should be amended to include similar provisions such as those in Parts 2, 3 and 4 of the </w:t>
      </w:r>
      <w:r w:rsidRPr="4F9F5C11">
        <w:rPr>
          <w:i/>
          <w:iCs/>
        </w:rPr>
        <w:t xml:space="preserve">Productivity Commission Act 1998 </w:t>
      </w:r>
      <w:r>
        <w:t>(</w:t>
      </w:r>
      <w:proofErr w:type="spellStart"/>
      <w:r>
        <w:t>Cth</w:t>
      </w:r>
      <w:proofErr w:type="spellEnd"/>
      <w:r>
        <w:t>) outlining the formal inquiry role and necessary functions and powers required perform this function.</w:t>
      </w:r>
    </w:p>
    <w:p w14:paraId="7FF838EE" w14:textId="2622A11E" w:rsidR="005B7958" w:rsidRDefault="3CCF97AF" w:rsidP="005B7958">
      <w:pPr>
        <w:keepNext/>
        <w:keepLines/>
        <w:pBdr>
          <w:top w:val="single" w:sz="4" w:space="1" w:color="4BB3B5"/>
          <w:left w:val="single" w:sz="4" w:space="4" w:color="4BB3B5"/>
          <w:bottom w:val="single" w:sz="4" w:space="1" w:color="4BB3B5"/>
          <w:right w:val="single" w:sz="4" w:space="4" w:color="4BB3B5"/>
        </w:pBdr>
        <w:spacing w:after="120"/>
        <w:rPr>
          <w:lang w:val="en-US"/>
        </w:rPr>
      </w:pPr>
      <w:r w:rsidRPr="4F9F5C11">
        <w:rPr>
          <w:lang w:val="en-US"/>
        </w:rPr>
        <w:t xml:space="preserve">In performing its </w:t>
      </w:r>
      <w:r w:rsidR="1FC9C141" w:rsidRPr="4F9F5C11">
        <w:rPr>
          <w:lang w:val="en-US"/>
        </w:rPr>
        <w:t>c</w:t>
      </w:r>
      <w:r w:rsidRPr="4F9F5C11">
        <w:rPr>
          <w:lang w:val="en-US"/>
        </w:rPr>
        <w:t>ommission and inquiry functions, I</w:t>
      </w:r>
      <w:r w:rsidR="739B6947" w:rsidRPr="4F9F5C11">
        <w:rPr>
          <w:lang w:val="en-US"/>
        </w:rPr>
        <w:t xml:space="preserve">nfrastructure </w:t>
      </w:r>
      <w:r w:rsidRPr="4F9F5C11">
        <w:rPr>
          <w:lang w:val="en-US"/>
        </w:rPr>
        <w:t>A</w:t>
      </w:r>
      <w:r w:rsidR="1024F9D5" w:rsidRPr="4F9F5C11">
        <w:rPr>
          <w:lang w:val="en-US"/>
        </w:rPr>
        <w:t>ustralia</w:t>
      </w:r>
      <w:r w:rsidRPr="4F9F5C11">
        <w:rPr>
          <w:lang w:val="en-US"/>
        </w:rPr>
        <w:t xml:space="preserve"> should have regard to matters including ‘national significance’, infrastructure investment, collaboration and coordination with state and territory projects and </w:t>
      </w:r>
      <w:r w:rsidR="643A94B3" w:rsidRPr="4F9F5C11">
        <w:rPr>
          <w:lang w:val="en-US"/>
        </w:rPr>
        <w:t>I</w:t>
      </w:r>
      <w:r w:rsidRPr="4F9F5C11">
        <w:rPr>
          <w:lang w:val="en-US"/>
        </w:rPr>
        <w:t>-bodies, and engagement with the private sector.</w:t>
      </w:r>
    </w:p>
    <w:p w14:paraId="70ACFBFE" w14:textId="4AA96601" w:rsidR="005B7958" w:rsidRDefault="2BD228AC" w:rsidP="005B7958">
      <w:pPr>
        <w:keepNext/>
        <w:keepLines/>
        <w:pBdr>
          <w:top w:val="single" w:sz="4" w:space="1" w:color="4BB3B5"/>
          <w:left w:val="single" w:sz="4" w:space="4" w:color="4BB3B5"/>
          <w:bottom w:val="single" w:sz="4" w:space="1" w:color="4BB3B5"/>
          <w:right w:val="single" w:sz="4" w:space="4" w:color="4BB3B5"/>
        </w:pBdr>
        <w:spacing w:after="120"/>
        <w:rPr>
          <w:lang w:val="en-US"/>
        </w:rPr>
      </w:pPr>
      <w:r w:rsidRPr="4F9F5C11">
        <w:rPr>
          <w:lang w:val="en-US"/>
        </w:rPr>
        <w:t>A copy of the I</w:t>
      </w:r>
      <w:r w:rsidR="4E79C6B1" w:rsidRPr="4F9F5C11">
        <w:rPr>
          <w:lang w:val="en-US"/>
        </w:rPr>
        <w:t xml:space="preserve">nfrastructure </w:t>
      </w:r>
      <w:r w:rsidRPr="4F9F5C11">
        <w:rPr>
          <w:lang w:val="en-US"/>
        </w:rPr>
        <w:t>A</w:t>
      </w:r>
      <w:r w:rsidR="4F9AD3D7" w:rsidRPr="4F9F5C11">
        <w:rPr>
          <w:lang w:val="en-US"/>
        </w:rPr>
        <w:t>ustralia</w:t>
      </w:r>
      <w:r w:rsidRPr="4F9F5C11">
        <w:rPr>
          <w:lang w:val="en-US"/>
        </w:rPr>
        <w:t xml:space="preserve"> inquiry report should be tabled in each House of Parliament within </w:t>
      </w:r>
      <w:r w:rsidR="76650FC9">
        <w:br/>
      </w:r>
      <w:r w:rsidRPr="4F9F5C11">
        <w:rPr>
          <w:lang w:val="en-US"/>
        </w:rPr>
        <w:t>25 sitting days of that House</w:t>
      </w:r>
      <w:r w:rsidR="50E5BE69" w:rsidRPr="4F9F5C11">
        <w:rPr>
          <w:lang w:val="en-US"/>
        </w:rPr>
        <w:t>, and</w:t>
      </w:r>
      <w:r w:rsidRPr="4F9F5C11">
        <w:rPr>
          <w:lang w:val="en-US"/>
        </w:rPr>
        <w:t xml:space="preserve"> after the day the Minister has received the report.</w:t>
      </w:r>
    </w:p>
    <w:p w14:paraId="374C3117" w14:textId="62199C3F" w:rsidR="005B7958" w:rsidRPr="000329D9" w:rsidRDefault="3CCF97AF" w:rsidP="005B7958">
      <w:pPr>
        <w:keepNext/>
        <w:keepLines/>
        <w:pBdr>
          <w:top w:val="single" w:sz="4" w:space="1" w:color="4BB3B5"/>
          <w:left w:val="single" w:sz="4" w:space="4" w:color="4BB3B5"/>
          <w:bottom w:val="single" w:sz="4" w:space="1" w:color="4BB3B5"/>
          <w:right w:val="single" w:sz="4" w:space="4" w:color="4BB3B5"/>
        </w:pBdr>
        <w:spacing w:after="120"/>
        <w:rPr>
          <w:rFonts w:eastAsia="PMingLiU" w:cs="Mangal"/>
          <w:lang w:eastAsia="zh-TW"/>
        </w:rPr>
      </w:pPr>
      <w:r w:rsidRPr="4F9F5C11">
        <w:rPr>
          <w:lang w:val="en-US"/>
        </w:rPr>
        <w:t xml:space="preserve">The Government must </w:t>
      </w:r>
      <w:r w:rsidR="05B17637" w:rsidRPr="4F9F5C11">
        <w:rPr>
          <w:lang w:val="en-US"/>
        </w:rPr>
        <w:t xml:space="preserve">formally </w:t>
      </w:r>
      <w:r w:rsidRPr="4F9F5C11">
        <w:rPr>
          <w:lang w:val="en-US"/>
        </w:rPr>
        <w:t>respond to the report and findings of I</w:t>
      </w:r>
      <w:r w:rsidR="4D5C5F29" w:rsidRPr="4F9F5C11">
        <w:rPr>
          <w:lang w:val="en-US"/>
        </w:rPr>
        <w:t xml:space="preserve">nfrastructure </w:t>
      </w:r>
      <w:r w:rsidRPr="4F9F5C11">
        <w:rPr>
          <w:lang w:val="en-US"/>
        </w:rPr>
        <w:t>A</w:t>
      </w:r>
      <w:r w:rsidR="346EF65B" w:rsidRPr="4F9F5C11">
        <w:rPr>
          <w:lang w:val="en-US"/>
        </w:rPr>
        <w:t>ustralia</w:t>
      </w:r>
      <w:r w:rsidR="3244AC2C" w:rsidRPr="4F9F5C11">
        <w:rPr>
          <w:lang w:val="en-US"/>
        </w:rPr>
        <w:t>.</w:t>
      </w:r>
    </w:p>
    <w:p w14:paraId="1A090C29" w14:textId="77777777" w:rsidR="005B7958" w:rsidRDefault="6AB86E26" w:rsidP="00471814">
      <w:pPr>
        <w:pStyle w:val="Heading2"/>
      </w:pPr>
      <w:bookmarkStart w:id="89" w:name="_An_appropriate_Board"/>
      <w:bookmarkStart w:id="90" w:name="_Toc115379981"/>
      <w:bookmarkStart w:id="91" w:name="_Toc124783623"/>
      <w:bookmarkEnd w:id="88"/>
      <w:bookmarkEnd w:id="89"/>
      <w:r>
        <w:t>An appropriate Board and governance model</w:t>
      </w:r>
      <w:bookmarkEnd w:id="90"/>
      <w:bookmarkEnd w:id="91"/>
    </w:p>
    <w:p w14:paraId="68243677" w14:textId="564E817C" w:rsidR="002179E4" w:rsidRPr="00B041CB" w:rsidRDefault="3254C742" w:rsidP="00CE5DE2">
      <w:pPr>
        <w:pStyle w:val="Introduction"/>
        <w:rPr>
          <w:rFonts w:eastAsia="SimSun"/>
          <w:color w:val="081E3E"/>
          <w:sz w:val="36"/>
          <w:szCs w:val="36"/>
        </w:rPr>
      </w:pPr>
      <w:r>
        <w:t xml:space="preserve">Key finding: </w:t>
      </w:r>
      <w:r w:rsidR="237AB8E0">
        <w:t>T</w:t>
      </w:r>
      <w:r>
        <w:t>o carry out its mandate</w:t>
      </w:r>
      <w:r w:rsidR="77622274">
        <w:t>,</w:t>
      </w:r>
      <w:r>
        <w:t xml:space="preserve"> I</w:t>
      </w:r>
      <w:r w:rsidR="3106E25C">
        <w:t xml:space="preserve">nfrastructure </w:t>
      </w:r>
      <w:r>
        <w:t>A</w:t>
      </w:r>
      <w:r w:rsidR="386B308D">
        <w:t>ustralia</w:t>
      </w:r>
      <w:r>
        <w:t xml:space="preserve"> requires a strong governance framework to realise its full value and potential.</w:t>
      </w:r>
    </w:p>
    <w:p w14:paraId="504A6E90" w14:textId="7F548E8A" w:rsidR="005B7958" w:rsidRDefault="3CCF97AF" w:rsidP="36918AFB">
      <w:pPr>
        <w:rPr>
          <w:lang w:val="en-US"/>
        </w:rPr>
      </w:pPr>
      <w:r>
        <w:t>The original Infrastructure Australia Council was created as an expert infrastructure advisory body without governance or management responsibilities. The re-establishment of I</w:t>
      </w:r>
      <w:r w:rsidR="4732BD4D">
        <w:t xml:space="preserve">nfrastructure </w:t>
      </w:r>
      <w:r>
        <w:t>A</w:t>
      </w:r>
      <w:r w:rsidR="0AA6D67B">
        <w:t>ustralia</w:t>
      </w:r>
      <w:r>
        <w:t xml:space="preserve"> in 2014 as a </w:t>
      </w:r>
      <w:r w:rsidR="3244AC2C">
        <w:t>C</w:t>
      </w:r>
      <w:r>
        <w:t xml:space="preserve">orporate Commonwealth entity with a </w:t>
      </w:r>
      <w:r w:rsidR="564D7D6F">
        <w:t>B</w:t>
      </w:r>
      <w:r>
        <w:t xml:space="preserve">oard as the responsible entity, placed </w:t>
      </w:r>
      <w:r w:rsidR="4CB7D2F5">
        <w:t xml:space="preserve">a governance role </w:t>
      </w:r>
      <w:r>
        <w:t>on the I</w:t>
      </w:r>
      <w:r w:rsidR="59195D88">
        <w:t xml:space="preserve">nfrastructure </w:t>
      </w:r>
      <w:r>
        <w:t>A</w:t>
      </w:r>
      <w:r w:rsidR="7BFD64BB">
        <w:t>ustralia</w:t>
      </w:r>
      <w:r>
        <w:t xml:space="preserve"> Board. The size of the Board</w:t>
      </w:r>
      <w:r w:rsidR="64BE0E93">
        <w:t>,</w:t>
      </w:r>
      <w:r>
        <w:t xml:space="preserve"> when I</w:t>
      </w:r>
      <w:r w:rsidR="451C4EAE">
        <w:t xml:space="preserve">nfrastructure </w:t>
      </w:r>
      <w:r>
        <w:t>A</w:t>
      </w:r>
      <w:r w:rsidR="0D60DCF8">
        <w:t>ustralia</w:t>
      </w:r>
      <w:r>
        <w:t xml:space="preserve"> was remade under </w:t>
      </w:r>
      <w:r w:rsidR="4454DB19">
        <w:t>the</w:t>
      </w:r>
      <w:r>
        <w:t xml:space="preserve"> board governance structure</w:t>
      </w:r>
      <w:r w:rsidR="68FD2256">
        <w:t>,</w:t>
      </w:r>
      <w:r>
        <w:t xml:space="preserve"> was a carryover from the previous Council structure. </w:t>
      </w:r>
      <w:r w:rsidR="48E3CE78">
        <w:t xml:space="preserve">As an expert advisory panel, </w:t>
      </w:r>
      <w:r w:rsidR="406D340F">
        <w:t>t</w:t>
      </w:r>
      <w:r>
        <w:t xml:space="preserve">he </w:t>
      </w:r>
      <w:r w:rsidR="41112132">
        <w:t xml:space="preserve">12-member </w:t>
      </w:r>
      <w:r>
        <w:t xml:space="preserve">Council could provide a wide range of knowledge on infrastructure matters. </w:t>
      </w:r>
      <w:r w:rsidR="12E20C16">
        <w:t>With the new s</w:t>
      </w:r>
      <w:r w:rsidR="2BF16514">
        <w:t>tructure</w:t>
      </w:r>
      <w:r w:rsidR="4B05F7B0">
        <w:t>,</w:t>
      </w:r>
      <w:r w:rsidR="2BF16514">
        <w:t xml:space="preserve"> </w:t>
      </w:r>
      <w:r w:rsidR="4FEC02AE">
        <w:t>t</w:t>
      </w:r>
      <w:r>
        <w:t>he members had directors’ duties</w:t>
      </w:r>
      <w:r w:rsidR="3D471547">
        <w:t xml:space="preserve"> imposed on them</w:t>
      </w:r>
      <w:r>
        <w:t xml:space="preserve"> and became formally accountable for their decisions in the name of I</w:t>
      </w:r>
      <w:r w:rsidR="26F8BD07">
        <w:t xml:space="preserve">nfrastructure </w:t>
      </w:r>
      <w:r>
        <w:t>A</w:t>
      </w:r>
      <w:r w:rsidR="4E2FF9E9">
        <w:t>ustralia</w:t>
      </w:r>
      <w:r>
        <w:t>.</w:t>
      </w:r>
      <w:r w:rsidRPr="4F9F5C11">
        <w:rPr>
          <w:lang w:val="en-US"/>
        </w:rPr>
        <w:t xml:space="preserve"> The IA Act does not make it explicit, but it has been generally regarded that the Board also retained an expert infrastructure advisory role.</w:t>
      </w:r>
    </w:p>
    <w:p w14:paraId="52806367" w14:textId="5B6DAA6A" w:rsidR="005B7958" w:rsidRPr="005B7958" w:rsidRDefault="2BD228AC" w:rsidP="005B7958">
      <w:pPr>
        <w:rPr>
          <w:lang w:val="en-US"/>
        </w:rPr>
      </w:pPr>
      <w:r>
        <w:t>From this, the Review puts forward three options in relation to the I</w:t>
      </w:r>
      <w:r w:rsidR="0632097B">
        <w:t xml:space="preserve">nfrastructure </w:t>
      </w:r>
      <w:r>
        <w:t>A</w:t>
      </w:r>
      <w:r w:rsidR="26E31845">
        <w:t>ustralia</w:t>
      </w:r>
      <w:r>
        <w:t xml:space="preserve"> Board and governance arrangements, for </w:t>
      </w:r>
      <w:r w:rsidR="0182CC82">
        <w:t xml:space="preserve">the </w:t>
      </w:r>
      <w:r>
        <w:t>Government</w:t>
      </w:r>
      <w:r w:rsidR="1DEF8E55">
        <w:t>’s</w:t>
      </w:r>
      <w:r>
        <w:t xml:space="preserve"> consideration: </w:t>
      </w:r>
    </w:p>
    <w:p w14:paraId="22723F23" w14:textId="297CC162" w:rsidR="005B7958" w:rsidRDefault="2BD228AC" w:rsidP="009B5758">
      <w:pPr>
        <w:pStyle w:val="Listparagraphbullets"/>
        <w:ind w:left="567" w:hanging="567"/>
      </w:pPr>
      <w:r w:rsidRPr="009B5758">
        <w:rPr>
          <w:b/>
          <w:i/>
        </w:rPr>
        <w:t>Option 1</w:t>
      </w:r>
      <w:r>
        <w:t>: maintaining the status quo</w:t>
      </w:r>
      <w:r w:rsidR="79102FE1">
        <w:t xml:space="preserve"> as it currently stands – a 12 member Board appointed by the responsible Minister</w:t>
      </w:r>
      <w:r>
        <w:t>.</w:t>
      </w:r>
    </w:p>
    <w:p w14:paraId="13ECD797" w14:textId="4CD0CD85" w:rsidR="005B7958" w:rsidRPr="0036635B" w:rsidRDefault="2BD228AC" w:rsidP="0036635B">
      <w:pPr>
        <w:pStyle w:val="Listparagraphbullets"/>
        <w:ind w:left="567" w:hanging="567"/>
        <w:rPr>
          <w:b/>
          <w:i/>
        </w:rPr>
      </w:pPr>
      <w:bookmarkStart w:id="92" w:name="_Hlk117254349"/>
      <w:r w:rsidRPr="0036635B">
        <w:rPr>
          <w:b/>
          <w:i/>
        </w:rPr>
        <w:t xml:space="preserve">Option 2: </w:t>
      </w:r>
      <w:r w:rsidRPr="0036635B">
        <w:t xml:space="preserve">replacing the Board model with a </w:t>
      </w:r>
      <w:r w:rsidR="3244AC2C" w:rsidRPr="0036635B">
        <w:t>c</w:t>
      </w:r>
      <w:r w:rsidRPr="0036635B">
        <w:t>ommission model</w:t>
      </w:r>
      <w:r w:rsidR="3244AC2C" w:rsidRPr="0036635B">
        <w:t>,</w:t>
      </w:r>
      <w:r w:rsidRPr="0036635B">
        <w:t xml:space="preserve"> </w:t>
      </w:r>
      <w:r w:rsidR="1C361F34" w:rsidRPr="0036635B">
        <w:t>including</w:t>
      </w:r>
      <w:r w:rsidRPr="0036635B">
        <w:t xml:space="preserve"> sub-committee</w:t>
      </w:r>
      <w:r w:rsidR="3244AC2C" w:rsidRPr="0036635B">
        <w:t>s</w:t>
      </w:r>
      <w:r w:rsidRPr="0036635B">
        <w:t xml:space="preserve"> to address audit and risk issues</w:t>
      </w:r>
      <w:r w:rsidR="3244AC2C" w:rsidRPr="0036635B">
        <w:t xml:space="preserve"> and an</w:t>
      </w:r>
      <w:r w:rsidR="0036635B" w:rsidRPr="0036635B">
        <w:rPr>
          <w:b/>
          <w:i/>
        </w:rPr>
        <w:t xml:space="preserve"> </w:t>
      </w:r>
      <w:hyperlink w:anchor="_Establishing_an_‘I-bodies’">
        <w:r w:rsidR="0036635B" w:rsidRPr="4F9F5C11">
          <w:rPr>
            <w:rStyle w:val="Hyperlink"/>
          </w:rPr>
          <w:t>I-bodies council</w:t>
        </w:r>
      </w:hyperlink>
      <w:r w:rsidRPr="0036635B">
        <w:t>. The Commission would lead the organisation and have powers to undertake inquiries on special topics</w:t>
      </w:r>
      <w:r w:rsidR="3244AC2C" w:rsidRPr="0036635B">
        <w:t xml:space="preserve"> as outlined in the</w:t>
      </w:r>
      <w:r w:rsidR="0036635B">
        <w:t xml:space="preserve"> </w:t>
      </w:r>
      <w:hyperlink w:anchor="_Improving_national_investment">
        <w:r w:rsidR="0036635B" w:rsidRPr="4F9F5C11">
          <w:rPr>
            <w:rStyle w:val="Hyperlink"/>
          </w:rPr>
          <w:t>inquiry powers discussion</w:t>
        </w:r>
      </w:hyperlink>
      <w:r w:rsidRPr="0036635B">
        <w:t>.</w:t>
      </w:r>
      <w:r w:rsidRPr="0036635B">
        <w:rPr>
          <w:b/>
          <w:i/>
        </w:rPr>
        <w:t xml:space="preserve"> This is the Review’s preferred and recommended approach.  </w:t>
      </w:r>
    </w:p>
    <w:bookmarkEnd w:id="92"/>
    <w:p w14:paraId="00178657" w14:textId="7AE41CFE" w:rsidR="005B7958" w:rsidRPr="0036635B" w:rsidRDefault="2BD228AC" w:rsidP="0036635B">
      <w:pPr>
        <w:pStyle w:val="Listparagraphbullets"/>
        <w:ind w:left="567" w:hanging="567"/>
        <w:rPr>
          <w:b/>
          <w:i/>
        </w:rPr>
      </w:pPr>
      <w:r w:rsidRPr="0036635B">
        <w:rPr>
          <w:b/>
          <w:i/>
        </w:rPr>
        <w:t xml:space="preserve">Option 3: </w:t>
      </w:r>
      <w:r w:rsidRPr="0036635B">
        <w:t xml:space="preserve">maintaining </w:t>
      </w:r>
      <w:r w:rsidR="3B2DAF4C" w:rsidRPr="0036635B">
        <w:t>a</w:t>
      </w:r>
      <w:r w:rsidRPr="0036635B">
        <w:t xml:space="preserve"> Board model, with a reduced </w:t>
      </w:r>
      <w:r w:rsidR="3F16872A" w:rsidRPr="0036635B">
        <w:t>number of members</w:t>
      </w:r>
      <w:r w:rsidRPr="0036635B">
        <w:t xml:space="preserve">, </w:t>
      </w:r>
      <w:r w:rsidR="4A7EF362" w:rsidRPr="0036635B">
        <w:t xml:space="preserve">a </w:t>
      </w:r>
      <w:r w:rsidRPr="0036635B">
        <w:t xml:space="preserve">stronger focus on expertise </w:t>
      </w:r>
      <w:r w:rsidR="2878D930" w:rsidRPr="0036635B">
        <w:t xml:space="preserve">of members </w:t>
      </w:r>
      <w:r w:rsidRPr="0036635B">
        <w:t>and longer</w:t>
      </w:r>
      <w:r w:rsidR="5929B797" w:rsidRPr="0036635B">
        <w:t>-</w:t>
      </w:r>
      <w:r w:rsidRPr="0036635B">
        <w:t>term appointments to provide organisational</w:t>
      </w:r>
      <w:r w:rsidR="5BF7B17A" w:rsidRPr="0036635B">
        <w:t xml:space="preserve"> </w:t>
      </w:r>
      <w:r w:rsidRPr="0036635B">
        <w:t>stability</w:t>
      </w:r>
      <w:r w:rsidR="0036635B">
        <w:t>.</w:t>
      </w:r>
      <w:r w:rsidR="0036635B" w:rsidRPr="0036635B">
        <w:rPr>
          <w:b/>
          <w:i/>
        </w:rPr>
        <w:t xml:space="preserve"> </w:t>
      </w:r>
    </w:p>
    <w:p w14:paraId="218959DA" w14:textId="77777777" w:rsidR="005B7958" w:rsidRPr="00B041CB" w:rsidRDefault="6AB86E26" w:rsidP="005B7958">
      <w:pPr>
        <w:pStyle w:val="Heading3"/>
      </w:pPr>
      <w:bookmarkStart w:id="93" w:name="_Toc115379982"/>
      <w:bookmarkStart w:id="94" w:name="_Toc124783624"/>
      <w:r>
        <w:t>Option 1: maintaining the status quo</w:t>
      </w:r>
      <w:bookmarkEnd w:id="93"/>
      <w:bookmarkEnd w:id="94"/>
    </w:p>
    <w:p w14:paraId="2D48B40C" w14:textId="555526EF" w:rsidR="005B7958" w:rsidRDefault="2BD228AC" w:rsidP="005B7958">
      <w:r>
        <w:t>Stakeholders (including both former and current</w:t>
      </w:r>
      <w:r w:rsidR="18BB4E4C">
        <w:t xml:space="preserve"> Infrastructure Australia</w:t>
      </w:r>
      <w:r>
        <w:t xml:space="preserve"> Board members) and submissions made it clear that the Infrastructure Australia Board and governance arrangements </w:t>
      </w:r>
      <w:r w:rsidR="3244AC2C">
        <w:t>required a significant rethink</w:t>
      </w:r>
      <w:r>
        <w:t xml:space="preserve"> and restructure. The Review heard strong feedback about the need to reconsider the size and expertise of Board members, and calls for an extended tenure. </w:t>
      </w:r>
    </w:p>
    <w:p w14:paraId="59300C25" w14:textId="64AB9892" w:rsidR="005B7958" w:rsidRDefault="2BD228AC" w:rsidP="005B7958">
      <w:r>
        <w:t>The Review found broad agreement that the current size of the I</w:t>
      </w:r>
      <w:r w:rsidR="7BFE0696">
        <w:t xml:space="preserve">nfrastructure </w:t>
      </w:r>
      <w:r>
        <w:t>A</w:t>
      </w:r>
      <w:r w:rsidR="6D31F962">
        <w:t>ustralia</w:t>
      </w:r>
      <w:r>
        <w:t xml:space="preserve"> Board, comprising </w:t>
      </w:r>
      <w:r w:rsidR="76650FC9">
        <w:br/>
      </w:r>
      <w:r>
        <w:t>12 members including the Chair, is unwieldy for the management of an organisation. Stakeholders who agreed with this included both current and former Board members of I</w:t>
      </w:r>
      <w:r w:rsidR="39F39A3B">
        <w:t xml:space="preserve">nfrastructure </w:t>
      </w:r>
      <w:r>
        <w:t>A</w:t>
      </w:r>
      <w:r w:rsidR="243213B8">
        <w:t>ustralia</w:t>
      </w:r>
      <w:r>
        <w:t>.</w:t>
      </w:r>
    </w:p>
    <w:p w14:paraId="234ED4D7" w14:textId="509B680C" w:rsidR="005B7958" w:rsidRDefault="25A59D6E" w:rsidP="005B7958">
      <w:r>
        <w:lastRenderedPageBreak/>
        <w:t>Through submissions, the Review heard strongly the importance of having Board members who had the appropriate expertise and professional backgrounds or experience to ensure I</w:t>
      </w:r>
      <w:r w:rsidR="23A9CBBF">
        <w:t xml:space="preserve">nfrastructure </w:t>
      </w:r>
      <w:r>
        <w:t>A</w:t>
      </w:r>
      <w:r w:rsidR="0EF5A727">
        <w:t>ustralia</w:t>
      </w:r>
      <w:r>
        <w:t xml:space="preserve"> could carry out its responsibilities. Stakeholders identified that I</w:t>
      </w:r>
      <w:r w:rsidR="64A22D6A">
        <w:t xml:space="preserve">nfrastructure </w:t>
      </w:r>
      <w:r>
        <w:t>A</w:t>
      </w:r>
      <w:r w:rsidR="2A0909BD">
        <w:t>ustralia</w:t>
      </w:r>
      <w:r>
        <w:t xml:space="preserve"> ha</w:t>
      </w:r>
      <w:r w:rsidR="7125629C">
        <w:t>d</w:t>
      </w:r>
      <w:r>
        <w:t xml:space="preserve"> been most effective and influential when the Board, or more </w:t>
      </w:r>
      <w:r w:rsidR="2F1CE243">
        <w:t>so</w:t>
      </w:r>
      <w:r>
        <w:t xml:space="preserve"> the original Council, ha</w:t>
      </w:r>
      <w:r w:rsidR="5BDF21BF">
        <w:t>d</w:t>
      </w:r>
      <w:r>
        <w:t xml:space="preserve"> been providing a strong advisory role, rather than relying on the </w:t>
      </w:r>
      <w:r w:rsidR="37DC11E8">
        <w:t>E</w:t>
      </w:r>
      <w:r>
        <w:t>xecutives</w:t>
      </w:r>
      <w:r w:rsidR="23135073">
        <w:t xml:space="preserve"> of the organisation</w:t>
      </w:r>
      <w:r>
        <w:t xml:space="preserve">. </w:t>
      </w:r>
    </w:p>
    <w:p w14:paraId="3DDE6BDE" w14:textId="74D68F9D" w:rsidR="005B7958" w:rsidRPr="00B223D5" w:rsidRDefault="6AB86E26" w:rsidP="005B7958">
      <w:pPr>
        <w:pBdr>
          <w:left w:val="single" w:sz="48" w:space="22" w:color="4BB3B5"/>
        </w:pBdr>
        <w:suppressAutoHyphens/>
        <w:spacing w:before="160"/>
        <w:ind w:left="567" w:right="567"/>
      </w:pPr>
      <w:r w:rsidRPr="4F9F5C11">
        <w:rPr>
          <w:rStyle w:val="QuoteChar"/>
        </w:rPr>
        <w:t>Infrastructure Australia’s strongest contributions to policy and investment has occurred during periods where the entity was ‘the Board’ rather than in periods where the secretariat was preeminent.</w:t>
      </w:r>
      <w:r w:rsidR="005B7958">
        <w:br/>
      </w:r>
      <w:r>
        <w:t>Infrastructure Partnerships Australia</w:t>
      </w:r>
    </w:p>
    <w:p w14:paraId="725FA5C9" w14:textId="5C37B84C" w:rsidR="005B7958" w:rsidRDefault="3244AC2C" w:rsidP="00547667">
      <w:pPr>
        <w:spacing w:before="360"/>
      </w:pPr>
      <w:r>
        <w:t>T</w:t>
      </w:r>
      <w:r w:rsidR="2BD228AC">
        <w:t>he Review does not recommend option</w:t>
      </w:r>
      <w:r w:rsidR="5B9627DE">
        <w:t xml:space="preserve"> 1</w:t>
      </w:r>
      <w:r w:rsidR="2BD228AC">
        <w:t xml:space="preserve">. </w:t>
      </w:r>
    </w:p>
    <w:p w14:paraId="5A67FB3E" w14:textId="566F8BA0" w:rsidR="005B7958" w:rsidRPr="00B041CB" w:rsidRDefault="2BD228AC" w:rsidP="005B7958">
      <w:pPr>
        <w:pStyle w:val="Heading3"/>
      </w:pPr>
      <w:bookmarkStart w:id="95" w:name="_Toc115379983"/>
      <w:bookmarkStart w:id="96" w:name="_Hlk115194396"/>
      <w:bookmarkStart w:id="97" w:name="_Toc124783625"/>
      <w:r>
        <w:t>Option 2: an I</w:t>
      </w:r>
      <w:r w:rsidR="0D68A57F">
        <w:t xml:space="preserve">nfrastructure </w:t>
      </w:r>
      <w:r>
        <w:t>A</w:t>
      </w:r>
      <w:r w:rsidR="3CB8C7C1">
        <w:t>ustralia</w:t>
      </w:r>
      <w:r>
        <w:t xml:space="preserve"> Commission model </w:t>
      </w:r>
      <w:r w:rsidR="24F45955">
        <w:t>(preferred model)</w:t>
      </w:r>
      <w:bookmarkEnd w:id="95"/>
      <w:bookmarkEnd w:id="97"/>
      <w:r w:rsidR="24F45955">
        <w:t xml:space="preserve"> </w:t>
      </w:r>
    </w:p>
    <w:bookmarkEnd w:id="96"/>
    <w:p w14:paraId="621E50AA" w14:textId="7A3AD471" w:rsidR="005B7958" w:rsidRDefault="3CCF97AF" w:rsidP="005B7958">
      <w:pPr>
        <w:rPr>
          <w:rFonts w:eastAsia="Calibri" w:cs="Calibri"/>
          <w:lang w:val="en-US"/>
        </w:rPr>
      </w:pPr>
      <w:r w:rsidRPr="4F9F5C11">
        <w:rPr>
          <w:rFonts w:eastAsia="Calibri" w:cs="Calibri"/>
          <w:lang w:val="en-US"/>
        </w:rPr>
        <w:t xml:space="preserve">Following on from </w:t>
      </w:r>
      <w:hyperlink w:anchor="_Improving_national_investment">
        <w:r w:rsidRPr="4F9F5C11">
          <w:rPr>
            <w:rStyle w:val="Hyperlink"/>
            <w:rFonts w:eastAsia="Calibri" w:cs="Calibri"/>
            <w:lang w:val="en-US"/>
          </w:rPr>
          <w:t>Recommendation</w:t>
        </w:r>
        <w:r w:rsidR="3244AC2C" w:rsidRPr="4F9F5C11">
          <w:rPr>
            <w:rStyle w:val="Hyperlink"/>
            <w:rFonts w:eastAsia="Calibri" w:cs="Calibri"/>
            <w:lang w:val="en-US"/>
          </w:rPr>
          <w:t xml:space="preserve"> 12</w:t>
        </w:r>
      </w:hyperlink>
      <w:r w:rsidRPr="4F9F5C11">
        <w:rPr>
          <w:rFonts w:eastAsia="Calibri" w:cs="Calibri"/>
          <w:lang w:val="en-US"/>
        </w:rPr>
        <w:t xml:space="preserve"> and the introduction of inquiry powers for Infrastructure Australia, the Review believes option 2 is the most appropriate and would align with inquiry responsibilities. Introducing a </w:t>
      </w:r>
      <w:r w:rsidR="3244AC2C" w:rsidRPr="4F9F5C11">
        <w:rPr>
          <w:rFonts w:eastAsia="Calibri" w:cs="Calibri"/>
          <w:lang w:val="en-US"/>
        </w:rPr>
        <w:t>c</w:t>
      </w:r>
      <w:r w:rsidRPr="4F9F5C11">
        <w:rPr>
          <w:rFonts w:eastAsia="Calibri" w:cs="Calibri"/>
          <w:lang w:val="en-US"/>
        </w:rPr>
        <w:t xml:space="preserve">ommission </w:t>
      </w:r>
      <w:r w:rsidR="674ECF91" w:rsidRPr="4F9F5C11">
        <w:rPr>
          <w:rFonts w:eastAsia="Calibri" w:cs="Calibri"/>
          <w:lang w:val="en-US"/>
        </w:rPr>
        <w:t>structure</w:t>
      </w:r>
      <w:r w:rsidRPr="4F9F5C11">
        <w:rPr>
          <w:rFonts w:eastAsia="Calibri" w:cs="Calibri"/>
          <w:lang w:val="en-US"/>
        </w:rPr>
        <w:t xml:space="preserve"> supports the </w:t>
      </w:r>
      <w:r w:rsidR="538EB631" w:rsidRPr="4F9F5C11">
        <w:rPr>
          <w:rFonts w:eastAsia="Calibri" w:cs="Calibri"/>
          <w:lang w:val="en-US"/>
        </w:rPr>
        <w:t>strong view of stakeholders that</w:t>
      </w:r>
      <w:r w:rsidRPr="4F9F5C11">
        <w:rPr>
          <w:rFonts w:eastAsia="Calibri" w:cs="Calibri"/>
          <w:lang w:val="en-US"/>
        </w:rPr>
        <w:t xml:space="preserve"> Infrastructure Australia and its </w:t>
      </w:r>
      <w:r w:rsidR="3A1B0D2D" w:rsidRPr="4F9F5C11">
        <w:rPr>
          <w:rFonts w:eastAsia="Calibri" w:cs="Calibri"/>
          <w:lang w:val="en-US"/>
        </w:rPr>
        <w:t>mandate</w:t>
      </w:r>
      <w:r w:rsidRPr="4F9F5C11">
        <w:rPr>
          <w:rFonts w:eastAsia="Calibri" w:cs="Calibri"/>
          <w:lang w:val="en-US"/>
        </w:rPr>
        <w:t xml:space="preserve"> will </w:t>
      </w:r>
      <w:r w:rsidR="0A0E2555" w:rsidRPr="4F9F5C11">
        <w:rPr>
          <w:rFonts w:eastAsia="Calibri" w:cs="Calibri"/>
          <w:lang w:val="en-US"/>
        </w:rPr>
        <w:t xml:space="preserve">then </w:t>
      </w:r>
      <w:r w:rsidRPr="4F9F5C11">
        <w:rPr>
          <w:rFonts w:eastAsia="Calibri" w:cs="Calibri"/>
          <w:lang w:val="en-US"/>
        </w:rPr>
        <w:t xml:space="preserve">attract people with the right expertise and caliber. Models which stakeholders suggested the Review consider </w:t>
      </w:r>
      <w:r w:rsidR="6A3B36A3" w:rsidRPr="4F9F5C11">
        <w:rPr>
          <w:rFonts w:eastAsia="Calibri" w:cs="Calibri"/>
          <w:lang w:val="en-US"/>
        </w:rPr>
        <w:t>in contemplating</w:t>
      </w:r>
      <w:r w:rsidRPr="4F9F5C11">
        <w:rPr>
          <w:rFonts w:eastAsia="Calibri" w:cs="Calibri"/>
          <w:lang w:val="en-US"/>
        </w:rPr>
        <w:t xml:space="preserve"> a </w:t>
      </w:r>
      <w:r w:rsidR="3244AC2C" w:rsidRPr="4F9F5C11">
        <w:rPr>
          <w:rFonts w:eastAsia="Calibri" w:cs="Calibri"/>
          <w:lang w:val="en-US"/>
        </w:rPr>
        <w:t>c</w:t>
      </w:r>
      <w:r w:rsidRPr="4F9F5C11">
        <w:rPr>
          <w:rFonts w:eastAsia="Calibri" w:cs="Calibri"/>
          <w:lang w:val="en-US"/>
        </w:rPr>
        <w:t xml:space="preserve">ommission </w:t>
      </w:r>
      <w:r w:rsidR="3244AC2C" w:rsidRPr="4F9F5C11">
        <w:rPr>
          <w:rFonts w:eastAsia="Calibri" w:cs="Calibri"/>
          <w:lang w:val="en-US"/>
        </w:rPr>
        <w:t>s</w:t>
      </w:r>
      <w:r w:rsidRPr="4F9F5C11">
        <w:rPr>
          <w:rFonts w:eastAsia="Calibri" w:cs="Calibri"/>
          <w:lang w:val="en-US"/>
        </w:rPr>
        <w:t>tructure and composition were the Greater Sydney Commission</w:t>
      </w:r>
      <w:r w:rsidRPr="4F9F5C11">
        <w:rPr>
          <w:rFonts w:eastAsia="Calibri" w:cs="Calibri"/>
          <w:i/>
          <w:iCs/>
          <w:lang w:val="en-US"/>
        </w:rPr>
        <w:t xml:space="preserve"> </w:t>
      </w:r>
      <w:r w:rsidRPr="4F9F5C11">
        <w:rPr>
          <w:rFonts w:eastAsia="Calibri" w:cs="Calibri"/>
          <w:lang w:val="en-US"/>
        </w:rPr>
        <w:t xml:space="preserve">and the </w:t>
      </w:r>
      <w:r w:rsidR="3244AC2C" w:rsidRPr="4F9F5C11">
        <w:rPr>
          <w:rFonts w:eastAsia="Calibri" w:cs="Calibri"/>
          <w:lang w:val="en-US"/>
        </w:rPr>
        <w:t>UK NIC, as well as the PC</w:t>
      </w:r>
      <w:r w:rsidRPr="4F9F5C11">
        <w:rPr>
          <w:rFonts w:eastAsia="Calibri" w:cs="Calibri"/>
          <w:lang w:val="en-US"/>
        </w:rPr>
        <w:t>. A comparison of the composition of the three Commissions is as follows:</w:t>
      </w:r>
    </w:p>
    <w:p w14:paraId="40096D1D" w14:textId="40A306CA" w:rsidR="005B7958" w:rsidRPr="005B7958" w:rsidRDefault="6AB86E26" w:rsidP="000A08E0">
      <w:pPr>
        <w:pStyle w:val="Tablefigureheading"/>
      </w:pPr>
      <w:r>
        <w:t xml:space="preserve">Table </w:t>
      </w:r>
      <w:r w:rsidR="005B7958" w:rsidRPr="4F9F5C11">
        <w:rPr>
          <w:color w:val="2B579A"/>
        </w:rPr>
        <w:fldChar w:fldCharType="begin"/>
      </w:r>
      <w:r w:rsidR="005B7958">
        <w:instrText>SEQ Table \* ARABIC</w:instrText>
      </w:r>
      <w:r w:rsidR="005B7958" w:rsidRPr="4F9F5C11">
        <w:rPr>
          <w:color w:val="2B579A"/>
        </w:rPr>
        <w:fldChar w:fldCharType="separate"/>
      </w:r>
      <w:r w:rsidR="00511E45">
        <w:rPr>
          <w:noProof/>
        </w:rPr>
        <w:t>1</w:t>
      </w:r>
      <w:r w:rsidR="005B7958" w:rsidRPr="4F9F5C11">
        <w:rPr>
          <w:color w:val="2B579A"/>
        </w:rPr>
        <w:fldChar w:fldCharType="end"/>
      </w:r>
      <w:r>
        <w:t xml:space="preserve">: Comparison of the various Commissions </w:t>
      </w:r>
    </w:p>
    <w:tbl>
      <w:tblPr>
        <w:tblStyle w:val="DefaultTable11"/>
        <w:tblW w:w="10167" w:type="dxa"/>
        <w:tblLook w:val="04A0" w:firstRow="1" w:lastRow="0" w:firstColumn="1" w:lastColumn="0" w:noHBand="0" w:noVBand="1"/>
        <w:tblCaption w:val="Table 1: Comparison of the various Commissions"/>
        <w:tblDescription w:val="Table 1 compares three Commissions: Productivity Commission, Greater Sydney Commission and National Infrastructure Commission (United Kingdom). The table includes a comparison of the legislation, number of commissioners, appointment term and expertise for each."/>
      </w:tblPr>
      <w:tblGrid>
        <w:gridCol w:w="1479"/>
        <w:gridCol w:w="2632"/>
        <w:gridCol w:w="3042"/>
        <w:gridCol w:w="3014"/>
      </w:tblGrid>
      <w:tr w:rsidR="005B7958" w14:paraId="00EAB6C5" w14:textId="77777777" w:rsidTr="005476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9" w:type="dxa"/>
          </w:tcPr>
          <w:p w14:paraId="44ABC5D4" w14:textId="77777777" w:rsidR="005B7958" w:rsidRDefault="005B7958" w:rsidP="00BE6E84"/>
        </w:tc>
        <w:tc>
          <w:tcPr>
            <w:tcW w:w="2632" w:type="dxa"/>
          </w:tcPr>
          <w:p w14:paraId="0CD13D1F" w14:textId="77777777" w:rsidR="005B7958" w:rsidRDefault="6AB86E26" w:rsidP="00BE6E84">
            <w:pPr>
              <w:cnfStyle w:val="100000000000" w:firstRow="1" w:lastRow="0" w:firstColumn="0" w:lastColumn="0" w:oddVBand="0" w:evenVBand="0" w:oddHBand="0" w:evenHBand="0" w:firstRowFirstColumn="0" w:firstRowLastColumn="0" w:lastRowFirstColumn="0" w:lastRowLastColumn="0"/>
            </w:pPr>
            <w:r>
              <w:t>Productivity Commission</w:t>
            </w:r>
          </w:p>
        </w:tc>
        <w:tc>
          <w:tcPr>
            <w:tcW w:w="3042" w:type="dxa"/>
          </w:tcPr>
          <w:p w14:paraId="52227F57" w14:textId="77777777" w:rsidR="005B7958" w:rsidRDefault="6AB86E26" w:rsidP="00BE6E84">
            <w:pPr>
              <w:cnfStyle w:val="100000000000" w:firstRow="1" w:lastRow="0" w:firstColumn="0" w:lastColumn="0" w:oddVBand="0" w:evenVBand="0" w:oddHBand="0" w:evenHBand="0" w:firstRowFirstColumn="0" w:firstRowLastColumn="0" w:lastRowFirstColumn="0" w:lastRowLastColumn="0"/>
            </w:pPr>
            <w:r>
              <w:t xml:space="preserve">Greater Sydney Commission </w:t>
            </w:r>
          </w:p>
        </w:tc>
        <w:tc>
          <w:tcPr>
            <w:tcW w:w="3014" w:type="dxa"/>
          </w:tcPr>
          <w:p w14:paraId="107C0579" w14:textId="5DA7F208" w:rsidR="005B7958" w:rsidRDefault="6AB86E26" w:rsidP="00BE6E84">
            <w:pPr>
              <w:cnfStyle w:val="100000000000" w:firstRow="1" w:lastRow="0" w:firstColumn="0" w:lastColumn="0" w:oddVBand="0" w:evenVBand="0" w:oddHBand="0" w:evenHBand="0" w:firstRowFirstColumn="0" w:firstRowLastColumn="0" w:lastRowFirstColumn="0" w:lastRowLastColumn="0"/>
            </w:pPr>
            <w:r>
              <w:t>National Infrastructure Commission (U</w:t>
            </w:r>
            <w:r w:rsidR="4946BB33">
              <w:t xml:space="preserve">nited </w:t>
            </w:r>
            <w:r>
              <w:t>K</w:t>
            </w:r>
            <w:r w:rsidR="7255F816">
              <w:t>ingdom</w:t>
            </w:r>
            <w:r>
              <w:t>)</w:t>
            </w:r>
          </w:p>
        </w:tc>
      </w:tr>
      <w:tr w:rsidR="005B7958" w14:paraId="666DD0A4" w14:textId="77777777" w:rsidTr="00547667">
        <w:tc>
          <w:tcPr>
            <w:cnfStyle w:val="001000000000" w:firstRow="0" w:lastRow="0" w:firstColumn="1" w:lastColumn="0" w:oddVBand="0" w:evenVBand="0" w:oddHBand="0" w:evenHBand="0" w:firstRowFirstColumn="0" w:firstRowLastColumn="0" w:lastRowFirstColumn="0" w:lastRowLastColumn="0"/>
            <w:tcW w:w="1479" w:type="dxa"/>
          </w:tcPr>
          <w:p w14:paraId="477265CE" w14:textId="77777777" w:rsidR="005B7958" w:rsidRDefault="6AB86E26" w:rsidP="00BE6E84">
            <w:r>
              <w:t xml:space="preserve">Legislation </w:t>
            </w:r>
          </w:p>
        </w:tc>
        <w:tc>
          <w:tcPr>
            <w:tcW w:w="2632" w:type="dxa"/>
          </w:tcPr>
          <w:p w14:paraId="0AB85932" w14:textId="77777777" w:rsidR="005B7958" w:rsidRDefault="6AB86E26" w:rsidP="4F9F5C11">
            <w:pPr>
              <w:cnfStyle w:val="000000000000" w:firstRow="0" w:lastRow="0" w:firstColumn="0" w:lastColumn="0" w:oddVBand="0" w:evenVBand="0" w:oddHBand="0" w:evenHBand="0" w:firstRowFirstColumn="0" w:firstRowLastColumn="0" w:lastRowFirstColumn="0" w:lastRowLastColumn="0"/>
              <w:rPr>
                <w:rFonts w:eastAsia="Calibri" w:cs="Calibri"/>
                <w:lang w:val="en-US"/>
              </w:rPr>
            </w:pPr>
            <w:r w:rsidRPr="4F9F5C11">
              <w:rPr>
                <w:rFonts w:eastAsia="Calibri" w:cs="Calibri"/>
                <w:i/>
                <w:iCs/>
                <w:lang w:val="en-US"/>
              </w:rPr>
              <w:t xml:space="preserve">Productivity Commission Act 1998 </w:t>
            </w:r>
            <w:r w:rsidRPr="4F9F5C11">
              <w:rPr>
                <w:rFonts w:eastAsia="Calibri" w:cs="Calibri"/>
                <w:lang w:val="en-US"/>
              </w:rPr>
              <w:t>(</w:t>
            </w:r>
            <w:proofErr w:type="spellStart"/>
            <w:r w:rsidRPr="4F9F5C11">
              <w:rPr>
                <w:rFonts w:eastAsia="Calibri" w:cs="Calibri"/>
                <w:lang w:val="en-US"/>
              </w:rPr>
              <w:t>Cth</w:t>
            </w:r>
            <w:proofErr w:type="spellEnd"/>
            <w:r w:rsidRPr="4F9F5C11">
              <w:rPr>
                <w:rFonts w:eastAsia="Calibri" w:cs="Calibri"/>
                <w:lang w:val="en-US"/>
              </w:rPr>
              <w:t>)</w:t>
            </w:r>
          </w:p>
        </w:tc>
        <w:tc>
          <w:tcPr>
            <w:tcW w:w="3042" w:type="dxa"/>
          </w:tcPr>
          <w:p w14:paraId="5D428B6F" w14:textId="77777777" w:rsidR="005B7958" w:rsidRDefault="6AB86E26" w:rsidP="4F9F5C11">
            <w:pPr>
              <w:cnfStyle w:val="000000000000" w:firstRow="0" w:lastRow="0" w:firstColumn="0" w:lastColumn="0" w:oddVBand="0" w:evenVBand="0" w:oddHBand="0" w:evenHBand="0" w:firstRowFirstColumn="0" w:firstRowLastColumn="0" w:lastRowFirstColumn="0" w:lastRowLastColumn="0"/>
              <w:rPr>
                <w:rFonts w:eastAsia="Calibri" w:cs="Calibri"/>
                <w:lang w:val="en-US"/>
              </w:rPr>
            </w:pPr>
            <w:r w:rsidRPr="4F9F5C11">
              <w:rPr>
                <w:rFonts w:eastAsia="Calibri" w:cs="Calibri"/>
                <w:i/>
                <w:iCs/>
                <w:lang w:val="en-US"/>
              </w:rPr>
              <w:t xml:space="preserve">Greater Sydney Commission Act 2015 </w:t>
            </w:r>
            <w:r w:rsidRPr="4F9F5C11">
              <w:rPr>
                <w:rFonts w:eastAsia="Calibri" w:cs="Calibri"/>
                <w:lang w:val="en-US"/>
              </w:rPr>
              <w:t>(NSW)</w:t>
            </w:r>
          </w:p>
        </w:tc>
        <w:tc>
          <w:tcPr>
            <w:tcW w:w="3014" w:type="dxa"/>
          </w:tcPr>
          <w:p w14:paraId="5CEC0AF9" w14:textId="77777777" w:rsidR="005B7958" w:rsidRDefault="6AB86E26" w:rsidP="4F9F5C11">
            <w:pPr>
              <w:cnfStyle w:val="000000000000" w:firstRow="0" w:lastRow="0" w:firstColumn="0" w:lastColumn="0" w:oddVBand="0" w:evenVBand="0" w:oddHBand="0" w:evenHBand="0" w:firstRowFirstColumn="0" w:firstRowLastColumn="0" w:lastRowFirstColumn="0" w:lastRowLastColumn="0"/>
              <w:rPr>
                <w:rFonts w:eastAsia="Calibri" w:cs="Calibri"/>
                <w:lang w:val="en-US"/>
              </w:rPr>
            </w:pPr>
            <w:r w:rsidRPr="4F9F5C11">
              <w:rPr>
                <w:rFonts w:eastAsia="Calibri" w:cs="Calibri"/>
                <w:lang w:val="en-US"/>
              </w:rPr>
              <w:t>National Infrastructure Commission Framework Document</w:t>
            </w:r>
          </w:p>
        </w:tc>
      </w:tr>
      <w:tr w:rsidR="005B7958" w:rsidRPr="00733669" w14:paraId="3CF070A5" w14:textId="77777777" w:rsidTr="00547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9" w:type="dxa"/>
          </w:tcPr>
          <w:p w14:paraId="1DEA09C8" w14:textId="77777777" w:rsidR="005B7958" w:rsidRDefault="6AB86E26" w:rsidP="00BE6E84">
            <w:r>
              <w:t xml:space="preserve">No. of Commissioners </w:t>
            </w:r>
          </w:p>
        </w:tc>
        <w:tc>
          <w:tcPr>
            <w:tcW w:w="2632" w:type="dxa"/>
          </w:tcPr>
          <w:p w14:paraId="36860E34" w14:textId="7B3E6D24" w:rsidR="005B7958" w:rsidRDefault="76945C32" w:rsidP="4F9F5C11">
            <w:pPr>
              <w:cnfStyle w:val="000000010000" w:firstRow="0" w:lastRow="0" w:firstColumn="0" w:lastColumn="0" w:oddVBand="0" w:evenVBand="0" w:oddHBand="0" w:evenHBand="1" w:firstRowFirstColumn="0" w:firstRowLastColumn="0" w:lastRowFirstColumn="0" w:lastRowLastColumn="0"/>
              <w:rPr>
                <w:rFonts w:eastAsia="Calibri" w:cs="Calibri"/>
                <w:lang w:val="en-US"/>
              </w:rPr>
            </w:pPr>
            <w:r w:rsidRPr="4F9F5C11">
              <w:rPr>
                <w:rFonts w:eastAsia="Calibri" w:cs="Calibri"/>
                <w:lang w:val="en-US"/>
              </w:rPr>
              <w:t xml:space="preserve">A Chair and no fewer than </w:t>
            </w:r>
            <w:r w:rsidR="4100B3D2" w:rsidRPr="4F9F5C11">
              <w:rPr>
                <w:rFonts w:eastAsia="Calibri" w:cs="Calibri"/>
                <w:lang w:val="en-US"/>
              </w:rPr>
              <w:t>four</w:t>
            </w:r>
            <w:r w:rsidRPr="4F9F5C11">
              <w:rPr>
                <w:rFonts w:eastAsia="Calibri" w:cs="Calibri"/>
                <w:lang w:val="en-US"/>
              </w:rPr>
              <w:t xml:space="preserve"> and no more than </w:t>
            </w:r>
            <w:r w:rsidR="22B16E6E">
              <w:br/>
            </w:r>
            <w:r w:rsidRPr="4F9F5C11">
              <w:rPr>
                <w:rFonts w:eastAsia="Calibri" w:cs="Calibri"/>
                <w:lang w:val="en-US"/>
              </w:rPr>
              <w:t>12 other Commissioners</w:t>
            </w:r>
          </w:p>
        </w:tc>
        <w:tc>
          <w:tcPr>
            <w:tcW w:w="3042" w:type="dxa"/>
          </w:tcPr>
          <w:p w14:paraId="4FDBC4D8" w14:textId="5985DECC" w:rsidR="005B7958" w:rsidRDefault="63C3BE35" w:rsidP="00BE6E84">
            <w:pPr>
              <w:cnfStyle w:val="000000010000" w:firstRow="0" w:lastRow="0" w:firstColumn="0" w:lastColumn="0" w:oddVBand="0" w:evenVBand="0" w:oddHBand="0" w:evenHBand="1" w:firstRowFirstColumn="0" w:firstRowLastColumn="0" w:lastRowFirstColumn="0" w:lastRowLastColumn="0"/>
              <w:rPr>
                <w:rFonts w:eastAsia="Calibri" w:cs="Calibri"/>
                <w:lang w:val="en-US"/>
              </w:rPr>
            </w:pPr>
            <w:r w:rsidRPr="4F9F5C11">
              <w:rPr>
                <w:rFonts w:eastAsia="Calibri" w:cs="Calibri"/>
                <w:lang w:val="en-US"/>
              </w:rPr>
              <w:t xml:space="preserve">Four </w:t>
            </w:r>
            <w:r w:rsidR="76945C32" w:rsidRPr="4F9F5C11">
              <w:rPr>
                <w:rFonts w:eastAsia="Calibri" w:cs="Calibri"/>
                <w:lang w:val="en-US"/>
              </w:rPr>
              <w:t xml:space="preserve">Greater Sydney Commissioners: </w:t>
            </w:r>
            <w:proofErr w:type="gramStart"/>
            <w:r w:rsidR="76945C32" w:rsidRPr="4F9F5C11">
              <w:rPr>
                <w:rFonts w:eastAsia="Calibri" w:cs="Calibri"/>
                <w:lang w:val="en-US"/>
              </w:rPr>
              <w:t>the</w:t>
            </w:r>
            <w:proofErr w:type="gramEnd"/>
            <w:r w:rsidR="76945C32" w:rsidRPr="4F9F5C11">
              <w:rPr>
                <w:rFonts w:eastAsia="Calibri" w:cs="Calibri"/>
                <w:lang w:val="en-US"/>
              </w:rPr>
              <w:t xml:space="preserve"> Chief Commissioner and </w:t>
            </w:r>
            <w:r w:rsidR="54CAB0ED" w:rsidRPr="4F9F5C11">
              <w:rPr>
                <w:rFonts w:eastAsia="Calibri" w:cs="Calibri"/>
                <w:lang w:val="en-US"/>
              </w:rPr>
              <w:t>three</w:t>
            </w:r>
            <w:r w:rsidR="76945C32" w:rsidRPr="4F9F5C11">
              <w:rPr>
                <w:rFonts w:eastAsia="Calibri" w:cs="Calibri"/>
                <w:lang w:val="en-US"/>
              </w:rPr>
              <w:t xml:space="preserve"> other Commissioners</w:t>
            </w:r>
          </w:p>
          <w:p w14:paraId="3D1B7826" w14:textId="77777777" w:rsidR="005B7958" w:rsidRDefault="6AB86E26" w:rsidP="00BE6E84">
            <w:pPr>
              <w:cnfStyle w:val="000000010000" w:firstRow="0" w:lastRow="0" w:firstColumn="0" w:lastColumn="0" w:oddVBand="0" w:evenVBand="0" w:oddHBand="0" w:evenHBand="1" w:firstRowFirstColumn="0" w:firstRowLastColumn="0" w:lastRowFirstColumn="0" w:lastRowLastColumn="0"/>
              <w:rPr>
                <w:rFonts w:eastAsia="Calibri" w:cs="Calibri"/>
                <w:lang w:val="en-US"/>
              </w:rPr>
            </w:pPr>
            <w:r w:rsidRPr="4F9F5C11">
              <w:rPr>
                <w:rFonts w:eastAsia="Calibri" w:cs="Calibri"/>
                <w:lang w:val="en-US"/>
              </w:rPr>
              <w:t xml:space="preserve">District Commissioners, as appointed by the Minister to represent a district in the Greater Sydney Region </w:t>
            </w:r>
          </w:p>
          <w:p w14:paraId="61DD0FF0" w14:textId="42DD0A52" w:rsidR="005B7958" w:rsidRPr="00E50703" w:rsidRDefault="76945C32" w:rsidP="00BE6E84">
            <w:pPr>
              <w:cnfStyle w:val="000000010000" w:firstRow="0" w:lastRow="0" w:firstColumn="0" w:lastColumn="0" w:oddVBand="0" w:evenVBand="0" w:oddHBand="0" w:evenHBand="1" w:firstRowFirstColumn="0" w:firstRowLastColumn="0" w:lastRowFirstColumn="0" w:lastRowLastColumn="0"/>
              <w:rPr>
                <w:rFonts w:eastAsia="Calibri" w:cs="Calibri"/>
                <w:lang w:val="en-US"/>
              </w:rPr>
            </w:pPr>
            <w:r w:rsidRPr="4F9F5C11">
              <w:rPr>
                <w:rFonts w:eastAsia="Calibri" w:cs="Calibri"/>
                <w:lang w:val="en-US"/>
              </w:rPr>
              <w:t xml:space="preserve">Ex-officio members: Secretary of NSW Department of Planning and Environment; Department of Treasury; </w:t>
            </w:r>
            <w:r w:rsidR="22B16E6E">
              <w:br/>
            </w:r>
            <w:r w:rsidRPr="4F9F5C11">
              <w:rPr>
                <w:rFonts w:eastAsia="Calibri" w:cs="Calibri"/>
                <w:lang w:val="en-US"/>
              </w:rPr>
              <w:t xml:space="preserve">NSW Treasury </w:t>
            </w:r>
          </w:p>
        </w:tc>
        <w:tc>
          <w:tcPr>
            <w:tcW w:w="3014" w:type="dxa"/>
          </w:tcPr>
          <w:p w14:paraId="78B9449F" w14:textId="192412AE" w:rsidR="005B7958" w:rsidRDefault="76945C32" w:rsidP="00BE6E84">
            <w:pPr>
              <w:cnfStyle w:val="000000010000" w:firstRow="0" w:lastRow="0" w:firstColumn="0" w:lastColumn="0" w:oddVBand="0" w:evenVBand="0" w:oddHBand="0" w:evenHBand="1" w:firstRowFirstColumn="0" w:firstRowLastColumn="0" w:lastRowFirstColumn="0" w:lastRowLastColumn="0"/>
              <w:rPr>
                <w:rFonts w:eastAsia="Calibri" w:cs="Calibri"/>
                <w:lang w:val="en-US"/>
              </w:rPr>
            </w:pPr>
            <w:r w:rsidRPr="4F9F5C11">
              <w:rPr>
                <w:rFonts w:eastAsia="Calibri" w:cs="Calibri"/>
                <w:lang w:val="en-US"/>
              </w:rPr>
              <w:t xml:space="preserve">A Chair and between </w:t>
            </w:r>
            <w:r w:rsidR="3DB14E4D" w:rsidRPr="4F9F5C11">
              <w:rPr>
                <w:rFonts w:eastAsia="Calibri" w:cs="Calibri"/>
                <w:lang w:val="en-US"/>
              </w:rPr>
              <w:t>four</w:t>
            </w:r>
            <w:r w:rsidR="76556D1F" w:rsidRPr="4F9F5C11">
              <w:rPr>
                <w:rFonts w:eastAsia="Calibri" w:cs="Calibri"/>
                <w:lang w:val="en-US"/>
              </w:rPr>
              <w:t xml:space="preserve"> </w:t>
            </w:r>
            <w:r w:rsidRPr="4F9F5C11">
              <w:rPr>
                <w:rFonts w:eastAsia="Calibri" w:cs="Calibri"/>
                <w:lang w:val="en-US"/>
              </w:rPr>
              <w:t>to 12 non-executive commissioners. The Chancellor may also appoint a Deputy Chair from the commissioners</w:t>
            </w:r>
          </w:p>
          <w:p w14:paraId="768A912D" w14:textId="77777777" w:rsidR="005B7958" w:rsidRPr="00733669" w:rsidRDefault="6AB86E26" w:rsidP="00BE6E84">
            <w:pPr>
              <w:cnfStyle w:val="000000010000" w:firstRow="0" w:lastRow="0" w:firstColumn="0" w:lastColumn="0" w:oddVBand="0" w:evenVBand="0" w:oddHBand="0" w:evenHBand="1" w:firstRowFirstColumn="0" w:firstRowLastColumn="0" w:lastRowFirstColumn="0" w:lastRowLastColumn="0"/>
              <w:rPr>
                <w:rFonts w:eastAsia="Calibri" w:cs="Calibri"/>
                <w:lang w:val="en-US"/>
              </w:rPr>
            </w:pPr>
            <w:r w:rsidRPr="4F9F5C11">
              <w:rPr>
                <w:rFonts w:eastAsia="Calibri" w:cs="Calibri"/>
                <w:lang w:val="en-US"/>
              </w:rPr>
              <w:t>Oversight Board to provide assurance on risk management, governance and internal control. Chaired by Chair of the Commission or a non-executive member nominated by the Chair. It consists of a representative of the Treasury and a balance of executive and non-executive members</w:t>
            </w:r>
          </w:p>
        </w:tc>
      </w:tr>
      <w:tr w:rsidR="005B7958" w14:paraId="5C1B6333" w14:textId="77777777" w:rsidTr="00547667">
        <w:tc>
          <w:tcPr>
            <w:cnfStyle w:val="001000000000" w:firstRow="0" w:lastRow="0" w:firstColumn="1" w:lastColumn="0" w:oddVBand="0" w:evenVBand="0" w:oddHBand="0" w:evenHBand="0" w:firstRowFirstColumn="0" w:firstRowLastColumn="0" w:lastRowFirstColumn="0" w:lastRowLastColumn="0"/>
            <w:tcW w:w="1479" w:type="dxa"/>
          </w:tcPr>
          <w:p w14:paraId="6F1E492C" w14:textId="77777777" w:rsidR="005B7958" w:rsidRDefault="6AB86E26" w:rsidP="00BE6E84">
            <w:r>
              <w:t>Appointment term</w:t>
            </w:r>
          </w:p>
        </w:tc>
        <w:tc>
          <w:tcPr>
            <w:tcW w:w="2632" w:type="dxa"/>
          </w:tcPr>
          <w:p w14:paraId="77EA1803" w14:textId="304161C4" w:rsidR="005B7958" w:rsidRDefault="76945C32" w:rsidP="00BE6E84">
            <w:pPr>
              <w:cnfStyle w:val="000000000000" w:firstRow="0" w:lastRow="0" w:firstColumn="0" w:lastColumn="0" w:oddVBand="0" w:evenVBand="0" w:oddHBand="0" w:evenHBand="0" w:firstRowFirstColumn="0" w:firstRowLastColumn="0" w:lastRowFirstColumn="0" w:lastRowLastColumn="0"/>
            </w:pPr>
            <w:r>
              <w:t xml:space="preserve">Chair – full time basis; other Commissioners may be full or part time. Each member is appointed for not longer than </w:t>
            </w:r>
            <w:r w:rsidR="2EC844A0">
              <w:t>five</w:t>
            </w:r>
            <w:r>
              <w:t xml:space="preserve"> years; eligible for reappointment </w:t>
            </w:r>
          </w:p>
        </w:tc>
        <w:tc>
          <w:tcPr>
            <w:tcW w:w="3042" w:type="dxa"/>
          </w:tcPr>
          <w:p w14:paraId="6AA8352E" w14:textId="41973AA8" w:rsidR="005B7958" w:rsidRDefault="76945C32" w:rsidP="00BE6E84">
            <w:pPr>
              <w:cnfStyle w:val="000000000000" w:firstRow="0" w:lastRow="0" w:firstColumn="0" w:lastColumn="0" w:oddVBand="0" w:evenVBand="0" w:oddHBand="0" w:evenHBand="0" w:firstRowFirstColumn="0" w:firstRowLastColumn="0" w:lastRowFirstColumn="0" w:lastRowLastColumn="0"/>
            </w:pPr>
            <w:r>
              <w:t xml:space="preserve">Appointed for not exceeding </w:t>
            </w:r>
            <w:r w:rsidR="60092DA6">
              <w:t>four</w:t>
            </w:r>
            <w:r>
              <w:t xml:space="preserve"> years, eligible for re-appointment, may not hold office for more than </w:t>
            </w:r>
            <w:r w:rsidR="40CFB56F">
              <w:t>eight</w:t>
            </w:r>
            <w:r>
              <w:t xml:space="preserve"> years in total </w:t>
            </w:r>
          </w:p>
        </w:tc>
        <w:tc>
          <w:tcPr>
            <w:tcW w:w="3014" w:type="dxa"/>
          </w:tcPr>
          <w:p w14:paraId="520D1CEC" w14:textId="61B20DC7" w:rsidR="005B7958" w:rsidRDefault="76945C32" w:rsidP="4F9F5C11">
            <w:pPr>
              <w:cnfStyle w:val="000000000000" w:firstRow="0" w:lastRow="0" w:firstColumn="0" w:lastColumn="0" w:oddVBand="0" w:evenVBand="0" w:oddHBand="0" w:evenHBand="0" w:firstRowFirstColumn="0" w:firstRowLastColumn="0" w:lastRowFirstColumn="0" w:lastRowLastColumn="0"/>
              <w:rPr>
                <w:rFonts w:eastAsia="Calibri" w:cs="Calibri"/>
                <w:lang w:val="en-US"/>
              </w:rPr>
            </w:pPr>
            <w:r w:rsidRPr="4F9F5C11">
              <w:rPr>
                <w:rFonts w:eastAsia="Calibri" w:cs="Calibri"/>
                <w:lang w:val="en-US"/>
              </w:rPr>
              <w:t xml:space="preserve">Appointed for up to </w:t>
            </w:r>
            <w:r w:rsidR="25A78769" w:rsidRPr="4F9F5C11">
              <w:rPr>
                <w:rFonts w:eastAsia="Calibri" w:cs="Calibri"/>
                <w:lang w:val="en-US"/>
              </w:rPr>
              <w:t>five</w:t>
            </w:r>
            <w:r w:rsidRPr="4F9F5C11">
              <w:rPr>
                <w:rFonts w:eastAsia="Calibri" w:cs="Calibri"/>
                <w:lang w:val="en-US"/>
              </w:rPr>
              <w:t xml:space="preserve"> years, serve maximum of 10 years. Period can be extended for a limited time to facilitate succession planning and development of a diverse Board</w:t>
            </w:r>
          </w:p>
        </w:tc>
      </w:tr>
      <w:tr w:rsidR="005B7958" w:rsidRPr="00733669" w14:paraId="56C1C9B6" w14:textId="77777777" w:rsidTr="00547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9" w:type="dxa"/>
          </w:tcPr>
          <w:p w14:paraId="21B970B9" w14:textId="77777777" w:rsidR="005B7958" w:rsidRPr="00733669" w:rsidRDefault="6AB86E26" w:rsidP="00BE6E84">
            <w:r>
              <w:t>Expertise</w:t>
            </w:r>
          </w:p>
        </w:tc>
        <w:tc>
          <w:tcPr>
            <w:tcW w:w="2632" w:type="dxa"/>
          </w:tcPr>
          <w:p w14:paraId="622630D6" w14:textId="5D956062" w:rsidR="005B7958" w:rsidRPr="00733669" w:rsidRDefault="76945C32" w:rsidP="00BE6E84">
            <w:pPr>
              <w:cnfStyle w:val="000000010000" w:firstRow="0" w:lastRow="0" w:firstColumn="0" w:lastColumn="0" w:oddVBand="0" w:evenVBand="0" w:oddHBand="0" w:evenHBand="1" w:firstRowFirstColumn="0" w:firstRowLastColumn="0" w:lastRowFirstColumn="0" w:lastRowLastColumn="0"/>
              <w:rPr>
                <w:b/>
              </w:rPr>
            </w:pPr>
            <w:r>
              <w:rPr>
                <w:b/>
              </w:rPr>
              <w:t xml:space="preserve">Relevant to Commission’s functions. Each of the Commissioners to have extensive skills/experience in 1) ecologically sustainable </w:t>
            </w:r>
            <w:r>
              <w:rPr>
                <w:b/>
              </w:rPr>
              <w:lastRenderedPageBreak/>
              <w:t xml:space="preserve">development and environmental conservation </w:t>
            </w:r>
            <w:r w:rsidR="22B16E6E">
              <w:br/>
            </w:r>
            <w:r>
              <w:rPr>
                <w:b/>
              </w:rPr>
              <w:t xml:space="preserve">2) social effects of economic adjustment and social welfare service delivery and </w:t>
            </w:r>
            <w:r w:rsidR="22B16E6E">
              <w:br/>
            </w:r>
            <w:r>
              <w:rPr>
                <w:b/>
              </w:rPr>
              <w:t xml:space="preserve">3) working in Australian industry </w:t>
            </w:r>
          </w:p>
        </w:tc>
        <w:tc>
          <w:tcPr>
            <w:tcW w:w="3042" w:type="dxa"/>
          </w:tcPr>
          <w:p w14:paraId="6E2C7474" w14:textId="6DC491F2" w:rsidR="005B7958" w:rsidRPr="00733669" w:rsidRDefault="76945C32" w:rsidP="00BE6E84">
            <w:pPr>
              <w:cnfStyle w:val="000000010000" w:firstRow="0" w:lastRow="0" w:firstColumn="0" w:lastColumn="0" w:oddVBand="0" w:evenVBand="0" w:oddHBand="0" w:evenHBand="1" w:firstRowFirstColumn="0" w:firstRowLastColumn="0" w:lastRowFirstColumn="0" w:lastRowLastColumn="0"/>
              <w:rPr>
                <w:b/>
              </w:rPr>
            </w:pPr>
            <w:r>
              <w:rPr>
                <w:b/>
              </w:rPr>
              <w:lastRenderedPageBreak/>
              <w:t>Expertise in matters including environmental sustainability/science; infrastructure planning and delivery</w:t>
            </w:r>
            <w:r w:rsidR="7A9D5B4B">
              <w:rPr>
                <w:b/>
              </w:rPr>
              <w:t>;</w:t>
            </w:r>
            <w:r>
              <w:rPr>
                <w:b/>
              </w:rPr>
              <w:t xml:space="preserve"> architecture</w:t>
            </w:r>
            <w:r w:rsidR="64E803C7">
              <w:rPr>
                <w:b/>
              </w:rPr>
              <w:t>;</w:t>
            </w:r>
            <w:r>
              <w:rPr>
                <w:b/>
              </w:rPr>
              <w:t xml:space="preserve"> urban </w:t>
            </w:r>
            <w:r>
              <w:rPr>
                <w:b/>
              </w:rPr>
              <w:lastRenderedPageBreak/>
              <w:t>design</w:t>
            </w:r>
            <w:r w:rsidR="6B2B2381">
              <w:rPr>
                <w:b/>
              </w:rPr>
              <w:t>;</w:t>
            </w:r>
            <w:r>
              <w:rPr>
                <w:b/>
              </w:rPr>
              <w:t xml:space="preserve"> traffic and transport. Each of the three Commissioners to have principal responsibility for </w:t>
            </w:r>
            <w:r w:rsidR="22B16E6E">
              <w:br/>
            </w:r>
            <w:r>
              <w:rPr>
                <w:b/>
              </w:rPr>
              <w:t xml:space="preserve">1) environment </w:t>
            </w:r>
            <w:r w:rsidR="22B16E6E">
              <w:br/>
            </w:r>
            <w:r>
              <w:rPr>
                <w:b/>
              </w:rPr>
              <w:t xml:space="preserve">2) social matters and </w:t>
            </w:r>
            <w:r w:rsidR="22B16E6E">
              <w:br/>
            </w:r>
            <w:r>
              <w:rPr>
                <w:b/>
              </w:rPr>
              <w:t>3) economic matters</w:t>
            </w:r>
          </w:p>
        </w:tc>
        <w:tc>
          <w:tcPr>
            <w:tcW w:w="3014" w:type="dxa"/>
          </w:tcPr>
          <w:p w14:paraId="3A7C89DE" w14:textId="77777777" w:rsidR="005B7958" w:rsidRPr="00733669" w:rsidRDefault="6AB86E26" w:rsidP="00BE6E84">
            <w:pPr>
              <w:cnfStyle w:val="000000010000" w:firstRow="0" w:lastRow="0" w:firstColumn="0" w:lastColumn="0" w:oddVBand="0" w:evenVBand="0" w:oddHBand="0" w:evenHBand="1" w:firstRowFirstColumn="0" w:firstRowLastColumn="0" w:lastRowFirstColumn="0" w:lastRowLastColumn="0"/>
              <w:rPr>
                <w:b/>
              </w:rPr>
            </w:pPr>
            <w:r>
              <w:rPr>
                <w:b/>
              </w:rPr>
              <w:lastRenderedPageBreak/>
              <w:t>The Chancellor will have regard to the need for the Commission to have ‘the right mix of skills and expertise to discharge functions effectively’</w:t>
            </w:r>
          </w:p>
        </w:tc>
      </w:tr>
    </w:tbl>
    <w:p w14:paraId="15A828A2" w14:textId="77777777" w:rsidR="000A08E0" w:rsidRPr="00B041CB" w:rsidRDefault="7F4B49CF" w:rsidP="000A08E0">
      <w:pPr>
        <w:pStyle w:val="Heading4"/>
      </w:pPr>
      <w:bookmarkStart w:id="98" w:name="_Toc115379984"/>
      <w:bookmarkStart w:id="99" w:name="_Toc124783626"/>
      <w:r>
        <w:t>Extension of tenure</w:t>
      </w:r>
      <w:bookmarkEnd w:id="98"/>
      <w:bookmarkEnd w:id="99"/>
      <w:r>
        <w:t xml:space="preserve"> </w:t>
      </w:r>
    </w:p>
    <w:p w14:paraId="6F2B8F4A" w14:textId="585D4243" w:rsidR="005B7958" w:rsidRDefault="2BD228AC" w:rsidP="005B7958">
      <w:r>
        <w:t xml:space="preserve">Currently, the IA Act specifies a maximum three-year term for members. Members are eligible for reappointment by virtue of the operation of section 33AA of the </w:t>
      </w:r>
      <w:r w:rsidRPr="4F9F5C11">
        <w:rPr>
          <w:i/>
          <w:iCs/>
        </w:rPr>
        <w:t>Acts Interpretation Act 1901</w:t>
      </w:r>
      <w:r>
        <w:t xml:space="preserve">. </w:t>
      </w:r>
      <w:r w:rsidR="51DB1FDD">
        <w:t>It was</w:t>
      </w:r>
      <w:r w:rsidR="057FE70A">
        <w:t xml:space="preserve"> the view of many parties that </w:t>
      </w:r>
      <w:r>
        <w:t xml:space="preserve">government policy </w:t>
      </w:r>
      <w:r w:rsidR="1E6BA07D">
        <w:t>has</w:t>
      </w:r>
      <w:r>
        <w:t xml:space="preserve"> favour</w:t>
      </w:r>
      <w:r w:rsidR="35ED16A4">
        <w:t>ed</w:t>
      </w:r>
      <w:r>
        <w:t xml:space="preserve"> board renewal over continuity and retention of corporate knowledge. Frequent loss of Board corporate memory results in the need for significant resources to be devoted by </w:t>
      </w:r>
      <w:r w:rsidR="42EF038E">
        <w:t xml:space="preserve">industry and </w:t>
      </w:r>
      <w:r>
        <w:t>both continuing Board members and staff to educate and on-board the new members.</w:t>
      </w:r>
    </w:p>
    <w:p w14:paraId="7524EBD0" w14:textId="77777777" w:rsidR="005B7958" w:rsidRDefault="6AB86E26" w:rsidP="005B7958">
      <w:r>
        <w:t xml:space="preserve">To better balance board continuity and renewal, the Review recommends the maximum term of appointment for members be extended to </w:t>
      </w:r>
      <w:r w:rsidRPr="4F9F5C11">
        <w:rPr>
          <w:b/>
          <w:bCs/>
        </w:rPr>
        <w:t>at least five years</w:t>
      </w:r>
      <w:r>
        <w:t>. Increasing the length of term is likely to become even more valuable with a reduction in the number of members.</w:t>
      </w:r>
    </w:p>
    <w:p w14:paraId="247773FD" w14:textId="5EF01D07" w:rsidR="005B7958" w:rsidRDefault="25A59D6E" w:rsidP="005B7958">
      <w:r>
        <w:t xml:space="preserve">The option to reappoint members should be retained. For maximum clarity it might be specified in the IA Act. However, to encourage renewal there should generally be a limit of two maximum terms. The Review notes the UK’s equivalent infrastructure advisory body, the </w:t>
      </w:r>
      <w:r w:rsidR="3244AC2C">
        <w:t>UK NIC</w:t>
      </w:r>
      <w:r>
        <w:t>, permits terms of up to five years for commissioners, serving for a maximum of 10 years. With judicious use, this would likely achieve an effective compromise between retaining board expertise and gaining fresh insight. The Government should consider the best way of achieving this, whether it needs to be legislated or will be achieved through policy</w:t>
      </w:r>
      <w:r w:rsidR="0D0570DC">
        <w:t xml:space="preserve"> direction</w:t>
      </w:r>
      <w:r>
        <w:t>.</w:t>
      </w:r>
    </w:p>
    <w:p w14:paraId="15A97A45" w14:textId="77777777" w:rsidR="005B7958" w:rsidRDefault="6AB86E26" w:rsidP="005B7958">
      <w:r>
        <w:t xml:space="preserve">Appointments of board members should be staggered to avoid the need to replace multiple retiring members </w:t>
      </w:r>
      <w:proofErr w:type="spellStart"/>
      <w:r>
        <w:t>en</w:t>
      </w:r>
      <w:proofErr w:type="spellEnd"/>
      <w:r>
        <w:t xml:space="preserve"> masse, with the destabilising effect on the board this entails.</w:t>
      </w:r>
    </w:p>
    <w:p w14:paraId="21C455E0" w14:textId="636A1B02" w:rsidR="000A08E0" w:rsidRPr="00B041CB" w:rsidRDefault="7F4B49CF" w:rsidP="000A08E0">
      <w:pPr>
        <w:pStyle w:val="Heading4"/>
      </w:pPr>
      <w:bookmarkStart w:id="100" w:name="_Toc115379985"/>
      <w:bookmarkStart w:id="101" w:name="_Toc124783627"/>
      <w:r>
        <w:t xml:space="preserve">Ex-officio members from the </w:t>
      </w:r>
      <w:r w:rsidR="3EF2AAEC">
        <w:t>Australian</w:t>
      </w:r>
      <w:r>
        <w:t xml:space="preserve"> </w:t>
      </w:r>
      <w:r w:rsidR="723B8C63">
        <w:t>G</w:t>
      </w:r>
      <w:r>
        <w:t>overnment</w:t>
      </w:r>
      <w:bookmarkEnd w:id="100"/>
      <w:bookmarkEnd w:id="101"/>
      <w:r>
        <w:t xml:space="preserve"> </w:t>
      </w:r>
    </w:p>
    <w:p w14:paraId="203D6373" w14:textId="0A3C4435" w:rsidR="005B7958" w:rsidRDefault="25A59D6E" w:rsidP="005B7958">
      <w:pPr>
        <w:spacing w:line="259" w:lineRule="auto"/>
      </w:pPr>
      <w:r>
        <w:t>The Review also heard strong concerns about I</w:t>
      </w:r>
      <w:r w:rsidR="3028802C">
        <w:t xml:space="preserve">nfrastructure </w:t>
      </w:r>
      <w:r>
        <w:t>A</w:t>
      </w:r>
      <w:r w:rsidR="446F2D78">
        <w:t>ustralia</w:t>
      </w:r>
      <w:r>
        <w:t>’s less than effective standing and influence within government</w:t>
      </w:r>
      <w:r w:rsidR="53DF27CF">
        <w:t xml:space="preserve"> in recent years</w:t>
      </w:r>
      <w:r>
        <w:t>. Central agencies and external stakeholders noted that there is currently no common or connecting factor to link the advice of I</w:t>
      </w:r>
      <w:r w:rsidR="58EE71DA">
        <w:t xml:space="preserve">nfrastructure </w:t>
      </w:r>
      <w:r>
        <w:t>A</w:t>
      </w:r>
      <w:r w:rsidR="07BF515C">
        <w:t>ustralia</w:t>
      </w:r>
      <w:r>
        <w:t xml:space="preserve"> and the decisions of </w:t>
      </w:r>
      <w:r w:rsidR="275C2BF1">
        <w:t>Ministers</w:t>
      </w:r>
      <w:r>
        <w:t>, Cabinet or the Expenditure Review Committee</w:t>
      </w:r>
      <w:r w:rsidR="40F65B87">
        <w:t xml:space="preserve"> of Cabinet</w:t>
      </w:r>
      <w:r>
        <w:t xml:space="preserve">. </w:t>
      </w:r>
    </w:p>
    <w:p w14:paraId="041F3DAF" w14:textId="49483924" w:rsidR="005B7958" w:rsidRDefault="25A59D6E" w:rsidP="005B7958">
      <w:pPr>
        <w:spacing w:line="259" w:lineRule="auto"/>
      </w:pPr>
      <w:r>
        <w:t xml:space="preserve">The Review believes that for Infrastructure Australia to achieve direct influence of this nature, </w:t>
      </w:r>
      <w:r w:rsidR="58A4E7DC">
        <w:t>and to best prio</w:t>
      </w:r>
      <w:r w:rsidR="7CEFB349">
        <w:t>ri</w:t>
      </w:r>
      <w:r w:rsidR="58A4E7DC">
        <w:t>tise,</w:t>
      </w:r>
      <w:r w:rsidR="5D0A974C">
        <w:t xml:space="preserve"> </w:t>
      </w:r>
      <w:r w:rsidR="58A4E7DC">
        <w:t>co-ordinate and link together infrastructure planning advice across the Commonwealth</w:t>
      </w:r>
      <w:r w:rsidR="57152737">
        <w:t xml:space="preserve">, </w:t>
      </w:r>
      <w:r w:rsidR="4B03F685">
        <w:t xml:space="preserve">including </w:t>
      </w:r>
      <w:r w:rsidR="3244AC2C">
        <w:t>d</w:t>
      </w:r>
      <w:r w:rsidR="4B03F685">
        <w:t>efence</w:t>
      </w:r>
      <w:r w:rsidR="58A4E7DC">
        <w:t xml:space="preserve">, </w:t>
      </w:r>
      <w:r>
        <w:t xml:space="preserve">the preferred approach is for Infrastructure Australia to be positioned within a Commonwealth central agency. This will be discussed further </w:t>
      </w:r>
      <w:r w:rsidR="3244AC2C">
        <w:t xml:space="preserve">at </w:t>
      </w:r>
      <w:hyperlink w:anchor="_Administrative_Arrangements_Order">
        <w:r w:rsidR="3244AC2C" w:rsidRPr="4F9F5C11">
          <w:rPr>
            <w:rStyle w:val="Hyperlink"/>
          </w:rPr>
          <w:t xml:space="preserve">‘Administrative Arrangements Order </w:t>
        </w:r>
        <w:r w:rsidR="49A6BA99" w:rsidRPr="4F9F5C11">
          <w:rPr>
            <w:rStyle w:val="Hyperlink"/>
          </w:rPr>
          <w:t>and Ministerial Responsibility for Infrastructure Australia’</w:t>
        </w:r>
      </w:hyperlink>
      <w:r>
        <w:t xml:space="preserve">. </w:t>
      </w:r>
    </w:p>
    <w:p w14:paraId="3D8E04BE" w14:textId="03A81521" w:rsidR="005B7958" w:rsidRDefault="25A59D6E" w:rsidP="00547667">
      <w:pPr>
        <w:keepLines/>
        <w:spacing w:line="259" w:lineRule="auto"/>
        <w:rPr>
          <w:lang w:val="en-US"/>
        </w:rPr>
      </w:pPr>
      <w:r>
        <w:lastRenderedPageBreak/>
        <w:t xml:space="preserve">However, should the </w:t>
      </w:r>
      <w:r w:rsidR="39CD456C">
        <w:t>G</w:t>
      </w:r>
      <w:r>
        <w:t xml:space="preserve">overnment not support </w:t>
      </w:r>
      <w:r w:rsidR="55F1429A">
        <w:t>this approach</w:t>
      </w:r>
      <w:r>
        <w:t xml:space="preserve">, the Review strongly urges the </w:t>
      </w:r>
      <w:r w:rsidR="3017C129">
        <w:t>G</w:t>
      </w:r>
      <w:r>
        <w:t xml:space="preserve">overnment consider, as an alternative, appointing the Secretaries of the Commonwealth Department of </w:t>
      </w:r>
      <w:r w:rsidR="3830C41B">
        <w:t xml:space="preserve">the </w:t>
      </w:r>
      <w:r>
        <w:t xml:space="preserve">Prime Minister and Cabinet </w:t>
      </w:r>
      <w:r w:rsidR="47E49794">
        <w:t xml:space="preserve">(PM&amp;C) </w:t>
      </w:r>
      <w:r>
        <w:t>and Department of Treasury as ex officio member</w:t>
      </w:r>
      <w:r w:rsidR="4D79D7A9">
        <w:t>s</w:t>
      </w:r>
      <w:r>
        <w:t xml:space="preserve"> of the I</w:t>
      </w:r>
      <w:r w:rsidR="2368BB15">
        <w:t xml:space="preserve">nfrastructure </w:t>
      </w:r>
      <w:r>
        <w:t>A</w:t>
      </w:r>
      <w:r w:rsidR="70648F15">
        <w:t>ustralia</w:t>
      </w:r>
      <w:r>
        <w:t xml:space="preserve"> Board. Such an arrangement would allow I</w:t>
      </w:r>
      <w:r w:rsidR="72A7B15A">
        <w:t xml:space="preserve">nfrastructure </w:t>
      </w:r>
      <w:r>
        <w:t>A</w:t>
      </w:r>
      <w:r w:rsidR="7C59C1FD">
        <w:t>ustralia</w:t>
      </w:r>
      <w:r>
        <w:t xml:space="preserve"> and the Board to </w:t>
      </w:r>
      <w:r w:rsidR="7352ED21">
        <w:t>better co-ordinate</w:t>
      </w:r>
      <w:r>
        <w:t xml:space="preserve"> </w:t>
      </w:r>
      <w:r w:rsidR="34B8A841">
        <w:t xml:space="preserve">across </w:t>
      </w:r>
      <w:r>
        <w:t>government</w:t>
      </w:r>
      <w:r w:rsidR="00B40FE6">
        <w:t xml:space="preserve"> and</w:t>
      </w:r>
      <w:r w:rsidR="6378DE39">
        <w:t xml:space="preserve"> influence </w:t>
      </w:r>
      <w:r>
        <w:t xml:space="preserve">the </w:t>
      </w:r>
      <w:r w:rsidR="7DA51401">
        <w:t>b</w:t>
      </w:r>
      <w:r>
        <w:t>udget process and</w:t>
      </w:r>
      <w:r w:rsidR="7DA51401">
        <w:t xml:space="preserve"> </w:t>
      </w:r>
      <w:r>
        <w:t>decision making</w:t>
      </w:r>
      <w:r w:rsidR="7DA51401">
        <w:t>, thus</w:t>
      </w:r>
      <w:r w:rsidR="0A7D70FC">
        <w:t xml:space="preserve"> </w:t>
      </w:r>
      <w:r>
        <w:t xml:space="preserve">creating stronger linkages with correspondingly greater insight to </w:t>
      </w:r>
      <w:r w:rsidR="0FF0D9F2">
        <w:t>g</w:t>
      </w:r>
      <w:r>
        <w:t>overnment priorities. Secretary ex officio members can give greater traction to I</w:t>
      </w:r>
      <w:r w:rsidR="5A5CC575">
        <w:t xml:space="preserve">nfrastructure </w:t>
      </w:r>
      <w:r>
        <w:t>A</w:t>
      </w:r>
      <w:r w:rsidR="4C3527EA">
        <w:t>ustralia</w:t>
      </w:r>
      <w:r>
        <w:t xml:space="preserve"> advice through forums such as the Expenditure Review Committee</w:t>
      </w:r>
      <w:r w:rsidRPr="4F9F5C11">
        <w:rPr>
          <w:lang w:val="en-US"/>
        </w:rPr>
        <w:t xml:space="preserve"> </w:t>
      </w:r>
      <w:r w:rsidR="4BD42D94" w:rsidRPr="4F9F5C11">
        <w:rPr>
          <w:lang w:val="en-US"/>
        </w:rPr>
        <w:t xml:space="preserve">of Cabinet </w:t>
      </w:r>
      <w:r w:rsidRPr="4F9F5C11">
        <w:rPr>
          <w:lang w:val="en-US"/>
        </w:rPr>
        <w:t xml:space="preserve">and </w:t>
      </w:r>
      <w:r>
        <w:t>advocate for I</w:t>
      </w:r>
      <w:r w:rsidR="2C8903A3">
        <w:t xml:space="preserve">nfrastructure </w:t>
      </w:r>
      <w:r>
        <w:t>A</w:t>
      </w:r>
      <w:r w:rsidR="5C789438">
        <w:t>ustralia</w:t>
      </w:r>
      <w:r>
        <w:t xml:space="preserve"> </w:t>
      </w:r>
      <w:r w:rsidRPr="4F9F5C11">
        <w:rPr>
          <w:lang w:val="en-US"/>
        </w:rPr>
        <w:t>within government.</w:t>
      </w:r>
      <w:r w:rsidR="7DA51401" w:rsidRPr="4F9F5C11">
        <w:rPr>
          <w:lang w:val="en-US"/>
        </w:rPr>
        <w:t xml:space="preserve"> </w:t>
      </w:r>
      <w:r w:rsidR="7DA51401">
        <w:t xml:space="preserve">This would strengthen investment co-ordination at the centre of </w:t>
      </w:r>
      <w:r w:rsidR="49142616">
        <w:t>g</w:t>
      </w:r>
      <w:r w:rsidR="7DA51401">
        <w:t xml:space="preserve">overnment. </w:t>
      </w:r>
      <w:r w:rsidRPr="4F9F5C11">
        <w:rPr>
          <w:lang w:val="en-US"/>
        </w:rPr>
        <w:t>Ideally, the Secretaries would not delegate the role, but</w:t>
      </w:r>
      <w:r w:rsidR="7DA51401" w:rsidRPr="4F9F5C11">
        <w:rPr>
          <w:lang w:val="en-US"/>
        </w:rPr>
        <w:t>,</w:t>
      </w:r>
      <w:r w:rsidRPr="4F9F5C11">
        <w:rPr>
          <w:lang w:val="en-US"/>
        </w:rPr>
        <w:t xml:space="preserve"> in the </w:t>
      </w:r>
      <w:proofErr w:type="gramStart"/>
      <w:r w:rsidRPr="4F9F5C11">
        <w:rPr>
          <w:lang w:val="en-US"/>
        </w:rPr>
        <w:t>event</w:t>
      </w:r>
      <w:proofErr w:type="gramEnd"/>
      <w:r w:rsidRPr="4F9F5C11">
        <w:rPr>
          <w:lang w:val="en-US"/>
        </w:rPr>
        <w:t xml:space="preserve"> it is necessary</w:t>
      </w:r>
      <w:r w:rsidR="576CFB68" w:rsidRPr="4F9F5C11">
        <w:rPr>
          <w:lang w:val="en-US"/>
        </w:rPr>
        <w:t>,</w:t>
      </w:r>
      <w:r w:rsidR="7DA51401" w:rsidRPr="4F9F5C11">
        <w:rPr>
          <w:lang w:val="en-US"/>
        </w:rPr>
        <w:t xml:space="preserve"> </w:t>
      </w:r>
      <w:r w:rsidRPr="4F9F5C11">
        <w:rPr>
          <w:lang w:val="en-US"/>
        </w:rPr>
        <w:t xml:space="preserve">should </w:t>
      </w:r>
      <w:r w:rsidR="2762F435" w:rsidRPr="4F9F5C11">
        <w:rPr>
          <w:lang w:val="en-US"/>
        </w:rPr>
        <w:t>delegate</w:t>
      </w:r>
      <w:r w:rsidRPr="4F9F5C11">
        <w:rPr>
          <w:lang w:val="en-US"/>
        </w:rPr>
        <w:t xml:space="preserve"> to a well-mandated Deputy Secretary.</w:t>
      </w:r>
    </w:p>
    <w:p w14:paraId="0C58C046" w14:textId="3E087EDC" w:rsidR="005B7958" w:rsidRDefault="76945C32" w:rsidP="005B7958">
      <w:pPr>
        <w:spacing w:line="259" w:lineRule="auto"/>
        <w:rPr>
          <w:lang w:val="en-US"/>
        </w:rPr>
      </w:pPr>
      <w:r w:rsidRPr="4F9F5C11">
        <w:rPr>
          <w:lang w:val="en-US"/>
        </w:rPr>
        <w:t xml:space="preserve">Existing arrangements that the Government could refer to as models include: </w:t>
      </w:r>
    </w:p>
    <w:p w14:paraId="43D4E956" w14:textId="6A9FCBEB" w:rsidR="005B7958" w:rsidRPr="0036635B" w:rsidRDefault="7ADC3DE1" w:rsidP="0036635B">
      <w:pPr>
        <w:pStyle w:val="Listparagraphbullets"/>
        <w:ind w:left="567" w:hanging="567"/>
      </w:pPr>
      <w:r w:rsidRPr="0036635B">
        <w:t>Infrastructure Western Australia: ex officio Board Members include the Directors-General of the W</w:t>
      </w:r>
      <w:r w:rsidR="1D7A0803" w:rsidRPr="0036635B">
        <w:t xml:space="preserve">estern </w:t>
      </w:r>
      <w:r w:rsidRPr="0036635B">
        <w:t>A</w:t>
      </w:r>
      <w:r w:rsidR="2DC509CD" w:rsidRPr="0036635B">
        <w:t>ustralia</w:t>
      </w:r>
      <w:r w:rsidRPr="0036635B">
        <w:t xml:space="preserve"> Department of Premier and Cabinet</w:t>
      </w:r>
      <w:r w:rsidR="7DA51401" w:rsidRPr="0036635B">
        <w:t>,</w:t>
      </w:r>
      <w:r w:rsidR="025DBF69" w:rsidRPr="0036635B">
        <w:t xml:space="preserve"> Under Treasurer</w:t>
      </w:r>
      <w:r w:rsidRPr="0036635B">
        <w:t xml:space="preserve"> and the W</w:t>
      </w:r>
      <w:r w:rsidR="258A9A0D" w:rsidRPr="0036635B">
        <w:t xml:space="preserve">estern </w:t>
      </w:r>
      <w:r w:rsidRPr="0036635B">
        <w:t>A</w:t>
      </w:r>
      <w:r w:rsidR="412A099E" w:rsidRPr="0036635B">
        <w:t>ustralia</w:t>
      </w:r>
      <w:r w:rsidRPr="0036635B">
        <w:t xml:space="preserve"> Department of Planning, Lands and Heritage</w:t>
      </w:r>
      <w:r w:rsidR="059B0166" w:rsidRPr="0036635B">
        <w:t>.</w:t>
      </w:r>
      <w:r w:rsidRPr="0036635B">
        <w:t xml:space="preserve"> </w:t>
      </w:r>
    </w:p>
    <w:p w14:paraId="17A68FCD" w14:textId="71223E4D" w:rsidR="12541857" w:rsidRPr="0036635B" w:rsidRDefault="25A59D6E" w:rsidP="0036635B">
      <w:pPr>
        <w:pStyle w:val="Listparagraphbullets"/>
        <w:ind w:left="567" w:hanging="567"/>
      </w:pPr>
      <w:r w:rsidRPr="0036635B">
        <w:t>Infrastructure South Australia: ex officio Board Members include the Chief Executives of the S</w:t>
      </w:r>
      <w:r w:rsidR="21DCA44D" w:rsidRPr="0036635B">
        <w:t xml:space="preserve">outh </w:t>
      </w:r>
      <w:r w:rsidRPr="0036635B">
        <w:t>A</w:t>
      </w:r>
      <w:r w:rsidR="0EAD28F7" w:rsidRPr="0036635B">
        <w:t>ustralia</w:t>
      </w:r>
      <w:r w:rsidRPr="0036635B">
        <w:t xml:space="preserve"> Department of Premier and Cabinet, the S</w:t>
      </w:r>
      <w:r w:rsidR="11C2CFF3" w:rsidRPr="0036635B">
        <w:t xml:space="preserve">outh </w:t>
      </w:r>
      <w:r w:rsidRPr="0036635B">
        <w:t>A</w:t>
      </w:r>
      <w:r w:rsidR="2C314590" w:rsidRPr="0036635B">
        <w:t>ustralia</w:t>
      </w:r>
      <w:r w:rsidRPr="0036635B">
        <w:t xml:space="preserve"> Department for Treasury and Finance and the S</w:t>
      </w:r>
      <w:r w:rsidR="562FDC05" w:rsidRPr="0036635B">
        <w:t xml:space="preserve">outh </w:t>
      </w:r>
      <w:r w:rsidRPr="0036635B">
        <w:t>A</w:t>
      </w:r>
      <w:r w:rsidR="4F6762CA" w:rsidRPr="0036635B">
        <w:t>ustralia</w:t>
      </w:r>
      <w:r w:rsidRPr="0036635B">
        <w:t xml:space="preserve"> Department for Trade and Investment</w:t>
      </w:r>
      <w:r w:rsidR="74E1871E" w:rsidRPr="0036635B">
        <w:t>.</w:t>
      </w:r>
    </w:p>
    <w:p w14:paraId="11313414" w14:textId="371B0BAA" w:rsidR="005B7958" w:rsidRPr="0036635B" w:rsidRDefault="2BD228AC" w:rsidP="0036635B">
      <w:pPr>
        <w:pStyle w:val="Listparagraphbullets"/>
        <w:ind w:left="567" w:hanging="567"/>
      </w:pPr>
      <w:r w:rsidRPr="0036635B">
        <w:t>Infrastructure N</w:t>
      </w:r>
      <w:r w:rsidR="00471925" w:rsidRPr="0036635B">
        <w:t xml:space="preserve">ew </w:t>
      </w:r>
      <w:r w:rsidR="7DA51401" w:rsidRPr="0036635B">
        <w:t>S</w:t>
      </w:r>
      <w:r w:rsidR="00471925" w:rsidRPr="0036635B">
        <w:t xml:space="preserve">outh </w:t>
      </w:r>
      <w:r w:rsidR="7DA51401" w:rsidRPr="0036635B">
        <w:t>W</w:t>
      </w:r>
      <w:r w:rsidR="00471925" w:rsidRPr="0036635B">
        <w:t>ales</w:t>
      </w:r>
      <w:r w:rsidRPr="0036635B">
        <w:t>: Board members include the Secretaries of the N</w:t>
      </w:r>
      <w:r w:rsidR="2EEC7980" w:rsidRPr="0036635B">
        <w:t xml:space="preserve">ew </w:t>
      </w:r>
      <w:r w:rsidRPr="0036635B">
        <w:t>S</w:t>
      </w:r>
      <w:r w:rsidR="23D277FB" w:rsidRPr="0036635B">
        <w:t xml:space="preserve">outh </w:t>
      </w:r>
      <w:r w:rsidRPr="0036635B">
        <w:t>W</w:t>
      </w:r>
      <w:r w:rsidR="04618254" w:rsidRPr="0036635B">
        <w:t>ales</w:t>
      </w:r>
      <w:r w:rsidRPr="0036635B">
        <w:t xml:space="preserve"> Department of Premier and Cabinet, N</w:t>
      </w:r>
      <w:r w:rsidR="76880750" w:rsidRPr="0036635B">
        <w:t xml:space="preserve">ew </w:t>
      </w:r>
      <w:r w:rsidRPr="0036635B">
        <w:t>S</w:t>
      </w:r>
      <w:r w:rsidR="4A34DE7B" w:rsidRPr="0036635B">
        <w:t xml:space="preserve">outh </w:t>
      </w:r>
      <w:r w:rsidRPr="0036635B">
        <w:t>W</w:t>
      </w:r>
      <w:r w:rsidR="70B3FE3D" w:rsidRPr="0036635B">
        <w:t>ales</w:t>
      </w:r>
      <w:r w:rsidRPr="0036635B">
        <w:t xml:space="preserve"> Department of Planning and Environment and N</w:t>
      </w:r>
      <w:r w:rsidR="2AD6A10C" w:rsidRPr="0036635B">
        <w:t xml:space="preserve">ew </w:t>
      </w:r>
      <w:r w:rsidRPr="0036635B">
        <w:t>S</w:t>
      </w:r>
      <w:r w:rsidR="72EAD046" w:rsidRPr="0036635B">
        <w:t xml:space="preserve">outh </w:t>
      </w:r>
      <w:r w:rsidRPr="0036635B">
        <w:t>W</w:t>
      </w:r>
      <w:r w:rsidR="1726FA66" w:rsidRPr="0036635B">
        <w:t>ales</w:t>
      </w:r>
      <w:r w:rsidRPr="0036635B">
        <w:t xml:space="preserve"> Treasury. </w:t>
      </w:r>
    </w:p>
    <w:p w14:paraId="27A78BA7" w14:textId="77777777" w:rsidR="000A08E0" w:rsidRPr="00B041CB" w:rsidRDefault="7F4B49CF" w:rsidP="000A08E0">
      <w:pPr>
        <w:pStyle w:val="Heading4"/>
      </w:pPr>
      <w:bookmarkStart w:id="102" w:name="_Toc115379986"/>
      <w:bookmarkStart w:id="103" w:name="_Toc124783628"/>
      <w:r>
        <w:t>Governance responsibilities</w:t>
      </w:r>
      <w:bookmarkEnd w:id="102"/>
      <w:bookmarkEnd w:id="103"/>
      <w:r>
        <w:t xml:space="preserve"> </w:t>
      </w:r>
    </w:p>
    <w:p w14:paraId="5FE49FF1" w14:textId="2605503F" w:rsidR="36918AFB" w:rsidRDefault="2BD228AC" w:rsidP="36918AFB">
      <w:pPr>
        <w:spacing w:line="259" w:lineRule="auto"/>
        <w:rPr>
          <w:rFonts w:eastAsia="Calibri" w:cs="Calibri"/>
          <w:lang w:val="en-US"/>
        </w:rPr>
      </w:pPr>
      <w:r w:rsidRPr="4F9F5C11">
        <w:rPr>
          <w:rFonts w:eastAsia="Calibri" w:cs="Calibri"/>
          <w:lang w:val="en-US"/>
        </w:rPr>
        <w:t xml:space="preserve">The Review acknowledges that a </w:t>
      </w:r>
      <w:r w:rsidR="00B40FE6">
        <w:rPr>
          <w:rFonts w:eastAsia="Calibri" w:cs="Calibri"/>
          <w:lang w:val="en-US"/>
        </w:rPr>
        <w:t>c</w:t>
      </w:r>
      <w:r w:rsidRPr="4F9F5C11">
        <w:rPr>
          <w:rFonts w:eastAsia="Calibri" w:cs="Calibri"/>
          <w:lang w:val="en-US"/>
        </w:rPr>
        <w:t xml:space="preserve">ommission structure would still involve governance responsibilities to address audit and risk matters. To allow the </w:t>
      </w:r>
      <w:r w:rsidR="00B40FE6">
        <w:rPr>
          <w:rFonts w:eastAsia="Calibri" w:cs="Calibri"/>
          <w:lang w:val="en-US"/>
        </w:rPr>
        <w:t>c</w:t>
      </w:r>
      <w:r w:rsidRPr="4F9F5C11">
        <w:rPr>
          <w:rFonts w:eastAsia="Calibri" w:cs="Calibri"/>
          <w:lang w:val="en-US"/>
        </w:rPr>
        <w:t xml:space="preserve">ommission to balance inquiry and governance responsibilities, the Review recommends that a </w:t>
      </w:r>
      <w:r w:rsidR="00B40FE6">
        <w:rPr>
          <w:rFonts w:eastAsia="Calibri" w:cs="Calibri"/>
          <w:lang w:val="en-US"/>
        </w:rPr>
        <w:t>c</w:t>
      </w:r>
      <w:r w:rsidRPr="4F9F5C11">
        <w:rPr>
          <w:rFonts w:eastAsia="Calibri" w:cs="Calibri"/>
          <w:lang w:val="en-US"/>
        </w:rPr>
        <w:t>ommission structure be supported by a governance sub</w:t>
      </w:r>
      <w:r w:rsidR="39897DAF" w:rsidRPr="4F9F5C11">
        <w:rPr>
          <w:rFonts w:eastAsia="Calibri" w:cs="Calibri"/>
          <w:lang w:val="en-US"/>
        </w:rPr>
        <w:t>-</w:t>
      </w:r>
      <w:r w:rsidRPr="4F9F5C11">
        <w:rPr>
          <w:rFonts w:eastAsia="Calibri" w:cs="Calibri"/>
          <w:lang w:val="en-US"/>
        </w:rPr>
        <w:t>committee focusing on audit and risk matters, chaired by an external member who is qualified (e.g. a chartered accountant).</w:t>
      </w:r>
    </w:p>
    <w:p w14:paraId="6BABAF05" w14:textId="7001DBC2" w:rsidR="12E183DF" w:rsidRDefault="0602C485" w:rsidP="36918AFB">
      <w:pPr>
        <w:pStyle w:val="Heading4"/>
      </w:pPr>
      <w:bookmarkStart w:id="104" w:name="_Toc115379987"/>
      <w:bookmarkStart w:id="105" w:name="_Toc124783629"/>
      <w:r>
        <w:t>Option 2: the preferred option</w:t>
      </w:r>
      <w:bookmarkEnd w:id="104"/>
      <w:bookmarkEnd w:id="105"/>
    </w:p>
    <w:p w14:paraId="52FA20E9" w14:textId="72C4F809" w:rsidR="12E183DF" w:rsidRDefault="0602C485" w:rsidP="36918AFB">
      <w:pPr>
        <w:spacing w:line="259" w:lineRule="auto"/>
        <w:rPr>
          <w:rFonts w:eastAsia="Calibri" w:cs="Calibri"/>
          <w:lang w:val="en-US"/>
        </w:rPr>
      </w:pPr>
      <w:r w:rsidRPr="4F9F5C11">
        <w:rPr>
          <w:rFonts w:eastAsia="Calibri" w:cs="Calibri"/>
          <w:lang w:val="en-US"/>
        </w:rPr>
        <w:t xml:space="preserve">The Review recommends a </w:t>
      </w:r>
      <w:r w:rsidR="3DB15E5B" w:rsidRPr="4F9F5C11">
        <w:rPr>
          <w:rFonts w:eastAsia="Calibri" w:cs="Calibri"/>
          <w:lang w:val="en-US"/>
        </w:rPr>
        <w:t>c</w:t>
      </w:r>
      <w:r w:rsidRPr="4F9F5C11">
        <w:rPr>
          <w:rFonts w:eastAsia="Calibri" w:cs="Calibri"/>
          <w:lang w:val="en-US"/>
        </w:rPr>
        <w:t xml:space="preserve">ommission model for Infrastructure Australia’s governance arrangements. The </w:t>
      </w:r>
      <w:r w:rsidR="004974EF">
        <w:rPr>
          <w:rFonts w:eastAsia="Calibri" w:cs="Calibri"/>
          <w:lang w:val="en-US"/>
        </w:rPr>
        <w:t>c</w:t>
      </w:r>
      <w:r w:rsidRPr="4F9F5C11">
        <w:rPr>
          <w:rFonts w:eastAsia="Calibri" w:cs="Calibri"/>
          <w:lang w:val="en-US"/>
        </w:rPr>
        <w:t>ommission would be formed to lead the agency as well as have power to undertake inquiries on topics, as discussed in</w:t>
      </w:r>
      <w:r w:rsidR="0522DFB5" w:rsidRPr="4F9F5C11">
        <w:rPr>
          <w:rFonts w:eastAsia="Calibri" w:cs="Calibri"/>
          <w:lang w:val="en-US"/>
        </w:rPr>
        <w:t xml:space="preserve"> </w:t>
      </w:r>
      <w:hyperlink w:anchor="_Improving_national_investment">
        <w:r w:rsidR="0522DFB5" w:rsidRPr="4F9F5C11">
          <w:rPr>
            <w:rStyle w:val="Hyperlink"/>
            <w:rFonts w:eastAsia="Calibri" w:cs="Calibri"/>
            <w:lang w:val="en-US"/>
          </w:rPr>
          <w:t>Infrastructure Australia inquiry powers</w:t>
        </w:r>
      </w:hyperlink>
      <w:r w:rsidR="0522DFB5" w:rsidRPr="4F9F5C11">
        <w:rPr>
          <w:rFonts w:eastAsia="Calibri" w:cs="Calibri"/>
          <w:lang w:val="en-US"/>
        </w:rPr>
        <w:t>.</w:t>
      </w:r>
      <w:r w:rsidRPr="4F9F5C11">
        <w:rPr>
          <w:rFonts w:eastAsia="Calibri" w:cs="Calibri"/>
          <w:lang w:val="en-US"/>
        </w:rPr>
        <w:t xml:space="preserve"> The Review suggests the following arrangements for </w:t>
      </w:r>
      <w:r w:rsidR="600EB566" w:rsidRPr="4F9F5C11">
        <w:rPr>
          <w:rFonts w:eastAsia="Calibri" w:cs="Calibri"/>
          <w:lang w:val="en-US"/>
        </w:rPr>
        <w:t xml:space="preserve">the </w:t>
      </w:r>
      <w:r w:rsidRPr="4F9F5C11">
        <w:rPr>
          <w:rFonts w:eastAsia="Calibri" w:cs="Calibri"/>
          <w:lang w:val="en-US"/>
        </w:rPr>
        <w:t>Government</w:t>
      </w:r>
      <w:r w:rsidR="79E09420" w:rsidRPr="4F9F5C11">
        <w:rPr>
          <w:rFonts w:eastAsia="Calibri" w:cs="Calibri"/>
          <w:lang w:val="en-US"/>
        </w:rPr>
        <w:t>’s</w:t>
      </w:r>
      <w:r w:rsidRPr="4F9F5C11">
        <w:rPr>
          <w:rFonts w:eastAsia="Calibri" w:cs="Calibri"/>
          <w:lang w:val="en-US"/>
        </w:rPr>
        <w:t xml:space="preserve"> consideration:</w:t>
      </w:r>
    </w:p>
    <w:p w14:paraId="2008ABF6" w14:textId="54982FB8" w:rsidR="12E183DF" w:rsidRPr="0036635B" w:rsidRDefault="0602C485" w:rsidP="00547667">
      <w:pPr>
        <w:pStyle w:val="Listparagraphbullets"/>
        <w:spacing w:after="0"/>
        <w:ind w:left="567" w:hanging="567"/>
      </w:pPr>
      <w:r w:rsidRPr="0036635B">
        <w:t>Composition:</w:t>
      </w:r>
    </w:p>
    <w:p w14:paraId="030EA149" w14:textId="374E452F" w:rsidR="12E183DF" w:rsidRPr="00547667" w:rsidRDefault="0602C485" w:rsidP="00547667">
      <w:pPr>
        <w:pStyle w:val="Listparagraphbulletssecondlevel"/>
      </w:pPr>
      <w:r w:rsidRPr="00547667">
        <w:t xml:space="preserve">One Chair in addition to between two to four </w:t>
      </w:r>
      <w:r w:rsidR="004974EF" w:rsidRPr="00547667">
        <w:t>c</w:t>
      </w:r>
      <w:r w:rsidRPr="00547667">
        <w:t xml:space="preserve">ommissioners OR </w:t>
      </w:r>
    </w:p>
    <w:p w14:paraId="206FEF27" w14:textId="096C68EF" w:rsidR="12E183DF" w:rsidRDefault="0602C485" w:rsidP="00547667">
      <w:pPr>
        <w:pStyle w:val="Listparagraphbulletssecondlevel"/>
        <w:rPr>
          <w:lang w:val="en-US"/>
        </w:rPr>
      </w:pPr>
      <w:r w:rsidRPr="00547667">
        <w:t xml:space="preserve">One Chair, up to four </w:t>
      </w:r>
      <w:r w:rsidR="004974EF" w:rsidRPr="00547667">
        <w:t>c</w:t>
      </w:r>
      <w:r w:rsidRPr="00547667">
        <w:t>ommissioners and two additional ex officio members being the Secretaries from the Commonwealth central agencies (P</w:t>
      </w:r>
      <w:r w:rsidR="207E7771" w:rsidRPr="00547667">
        <w:t>M&amp;C</w:t>
      </w:r>
      <w:r w:rsidRPr="00547667">
        <w:t xml:space="preserve"> and Treasury). The Review </w:t>
      </w:r>
      <w:r w:rsidR="7DA51401" w:rsidRPr="00547667">
        <w:t>puts this forward as an alternative recommendation</w:t>
      </w:r>
      <w:r w:rsidRPr="00547667">
        <w:t xml:space="preserve"> only if the Government does not support the reallocation of ministerial responsibility for Infrastructure Australia as discussed in</w:t>
      </w:r>
      <w:r w:rsidR="7DA51401" w:rsidRPr="00547667">
        <w:t xml:space="preserve"> </w:t>
      </w:r>
      <w:hyperlink w:anchor="_Administrative_Arrangements_Order">
        <w:r w:rsidR="7DA51401" w:rsidRPr="00547667">
          <w:rPr>
            <w:rStyle w:val="Hyperlink"/>
            <w:color w:val="auto"/>
            <w:u w:val="none"/>
          </w:rPr>
          <w:t>‘Administrative Arrangements Order and Ministerial Responsibility for Infrastructure Australia’</w:t>
        </w:r>
      </w:hyperlink>
      <w:r w:rsidRPr="4F9F5C11">
        <w:rPr>
          <w:lang w:val="en-US"/>
        </w:rPr>
        <w:t xml:space="preserve">. </w:t>
      </w:r>
    </w:p>
    <w:p w14:paraId="6FC8EA75" w14:textId="6F34A9DB" w:rsidR="12E183DF" w:rsidRPr="0036635B" w:rsidRDefault="0602C485" w:rsidP="0036635B">
      <w:pPr>
        <w:pStyle w:val="Listparagraphbullets"/>
        <w:ind w:left="567" w:hanging="567"/>
      </w:pPr>
      <w:r w:rsidRPr="0036635B">
        <w:t>To be appointed with regard to their skills and experience as it is relevant to infrastructure, funding and investment and the topic of inquiry</w:t>
      </w:r>
      <w:r w:rsidR="34A8BE5B" w:rsidRPr="0036635B">
        <w:t>.</w:t>
      </w:r>
      <w:r w:rsidR="7DA51401" w:rsidRPr="0036635B">
        <w:t xml:space="preserve"> </w:t>
      </w:r>
    </w:p>
    <w:p w14:paraId="0D28D6B7" w14:textId="2BDDD149" w:rsidR="12E183DF" w:rsidRPr="0036635B" w:rsidRDefault="0602C485" w:rsidP="0036635B">
      <w:pPr>
        <w:pStyle w:val="Listparagraphbullets"/>
        <w:ind w:left="567" w:hanging="567"/>
      </w:pPr>
      <w:r w:rsidRPr="0036635B">
        <w:t>Ministerial powers to appoint specialist commissioners as required for specific inquiries from states, territories, industry, academic or other relevant sectors</w:t>
      </w:r>
      <w:r w:rsidR="1DE96D71" w:rsidRPr="0036635B">
        <w:t>.</w:t>
      </w:r>
      <w:r w:rsidR="7DA51401" w:rsidRPr="0036635B">
        <w:t xml:space="preserve"> </w:t>
      </w:r>
    </w:p>
    <w:p w14:paraId="506EE122" w14:textId="3CF1DA7D" w:rsidR="12E183DF" w:rsidRPr="0036635B" w:rsidRDefault="0602C485" w:rsidP="0036635B">
      <w:pPr>
        <w:pStyle w:val="Listparagraphbullets"/>
        <w:ind w:left="567" w:hanging="567"/>
      </w:pPr>
      <w:r w:rsidRPr="0036635B">
        <w:t>A minimum tenure of five year</w:t>
      </w:r>
      <w:r w:rsidR="7DA51401" w:rsidRPr="0036635B">
        <w:t>s</w:t>
      </w:r>
      <w:r w:rsidR="3E94F745" w:rsidRPr="0036635B">
        <w:t>.</w:t>
      </w:r>
      <w:r w:rsidR="7DA51401" w:rsidRPr="0036635B">
        <w:t xml:space="preserve"> </w:t>
      </w:r>
    </w:p>
    <w:p w14:paraId="3B3CCC32" w14:textId="77777777" w:rsidR="00271833" w:rsidRPr="0036635B" w:rsidRDefault="0602C485" w:rsidP="0036635B">
      <w:pPr>
        <w:pStyle w:val="Listparagraphbullets"/>
        <w:ind w:left="567" w:hanging="567"/>
      </w:pPr>
      <w:r w:rsidRPr="0036635B">
        <w:t>Supported by a subcommittee to deal with audit and risk matters as part of broader governance responsibilities</w:t>
      </w:r>
      <w:r w:rsidR="7DA51401" w:rsidRPr="0036635B">
        <w:t xml:space="preserve">. </w:t>
      </w:r>
      <w:r w:rsidR="63CA55E6" w:rsidRPr="0036635B">
        <w:t>If the Australian Government supports the recommendation for an I-bodies council</w:t>
      </w:r>
      <w:r w:rsidR="7DA51401" w:rsidRPr="0036635B">
        <w:t xml:space="preserve">, such a council could also be formed through another sub-committee. </w:t>
      </w:r>
    </w:p>
    <w:p w14:paraId="0C1CAB3A" w14:textId="028E51B8" w:rsidR="000A08E0" w:rsidRPr="00271833" w:rsidRDefault="1D3507F9" w:rsidP="00271833">
      <w:pPr>
        <w:pStyle w:val="Heading3"/>
        <w:rPr>
          <w:lang w:val="en-US"/>
        </w:rPr>
      </w:pPr>
      <w:bookmarkStart w:id="106" w:name="_Toc115379988"/>
      <w:bookmarkStart w:id="107" w:name="_Toc124783630"/>
      <w:r>
        <w:lastRenderedPageBreak/>
        <w:t>Option 3: a streamlined Board model</w:t>
      </w:r>
      <w:bookmarkEnd w:id="106"/>
      <w:bookmarkEnd w:id="107"/>
      <w:r>
        <w:t xml:space="preserve"> </w:t>
      </w:r>
    </w:p>
    <w:p w14:paraId="42E19980" w14:textId="33798855" w:rsidR="000A08E0" w:rsidRPr="000A08E0" w:rsidRDefault="4BE430CA" w:rsidP="005B7958">
      <w:pPr>
        <w:spacing w:line="259" w:lineRule="auto"/>
      </w:pPr>
      <w:r>
        <w:t>Should the Government wish to retain a Board model, the Review proposes a third option: a streamlined Board arrangement with a smaller composition</w:t>
      </w:r>
      <w:r w:rsidR="776B1C8E">
        <w:t xml:space="preserve">; with </w:t>
      </w:r>
      <w:r>
        <w:t xml:space="preserve">one Chair in addition to between four to six Board members. </w:t>
      </w:r>
      <w:r w:rsidR="04573532">
        <w:t>M</w:t>
      </w:r>
      <w:r>
        <w:t>embers with demonstrated infrastructure expertise across relevant sectors (including social infrastructure) and an understanding of government, private or investment professions should be appointed for a minimum of five years.</w:t>
      </w:r>
    </w:p>
    <w:p w14:paraId="63CA9DA3" w14:textId="2B65AB94" w:rsidR="000A08E0" w:rsidRDefault="7F4B49CF" w:rsidP="000A08E0">
      <w:pPr>
        <w:pStyle w:val="Heading3notshowing"/>
      </w:pPr>
      <w:bookmarkStart w:id="108" w:name="_Hlk115387485"/>
      <w:r>
        <w:t>Recommendation 13</w:t>
      </w:r>
    </w:p>
    <w:p w14:paraId="6F0E63C2" w14:textId="1F024F73" w:rsidR="000A08E0" w:rsidRPr="00316D87" w:rsidRDefault="3FF2A3A0" w:rsidP="000A08E0">
      <w:pPr>
        <w:keepNext/>
        <w:keepLines/>
        <w:pBdr>
          <w:top w:val="single" w:sz="4" w:space="1" w:color="4BB3B5"/>
          <w:left w:val="single" w:sz="4" w:space="4" w:color="4BB3B5"/>
          <w:bottom w:val="single" w:sz="4" w:space="1" w:color="4BB3B5"/>
          <w:right w:val="single" w:sz="4" w:space="4" w:color="4BB3B5"/>
        </w:pBdr>
        <w:spacing w:after="120"/>
        <w:rPr>
          <w:rFonts w:eastAsia="Calibri" w:cs="Calibri"/>
          <w:lang w:val="en-US"/>
        </w:rPr>
      </w:pPr>
      <w:r w:rsidRPr="4F9F5C11">
        <w:rPr>
          <w:rFonts w:eastAsia="Calibri" w:cs="Calibri"/>
          <w:lang w:val="en-US"/>
        </w:rPr>
        <w:t>The Review recommends the Government consider the three structure governance model options as discussed above to strengthen the role and influence of I</w:t>
      </w:r>
      <w:r w:rsidR="12985AAA" w:rsidRPr="4F9F5C11">
        <w:rPr>
          <w:rFonts w:eastAsia="Calibri" w:cs="Calibri"/>
          <w:lang w:val="en-US"/>
        </w:rPr>
        <w:t xml:space="preserve">nfrastructure </w:t>
      </w:r>
      <w:r w:rsidRPr="4F9F5C11">
        <w:rPr>
          <w:rFonts w:eastAsia="Calibri" w:cs="Calibri"/>
          <w:lang w:val="en-US"/>
        </w:rPr>
        <w:t>A</w:t>
      </w:r>
      <w:r w:rsidR="61762550" w:rsidRPr="4F9F5C11">
        <w:rPr>
          <w:rFonts w:eastAsia="Calibri" w:cs="Calibri"/>
          <w:lang w:val="en-US"/>
        </w:rPr>
        <w:t>ustralia</w:t>
      </w:r>
      <w:r w:rsidR="0D1E720B" w:rsidRPr="4F9F5C11">
        <w:rPr>
          <w:rFonts w:eastAsia="Calibri" w:cs="Calibri"/>
          <w:lang w:val="en-US"/>
        </w:rPr>
        <w:t xml:space="preserve"> through its governance framework. The Review notes its preferred model is that of a </w:t>
      </w:r>
      <w:r w:rsidR="7DA51401" w:rsidRPr="4F9F5C11">
        <w:rPr>
          <w:rFonts w:eastAsia="Calibri" w:cs="Calibri"/>
          <w:b/>
          <w:bCs/>
          <w:lang w:val="en-US"/>
        </w:rPr>
        <w:t>c</w:t>
      </w:r>
      <w:r w:rsidR="24F45955" w:rsidRPr="4F9F5C11">
        <w:rPr>
          <w:rFonts w:eastAsia="Calibri" w:cs="Calibri"/>
          <w:b/>
          <w:bCs/>
          <w:lang w:val="en-US"/>
        </w:rPr>
        <w:t>ommission model</w:t>
      </w:r>
      <w:r w:rsidR="009327A1">
        <w:rPr>
          <w:rFonts w:eastAsia="Calibri" w:cs="Calibri"/>
          <w:bCs/>
          <w:lang w:val="en-US"/>
        </w:rPr>
        <w:t xml:space="preserve"> (option 2)</w:t>
      </w:r>
      <w:r w:rsidR="24F45955" w:rsidRPr="4F9F5C11">
        <w:rPr>
          <w:rFonts w:eastAsia="Calibri" w:cs="Calibri"/>
          <w:lang w:val="en-US"/>
        </w:rPr>
        <w:t xml:space="preserve">. The </w:t>
      </w:r>
      <w:r w:rsidR="7DA51401" w:rsidRPr="4F9F5C11">
        <w:rPr>
          <w:rFonts w:eastAsia="Calibri" w:cs="Calibri"/>
          <w:lang w:val="en-US"/>
        </w:rPr>
        <w:t>c</w:t>
      </w:r>
      <w:r w:rsidR="24F45955" w:rsidRPr="4F9F5C11">
        <w:rPr>
          <w:rFonts w:eastAsia="Calibri" w:cs="Calibri"/>
          <w:lang w:val="en-US"/>
        </w:rPr>
        <w:t>ommission would be formed to lead the agency as well as have power to undertake inquiries on topics, as discussed in</w:t>
      </w:r>
      <w:r w:rsidR="7DA51401" w:rsidRPr="4F9F5C11">
        <w:rPr>
          <w:rFonts w:eastAsia="Calibri" w:cs="Calibri"/>
          <w:lang w:val="en-US"/>
        </w:rPr>
        <w:t xml:space="preserve"> the section on </w:t>
      </w:r>
      <w:hyperlink w:anchor="_Improving_national_investment">
        <w:r w:rsidR="7DA51401" w:rsidRPr="4F9F5C11">
          <w:rPr>
            <w:rStyle w:val="Hyperlink"/>
            <w:rFonts w:eastAsia="Calibri" w:cs="Calibri"/>
            <w:lang w:val="en-US"/>
          </w:rPr>
          <w:t>Infrastructure Australia inquiry powers</w:t>
        </w:r>
      </w:hyperlink>
      <w:r w:rsidR="24F45955" w:rsidRPr="4F9F5C11">
        <w:rPr>
          <w:rFonts w:eastAsia="Calibri" w:cs="Calibri"/>
          <w:lang w:val="en-US"/>
        </w:rPr>
        <w:t xml:space="preserve">. </w:t>
      </w:r>
    </w:p>
    <w:p w14:paraId="36F30113" w14:textId="6B88EE15" w:rsidR="002179E4" w:rsidRDefault="69EB8C9A" w:rsidP="00271833">
      <w:pPr>
        <w:pStyle w:val="Heading2"/>
      </w:pPr>
      <w:bookmarkStart w:id="109" w:name="_Toc115379989"/>
      <w:bookmarkStart w:id="110" w:name="_Toc124783631"/>
      <w:bookmarkEnd w:id="108"/>
      <w:r>
        <w:t>Delineation of responsibilities between I</w:t>
      </w:r>
      <w:r w:rsidR="18BFC7B0">
        <w:t xml:space="preserve">nfrastructure </w:t>
      </w:r>
      <w:r>
        <w:t>A</w:t>
      </w:r>
      <w:r w:rsidR="0B23F654">
        <w:t>ustralia</w:t>
      </w:r>
      <w:r>
        <w:t xml:space="preserve"> and other Commonwealth infrastructure agencies</w:t>
      </w:r>
      <w:bookmarkEnd w:id="109"/>
      <w:bookmarkEnd w:id="110"/>
      <w:r>
        <w:t xml:space="preserve"> </w:t>
      </w:r>
    </w:p>
    <w:p w14:paraId="237CF811" w14:textId="52F4B892" w:rsidR="002179E4" w:rsidRDefault="7A13E810" w:rsidP="002179E4">
      <w:pPr>
        <w:rPr>
          <w:rFonts w:eastAsia="Calibri" w:cs="Times New Roman"/>
          <w:color w:val="377B88"/>
          <w:kern w:val="12"/>
          <w:sz w:val="26"/>
          <w:szCs w:val="26"/>
          <w:lang w:val="en-US"/>
        </w:rPr>
      </w:pPr>
      <w:r w:rsidRPr="002179E4">
        <w:rPr>
          <w:rFonts w:eastAsia="Calibri" w:cs="Times New Roman"/>
          <w:color w:val="377B88"/>
          <w:kern w:val="12"/>
          <w:sz w:val="26"/>
          <w:szCs w:val="26"/>
          <w:lang w:val="en-US"/>
        </w:rPr>
        <w:t xml:space="preserve">Key finding: Infrastructure Australia’s revised mandate will require a rethink of the responsibilities of other </w:t>
      </w:r>
      <w:r w:rsidR="04573532">
        <w:rPr>
          <w:rFonts w:eastAsia="Calibri" w:cs="Times New Roman"/>
          <w:color w:val="377B88"/>
          <w:kern w:val="12"/>
          <w:sz w:val="26"/>
          <w:szCs w:val="26"/>
          <w:lang w:val="en-US"/>
        </w:rPr>
        <w:t xml:space="preserve">Commonwealth </w:t>
      </w:r>
      <w:r w:rsidRPr="002179E4">
        <w:rPr>
          <w:rFonts w:eastAsia="Calibri" w:cs="Times New Roman"/>
          <w:color w:val="377B88"/>
          <w:kern w:val="12"/>
          <w:sz w:val="26"/>
          <w:szCs w:val="26"/>
          <w:lang w:val="en-US"/>
        </w:rPr>
        <w:t>agencies also involved in infrastructure</w:t>
      </w:r>
      <w:r w:rsidR="33EC06BE" w:rsidRPr="002179E4">
        <w:rPr>
          <w:rFonts w:eastAsia="Calibri" w:cs="Times New Roman"/>
          <w:color w:val="377B88"/>
          <w:kern w:val="12"/>
          <w:sz w:val="26"/>
          <w:szCs w:val="26"/>
          <w:lang w:val="en-US"/>
        </w:rPr>
        <w:t xml:space="preserve"> planning, project funding and financing</w:t>
      </w:r>
      <w:r w:rsidR="428F25A3" w:rsidRPr="002179E4">
        <w:rPr>
          <w:rFonts w:eastAsia="Calibri" w:cs="Times New Roman"/>
          <w:color w:val="377B88"/>
          <w:kern w:val="12"/>
          <w:sz w:val="26"/>
          <w:szCs w:val="26"/>
          <w:lang w:val="en-US"/>
        </w:rPr>
        <w:t>,</w:t>
      </w:r>
      <w:r w:rsidR="33EC06BE" w:rsidRPr="002179E4">
        <w:rPr>
          <w:rFonts w:eastAsia="Calibri" w:cs="Times New Roman"/>
          <w:color w:val="377B88"/>
          <w:kern w:val="12"/>
          <w:sz w:val="26"/>
          <w:szCs w:val="26"/>
          <w:lang w:val="en-US"/>
        </w:rPr>
        <w:t xml:space="preserve"> and project advice</w:t>
      </w:r>
      <w:r>
        <w:rPr>
          <w:rFonts w:eastAsia="Calibri" w:cs="Times New Roman"/>
          <w:color w:val="377B88"/>
          <w:kern w:val="12"/>
          <w:sz w:val="26"/>
          <w:szCs w:val="26"/>
          <w:lang w:val="en-US"/>
        </w:rPr>
        <w:t xml:space="preserve">. </w:t>
      </w:r>
    </w:p>
    <w:p w14:paraId="2ED1C398" w14:textId="43CA2FC2" w:rsidR="00271833" w:rsidRDefault="7A13E810" w:rsidP="002179E4">
      <w:r>
        <w:t xml:space="preserve">As part of the consultation process, the Review heard from a number of representatives from DITRDCA, including Infrastructure Investment Division, </w:t>
      </w:r>
      <w:r w:rsidR="04573532">
        <w:t>SPIDO</w:t>
      </w:r>
      <w:r>
        <w:t xml:space="preserve"> and the Regional, Cities and Territories Group. The Review also received a submission from the ICA. </w:t>
      </w:r>
    </w:p>
    <w:p w14:paraId="0C456691" w14:textId="7D292733" w:rsidR="002179E4" w:rsidRDefault="69EB8C9A" w:rsidP="002179E4">
      <w:r>
        <w:t>External stakeholders noted the importance of clearly delineating the responsibilities between I</w:t>
      </w:r>
      <w:r w:rsidR="130AABA2">
        <w:t xml:space="preserve">nfrastructure </w:t>
      </w:r>
      <w:r>
        <w:t>A</w:t>
      </w:r>
      <w:r w:rsidR="2349C800">
        <w:t>ustralia</w:t>
      </w:r>
      <w:r>
        <w:t xml:space="preserve"> and other Commonwealth agencies.</w:t>
      </w:r>
    </w:p>
    <w:p w14:paraId="5D7C799A" w14:textId="33EB3D5B" w:rsidR="00E55917" w:rsidRPr="00B041CB" w:rsidRDefault="5512C13E" w:rsidP="00547667">
      <w:pPr>
        <w:pStyle w:val="Heading3"/>
      </w:pPr>
      <w:bookmarkStart w:id="111" w:name="_Toc115379990"/>
      <w:bookmarkStart w:id="112" w:name="_Toc124783632"/>
      <w:r>
        <w:t>Interaction and delineation between I</w:t>
      </w:r>
      <w:r w:rsidR="23BDFA29">
        <w:t xml:space="preserve">nfrastructure </w:t>
      </w:r>
      <w:r>
        <w:t>A</w:t>
      </w:r>
      <w:r w:rsidR="6590221B">
        <w:t>ustralia</w:t>
      </w:r>
      <w:r>
        <w:t xml:space="preserve"> and DITRDCA</w:t>
      </w:r>
      <w:bookmarkEnd w:id="111"/>
      <w:bookmarkEnd w:id="112"/>
      <w:r>
        <w:t xml:space="preserve"> </w:t>
      </w:r>
    </w:p>
    <w:p w14:paraId="62F9C236" w14:textId="3487D6B8" w:rsidR="00E55917" w:rsidRPr="00B223D5" w:rsidRDefault="6B28CC8E" w:rsidP="00E55917">
      <w:pPr>
        <w:pBdr>
          <w:left w:val="single" w:sz="48" w:space="22" w:color="4BB3B5"/>
        </w:pBdr>
        <w:suppressAutoHyphens/>
        <w:spacing w:before="160"/>
        <w:ind w:left="567" w:right="567"/>
      </w:pPr>
      <w:r w:rsidRPr="4F9F5C11">
        <w:rPr>
          <w:rStyle w:val="QuoteChar"/>
        </w:rPr>
        <w:t>...</w:t>
      </w:r>
      <w:r w:rsidR="217B5735" w:rsidRPr="4F9F5C11">
        <w:rPr>
          <w:rStyle w:val="QuoteChar"/>
        </w:rPr>
        <w:t>the process is divided between DITRDCA and I</w:t>
      </w:r>
      <w:r w:rsidR="32AC5D85" w:rsidRPr="4F9F5C11">
        <w:rPr>
          <w:rStyle w:val="QuoteChar"/>
        </w:rPr>
        <w:t xml:space="preserve">nfrastructure </w:t>
      </w:r>
      <w:r w:rsidR="217B5735" w:rsidRPr="4F9F5C11">
        <w:rPr>
          <w:rStyle w:val="QuoteChar"/>
        </w:rPr>
        <w:t>A</w:t>
      </w:r>
      <w:r w:rsidR="27ADE23F" w:rsidRPr="4F9F5C11">
        <w:rPr>
          <w:rStyle w:val="QuoteChar"/>
        </w:rPr>
        <w:t>ustralia</w:t>
      </w:r>
      <w:r w:rsidR="217B5735" w:rsidRPr="4F9F5C11">
        <w:rPr>
          <w:rStyle w:val="QuoteChar"/>
        </w:rPr>
        <w:t xml:space="preserve">, the ‘end-to-end assessment process’ must be mapped and receive a continuous improvement focus at a </w:t>
      </w:r>
      <w:r w:rsidR="02BE95D5" w:rsidRPr="4F9F5C11">
        <w:rPr>
          <w:rStyle w:val="QuoteChar"/>
        </w:rPr>
        <w:t>F</w:t>
      </w:r>
      <w:r w:rsidR="217B5735" w:rsidRPr="4F9F5C11">
        <w:rPr>
          <w:rStyle w:val="QuoteChar"/>
        </w:rPr>
        <w:t xml:space="preserve">ederal government level. This has never been adequately achieved, leaving a significant gap in the </w:t>
      </w:r>
      <w:r w:rsidR="3857EE91" w:rsidRPr="4F9F5C11">
        <w:rPr>
          <w:rStyle w:val="QuoteChar"/>
        </w:rPr>
        <w:t>F</w:t>
      </w:r>
      <w:r w:rsidR="217B5735" w:rsidRPr="4F9F5C11">
        <w:rPr>
          <w:rStyle w:val="QuoteChar"/>
        </w:rPr>
        <w:t xml:space="preserve">ederal government’s accountability. </w:t>
      </w:r>
      <w:r w:rsidR="70504B34">
        <w:br/>
      </w:r>
      <w:r w:rsidR="217B5735">
        <w:t xml:space="preserve">Amalgam Strategic </w:t>
      </w:r>
    </w:p>
    <w:p w14:paraId="67ECC0FD" w14:textId="563ABC59" w:rsidR="008B0E42" w:rsidRDefault="7A13E810" w:rsidP="00547667">
      <w:pPr>
        <w:spacing w:before="360" w:line="259" w:lineRule="auto"/>
      </w:pPr>
      <w:bookmarkStart w:id="113" w:name="_Toc114841801"/>
      <w:bookmarkStart w:id="114" w:name="_Toc114841849"/>
      <w:bookmarkStart w:id="115" w:name="_Toc114841802"/>
      <w:bookmarkStart w:id="116" w:name="_Toc114841850"/>
      <w:bookmarkStart w:id="117" w:name="_Toc114841803"/>
      <w:bookmarkStart w:id="118" w:name="_Toc114841851"/>
      <w:bookmarkEnd w:id="113"/>
      <w:bookmarkEnd w:id="114"/>
      <w:bookmarkEnd w:id="115"/>
      <w:bookmarkEnd w:id="116"/>
      <w:bookmarkEnd w:id="117"/>
      <w:bookmarkEnd w:id="118"/>
      <w:r>
        <w:t>In light of the Review’s recommendation that I</w:t>
      </w:r>
      <w:r w:rsidR="63ED9117">
        <w:t xml:space="preserve">nfrastructure </w:t>
      </w:r>
      <w:r>
        <w:t>A</w:t>
      </w:r>
      <w:r w:rsidR="4EBC478A">
        <w:t>ustralia</w:t>
      </w:r>
      <w:r>
        <w:t xml:space="preserve"> is the national </w:t>
      </w:r>
      <w:r w:rsidR="474FB311">
        <w:t>advisor</w:t>
      </w:r>
      <w:r>
        <w:t>, the Review recommends that I</w:t>
      </w:r>
      <w:r w:rsidR="58E22C1D">
        <w:t xml:space="preserve">nfrastructure </w:t>
      </w:r>
      <w:r>
        <w:t>A</w:t>
      </w:r>
      <w:r w:rsidR="7FAE46BB">
        <w:t>ustralia</w:t>
      </w:r>
      <w:r>
        <w:t xml:space="preserve">’s scope of responsibilities should not extend to the implementation of policy, which should be the responsibility of DITRDCA. </w:t>
      </w:r>
      <w:r w:rsidR="7A3A9A34">
        <w:t>Infrastructure</w:t>
      </w:r>
      <w:r w:rsidR="4A5E612B">
        <w:t xml:space="preserve"> </w:t>
      </w:r>
      <w:r>
        <w:t>A</w:t>
      </w:r>
      <w:r w:rsidR="419CC4DE">
        <w:t>ustralia</w:t>
      </w:r>
      <w:r>
        <w:t>’s responsibilities should be confined to th</w:t>
      </w:r>
      <w:r w:rsidR="6E6241A3">
        <w:t>ose</w:t>
      </w:r>
      <w:r>
        <w:t xml:space="preserve"> which support its </w:t>
      </w:r>
      <w:r w:rsidR="07DAD308">
        <w:t xml:space="preserve">planning and investment </w:t>
      </w:r>
      <w:r>
        <w:t xml:space="preserve">advisory role, including undertaking inquiries, providing strategic direction on infrastructure investment decisions and making policy recommendations to the </w:t>
      </w:r>
      <w:r w:rsidR="04573532">
        <w:t>Australia</w:t>
      </w:r>
      <w:r w:rsidR="3E506231">
        <w:t>n</w:t>
      </w:r>
      <w:r>
        <w:t xml:space="preserve"> Government and relevant </w:t>
      </w:r>
      <w:r w:rsidR="2B6FA5A8">
        <w:t>F</w:t>
      </w:r>
      <w:r>
        <w:t xml:space="preserve">ederal ministers. In light of this recommendation, the Review suggests that DITRDCA </w:t>
      </w:r>
      <w:r w:rsidR="32FE299C">
        <w:t xml:space="preserve">(especially areas which have infrastructure advisory responsibilities such as Infrastructure Investment Division </w:t>
      </w:r>
      <w:r w:rsidR="00422B9D">
        <w:t xml:space="preserve">(IID) </w:t>
      </w:r>
      <w:r w:rsidR="32FE299C">
        <w:t xml:space="preserve">and SPIDO) </w:t>
      </w:r>
      <w:r>
        <w:t xml:space="preserve">reconsider and coordinate </w:t>
      </w:r>
      <w:r w:rsidR="72BD8301">
        <w:t>its</w:t>
      </w:r>
      <w:r>
        <w:t xml:space="preserve"> infrastructure investment activities and responsibilities accordingly </w:t>
      </w:r>
      <w:r w:rsidR="26675ECF">
        <w:t xml:space="preserve">and </w:t>
      </w:r>
      <w:r>
        <w:t>around I</w:t>
      </w:r>
      <w:r w:rsidR="791C99CA">
        <w:t xml:space="preserve">nfrastructure </w:t>
      </w:r>
      <w:r>
        <w:t>A</w:t>
      </w:r>
      <w:r w:rsidR="5D54B133">
        <w:t>ustralia</w:t>
      </w:r>
      <w:r w:rsidR="0CDD1C84">
        <w:t>,</w:t>
      </w:r>
      <w:r>
        <w:t xml:space="preserve"> to ensure </w:t>
      </w:r>
      <w:r w:rsidR="04573532">
        <w:t>DTIRDCA</w:t>
      </w:r>
      <w:r>
        <w:t xml:space="preserve"> policy and advisory </w:t>
      </w:r>
      <w:r w:rsidR="04573532">
        <w:t>responsibilities and mechanisms</w:t>
      </w:r>
      <w:r>
        <w:t xml:space="preserve"> do not replicate or duplicate those of I</w:t>
      </w:r>
      <w:r w:rsidR="58AAC5C0">
        <w:t xml:space="preserve">nfrastructure </w:t>
      </w:r>
      <w:r>
        <w:t>A</w:t>
      </w:r>
      <w:r w:rsidR="10CDCFE6">
        <w:t>ustralia</w:t>
      </w:r>
      <w:r>
        <w:t xml:space="preserve">. </w:t>
      </w:r>
      <w:bookmarkStart w:id="119" w:name="_Toc114841853"/>
    </w:p>
    <w:p w14:paraId="00B4A64C" w14:textId="10DC50AF" w:rsidR="008B0E42" w:rsidRDefault="7A13E810" w:rsidP="00547667">
      <w:pPr>
        <w:keepLines/>
        <w:spacing w:line="259" w:lineRule="auto"/>
      </w:pPr>
      <w:r>
        <w:t xml:space="preserve">As an ‘informed investor’, DITRDCA will need to </w:t>
      </w:r>
      <w:r w:rsidR="66828FFB">
        <w:t xml:space="preserve">meet investment priorities and </w:t>
      </w:r>
      <w:r>
        <w:t xml:space="preserve">integrate broader economic and investment considerations into </w:t>
      </w:r>
      <w:r w:rsidR="0CE048BC">
        <w:t>its</w:t>
      </w:r>
      <w:r>
        <w:t xml:space="preserve"> advice to the </w:t>
      </w:r>
      <w:r w:rsidR="5A4FF847">
        <w:t>G</w:t>
      </w:r>
      <w:r>
        <w:t>overnment about infrastructure investment and funding decisions.</w:t>
      </w:r>
      <w:bookmarkEnd w:id="119"/>
      <w:r>
        <w:t xml:space="preserve"> </w:t>
      </w:r>
      <w:bookmarkStart w:id="120" w:name="_Toc114841806"/>
      <w:bookmarkStart w:id="121" w:name="_Toc114841854"/>
      <w:bookmarkStart w:id="122" w:name="_Toc114841855"/>
      <w:bookmarkEnd w:id="120"/>
      <w:bookmarkEnd w:id="121"/>
      <w:r w:rsidR="00160F59">
        <w:t xml:space="preserve">To support this role, they will need to work closely with Infrastructure Australia and other Commonwealth agencies (including Treasury and the Department of Finance). </w:t>
      </w:r>
    </w:p>
    <w:p w14:paraId="2D5C52CE" w14:textId="77777777" w:rsidR="008B0E42" w:rsidRPr="00B041CB" w:rsidRDefault="1ED0198D" w:rsidP="008B0E42">
      <w:pPr>
        <w:pStyle w:val="Heading4"/>
      </w:pPr>
      <w:bookmarkStart w:id="123" w:name="_Toc115379991"/>
      <w:bookmarkStart w:id="124" w:name="_Toc124783633"/>
      <w:r>
        <w:lastRenderedPageBreak/>
        <w:t>Establishment of a Cities and Suburbs Unit</w:t>
      </w:r>
      <w:bookmarkEnd w:id="123"/>
      <w:bookmarkEnd w:id="124"/>
      <w:r>
        <w:t xml:space="preserve"> </w:t>
      </w:r>
    </w:p>
    <w:bookmarkEnd w:id="122"/>
    <w:p w14:paraId="49E16E38" w14:textId="13599E32" w:rsidR="002179E4" w:rsidRDefault="7A13E810" w:rsidP="002179E4">
      <w:pPr>
        <w:rPr>
          <w:lang w:val="en-US"/>
        </w:rPr>
      </w:pPr>
      <w:r w:rsidRPr="4F9F5C11">
        <w:rPr>
          <w:lang w:val="en-US"/>
        </w:rPr>
        <w:t xml:space="preserve">As </w:t>
      </w:r>
      <w:r w:rsidR="007955CC">
        <w:rPr>
          <w:lang w:val="en-US"/>
        </w:rPr>
        <w:t xml:space="preserve">one </w:t>
      </w:r>
      <w:r w:rsidRPr="4F9F5C11">
        <w:rPr>
          <w:lang w:val="en-US"/>
        </w:rPr>
        <w:t xml:space="preserve">of </w:t>
      </w:r>
      <w:r w:rsidR="07F16D9B" w:rsidRPr="4F9F5C11">
        <w:rPr>
          <w:lang w:val="en-US"/>
        </w:rPr>
        <w:t>its</w:t>
      </w:r>
      <w:r w:rsidRPr="4F9F5C11">
        <w:rPr>
          <w:lang w:val="en-US"/>
        </w:rPr>
        <w:t xml:space="preserve"> </w:t>
      </w:r>
      <w:r w:rsidR="06530D9D" w:rsidRPr="4F9F5C11">
        <w:rPr>
          <w:lang w:val="en-US"/>
        </w:rPr>
        <w:t xml:space="preserve">2022 </w:t>
      </w:r>
      <w:r w:rsidRPr="4F9F5C11">
        <w:rPr>
          <w:lang w:val="en-US"/>
        </w:rPr>
        <w:t>election commitment</w:t>
      </w:r>
      <w:r w:rsidR="00422B9D">
        <w:rPr>
          <w:lang w:val="en-US"/>
        </w:rPr>
        <w:t>s</w:t>
      </w:r>
      <w:r w:rsidRPr="4F9F5C11">
        <w:rPr>
          <w:lang w:val="en-US"/>
        </w:rPr>
        <w:t xml:space="preserve">, the Albanese Labor Government proposed a </w:t>
      </w:r>
      <w:proofErr w:type="gramStart"/>
      <w:r w:rsidRPr="4F9F5C11">
        <w:rPr>
          <w:lang w:val="en-US"/>
        </w:rPr>
        <w:t>six point</w:t>
      </w:r>
      <w:proofErr w:type="gramEnd"/>
      <w:r w:rsidRPr="4F9F5C11">
        <w:rPr>
          <w:lang w:val="en-US"/>
        </w:rPr>
        <w:t xml:space="preserve"> plan for cities, one of which included the renewal of the independent role of I</w:t>
      </w:r>
      <w:r w:rsidR="743B8C1D" w:rsidRPr="4F9F5C11">
        <w:rPr>
          <w:lang w:val="en-US"/>
        </w:rPr>
        <w:t xml:space="preserve">nfrastructure </w:t>
      </w:r>
      <w:r w:rsidRPr="4F9F5C11">
        <w:rPr>
          <w:lang w:val="en-US"/>
        </w:rPr>
        <w:t>A</w:t>
      </w:r>
      <w:r w:rsidR="1E936982" w:rsidRPr="4F9F5C11">
        <w:rPr>
          <w:lang w:val="en-US"/>
        </w:rPr>
        <w:t>ustralia</w:t>
      </w:r>
      <w:r w:rsidRPr="4F9F5C11">
        <w:rPr>
          <w:lang w:val="en-US"/>
        </w:rPr>
        <w:t xml:space="preserve"> through the creation of an Australian Cities and Suburbs Unit (CSU) to be located within I</w:t>
      </w:r>
      <w:r w:rsidR="08559214" w:rsidRPr="4F9F5C11">
        <w:rPr>
          <w:lang w:val="en-US"/>
        </w:rPr>
        <w:t xml:space="preserve">nfrastructure </w:t>
      </w:r>
      <w:r w:rsidRPr="4F9F5C11">
        <w:rPr>
          <w:lang w:val="en-US"/>
        </w:rPr>
        <w:t>A</w:t>
      </w:r>
      <w:r w:rsidR="013765FE" w:rsidRPr="4F9F5C11">
        <w:rPr>
          <w:lang w:val="en-US"/>
        </w:rPr>
        <w:t>ustralia</w:t>
      </w:r>
      <w:r w:rsidRPr="4F9F5C11">
        <w:rPr>
          <w:lang w:val="en-US"/>
        </w:rPr>
        <w:t>. Throughout the Review, the majority of stakeholders were generally agnostic towards the location of the CSU or expressed</w:t>
      </w:r>
      <w:r w:rsidR="7302A6BB" w:rsidRPr="4F9F5C11">
        <w:rPr>
          <w:lang w:val="en-US"/>
        </w:rPr>
        <w:t xml:space="preserve">, on balance, </w:t>
      </w:r>
      <w:r w:rsidRPr="4F9F5C11">
        <w:rPr>
          <w:lang w:val="en-US"/>
        </w:rPr>
        <w:t xml:space="preserve">a preference for the CSU to be located within DITRDCA, noting the latter’s ability to engage in both policy and implementation. However, for those who did comment, there was a preference for such a unit to remain within DITRDCA to allow Infrastructure Australia to focus on its </w:t>
      </w:r>
      <w:r w:rsidR="40667EFC" w:rsidRPr="4F9F5C11">
        <w:rPr>
          <w:lang w:val="en-US"/>
        </w:rPr>
        <w:t>strategic remit</w:t>
      </w:r>
      <w:r w:rsidRPr="4F9F5C11">
        <w:rPr>
          <w:lang w:val="en-US"/>
        </w:rPr>
        <w:t xml:space="preserve">. </w:t>
      </w:r>
    </w:p>
    <w:p w14:paraId="1E132FBE" w14:textId="7B8741A3" w:rsidR="008B0E42" w:rsidRPr="00B223D5" w:rsidRDefault="018EB6EC" w:rsidP="008B0E42">
      <w:pPr>
        <w:pBdr>
          <w:left w:val="single" w:sz="48" w:space="22" w:color="4BB3B5"/>
        </w:pBdr>
        <w:suppressAutoHyphens/>
        <w:spacing w:before="160"/>
        <w:ind w:left="567" w:right="567"/>
      </w:pPr>
      <w:r w:rsidRPr="4F9F5C11">
        <w:rPr>
          <w:rStyle w:val="QuoteChar"/>
        </w:rPr>
        <w:t>Just as the Commonwealth has struggled to find a clear role in cities/urban policy, it is unclear what value IA could add and what the role of a Cities and Suburbs Unit would be separate to that currently undertaken by the DITRDCA</w:t>
      </w:r>
      <w:r w:rsidR="0492309C" w:rsidRPr="4F9F5C11">
        <w:rPr>
          <w:rStyle w:val="QuoteChar"/>
        </w:rPr>
        <w:t>.</w:t>
      </w:r>
      <w:r w:rsidRPr="4F9F5C11">
        <w:rPr>
          <w:rStyle w:val="QuoteChar"/>
        </w:rPr>
        <w:t xml:space="preserve">  </w:t>
      </w:r>
      <w:r w:rsidR="01E330B7">
        <w:br/>
      </w:r>
      <w:r>
        <w:t>Infrastructure and Commercial Advisory Office</w:t>
      </w:r>
    </w:p>
    <w:p w14:paraId="71033945" w14:textId="77777777" w:rsidR="008B0E42" w:rsidRPr="00B223D5" w:rsidRDefault="008B0E42" w:rsidP="00547667">
      <w:pPr>
        <w:pStyle w:val="Quote"/>
        <w:spacing w:after="0"/>
        <w:ind w:left="0"/>
      </w:pPr>
    </w:p>
    <w:p w14:paraId="23B8ECF3" w14:textId="79D65A61" w:rsidR="008B0E42" w:rsidRPr="00B223D5" w:rsidRDefault="018EB6EC" w:rsidP="008B0E42">
      <w:pPr>
        <w:pBdr>
          <w:left w:val="single" w:sz="48" w:space="22" w:color="4BB3B5"/>
        </w:pBdr>
        <w:suppressAutoHyphens/>
        <w:spacing w:before="160"/>
        <w:ind w:left="567" w:right="567"/>
      </w:pPr>
      <w:r w:rsidRPr="4F9F5C11">
        <w:rPr>
          <w:rStyle w:val="QuoteChar"/>
        </w:rPr>
        <w:t>It may be better for the Australian Government to build its town planning capacity within the [DITRDCA] and to permit Infrastructure Australia to concentrate on assessing infrastructure projects transferred to it as and when required</w:t>
      </w:r>
      <w:r w:rsidR="4245B8F5" w:rsidRPr="4F9F5C11">
        <w:rPr>
          <w:rStyle w:val="QuoteChar"/>
        </w:rPr>
        <w:t>.</w:t>
      </w:r>
      <w:r w:rsidR="01E330B7">
        <w:br/>
      </w:r>
      <w:r>
        <w:t>Australian Logistics Council</w:t>
      </w:r>
    </w:p>
    <w:p w14:paraId="71B3199F" w14:textId="6458A02B" w:rsidR="002179E4" w:rsidRDefault="7A13E810" w:rsidP="00591CDB">
      <w:pPr>
        <w:spacing w:before="480"/>
        <w:rPr>
          <w:lang w:val="en-US"/>
        </w:rPr>
      </w:pPr>
      <w:r w:rsidRPr="4F9F5C11">
        <w:rPr>
          <w:lang w:val="en-US"/>
        </w:rPr>
        <w:t>There is a risk that positioning the CSU within I</w:t>
      </w:r>
      <w:r w:rsidR="41E1D30F" w:rsidRPr="4F9F5C11">
        <w:rPr>
          <w:lang w:val="en-US"/>
        </w:rPr>
        <w:t xml:space="preserve">nfrastructure </w:t>
      </w:r>
      <w:r w:rsidRPr="4F9F5C11">
        <w:rPr>
          <w:lang w:val="en-US"/>
        </w:rPr>
        <w:t>A</w:t>
      </w:r>
      <w:r w:rsidR="0FC8794E" w:rsidRPr="4F9F5C11">
        <w:rPr>
          <w:lang w:val="en-US"/>
        </w:rPr>
        <w:t>ustralia</w:t>
      </w:r>
      <w:r w:rsidRPr="4F9F5C11">
        <w:rPr>
          <w:lang w:val="en-US"/>
        </w:rPr>
        <w:t xml:space="preserve"> would hinder both I</w:t>
      </w:r>
      <w:r w:rsidR="1E45DB60" w:rsidRPr="4F9F5C11">
        <w:rPr>
          <w:lang w:val="en-US"/>
        </w:rPr>
        <w:t xml:space="preserve">nfrastructure </w:t>
      </w:r>
      <w:r w:rsidRPr="4F9F5C11">
        <w:rPr>
          <w:lang w:val="en-US"/>
        </w:rPr>
        <w:t>A</w:t>
      </w:r>
      <w:r w:rsidR="1055D9AF" w:rsidRPr="4F9F5C11">
        <w:rPr>
          <w:lang w:val="en-US"/>
        </w:rPr>
        <w:t>ustralia</w:t>
      </w:r>
      <w:r w:rsidRPr="4F9F5C11">
        <w:rPr>
          <w:lang w:val="en-US"/>
        </w:rPr>
        <w:t>’s mandate as the national advis</w:t>
      </w:r>
      <w:r w:rsidR="78C71D39" w:rsidRPr="4F9F5C11">
        <w:rPr>
          <w:lang w:val="en-US"/>
        </w:rPr>
        <w:t>o</w:t>
      </w:r>
      <w:r w:rsidRPr="4F9F5C11">
        <w:rPr>
          <w:lang w:val="en-US"/>
        </w:rPr>
        <w:t xml:space="preserve">r to the </w:t>
      </w:r>
      <w:r w:rsidR="5BDB4A8C" w:rsidRPr="4F9F5C11">
        <w:rPr>
          <w:lang w:val="en-US"/>
        </w:rPr>
        <w:t xml:space="preserve">Australian </w:t>
      </w:r>
      <w:r w:rsidR="3EAA2EC6" w:rsidRPr="4F9F5C11">
        <w:rPr>
          <w:lang w:val="en-US"/>
        </w:rPr>
        <w:t>G</w:t>
      </w:r>
      <w:r w:rsidRPr="4F9F5C11">
        <w:rPr>
          <w:lang w:val="en-US"/>
        </w:rPr>
        <w:t xml:space="preserve">overnment and would not support the effective progress of policies and programs in support of cities and suburbs. As part of ensuring Infrastructure Australia’s focus remains on </w:t>
      </w:r>
      <w:r w:rsidR="16CF3AD0" w:rsidRPr="4F9F5C11">
        <w:rPr>
          <w:lang w:val="en-US"/>
        </w:rPr>
        <w:t>investment planning</w:t>
      </w:r>
      <w:r w:rsidRPr="4F9F5C11">
        <w:rPr>
          <w:lang w:val="en-US"/>
        </w:rPr>
        <w:t xml:space="preserve"> analysis and </w:t>
      </w:r>
      <w:r w:rsidR="24E3E6F4" w:rsidRPr="4F9F5C11">
        <w:rPr>
          <w:lang w:val="en-US"/>
        </w:rPr>
        <w:t>investment priorities</w:t>
      </w:r>
      <w:r w:rsidRPr="4F9F5C11">
        <w:rPr>
          <w:lang w:val="en-US"/>
        </w:rPr>
        <w:t xml:space="preserve"> (rather than delivery or implementation)</w:t>
      </w:r>
      <w:r w:rsidR="00422B9D">
        <w:rPr>
          <w:lang w:val="en-US"/>
        </w:rPr>
        <w:t>,</w:t>
      </w:r>
      <w:r w:rsidRPr="4F9F5C11">
        <w:rPr>
          <w:lang w:val="en-US"/>
        </w:rPr>
        <w:t xml:space="preserve"> the Review recommends that any establishment of a CSU be within </w:t>
      </w:r>
      <w:r w:rsidR="31C0E337" w:rsidRPr="4F9F5C11">
        <w:rPr>
          <w:lang w:val="en-US"/>
        </w:rPr>
        <w:t>DITRDCA</w:t>
      </w:r>
      <w:r w:rsidRPr="4F9F5C11">
        <w:rPr>
          <w:lang w:val="en-US"/>
        </w:rPr>
        <w:t>, rather than in Infrastructure Australia. I</w:t>
      </w:r>
      <w:r w:rsidR="68B021BC" w:rsidRPr="4F9F5C11">
        <w:rPr>
          <w:lang w:val="en-US"/>
        </w:rPr>
        <w:t xml:space="preserve">nfrastructure </w:t>
      </w:r>
      <w:r w:rsidRPr="4F9F5C11">
        <w:rPr>
          <w:lang w:val="en-US"/>
        </w:rPr>
        <w:t>A</w:t>
      </w:r>
      <w:r w:rsidR="06263BCA" w:rsidRPr="4F9F5C11">
        <w:rPr>
          <w:lang w:val="en-US"/>
        </w:rPr>
        <w:t>ustralia</w:t>
      </w:r>
      <w:r w:rsidRPr="4F9F5C11">
        <w:rPr>
          <w:lang w:val="en-US"/>
        </w:rPr>
        <w:t xml:space="preserve"> cou</w:t>
      </w:r>
      <w:r w:rsidR="15DCF1E1" w:rsidRPr="4F9F5C11">
        <w:rPr>
          <w:lang w:val="en-US"/>
        </w:rPr>
        <w:t>ld</w:t>
      </w:r>
      <w:r w:rsidRPr="4F9F5C11">
        <w:rPr>
          <w:lang w:val="en-US"/>
        </w:rPr>
        <w:t xml:space="preserve"> have an ongoing role in providing advice in relation to integrated infrastructure planning issues in cities</w:t>
      </w:r>
      <w:r w:rsidR="766F345D" w:rsidRPr="4F9F5C11">
        <w:rPr>
          <w:lang w:val="en-US"/>
        </w:rPr>
        <w:t>,</w:t>
      </w:r>
      <w:r w:rsidRPr="4F9F5C11">
        <w:rPr>
          <w:lang w:val="en-US"/>
        </w:rPr>
        <w:t xml:space="preserve"> and provide independent review on the progress of policy implementation through a mechanism </w:t>
      </w:r>
      <w:r w:rsidR="7D78E05F" w:rsidRPr="4F9F5C11">
        <w:rPr>
          <w:lang w:val="en-US"/>
        </w:rPr>
        <w:t>such as</w:t>
      </w:r>
      <w:r w:rsidRPr="4F9F5C11">
        <w:rPr>
          <w:lang w:val="en-US"/>
        </w:rPr>
        <w:t xml:space="preserve"> the annual State of the Cities report.</w:t>
      </w:r>
    </w:p>
    <w:p w14:paraId="7EEAD614" w14:textId="5BF5EA9A" w:rsidR="005C57D2" w:rsidRDefault="3D701455" w:rsidP="005C57D2">
      <w:pPr>
        <w:pStyle w:val="Heading3notshowing"/>
      </w:pPr>
      <w:bookmarkStart w:id="125" w:name="_Hlk115387495"/>
      <w:r>
        <w:t>Recommendation 14</w:t>
      </w:r>
    </w:p>
    <w:p w14:paraId="1D841717" w14:textId="4CFCB811" w:rsidR="005C57D2" w:rsidRPr="007D6EA1" w:rsidRDefault="04847A83" w:rsidP="00591CDB">
      <w:pPr>
        <w:keepLines/>
        <w:pBdr>
          <w:top w:val="single" w:sz="4" w:space="1" w:color="4BB3B5"/>
          <w:left w:val="single" w:sz="4" w:space="4" w:color="4BB3B5"/>
          <w:bottom w:val="single" w:sz="4" w:space="1" w:color="4BB3B5"/>
          <w:right w:val="single" w:sz="4" w:space="4" w:color="4BB3B5"/>
        </w:pBdr>
        <w:spacing w:after="120"/>
      </w:pPr>
      <w:r>
        <w:t>The Review recommends the establishment of a C</w:t>
      </w:r>
      <w:r w:rsidR="53A6D785">
        <w:t>SU</w:t>
      </w:r>
      <w:r>
        <w:t xml:space="preserve"> within DITRDCA.</w:t>
      </w:r>
      <w:bookmarkEnd w:id="125"/>
    </w:p>
    <w:p w14:paraId="6F769A75" w14:textId="77EF734B" w:rsidR="002179E4" w:rsidRDefault="44436C76" w:rsidP="00591CDB">
      <w:pPr>
        <w:pStyle w:val="Heading3"/>
      </w:pPr>
      <w:bookmarkStart w:id="126" w:name="_Toc115379992"/>
      <w:bookmarkStart w:id="127" w:name="_Toc124783634"/>
      <w:r>
        <w:t>Interaction/delineation between I</w:t>
      </w:r>
      <w:r w:rsidR="40F58060">
        <w:t xml:space="preserve">nfrastructure </w:t>
      </w:r>
      <w:r>
        <w:t>A</w:t>
      </w:r>
      <w:r w:rsidR="6C5D53DC">
        <w:t>ustralia</w:t>
      </w:r>
      <w:r>
        <w:t xml:space="preserve"> and the ICA</w:t>
      </w:r>
      <w:bookmarkEnd w:id="126"/>
      <w:bookmarkEnd w:id="127"/>
      <w:r>
        <w:t xml:space="preserve"> </w:t>
      </w:r>
    </w:p>
    <w:p w14:paraId="34105F35" w14:textId="5CA02A83" w:rsidR="00F4487C" w:rsidRDefault="5CCA4D7C" w:rsidP="00591CDB">
      <w:pPr>
        <w:keepNext/>
      </w:pPr>
      <w:r>
        <w:t xml:space="preserve">The ICA is a division within the Commonwealth Treasury and is the </w:t>
      </w:r>
      <w:r w:rsidR="4ED98BE1">
        <w:t>G</w:t>
      </w:r>
      <w:r>
        <w:t xml:space="preserve">overnment’s in-house commercial and financial </w:t>
      </w:r>
      <w:r w:rsidR="00422B9D">
        <w:t xml:space="preserve">infrastructure </w:t>
      </w:r>
      <w:r w:rsidR="474FB311">
        <w:t>advisor</w:t>
      </w:r>
      <w:r>
        <w:t>.</w:t>
      </w:r>
      <w:r w:rsidR="0D0E9A3D">
        <w:t xml:space="preserve"> According to the </w:t>
      </w:r>
      <w:hyperlink r:id="rId32">
        <w:r w:rsidR="0D0E9A3D" w:rsidRPr="4F9F5C11">
          <w:rPr>
            <w:rStyle w:val="Hyperlink"/>
          </w:rPr>
          <w:t>ICA website</w:t>
        </w:r>
      </w:hyperlink>
      <w:r w:rsidR="0D0E9A3D">
        <w:t xml:space="preserve">, </w:t>
      </w:r>
      <w:r w:rsidR="65C62F56">
        <w:t>its</w:t>
      </w:r>
      <w:r w:rsidR="17A082E1">
        <w:t xml:space="preserve"> </w:t>
      </w:r>
      <w:r w:rsidR="0D0E9A3D">
        <w:t>c</w:t>
      </w:r>
      <w:r>
        <w:t>ore roles include:</w:t>
      </w:r>
    </w:p>
    <w:p w14:paraId="732152E3" w14:textId="64C36D4F" w:rsidR="00071A02" w:rsidRDefault="10C7CC59" w:rsidP="00591CDB">
      <w:pPr>
        <w:pStyle w:val="Listparagraphbullets"/>
        <w:keepNext/>
        <w:ind w:left="567" w:hanging="567"/>
      </w:pPr>
      <w:r>
        <w:t>p</w:t>
      </w:r>
      <w:r w:rsidR="0D0E9A3D">
        <w:t>roviding commercial, financial and risk analysis and advice across the infrastructure project lifecycle</w:t>
      </w:r>
    </w:p>
    <w:p w14:paraId="6075B81D" w14:textId="4D65CCBF" w:rsidR="00071A02" w:rsidRDefault="6117BA53" w:rsidP="00591CDB">
      <w:pPr>
        <w:pStyle w:val="Listparagraphbullets"/>
        <w:keepNext/>
        <w:ind w:left="567" w:hanging="567"/>
      </w:pPr>
      <w:r>
        <w:t>d</w:t>
      </w:r>
      <w:r w:rsidR="0D0E9A3D">
        <w:t xml:space="preserve">eveloping commercial, funding and financial structures for infrastructure projects to best allocate risk </w:t>
      </w:r>
    </w:p>
    <w:p w14:paraId="1F250EDF" w14:textId="40850FB2" w:rsidR="00071A02" w:rsidRDefault="21754612" w:rsidP="00591CDB">
      <w:pPr>
        <w:pStyle w:val="Listparagraphbullets"/>
        <w:keepNext/>
        <w:ind w:left="567" w:hanging="567"/>
      </w:pPr>
      <w:r>
        <w:t>r</w:t>
      </w:r>
      <w:r w:rsidR="0D0E9A3D">
        <w:t>eviewing financial and commercial feasibility of government investment, proposals and transactions</w:t>
      </w:r>
    </w:p>
    <w:p w14:paraId="6BB84EC9" w14:textId="10CDDFCD" w:rsidR="00071A02" w:rsidRDefault="2676E452" w:rsidP="00591CDB">
      <w:pPr>
        <w:pStyle w:val="Listparagraphbullets"/>
        <w:keepNext/>
        <w:ind w:left="567" w:hanging="567"/>
      </w:pPr>
      <w:r>
        <w:t>n</w:t>
      </w:r>
      <w:r w:rsidR="0D0E9A3D">
        <w:t xml:space="preserve">egotiating commercial, financial and governance arrangements with states, territories or the private sector </w:t>
      </w:r>
    </w:p>
    <w:p w14:paraId="18B363B1" w14:textId="66744278" w:rsidR="00071A02" w:rsidRDefault="0B23DC22" w:rsidP="00591CDB">
      <w:pPr>
        <w:pStyle w:val="Listparagraphbullets"/>
        <w:keepNext/>
        <w:ind w:left="567" w:hanging="567"/>
      </w:pPr>
      <w:r>
        <w:t>u</w:t>
      </w:r>
      <w:r w:rsidR="0D0E9A3D">
        <w:t xml:space="preserve">ndertaking market soundings and evaluating the commercial and financial aspects of tender documents and processes </w:t>
      </w:r>
    </w:p>
    <w:p w14:paraId="35043BB8" w14:textId="71709913" w:rsidR="00071A02" w:rsidRDefault="3FADD47D" w:rsidP="0036635B">
      <w:pPr>
        <w:pStyle w:val="Listparagraphbullets"/>
        <w:ind w:left="567" w:hanging="567"/>
      </w:pPr>
      <w:r>
        <w:t>r</w:t>
      </w:r>
      <w:r w:rsidR="0D0E9A3D">
        <w:t>epresenting Australian Government clients on infrastructure governance bodies</w:t>
      </w:r>
    </w:p>
    <w:p w14:paraId="7E73C114" w14:textId="43C28B0E" w:rsidR="00071A02" w:rsidRDefault="516F7911" w:rsidP="0036635B">
      <w:pPr>
        <w:pStyle w:val="Listparagraphbullets"/>
        <w:ind w:left="567" w:hanging="567"/>
      </w:pPr>
      <w:r>
        <w:t>e</w:t>
      </w:r>
      <w:r w:rsidR="0D0E9A3D">
        <w:t>stablish governance frameworks for new infrastructure development, infrastructure ownership entities and major project commercial and financial risk management</w:t>
      </w:r>
      <w:r w:rsidR="647A9CE0">
        <w:t xml:space="preserve"> and</w:t>
      </w:r>
      <w:r w:rsidR="0D0E9A3D">
        <w:t xml:space="preserve"> </w:t>
      </w:r>
    </w:p>
    <w:p w14:paraId="0EE8652B" w14:textId="26E86438" w:rsidR="00071A02" w:rsidRDefault="35D68B53" w:rsidP="0036635B">
      <w:pPr>
        <w:pStyle w:val="Listparagraphbullets"/>
        <w:ind w:left="567" w:hanging="567"/>
      </w:pPr>
      <w:r>
        <w:t>l</w:t>
      </w:r>
      <w:r w:rsidR="46D27D83">
        <w:t>ead</w:t>
      </w:r>
      <w:r w:rsidR="349F0FBE">
        <w:t>ing</w:t>
      </w:r>
      <w:r w:rsidR="46D27D83">
        <w:t xml:space="preserve"> engagement on behalf of the Australian Government with states and territories and the private sector on commercial and financial aspects of major infrastructure projects.</w:t>
      </w:r>
    </w:p>
    <w:p w14:paraId="047DE5E9" w14:textId="34A61E4C" w:rsidR="00071A02" w:rsidRDefault="11DB9B70" w:rsidP="00547667">
      <w:pPr>
        <w:keepLines/>
      </w:pPr>
      <w:r>
        <w:lastRenderedPageBreak/>
        <w:t xml:space="preserve">Given the focus of ICA’s responsibilities on commercial, financial and risk, the Review believes that while there is a potential for overlap between the responsibilities </w:t>
      </w:r>
      <w:r w:rsidR="610BC011">
        <w:t>o</w:t>
      </w:r>
      <w:r>
        <w:t>f I</w:t>
      </w:r>
      <w:r w:rsidR="64DD1967">
        <w:t xml:space="preserve">nfrastructure </w:t>
      </w:r>
      <w:r>
        <w:t>A</w:t>
      </w:r>
      <w:r w:rsidR="0D77FECE">
        <w:t>ustralia</w:t>
      </w:r>
      <w:r>
        <w:t xml:space="preserve"> and ICA, such overlap is minimal and would not affect either organisation’s ability to continue to carry out their responsibilities. The Review recommends that I</w:t>
      </w:r>
      <w:r w:rsidR="008E78A3">
        <w:t xml:space="preserve">nfrastructure </w:t>
      </w:r>
      <w:r>
        <w:t>A</w:t>
      </w:r>
      <w:r w:rsidR="2CA3B56F">
        <w:t>ustralia</w:t>
      </w:r>
      <w:r>
        <w:t xml:space="preserve"> and ICA investigate options for closer collaboration to provide each other mutual support in carrying out their respective roles as </w:t>
      </w:r>
      <w:r w:rsidR="3BCEB81E">
        <w:t>advisor</w:t>
      </w:r>
      <w:r>
        <w:t xml:space="preserve">s on infrastructure matters to the </w:t>
      </w:r>
      <w:r w:rsidR="14904115">
        <w:t>Australian</w:t>
      </w:r>
      <w:r>
        <w:t xml:space="preserve"> Government.</w:t>
      </w:r>
    </w:p>
    <w:p w14:paraId="6CE9D377" w14:textId="77777777" w:rsidR="00071A02" w:rsidRDefault="46E26A84" w:rsidP="00071A02">
      <w:pPr>
        <w:pStyle w:val="Heading3notshowing"/>
      </w:pPr>
      <w:bookmarkStart w:id="128" w:name="_Hlk115387570"/>
      <w:r>
        <w:t>Recommendation 15</w:t>
      </w:r>
    </w:p>
    <w:p w14:paraId="6162626E" w14:textId="2F953863" w:rsidR="00071A02" w:rsidRPr="005C57D2" w:rsidRDefault="7B8FF316" w:rsidP="4F9F5C11">
      <w:pPr>
        <w:keepNext/>
        <w:keepLines/>
        <w:pBdr>
          <w:top w:val="single" w:sz="4" w:space="1" w:color="4BB3B5"/>
          <w:left w:val="single" w:sz="4" w:space="4" w:color="4BB3B5"/>
          <w:bottom w:val="single" w:sz="4" w:space="1" w:color="4BB3B5"/>
          <w:right w:val="single" w:sz="4" w:space="4" w:color="4BB3B5"/>
        </w:pBdr>
        <w:spacing w:after="120"/>
      </w:pPr>
      <w:r>
        <w:t>The Review recommends that the Government clearly delineate the roles and responsibilities of Infrastructure Australia vis-a-vis other Commonwealth infrastructure bodies, including ICA</w:t>
      </w:r>
      <w:r w:rsidR="41EB3B59">
        <w:t xml:space="preserve"> and DITRDCA (IID and SPIDO)</w:t>
      </w:r>
      <w:r>
        <w:t xml:space="preserve">. This should include </w:t>
      </w:r>
      <w:r w:rsidR="77820EA1">
        <w:t>investigating</w:t>
      </w:r>
      <w:r w:rsidR="0D0E9A3D">
        <w:t xml:space="preserve"> options for closer collaboration to provide each other mutual support in carrying out their respective roles</w:t>
      </w:r>
      <w:r w:rsidR="45785D7A">
        <w:t>,</w:t>
      </w:r>
      <w:r w:rsidR="0D0E9A3D">
        <w:t xml:space="preserve"> as </w:t>
      </w:r>
      <w:r w:rsidR="474FB311">
        <w:t>advisor</w:t>
      </w:r>
      <w:r w:rsidR="0D0E9A3D">
        <w:t xml:space="preserve">s on infrastructure matters to the </w:t>
      </w:r>
      <w:r w:rsidR="31C0E337">
        <w:t>Australian</w:t>
      </w:r>
      <w:r w:rsidR="0D0E9A3D">
        <w:t xml:space="preserve"> Government.</w:t>
      </w:r>
    </w:p>
    <w:p w14:paraId="795CAB68" w14:textId="2336668F" w:rsidR="002179E4" w:rsidRPr="00B041CB" w:rsidRDefault="15DCF1E1" w:rsidP="007A7F83">
      <w:pPr>
        <w:pStyle w:val="Heading2"/>
      </w:pPr>
      <w:bookmarkStart w:id="129" w:name="_Administrative_Arrangements_Order"/>
      <w:bookmarkStart w:id="130" w:name="_Toc115379993"/>
      <w:bookmarkStart w:id="131" w:name="_Toc124783635"/>
      <w:bookmarkEnd w:id="128"/>
      <w:bookmarkEnd w:id="129"/>
      <w:r>
        <w:t xml:space="preserve">Administrative Arrangements Order and Ministerial </w:t>
      </w:r>
      <w:r w:rsidR="26AE0F5B">
        <w:t>r</w:t>
      </w:r>
      <w:r>
        <w:t>esponsibility for I</w:t>
      </w:r>
      <w:r w:rsidR="5D0B43DE">
        <w:t xml:space="preserve">nfrastructure </w:t>
      </w:r>
      <w:r>
        <w:t>A</w:t>
      </w:r>
      <w:r w:rsidR="3E6FCF68">
        <w:t>ustralia</w:t>
      </w:r>
      <w:bookmarkEnd w:id="130"/>
      <w:bookmarkEnd w:id="131"/>
      <w:r>
        <w:t xml:space="preserve"> </w:t>
      </w:r>
    </w:p>
    <w:p w14:paraId="7328A146" w14:textId="0CD2703B" w:rsidR="002179E4" w:rsidRDefault="15DCF1E1" w:rsidP="00CE5DE2">
      <w:pPr>
        <w:pStyle w:val="Introduction"/>
        <w:rPr>
          <w:rFonts w:eastAsia="Calibri" w:cs="Calibri"/>
          <w:lang w:val="en-US"/>
        </w:rPr>
      </w:pPr>
      <w:r>
        <w:t>Key finding: Infrastructure Australia has been sidelined by</w:t>
      </w:r>
      <w:r w:rsidR="31C0E337" w:rsidRPr="4F9F5C11">
        <w:rPr>
          <w:lang w:val="en-US"/>
        </w:rPr>
        <w:t xml:space="preserve"> </w:t>
      </w:r>
      <w:r w:rsidR="00B40AEF">
        <w:t>governmen</w:t>
      </w:r>
      <w:r w:rsidR="00B40AEF">
        <w:rPr>
          <w:lang w:val="en-US"/>
        </w:rPr>
        <w:t>ts</w:t>
      </w:r>
      <w:r>
        <w:t xml:space="preserve"> in recent times. Accordingly, its ability to inform and influence the </w:t>
      </w:r>
      <w:r w:rsidR="6C53DCC6">
        <w:t>G</w:t>
      </w:r>
      <w:r>
        <w:t>overnment on infrastructure matters has waned.</w:t>
      </w:r>
    </w:p>
    <w:p w14:paraId="78BFFB3A" w14:textId="72553F35" w:rsidR="005B7958" w:rsidRDefault="2BFA9923" w:rsidP="004729CA">
      <w:r>
        <w:t xml:space="preserve">One of the central concerns </w:t>
      </w:r>
      <w:r w:rsidRPr="4F9F5C11">
        <w:rPr>
          <w:lang w:val="en-US"/>
        </w:rPr>
        <w:t>identified</w:t>
      </w:r>
      <w:r>
        <w:t xml:space="preserve"> about I</w:t>
      </w:r>
      <w:r w:rsidR="3C3C1806">
        <w:t xml:space="preserve">nfrastructure </w:t>
      </w:r>
      <w:r>
        <w:t>A</w:t>
      </w:r>
      <w:r w:rsidR="1ECF1F84">
        <w:t>ustralia</w:t>
      </w:r>
      <w:r>
        <w:t xml:space="preserve"> is that it has been sidelined by governments in recent years. Indeed, it was that concern that prompted this Review of Infrastructure Australia.</w:t>
      </w:r>
    </w:p>
    <w:p w14:paraId="11347D04" w14:textId="5B22A6EC" w:rsidR="00CE5DE2" w:rsidRPr="00B223D5" w:rsidRDefault="04B65E7E" w:rsidP="00CE5DE2">
      <w:pPr>
        <w:pBdr>
          <w:left w:val="single" w:sz="48" w:space="22" w:color="4BB3B5"/>
        </w:pBdr>
        <w:suppressAutoHyphens/>
        <w:spacing w:before="160"/>
        <w:ind w:left="567" w:right="567"/>
      </w:pPr>
      <w:r w:rsidRPr="4F9F5C11">
        <w:rPr>
          <w:rStyle w:val="QuoteChar"/>
        </w:rPr>
        <w:t xml:space="preserve">Infrastructure Australia was created to provide expert advice to government regarding infrastructure priorities across the nation. In recent years, the organisation has been allowed to drift with partisan board appointments and a lack of clear direction. It’s clear a review has been necessary and that’s why </w:t>
      </w:r>
      <w:proofErr w:type="spellStart"/>
      <w:r w:rsidRPr="4F9F5C11">
        <w:rPr>
          <w:rStyle w:val="QuoteChar"/>
        </w:rPr>
        <w:t>Labor</w:t>
      </w:r>
      <w:proofErr w:type="spellEnd"/>
      <w:r w:rsidRPr="4F9F5C11">
        <w:rPr>
          <w:rStyle w:val="QuoteChar"/>
        </w:rPr>
        <w:t xml:space="preserve"> committed to one before the election.</w:t>
      </w:r>
      <w:r w:rsidR="00CE5DE2">
        <w:br/>
      </w:r>
      <w:r>
        <w:t>Federal Minister for Infrastructure, Transport, Regional Development and Local Government, Catherine King</w:t>
      </w:r>
    </w:p>
    <w:p w14:paraId="3C082583" w14:textId="73C9569A" w:rsidR="00071A02" w:rsidRDefault="0D0E9A3D" w:rsidP="00591CDB">
      <w:pPr>
        <w:spacing w:before="360"/>
        <w:rPr>
          <w:rFonts w:eastAsia="Calibri" w:cs="Calibri"/>
        </w:rPr>
      </w:pPr>
      <w:r>
        <w:t>Former I</w:t>
      </w:r>
      <w:r w:rsidR="4CBD2F2A">
        <w:t xml:space="preserve">nfrastructure </w:t>
      </w:r>
      <w:r>
        <w:t>A</w:t>
      </w:r>
      <w:r w:rsidR="2286942B">
        <w:t>ustralia</w:t>
      </w:r>
      <w:r>
        <w:t xml:space="preserve"> Board members identified that the standing of I</w:t>
      </w:r>
      <w:r w:rsidR="728D7B5F">
        <w:t xml:space="preserve">nfrastructure </w:t>
      </w:r>
      <w:r>
        <w:t>A</w:t>
      </w:r>
      <w:r w:rsidR="2AC24D92">
        <w:t>ustralia</w:t>
      </w:r>
      <w:r>
        <w:t xml:space="preserve"> </w:t>
      </w:r>
      <w:r w:rsidRPr="4F9F5C11">
        <w:rPr>
          <w:lang w:val="en-US"/>
        </w:rPr>
        <w:t xml:space="preserve">within government </w:t>
      </w:r>
      <w:r>
        <w:t>is strongly influenced by the attitude of the responsible Minister and the relationship between the Minister</w:t>
      </w:r>
      <w:r w:rsidR="31C0E337">
        <w:t>, the Minister’s Office</w:t>
      </w:r>
      <w:r>
        <w:t xml:space="preserve"> and the </w:t>
      </w:r>
      <w:r w:rsidR="1FECA049">
        <w:t>I</w:t>
      </w:r>
      <w:r w:rsidR="00422B9D">
        <w:t xml:space="preserve">nfrastructure </w:t>
      </w:r>
      <w:r w:rsidR="1FECA049">
        <w:t>A</w:t>
      </w:r>
      <w:r w:rsidR="00422B9D">
        <w:t>ustralia</w:t>
      </w:r>
      <w:r w:rsidR="1FECA049">
        <w:t xml:space="preserve"> </w:t>
      </w:r>
      <w:r>
        <w:t>Board.</w:t>
      </w:r>
    </w:p>
    <w:p w14:paraId="1F93DF52" w14:textId="0441C22C" w:rsidR="00071A02" w:rsidRDefault="0D0E9A3D" w:rsidP="00071A02">
      <w:r>
        <w:t xml:space="preserve">In light of the revised mandate of Infrastructure Australia as the national </w:t>
      </w:r>
      <w:r w:rsidR="474FB311">
        <w:t>advisor</w:t>
      </w:r>
      <w:r>
        <w:t xml:space="preserve"> on infrastructure, with responsibility for a future agenda that is increasingly complex, transcending jurisdictions and sectors, the </w:t>
      </w:r>
      <w:r w:rsidR="2E1A2CE9">
        <w:t>submissions received</w:t>
      </w:r>
      <w:r>
        <w:t xml:space="preserve"> support an increase to Infrastructure Australia’s influence across the portfolios. The Review believes that if Infrastructure Australia remains within the Infrastructure, Transport, Regional Development and Local Government portfolio, there is a risk that its remit will unintentionally </w:t>
      </w:r>
      <w:r w:rsidR="454E817F">
        <w:t xml:space="preserve">continue to </w:t>
      </w:r>
      <w:r>
        <w:t xml:space="preserve">be </w:t>
      </w:r>
      <w:r w:rsidR="7414821A">
        <w:t xml:space="preserve">largely </w:t>
      </w:r>
      <w:r>
        <w:t>siloed to certain sectors (e.g</w:t>
      </w:r>
      <w:r w:rsidR="71852471">
        <w:t>.</w:t>
      </w:r>
      <w:r>
        <w:t xml:space="preserve"> transport). </w:t>
      </w:r>
    </w:p>
    <w:p w14:paraId="73D14EE7" w14:textId="2CAA49D2" w:rsidR="00071A02" w:rsidRDefault="0D0E9A3D" w:rsidP="00071A02">
      <w:r>
        <w:t>The Review recommends I</w:t>
      </w:r>
      <w:r w:rsidR="25AC8E2A">
        <w:t xml:space="preserve">nfrastructure </w:t>
      </w:r>
      <w:r>
        <w:t>A</w:t>
      </w:r>
      <w:r w:rsidR="240AA388">
        <w:t>ustralia</w:t>
      </w:r>
      <w:r>
        <w:t xml:space="preserve"> be moved from the Infrastructure, Transport</w:t>
      </w:r>
      <w:r w:rsidRPr="4F9F5C11">
        <w:rPr>
          <w:lang w:val="en-US"/>
        </w:rPr>
        <w:t>,</w:t>
      </w:r>
      <w:r>
        <w:t xml:space="preserve"> Regional Development </w:t>
      </w:r>
      <w:r w:rsidRPr="4F9F5C11">
        <w:rPr>
          <w:lang w:val="en-US"/>
        </w:rPr>
        <w:t xml:space="preserve">and Local Government </w:t>
      </w:r>
      <w:r>
        <w:t xml:space="preserve">portfolio to either the </w:t>
      </w:r>
      <w:r w:rsidRPr="4F9F5C11">
        <w:rPr>
          <w:b/>
          <w:bCs/>
        </w:rPr>
        <w:t>PM&amp;C or Treasury portfolios</w:t>
      </w:r>
      <w:r>
        <w:t>. Such a move would signal the importance of I</w:t>
      </w:r>
      <w:r w:rsidR="177676A2">
        <w:t xml:space="preserve">nfrastructure </w:t>
      </w:r>
      <w:r>
        <w:t>A</w:t>
      </w:r>
      <w:r w:rsidR="450D49E9">
        <w:t>ustralia</w:t>
      </w:r>
      <w:r>
        <w:t xml:space="preserve">’s advice to </w:t>
      </w:r>
      <w:r w:rsidR="31C0E337">
        <w:t>integrated</w:t>
      </w:r>
      <w:r w:rsidR="66696469">
        <w:t xml:space="preserve"> </w:t>
      </w:r>
      <w:r>
        <w:t>government</w:t>
      </w:r>
      <w:r w:rsidR="4F2C1C25">
        <w:t xml:space="preserve"> investment</w:t>
      </w:r>
      <w:r>
        <w:t xml:space="preserve">, elevate its status as a national </w:t>
      </w:r>
      <w:r w:rsidR="474FB311">
        <w:t>advisor</w:t>
      </w:r>
      <w:r>
        <w:t xml:space="preserve"> and bolster its national role and responsibilities. </w:t>
      </w:r>
      <w:r w:rsidR="5F22450F">
        <w:t>It would enable I</w:t>
      </w:r>
      <w:r w:rsidR="3681F489">
        <w:t xml:space="preserve">nfrastructure </w:t>
      </w:r>
      <w:r w:rsidR="5F22450F">
        <w:t>A</w:t>
      </w:r>
      <w:r w:rsidR="21D870BC">
        <w:t>ustralia</w:t>
      </w:r>
      <w:r w:rsidR="5F22450F">
        <w:t xml:space="preserve"> to stand as an advisor at the centre of </w:t>
      </w:r>
      <w:r w:rsidR="31C0E337">
        <w:t>g</w:t>
      </w:r>
      <w:r w:rsidR="5F22450F">
        <w:t>overnment</w:t>
      </w:r>
      <w:r w:rsidR="625FF0AD">
        <w:t>,</w:t>
      </w:r>
      <w:r w:rsidR="5F22450F">
        <w:t xml:space="preserve"> across Commonwealth investment proposals and programs</w:t>
      </w:r>
      <w:r w:rsidR="3D87A970">
        <w:t xml:space="preserve"> including the current areas of focus</w:t>
      </w:r>
      <w:r w:rsidR="00422B9D">
        <w:t>,</w:t>
      </w:r>
      <w:r w:rsidR="3D87A970">
        <w:t xml:space="preserve"> and also Defence and other place</w:t>
      </w:r>
      <w:r w:rsidR="237878AC">
        <w:t>-</w:t>
      </w:r>
      <w:r w:rsidR="3D87A970">
        <w:t>based investment strategies.</w:t>
      </w:r>
      <w:r w:rsidR="73BF672F">
        <w:t xml:space="preserve"> The Review considers that this administrative arrangement</w:t>
      </w:r>
      <w:r w:rsidR="00422B9D">
        <w:t>,</w:t>
      </w:r>
      <w:r w:rsidR="73BF672F">
        <w:t xml:space="preserve"> along with the roles and responsibilities suggested for I</w:t>
      </w:r>
      <w:r w:rsidR="72742E18">
        <w:t xml:space="preserve">nfrastructure </w:t>
      </w:r>
      <w:r w:rsidR="73BF672F">
        <w:t>A</w:t>
      </w:r>
      <w:r w:rsidR="13C2C98D">
        <w:t>ustralia</w:t>
      </w:r>
      <w:r w:rsidR="73BF672F">
        <w:t xml:space="preserve"> in the future</w:t>
      </w:r>
      <w:r w:rsidR="00422B9D">
        <w:t>,</w:t>
      </w:r>
      <w:r w:rsidR="73BF672F">
        <w:t xml:space="preserve"> would enable it to best deal with the need for </w:t>
      </w:r>
      <w:r w:rsidR="6CFE75D6">
        <w:t>integrated</w:t>
      </w:r>
      <w:r w:rsidR="73BF672F">
        <w:t xml:space="preserve"> cro</w:t>
      </w:r>
      <w:r w:rsidR="5DE42140">
        <w:t>s</w:t>
      </w:r>
      <w:r w:rsidR="73BF672F">
        <w:t>s</w:t>
      </w:r>
      <w:r w:rsidR="653A7516">
        <w:t>-</w:t>
      </w:r>
      <w:r w:rsidR="73BF672F">
        <w:t>portfolio i</w:t>
      </w:r>
      <w:r w:rsidR="7F0044EC">
        <w:t>nvestment planning and pri</w:t>
      </w:r>
      <w:r w:rsidR="57EF8FAF">
        <w:t>oritisation</w:t>
      </w:r>
      <w:r w:rsidR="7F0044EC">
        <w:t>.</w:t>
      </w:r>
    </w:p>
    <w:p w14:paraId="06EB0045" w14:textId="4146738E" w:rsidR="00071A02" w:rsidRDefault="14FAE73D" w:rsidP="4F9F5C11">
      <w:pPr>
        <w:rPr>
          <w:i/>
          <w:iCs/>
        </w:rPr>
      </w:pPr>
      <w:r>
        <w:lastRenderedPageBreak/>
        <w:t>It</w:t>
      </w:r>
      <w:r w:rsidRPr="4F9F5C11">
        <w:rPr>
          <w:lang w:val="en-US"/>
        </w:rPr>
        <w:t xml:space="preserve"> also reinforces the perception of Infrastructure Australia as an organisation with national oversight and coordination. Such an arrangement would be similar to Infrastructure Western Australia (whose responsible minister is the Premier of Western Australia) or, Infrastructure South Australia (whose Board reports directly to the Premier of South Australia). </w:t>
      </w:r>
      <w:r>
        <w:t xml:space="preserve">The Review recommends that movement of Infrastructure Australia into a central agency be done through an </w:t>
      </w:r>
      <w:r w:rsidR="00471925">
        <w:t>Administrative Arrangements Order (</w:t>
      </w:r>
      <w:r>
        <w:t>AAO</w:t>
      </w:r>
      <w:r w:rsidR="00471925">
        <w:t>)</w:t>
      </w:r>
      <w:r>
        <w:t xml:space="preserve"> change, formally allocating executive responsibility for Infrastructure Australia to either the Prime Minister or the Treasurer. Their respective Department (PM&amp;C or Treasury) would then be responsible for administering the</w:t>
      </w:r>
      <w:r w:rsidR="30213BD6">
        <w:t xml:space="preserve"> IA Act</w:t>
      </w:r>
      <w:r w:rsidRPr="4F9F5C11">
        <w:rPr>
          <w:i/>
          <w:iCs/>
        </w:rPr>
        <w:t>.</w:t>
      </w:r>
    </w:p>
    <w:p w14:paraId="2A3A5CB1" w14:textId="078BD602" w:rsidR="00071A02" w:rsidRDefault="0D0E9A3D" w:rsidP="00071A02">
      <w:r>
        <w:t>Should the Government not support altering the ministerial responsibility for I</w:t>
      </w:r>
      <w:r w:rsidR="71F8ACD4">
        <w:t xml:space="preserve">nfrastructure </w:t>
      </w:r>
      <w:r>
        <w:t>A</w:t>
      </w:r>
      <w:r w:rsidR="5C615BD5">
        <w:t>ustralia</w:t>
      </w:r>
      <w:r>
        <w:t xml:space="preserve">, the Review strongly urges the </w:t>
      </w:r>
      <w:r w:rsidR="54B816E7">
        <w:t>G</w:t>
      </w:r>
      <w:r>
        <w:t xml:space="preserve">overnment to consider the alternative option as discussed in </w:t>
      </w:r>
      <w:hyperlink w:anchor="_An_appropriate_Board">
        <w:r w:rsidR="6CFE75D6" w:rsidRPr="4F9F5C11">
          <w:rPr>
            <w:rStyle w:val="Hyperlink"/>
          </w:rPr>
          <w:t>‘An appropriate Board and governance model’</w:t>
        </w:r>
      </w:hyperlink>
      <w:r>
        <w:t xml:space="preserve"> to include the PM&amp;C </w:t>
      </w:r>
      <w:r w:rsidR="6CFE75D6">
        <w:t xml:space="preserve">and </w:t>
      </w:r>
      <w:r>
        <w:t>Treasury Secretar</w:t>
      </w:r>
      <w:r w:rsidR="6CFE75D6">
        <w:t>ies</w:t>
      </w:r>
      <w:r>
        <w:t xml:space="preserve"> as ex officio member</w:t>
      </w:r>
      <w:r w:rsidR="6CFE75D6">
        <w:t>s</w:t>
      </w:r>
      <w:r>
        <w:t xml:space="preserve"> </w:t>
      </w:r>
      <w:r w:rsidR="6CFE75D6">
        <w:t>on the Infrastructure Australia</w:t>
      </w:r>
      <w:r>
        <w:t xml:space="preserve"> Board.</w:t>
      </w:r>
    </w:p>
    <w:p w14:paraId="56FAADC1" w14:textId="5C90F289" w:rsidR="00CB2290" w:rsidRDefault="03F05027" w:rsidP="00CB2290">
      <w:pPr>
        <w:pStyle w:val="Heading3notshowing"/>
      </w:pPr>
      <w:r>
        <w:t>Recommendation 16</w:t>
      </w:r>
    </w:p>
    <w:p w14:paraId="69E8B92D" w14:textId="5DAC7547" w:rsidR="00CB2290" w:rsidRDefault="189660C2" w:rsidP="00CB2290">
      <w:pPr>
        <w:keepNext/>
        <w:keepLines/>
        <w:pBdr>
          <w:top w:val="single" w:sz="4" w:space="1" w:color="4BB3B5"/>
          <w:left w:val="single" w:sz="4" w:space="4" w:color="4BB3B5"/>
          <w:bottom w:val="single" w:sz="4" w:space="1" w:color="4BB3B5"/>
          <w:right w:val="single" w:sz="4" w:space="4" w:color="4BB3B5"/>
        </w:pBdr>
        <w:spacing w:after="120"/>
      </w:pPr>
      <w:r>
        <w:t xml:space="preserve">The Review recommends that Infrastructure Australia be placed within either </w:t>
      </w:r>
      <w:r w:rsidR="14EB86EB">
        <w:t>PM&amp;C</w:t>
      </w:r>
      <w:r>
        <w:t xml:space="preserve"> or the Department of Treasury, through changes to the AAO.</w:t>
      </w:r>
    </w:p>
    <w:p w14:paraId="2014DB0D" w14:textId="1A9DCC37" w:rsidR="00CB2290" w:rsidRPr="005C57D2" w:rsidRDefault="21E2E44C" w:rsidP="00CB2290">
      <w:pPr>
        <w:keepNext/>
        <w:keepLines/>
        <w:pBdr>
          <w:top w:val="single" w:sz="4" w:space="1" w:color="4BB3B5"/>
          <w:left w:val="single" w:sz="4" w:space="4" w:color="4BB3B5"/>
          <w:bottom w:val="single" w:sz="4" w:space="1" w:color="4BB3B5"/>
          <w:right w:val="single" w:sz="4" w:space="4" w:color="4BB3B5"/>
        </w:pBdr>
        <w:spacing w:after="120"/>
      </w:pPr>
      <w:r>
        <w:t xml:space="preserve">Should the Government decide not to support Recommendation 16, the Review strongly urges the </w:t>
      </w:r>
      <w:r w:rsidR="3182D8C8">
        <w:t>G</w:t>
      </w:r>
      <w:r>
        <w:t xml:space="preserve">overnment to consider the option of including the Secretaries of these two central agencies on the Infrastructure Australia Board as ex officio members, as discussed in </w:t>
      </w:r>
      <w:hyperlink w:anchor="_An_appropriate_Board">
        <w:r w:rsidR="6CFE75D6" w:rsidRPr="4F9F5C11">
          <w:rPr>
            <w:rStyle w:val="Hyperlink"/>
          </w:rPr>
          <w:t>‘An appropriate Board and governance model’</w:t>
        </w:r>
      </w:hyperlink>
      <w:r>
        <w:t xml:space="preserve">. </w:t>
      </w:r>
    </w:p>
    <w:p w14:paraId="6EE81E01" w14:textId="77777777" w:rsidR="00071A02" w:rsidRDefault="00071A02" w:rsidP="00CB2290">
      <w:r>
        <w:br w:type="page"/>
      </w:r>
    </w:p>
    <w:p w14:paraId="1F2311DE" w14:textId="77777777" w:rsidR="006A2866" w:rsidRDefault="006A2866" w:rsidP="005F3C8C">
      <w:pPr>
        <w:pStyle w:val="Heading2"/>
        <w:sectPr w:rsidR="006A2866" w:rsidSect="000F7862">
          <w:headerReference w:type="default" r:id="rId33"/>
          <w:pgSz w:w="11906" w:h="16838" w:code="9"/>
          <w:pgMar w:top="1021" w:right="1021" w:bottom="1021" w:left="1021" w:header="510" w:footer="0" w:gutter="0"/>
          <w:cols w:space="708"/>
          <w:docGrid w:linePitch="360"/>
        </w:sectPr>
      </w:pPr>
      <w:bookmarkStart w:id="132" w:name="_Toc114841868"/>
    </w:p>
    <w:p w14:paraId="59D406A5" w14:textId="5D105704" w:rsidR="00071A02" w:rsidRPr="00AD7703" w:rsidRDefault="2AFB5B04" w:rsidP="005F3C8C">
      <w:pPr>
        <w:pStyle w:val="Heading2"/>
      </w:pPr>
      <w:bookmarkStart w:id="133" w:name="_Toc115379994"/>
      <w:bookmarkStart w:id="134" w:name="_Toc124783636"/>
      <w:r>
        <w:lastRenderedPageBreak/>
        <w:t>A</w:t>
      </w:r>
      <w:r w:rsidR="3BF57F06">
        <w:t xml:space="preserve"> </w:t>
      </w:r>
      <w:r w:rsidR="4033A249">
        <w:t>p</w:t>
      </w:r>
      <w:r w:rsidR="3BF57F06">
        <w:t xml:space="preserve">roposed </w:t>
      </w:r>
      <w:r w:rsidR="73C60B06">
        <w:t>i</w:t>
      </w:r>
      <w:r w:rsidR="3BF57F06">
        <w:t xml:space="preserve">mplementation </w:t>
      </w:r>
      <w:r w:rsidR="13FA36B3">
        <w:t>p</w:t>
      </w:r>
      <w:r w:rsidR="3BF57F06">
        <w:t>lan</w:t>
      </w:r>
      <w:bookmarkEnd w:id="132"/>
      <w:bookmarkEnd w:id="133"/>
      <w:bookmarkEnd w:id="134"/>
    </w:p>
    <w:p w14:paraId="360FD291" w14:textId="0C529C3E" w:rsidR="00071A02" w:rsidRPr="00AD7703" w:rsidRDefault="3BF57F06" w:rsidP="00071A02">
      <w:pPr>
        <w:pStyle w:val="Introduction"/>
        <w:spacing w:line="259" w:lineRule="auto"/>
      </w:pPr>
      <w:r>
        <w:t xml:space="preserve">Subject to </w:t>
      </w:r>
      <w:r w:rsidR="3A8B75E2">
        <w:t xml:space="preserve">the </w:t>
      </w:r>
      <w:r>
        <w:t>Government</w:t>
      </w:r>
      <w:r w:rsidR="33444A59">
        <w:t>’s</w:t>
      </w:r>
      <w:r>
        <w:t xml:space="preserve"> support of the </w:t>
      </w:r>
      <w:r w:rsidR="34B545F4">
        <w:t>r</w:t>
      </w:r>
      <w:r>
        <w:t xml:space="preserve">ecommendations in this Review, the Review proposes the following implementation plan. </w:t>
      </w:r>
    </w:p>
    <w:p w14:paraId="64190269" w14:textId="3C1BFEDB" w:rsidR="00071A02" w:rsidRDefault="69FEAD80" w:rsidP="007D68BA">
      <w:pPr>
        <w:pStyle w:val="Tablefigureheading"/>
        <w:rPr>
          <w:lang w:val="en-US"/>
        </w:rPr>
      </w:pPr>
      <w:r>
        <w:t xml:space="preserve">Table 2: </w:t>
      </w:r>
      <w:r w:rsidR="5CCF81BE">
        <w:t xml:space="preserve">a proposed implementation plan for the review recommendations </w:t>
      </w:r>
    </w:p>
    <w:tbl>
      <w:tblPr>
        <w:tblStyle w:val="DefaultTable11"/>
        <w:tblW w:w="15735" w:type="dxa"/>
        <w:tblInd w:w="-426" w:type="dxa"/>
        <w:tblLayout w:type="fixed"/>
        <w:tblLook w:val="04A0" w:firstRow="1" w:lastRow="0" w:firstColumn="1" w:lastColumn="0" w:noHBand="0" w:noVBand="1"/>
        <w:tblCaption w:val="Table 2: a proposed implementation plan for the review recommendations"/>
        <w:tblDescription w:val="Table 2: a proposed implementation plan for the review recommendations &#10;&#10;This table outlines a proposed implementation plan for the review recommendations. This table includes a summary of the recommendation, priority, implementation option and ease of implementation. "/>
      </w:tblPr>
      <w:tblGrid>
        <w:gridCol w:w="7797"/>
        <w:gridCol w:w="1418"/>
        <w:gridCol w:w="2694"/>
        <w:gridCol w:w="3826"/>
      </w:tblGrid>
      <w:tr w:rsidR="00071A02" w14:paraId="3FBF1996" w14:textId="77777777" w:rsidTr="0054766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797" w:type="dxa"/>
          </w:tcPr>
          <w:p w14:paraId="2E7E71ED" w14:textId="33B23E79" w:rsidR="00071A02" w:rsidRDefault="00071A02" w:rsidP="00CE5DE2">
            <w:r w:rsidRPr="5DF9AEF7">
              <w:rPr>
                <w:rFonts w:eastAsia="Calibri" w:cs="Calibri"/>
                <w:b w:val="0"/>
                <w:bCs/>
                <w:color w:val="FFFFFF" w:themeColor="background1"/>
              </w:rPr>
              <w:t>Recommendation</w:t>
            </w:r>
            <w:r w:rsidR="00CB2290">
              <w:rPr>
                <w:rFonts w:eastAsia="Calibri" w:cs="Calibri"/>
                <w:b w:val="0"/>
                <w:bCs/>
                <w:color w:val="FFFFFF" w:themeColor="background1"/>
              </w:rPr>
              <w:t xml:space="preserve"> </w:t>
            </w:r>
          </w:p>
        </w:tc>
        <w:tc>
          <w:tcPr>
            <w:tcW w:w="1418" w:type="dxa"/>
          </w:tcPr>
          <w:p w14:paraId="43E56DA2" w14:textId="77777777" w:rsidR="00071A02" w:rsidRDefault="00071A02" w:rsidP="00CE5DE2">
            <w:pPr>
              <w:cnfStyle w:val="100000000000" w:firstRow="1" w:lastRow="0" w:firstColumn="0" w:lastColumn="0" w:oddVBand="0" w:evenVBand="0" w:oddHBand="0" w:evenHBand="0" w:firstRowFirstColumn="0" w:firstRowLastColumn="0" w:lastRowFirstColumn="0" w:lastRowLastColumn="0"/>
            </w:pPr>
            <w:r w:rsidRPr="5DF9AEF7">
              <w:rPr>
                <w:rFonts w:eastAsia="Calibri" w:cs="Calibri"/>
                <w:b w:val="0"/>
                <w:bCs/>
                <w:color w:val="FFFFFF" w:themeColor="background1"/>
              </w:rPr>
              <w:t>Priority</w:t>
            </w:r>
          </w:p>
        </w:tc>
        <w:tc>
          <w:tcPr>
            <w:tcW w:w="2694" w:type="dxa"/>
          </w:tcPr>
          <w:p w14:paraId="53ABC634" w14:textId="77777777" w:rsidR="00071A02" w:rsidRDefault="00071A02" w:rsidP="00CE5DE2">
            <w:pPr>
              <w:cnfStyle w:val="100000000000" w:firstRow="1" w:lastRow="0" w:firstColumn="0" w:lastColumn="0" w:oddVBand="0" w:evenVBand="0" w:oddHBand="0" w:evenHBand="0" w:firstRowFirstColumn="0" w:firstRowLastColumn="0" w:lastRowFirstColumn="0" w:lastRowLastColumn="0"/>
            </w:pPr>
            <w:r w:rsidRPr="5DF9AEF7">
              <w:rPr>
                <w:rFonts w:eastAsia="Calibri" w:cs="Calibri"/>
                <w:b w:val="0"/>
                <w:bCs/>
                <w:color w:val="FFFFFF" w:themeColor="background1"/>
              </w:rPr>
              <w:t>Implementation option</w:t>
            </w:r>
          </w:p>
        </w:tc>
        <w:tc>
          <w:tcPr>
            <w:tcW w:w="3826" w:type="dxa"/>
          </w:tcPr>
          <w:p w14:paraId="7FDF975F" w14:textId="7CFAFF7E" w:rsidR="00071A02" w:rsidRDefault="46E26A84" w:rsidP="00CE5DE2">
            <w:pPr>
              <w:cnfStyle w:val="100000000000" w:firstRow="1" w:lastRow="0" w:firstColumn="0" w:lastColumn="0" w:oddVBand="0" w:evenVBand="0" w:oddHBand="0" w:evenHBand="0" w:firstRowFirstColumn="0" w:firstRowLastColumn="0" w:lastRowFirstColumn="0" w:lastRowLastColumn="0"/>
            </w:pPr>
            <w:r w:rsidRPr="4F9F5C11">
              <w:rPr>
                <w:rFonts w:eastAsia="Calibri" w:cs="Calibri"/>
                <w:b w:val="0"/>
                <w:color w:val="FFFFFF" w:themeColor="background1"/>
              </w:rPr>
              <w:t>Ease of Implementation</w:t>
            </w:r>
            <w:r w:rsidR="03F05027" w:rsidRPr="4F9F5C11">
              <w:rPr>
                <w:rFonts w:eastAsia="Calibri" w:cs="Calibri"/>
                <w:b w:val="0"/>
                <w:color w:val="FFFFFF" w:themeColor="background1"/>
              </w:rPr>
              <w:t xml:space="preserve"> </w:t>
            </w:r>
          </w:p>
        </w:tc>
      </w:tr>
      <w:tr w:rsidR="00071A02" w14:paraId="5E0DE18C" w14:textId="77777777" w:rsidTr="00547667">
        <w:trPr>
          <w:cantSplit/>
        </w:trPr>
        <w:tc>
          <w:tcPr>
            <w:cnfStyle w:val="001000000000" w:firstRow="0" w:lastRow="0" w:firstColumn="1" w:lastColumn="0" w:oddVBand="0" w:evenVBand="0" w:oddHBand="0" w:evenHBand="0" w:firstRowFirstColumn="0" w:firstRowLastColumn="0" w:lastRowFirstColumn="0" w:lastRowLastColumn="0"/>
            <w:tcW w:w="7797" w:type="dxa"/>
          </w:tcPr>
          <w:p w14:paraId="214575EC" w14:textId="635A6118" w:rsidR="00071A02" w:rsidRPr="00F44B68" w:rsidRDefault="006C072B" w:rsidP="0011275A">
            <w:pPr>
              <w:pStyle w:val="ListParagraph"/>
              <w:numPr>
                <w:ilvl w:val="0"/>
                <w:numId w:val="9"/>
              </w:numPr>
              <w:suppressAutoHyphens/>
              <w:ind w:left="313" w:hanging="284"/>
              <w:rPr>
                <w:b w:val="0"/>
                <w:bCs/>
              </w:rPr>
            </w:pPr>
            <w:r w:rsidRPr="00F44B68">
              <w:rPr>
                <w:b w:val="0"/>
              </w:rPr>
              <w:t xml:space="preserve">The Review recommends </w:t>
            </w:r>
            <w:r w:rsidRPr="00F44B68">
              <w:rPr>
                <w:b w:val="0"/>
                <w:lang w:val="en-US"/>
              </w:rPr>
              <w:t xml:space="preserve">Infrastructure Australia’s mandate be defined as ‘the Australian Government’s national advisor on national infrastructure investment planning and project </w:t>
            </w:r>
            <w:proofErr w:type="spellStart"/>
            <w:r w:rsidRPr="00F44B68">
              <w:rPr>
                <w:b w:val="0"/>
                <w:lang w:val="en-US"/>
              </w:rPr>
              <w:t>prioritisation</w:t>
            </w:r>
            <w:proofErr w:type="spellEnd"/>
            <w:r w:rsidRPr="00F44B68">
              <w:rPr>
                <w:b w:val="0"/>
                <w:lang w:val="en-US"/>
              </w:rPr>
              <w:t>’</w:t>
            </w:r>
            <w:r w:rsidRPr="00F44B68">
              <w:rPr>
                <w:b w:val="0"/>
              </w:rPr>
              <w:t xml:space="preserve">. This should include advising the Australian Government on its strategies and priorities to invest in transport, water, communications, energy, social and economic infrastructure. The Review recommends this mandate be defined in the IA Act. </w:t>
            </w:r>
          </w:p>
        </w:tc>
        <w:tc>
          <w:tcPr>
            <w:tcW w:w="1418" w:type="dxa"/>
          </w:tcPr>
          <w:p w14:paraId="00C99DD4" w14:textId="77777777" w:rsidR="00071A02" w:rsidRDefault="00071A02" w:rsidP="00CE5DE2">
            <w:pPr>
              <w:cnfStyle w:val="000000000000" w:firstRow="0" w:lastRow="0" w:firstColumn="0" w:lastColumn="0" w:oddVBand="0" w:evenVBand="0" w:oddHBand="0" w:evenHBand="0" w:firstRowFirstColumn="0" w:firstRowLastColumn="0" w:lastRowFirstColumn="0" w:lastRowLastColumn="0"/>
            </w:pPr>
            <w:r w:rsidRPr="5DF9AEF7">
              <w:rPr>
                <w:rFonts w:eastAsia="Calibri" w:cs="Calibri"/>
              </w:rPr>
              <w:t>High</w:t>
            </w:r>
          </w:p>
        </w:tc>
        <w:tc>
          <w:tcPr>
            <w:tcW w:w="2694" w:type="dxa"/>
          </w:tcPr>
          <w:p w14:paraId="51B87F3E" w14:textId="5E4191D8" w:rsidR="00071A02" w:rsidRDefault="6E8F7F96" w:rsidP="6A987B9B">
            <w:pPr>
              <w:cnfStyle w:val="000000000000" w:firstRow="0" w:lastRow="0" w:firstColumn="0" w:lastColumn="0" w:oddVBand="0" w:evenVBand="0" w:oddHBand="0" w:evenHBand="0" w:firstRowFirstColumn="0" w:firstRowLastColumn="0" w:lastRowFirstColumn="0" w:lastRowLastColumn="0"/>
              <w:rPr>
                <w:rFonts w:eastAsia="Calibri" w:cs="Calibri"/>
              </w:rPr>
            </w:pPr>
            <w:r w:rsidRPr="4F9F5C11">
              <w:rPr>
                <w:rFonts w:eastAsia="Calibri" w:cs="Calibri"/>
              </w:rPr>
              <w:t>L</w:t>
            </w:r>
            <w:r w:rsidR="6A8E000A" w:rsidRPr="4F9F5C11">
              <w:rPr>
                <w:rFonts w:eastAsia="Calibri" w:cs="Calibri"/>
              </w:rPr>
              <w:t xml:space="preserve">egislative amendment </w:t>
            </w:r>
            <w:r w:rsidR="2BAC6F71" w:rsidRPr="4F9F5C11">
              <w:rPr>
                <w:rFonts w:eastAsia="Calibri" w:cs="Calibri"/>
              </w:rPr>
              <w:t>will</w:t>
            </w:r>
            <w:r w:rsidR="6A8E000A" w:rsidRPr="4F9F5C11">
              <w:rPr>
                <w:rFonts w:eastAsia="Calibri" w:cs="Calibri"/>
              </w:rPr>
              <w:t xml:space="preserve"> provide clari</w:t>
            </w:r>
            <w:r w:rsidR="6946182A" w:rsidRPr="4F9F5C11">
              <w:rPr>
                <w:rFonts w:eastAsia="Calibri" w:cs="Calibri"/>
              </w:rPr>
              <w:t>t</w:t>
            </w:r>
            <w:r w:rsidR="6A8E000A" w:rsidRPr="4F9F5C11">
              <w:rPr>
                <w:rFonts w:eastAsia="Calibri" w:cs="Calibri"/>
              </w:rPr>
              <w:t xml:space="preserve">y and certainty </w:t>
            </w:r>
            <w:r w:rsidR="220BBE08" w:rsidRPr="4F9F5C11">
              <w:rPr>
                <w:rFonts w:eastAsia="Calibri" w:cs="Calibri"/>
              </w:rPr>
              <w:t>and support empowerment of I</w:t>
            </w:r>
            <w:r w:rsidR="3EF3CE3C" w:rsidRPr="4F9F5C11">
              <w:rPr>
                <w:rFonts w:eastAsia="Calibri" w:cs="Calibri"/>
              </w:rPr>
              <w:t xml:space="preserve">nfrastructure </w:t>
            </w:r>
            <w:r w:rsidR="220BBE08" w:rsidRPr="4F9F5C11">
              <w:rPr>
                <w:rFonts w:eastAsia="Calibri" w:cs="Calibri"/>
              </w:rPr>
              <w:t>A</w:t>
            </w:r>
            <w:r w:rsidR="2909D7B1" w:rsidRPr="4F9F5C11">
              <w:rPr>
                <w:rFonts w:eastAsia="Calibri" w:cs="Calibri"/>
              </w:rPr>
              <w:t>ustralia</w:t>
            </w:r>
            <w:r w:rsidR="220BBE08" w:rsidRPr="4F9F5C11">
              <w:rPr>
                <w:rFonts w:eastAsia="Calibri" w:cs="Calibri"/>
              </w:rPr>
              <w:t xml:space="preserve"> to carry out this mandate</w:t>
            </w:r>
            <w:r w:rsidR="00683FB8">
              <w:rPr>
                <w:rFonts w:eastAsia="Calibri" w:cs="Calibri"/>
              </w:rPr>
              <w:t>.</w:t>
            </w:r>
            <w:r w:rsidR="220BBE08" w:rsidRPr="4F9F5C11">
              <w:rPr>
                <w:rFonts w:eastAsia="Calibri" w:cs="Calibri"/>
              </w:rPr>
              <w:t xml:space="preserve"> </w:t>
            </w:r>
          </w:p>
        </w:tc>
        <w:tc>
          <w:tcPr>
            <w:tcW w:w="3826" w:type="dxa"/>
          </w:tcPr>
          <w:p w14:paraId="2DF65454" w14:textId="2EDFED72" w:rsidR="00071A02" w:rsidRDefault="488C526E" w:rsidP="6A987B9B">
            <w:pPr>
              <w:cnfStyle w:val="000000000000" w:firstRow="0" w:lastRow="0" w:firstColumn="0" w:lastColumn="0" w:oddVBand="0" w:evenVBand="0" w:oddHBand="0" w:evenHBand="0" w:firstRowFirstColumn="0" w:firstRowLastColumn="0" w:lastRowFirstColumn="0" w:lastRowLastColumn="0"/>
              <w:rPr>
                <w:rFonts w:eastAsia="Calibri" w:cs="Calibri"/>
              </w:rPr>
            </w:pPr>
            <w:r w:rsidRPr="4F9F5C11">
              <w:rPr>
                <w:rFonts w:eastAsia="Calibri" w:cs="Calibri"/>
              </w:rPr>
              <w:t>If through legislative amendment</w:t>
            </w:r>
            <w:r w:rsidR="06E72982" w:rsidRPr="4F9F5C11">
              <w:rPr>
                <w:rFonts w:eastAsia="Calibri" w:cs="Calibri"/>
              </w:rPr>
              <w:t>:</w:t>
            </w:r>
            <w:r w:rsidRPr="4F9F5C11">
              <w:rPr>
                <w:rFonts w:eastAsia="Calibri" w:cs="Calibri"/>
              </w:rPr>
              <w:t xml:space="preserve"> will require introduction of a new provision</w:t>
            </w:r>
            <w:r w:rsidR="1E5F4FA8" w:rsidRPr="4F9F5C11">
              <w:rPr>
                <w:rFonts w:eastAsia="Calibri" w:cs="Calibri"/>
              </w:rPr>
              <w:t>, likely to be included in Part 2 of</w:t>
            </w:r>
            <w:r w:rsidR="0BB43265" w:rsidRPr="4F9F5C11">
              <w:rPr>
                <w:rFonts w:eastAsia="Calibri" w:cs="Calibri"/>
              </w:rPr>
              <w:t xml:space="preserve"> the</w:t>
            </w:r>
            <w:r w:rsidR="1E5F4FA8" w:rsidRPr="4F9F5C11">
              <w:rPr>
                <w:rFonts w:eastAsia="Calibri" w:cs="Calibri"/>
                <w:i/>
                <w:iCs/>
              </w:rPr>
              <w:t xml:space="preserve"> </w:t>
            </w:r>
            <w:r w:rsidR="1E5F4FA8" w:rsidRPr="4F9F5C11">
              <w:rPr>
                <w:rFonts w:eastAsia="Calibri" w:cs="Calibri"/>
              </w:rPr>
              <w:t>IA Act</w:t>
            </w:r>
            <w:r w:rsidR="2ACD8A0E" w:rsidRPr="4F9F5C11">
              <w:rPr>
                <w:rFonts w:eastAsia="Calibri" w:cs="Calibri"/>
              </w:rPr>
              <w:t xml:space="preserve"> </w:t>
            </w:r>
            <w:r w:rsidR="497E5AAF" w:rsidRPr="4F9F5C11">
              <w:rPr>
                <w:rFonts w:eastAsia="Calibri" w:cs="Calibri"/>
              </w:rPr>
              <w:t>(functions of I</w:t>
            </w:r>
            <w:r w:rsidR="5619EFD0" w:rsidRPr="4F9F5C11">
              <w:rPr>
                <w:rFonts w:eastAsia="Calibri" w:cs="Calibri"/>
              </w:rPr>
              <w:t xml:space="preserve">nfrastructure </w:t>
            </w:r>
            <w:r w:rsidR="497E5AAF" w:rsidRPr="4F9F5C11">
              <w:rPr>
                <w:rFonts w:eastAsia="Calibri" w:cs="Calibri"/>
              </w:rPr>
              <w:t>A</w:t>
            </w:r>
            <w:r w:rsidR="55A04074" w:rsidRPr="4F9F5C11">
              <w:rPr>
                <w:rFonts w:eastAsia="Calibri" w:cs="Calibri"/>
              </w:rPr>
              <w:t>ustralia</w:t>
            </w:r>
            <w:r w:rsidR="497E5AAF" w:rsidRPr="4F9F5C11">
              <w:rPr>
                <w:rFonts w:eastAsia="Calibri" w:cs="Calibri"/>
              </w:rPr>
              <w:t>). Changes also likely</w:t>
            </w:r>
            <w:r w:rsidR="254969DE" w:rsidRPr="4F9F5C11">
              <w:rPr>
                <w:rFonts w:eastAsia="Calibri" w:cs="Calibri"/>
              </w:rPr>
              <w:t xml:space="preserve"> required</w:t>
            </w:r>
            <w:r w:rsidR="497E5AAF" w:rsidRPr="4F9F5C11">
              <w:rPr>
                <w:rFonts w:eastAsia="Calibri" w:cs="Calibri"/>
              </w:rPr>
              <w:t xml:space="preserve"> to section 6E, which outli</w:t>
            </w:r>
            <w:r w:rsidR="1D2137BB" w:rsidRPr="4F9F5C11">
              <w:rPr>
                <w:rFonts w:eastAsia="Calibri" w:cs="Calibri"/>
              </w:rPr>
              <w:t>nes functions of the Board, including ‘objectives, strategies and policies to be followed by Infrastructure Australia'</w:t>
            </w:r>
            <w:r w:rsidR="00B40AEF">
              <w:rPr>
                <w:rFonts w:eastAsia="Calibri" w:cs="Calibri"/>
              </w:rPr>
              <w:t>.</w:t>
            </w:r>
          </w:p>
        </w:tc>
      </w:tr>
      <w:tr w:rsidR="00071A02" w14:paraId="6453479B" w14:textId="77777777" w:rsidTr="0054766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797" w:type="dxa"/>
          </w:tcPr>
          <w:p w14:paraId="1800E479" w14:textId="27768C8D" w:rsidR="00A9003B" w:rsidRPr="00A9003B" w:rsidRDefault="00F44B68" w:rsidP="00591CDB">
            <w:pPr>
              <w:pStyle w:val="ListParagraph"/>
              <w:numPr>
                <w:ilvl w:val="0"/>
                <w:numId w:val="9"/>
              </w:numPr>
              <w:suppressAutoHyphens/>
              <w:spacing w:after="120"/>
              <w:ind w:left="312" w:hanging="284"/>
              <w:contextualSpacing w:val="0"/>
              <w:rPr>
                <w:b w:val="0"/>
                <w:bCs/>
              </w:rPr>
            </w:pPr>
            <w:r w:rsidRPr="00F44B68">
              <w:rPr>
                <w:b w:val="0"/>
              </w:rPr>
              <w:t>The Review recommends that to support Infrastructure Australia’s mandate, the Australian Government formally issues a Charter of Infrastructure Investment Objectives, which outlines the Government's national infrastructure investment objectives and intended performance standards. To provide long-term certainty and guidance, the Review recommends this Charter be issued on a five yearly basis ahead of the refresh of the Infrastructure Plan.</w:t>
            </w:r>
          </w:p>
          <w:p w14:paraId="55929931" w14:textId="7E0E4A09" w:rsidR="00071A02" w:rsidRPr="00F44B68" w:rsidRDefault="00F44B68" w:rsidP="00A9003B">
            <w:pPr>
              <w:pStyle w:val="ListParagraph"/>
              <w:numPr>
                <w:ilvl w:val="0"/>
                <w:numId w:val="0"/>
              </w:numPr>
              <w:suppressAutoHyphens/>
              <w:ind w:left="313"/>
              <w:rPr>
                <w:b w:val="0"/>
                <w:bCs/>
              </w:rPr>
            </w:pPr>
            <w:r w:rsidRPr="00F44B68">
              <w:rPr>
                <w:rFonts w:eastAsia="PMingLiU" w:cs="Mangal"/>
                <w:b w:val="0"/>
                <w:lang w:eastAsia="zh-TW"/>
              </w:rPr>
              <w:t>The Review recommends the requirement for this Charter be formalised in the IA Act.</w:t>
            </w:r>
          </w:p>
        </w:tc>
        <w:tc>
          <w:tcPr>
            <w:tcW w:w="1418" w:type="dxa"/>
          </w:tcPr>
          <w:p w14:paraId="740BC4C4" w14:textId="77777777" w:rsidR="00071A02" w:rsidRDefault="00071A02" w:rsidP="00CE5DE2">
            <w:pPr>
              <w:cnfStyle w:val="000000010000" w:firstRow="0" w:lastRow="0" w:firstColumn="0" w:lastColumn="0" w:oddVBand="0" w:evenVBand="0" w:oddHBand="0" w:evenHBand="1" w:firstRowFirstColumn="0" w:firstRowLastColumn="0" w:lastRowFirstColumn="0" w:lastRowLastColumn="0"/>
            </w:pPr>
            <w:r w:rsidRPr="5DF9AEF7">
              <w:rPr>
                <w:rFonts w:eastAsia="Calibri" w:cs="Calibri"/>
              </w:rPr>
              <w:t>High</w:t>
            </w:r>
          </w:p>
        </w:tc>
        <w:tc>
          <w:tcPr>
            <w:tcW w:w="2694" w:type="dxa"/>
          </w:tcPr>
          <w:p w14:paraId="1F4A2432" w14:textId="77777777" w:rsidR="00071A02" w:rsidRDefault="00A9003B" w:rsidP="00CE5DE2">
            <w:pPr>
              <w:cnfStyle w:val="000000010000" w:firstRow="0" w:lastRow="0" w:firstColumn="0" w:lastColumn="0" w:oddVBand="0" w:evenVBand="0" w:oddHBand="0" w:evenHBand="1" w:firstRowFirstColumn="0" w:firstRowLastColumn="0" w:lastRowFirstColumn="0" w:lastRowLastColumn="0"/>
              <w:rPr>
                <w:rFonts w:eastAsia="Calibri" w:cs="Calibri"/>
              </w:rPr>
            </w:pPr>
            <w:r>
              <w:rPr>
                <w:rFonts w:eastAsia="Calibri" w:cs="Calibri"/>
              </w:rPr>
              <w:t>Issue of Charter: n</w:t>
            </w:r>
            <w:r w:rsidR="3D82454B" w:rsidRPr="74354148">
              <w:rPr>
                <w:rFonts w:eastAsia="Calibri" w:cs="Calibri"/>
              </w:rPr>
              <w:t>on</w:t>
            </w:r>
            <w:r w:rsidR="58566574" w:rsidRPr="74354148">
              <w:rPr>
                <w:rFonts w:eastAsia="Calibri" w:cs="Calibri"/>
              </w:rPr>
              <w:t>-</w:t>
            </w:r>
            <w:r w:rsidR="3D82454B" w:rsidRPr="74354148">
              <w:rPr>
                <w:rFonts w:eastAsia="Calibri" w:cs="Calibri"/>
              </w:rPr>
              <w:t xml:space="preserve">legislative implementation: </w:t>
            </w:r>
            <w:r w:rsidR="5DCBC9FC" w:rsidRPr="74354148">
              <w:rPr>
                <w:rFonts w:eastAsia="Calibri" w:cs="Calibri"/>
              </w:rPr>
              <w:t xml:space="preserve">Australian </w:t>
            </w:r>
            <w:r w:rsidR="3D82454B" w:rsidRPr="74354148">
              <w:rPr>
                <w:rFonts w:eastAsia="Calibri" w:cs="Calibri"/>
              </w:rPr>
              <w:t>Government decision and drafting</w:t>
            </w:r>
            <w:r w:rsidR="00683FB8">
              <w:rPr>
                <w:rFonts w:eastAsia="Calibri" w:cs="Calibri"/>
              </w:rPr>
              <w:t>.</w:t>
            </w:r>
          </w:p>
          <w:p w14:paraId="0288767D" w14:textId="6C1F7B7E" w:rsidR="00A9003B" w:rsidRDefault="00A9003B" w:rsidP="00CE5DE2">
            <w:pPr>
              <w:cnfStyle w:val="000000010000" w:firstRow="0" w:lastRow="0" w:firstColumn="0" w:lastColumn="0" w:oddVBand="0" w:evenVBand="0" w:oddHBand="0" w:evenHBand="1" w:firstRowFirstColumn="0" w:firstRowLastColumn="0" w:lastRowFirstColumn="0" w:lastRowLastColumn="0"/>
            </w:pPr>
            <w:r>
              <w:t xml:space="preserve">Requirement for a Charter in IA Act: legislative implementation through new provision. </w:t>
            </w:r>
          </w:p>
        </w:tc>
        <w:tc>
          <w:tcPr>
            <w:tcW w:w="3826" w:type="dxa"/>
          </w:tcPr>
          <w:p w14:paraId="76D2C848" w14:textId="60872EF6" w:rsidR="00071A02" w:rsidRDefault="00A9003B" w:rsidP="6A987B9B">
            <w:pPr>
              <w:cnfStyle w:val="000000010000" w:firstRow="0" w:lastRow="0" w:firstColumn="0" w:lastColumn="0" w:oddVBand="0" w:evenVBand="0" w:oddHBand="0" w:evenHBand="1" w:firstRowFirstColumn="0" w:firstRowLastColumn="0" w:lastRowFirstColumn="0" w:lastRowLastColumn="0"/>
              <w:rPr>
                <w:rFonts w:eastAsia="Calibri" w:cs="Calibri"/>
              </w:rPr>
            </w:pPr>
            <w:r>
              <w:rPr>
                <w:rFonts w:eastAsia="Calibri" w:cs="Calibri"/>
              </w:rPr>
              <w:t>Issue of Charter: s</w:t>
            </w:r>
            <w:r w:rsidR="0BD9FC0E" w:rsidRPr="74354148">
              <w:rPr>
                <w:rFonts w:eastAsia="Calibri" w:cs="Calibri"/>
              </w:rPr>
              <w:t>ubject to Australian Government drafting timelines. Potentially quicker compared to legislative amendments</w:t>
            </w:r>
            <w:r w:rsidR="00B40AEF">
              <w:rPr>
                <w:rFonts w:eastAsia="Calibri" w:cs="Calibri"/>
              </w:rPr>
              <w:t>.</w:t>
            </w:r>
          </w:p>
          <w:p w14:paraId="48364073" w14:textId="6BE0BDC5" w:rsidR="00A9003B" w:rsidRDefault="00A9003B" w:rsidP="6A987B9B">
            <w:pPr>
              <w:cnfStyle w:val="000000010000" w:firstRow="0" w:lastRow="0" w:firstColumn="0" w:lastColumn="0" w:oddVBand="0" w:evenVBand="0" w:oddHBand="0" w:evenHBand="1" w:firstRowFirstColumn="0" w:firstRowLastColumn="0" w:lastRowFirstColumn="0" w:lastRowLastColumn="0"/>
              <w:rPr>
                <w:rFonts w:eastAsia="Calibri" w:cs="Calibri"/>
              </w:rPr>
            </w:pPr>
            <w:r>
              <w:rPr>
                <w:rFonts w:eastAsia="Calibri" w:cs="Calibri"/>
              </w:rPr>
              <w:t xml:space="preserve">Requirement for Charter: will require a new provision, likely in Part 2 of the IA Act (functions of Infrastructure Australia). </w:t>
            </w:r>
          </w:p>
        </w:tc>
      </w:tr>
      <w:tr w:rsidR="00071A02" w14:paraId="50F5A70E" w14:textId="77777777" w:rsidTr="00547667">
        <w:trPr>
          <w:cantSplit/>
        </w:trPr>
        <w:tc>
          <w:tcPr>
            <w:cnfStyle w:val="001000000000" w:firstRow="0" w:lastRow="0" w:firstColumn="1" w:lastColumn="0" w:oddVBand="0" w:evenVBand="0" w:oddHBand="0" w:evenHBand="0" w:firstRowFirstColumn="0" w:firstRowLastColumn="0" w:lastRowFirstColumn="0" w:lastRowLastColumn="0"/>
            <w:tcW w:w="7797" w:type="dxa"/>
          </w:tcPr>
          <w:p w14:paraId="69EEEF41" w14:textId="66E6B421" w:rsidR="00071A02" w:rsidRDefault="00F44B68" w:rsidP="0011275A">
            <w:pPr>
              <w:pStyle w:val="ListParagraph"/>
              <w:numPr>
                <w:ilvl w:val="0"/>
                <w:numId w:val="9"/>
              </w:numPr>
              <w:suppressAutoHyphens/>
              <w:ind w:left="313" w:hanging="284"/>
              <w:rPr>
                <w:b w:val="0"/>
              </w:rPr>
            </w:pPr>
            <w:r w:rsidRPr="00F44B68">
              <w:rPr>
                <w:b w:val="0"/>
              </w:rPr>
              <w:t xml:space="preserve">The Review recommends </w:t>
            </w:r>
            <w:r w:rsidRPr="00F44B68">
              <w:rPr>
                <w:b w:val="0"/>
                <w:lang w:val="en-US"/>
              </w:rPr>
              <w:t>that Infrastructure Australia’s existing product suite be refined to better support government infrastructure investment objectives and to inform the budget process.</w:t>
            </w:r>
          </w:p>
        </w:tc>
        <w:tc>
          <w:tcPr>
            <w:tcW w:w="1418" w:type="dxa"/>
          </w:tcPr>
          <w:p w14:paraId="0E5D8AAD" w14:textId="77777777" w:rsidR="00071A02" w:rsidRDefault="00071A02" w:rsidP="00CE5DE2">
            <w:pPr>
              <w:tabs>
                <w:tab w:val="left" w:pos="720"/>
              </w:tabs>
              <w:ind w:left="284" w:hanging="284"/>
              <w:cnfStyle w:val="000000000000" w:firstRow="0" w:lastRow="0" w:firstColumn="0" w:lastColumn="0" w:oddVBand="0" w:evenVBand="0" w:oddHBand="0" w:evenHBand="0" w:firstRowFirstColumn="0" w:firstRowLastColumn="0" w:lastRowFirstColumn="0" w:lastRowLastColumn="0"/>
              <w:rPr>
                <w:rFonts w:eastAsia="Calibri" w:cs="Calibri"/>
              </w:rPr>
            </w:pPr>
            <w:r w:rsidRPr="5DF9AEF7">
              <w:rPr>
                <w:rFonts w:eastAsia="Calibri" w:cs="Calibri"/>
              </w:rPr>
              <w:t>High</w:t>
            </w:r>
          </w:p>
        </w:tc>
        <w:tc>
          <w:tcPr>
            <w:tcW w:w="2694" w:type="dxa"/>
          </w:tcPr>
          <w:p w14:paraId="359DBE34" w14:textId="61FF2001" w:rsidR="00071A02" w:rsidRDefault="00071A02" w:rsidP="00CE5DE2">
            <w:pPr>
              <w:cnfStyle w:val="000000000000" w:firstRow="0" w:lastRow="0" w:firstColumn="0" w:lastColumn="0" w:oddVBand="0" w:evenVBand="0" w:oddHBand="0" w:evenHBand="0" w:firstRowFirstColumn="0" w:firstRowLastColumn="0" w:lastRowFirstColumn="0" w:lastRowLastColumn="0"/>
            </w:pPr>
            <w:r w:rsidRPr="5DF9AEF7">
              <w:rPr>
                <w:rFonts w:eastAsia="Calibri" w:cs="Calibri"/>
              </w:rPr>
              <w:t>Legislative amendment to current sections in IA Act which discuss product suite</w:t>
            </w:r>
            <w:r w:rsidR="00683FB8">
              <w:rPr>
                <w:rFonts w:eastAsia="Calibri" w:cs="Calibri"/>
              </w:rPr>
              <w:t>.</w:t>
            </w:r>
          </w:p>
        </w:tc>
        <w:tc>
          <w:tcPr>
            <w:tcW w:w="3826" w:type="dxa"/>
          </w:tcPr>
          <w:p w14:paraId="7F96A2EF" w14:textId="7F209BC6" w:rsidR="00071A02" w:rsidRDefault="47B5B791" w:rsidP="6A987B9B">
            <w:pPr>
              <w:cnfStyle w:val="000000000000" w:firstRow="0" w:lastRow="0" w:firstColumn="0" w:lastColumn="0" w:oddVBand="0" w:evenVBand="0" w:oddHBand="0" w:evenHBand="0" w:firstRowFirstColumn="0" w:firstRowLastColumn="0" w:lastRowFirstColumn="0" w:lastRowLastColumn="0"/>
              <w:rPr>
                <w:rFonts w:eastAsia="Calibri" w:cs="Calibri"/>
              </w:rPr>
            </w:pPr>
            <w:r w:rsidRPr="74354148">
              <w:rPr>
                <w:rFonts w:eastAsia="Calibri" w:cs="Calibri"/>
              </w:rPr>
              <w:t>Signif</w:t>
            </w:r>
            <w:r w:rsidR="591C63CB" w:rsidRPr="74354148">
              <w:rPr>
                <w:rFonts w:eastAsia="Calibri" w:cs="Calibri"/>
              </w:rPr>
              <w:t>i</w:t>
            </w:r>
            <w:r w:rsidRPr="74354148">
              <w:rPr>
                <w:rFonts w:eastAsia="Calibri" w:cs="Calibri"/>
              </w:rPr>
              <w:t>cant</w:t>
            </w:r>
            <w:r w:rsidR="71759220" w:rsidRPr="74354148">
              <w:rPr>
                <w:rFonts w:eastAsia="Calibri" w:cs="Calibri"/>
              </w:rPr>
              <w:t xml:space="preserve"> </w:t>
            </w:r>
            <w:r w:rsidR="09CD684A" w:rsidRPr="74354148">
              <w:rPr>
                <w:rFonts w:eastAsia="Calibri" w:cs="Calibri"/>
              </w:rPr>
              <w:t>a</w:t>
            </w:r>
            <w:r w:rsidR="206B295D" w:rsidRPr="74354148">
              <w:rPr>
                <w:rFonts w:eastAsia="Calibri" w:cs="Calibri"/>
              </w:rPr>
              <w:t>mendments required to Part 2 of the IA Act</w:t>
            </w:r>
            <w:r w:rsidR="54C85BAE" w:rsidRPr="74354148">
              <w:rPr>
                <w:rFonts w:eastAsia="Calibri" w:cs="Calibri"/>
                <w:i/>
                <w:iCs/>
              </w:rPr>
              <w:t xml:space="preserve">, </w:t>
            </w:r>
            <w:r w:rsidR="54C85BAE" w:rsidRPr="74354148">
              <w:rPr>
                <w:rFonts w:eastAsia="Calibri" w:cs="Calibri"/>
              </w:rPr>
              <w:t xml:space="preserve">which outlines </w:t>
            </w:r>
            <w:r w:rsidR="2A62E1F8" w:rsidRPr="74354148">
              <w:rPr>
                <w:rFonts w:eastAsia="Calibri" w:cs="Calibri"/>
              </w:rPr>
              <w:t xml:space="preserve">the </w:t>
            </w:r>
            <w:r w:rsidR="54C85BAE" w:rsidRPr="74354148">
              <w:rPr>
                <w:rFonts w:eastAsia="Calibri" w:cs="Calibri"/>
              </w:rPr>
              <w:t>core product suite of I</w:t>
            </w:r>
            <w:r w:rsidR="3D140CA6" w:rsidRPr="74354148">
              <w:rPr>
                <w:rFonts w:eastAsia="Calibri" w:cs="Calibri"/>
              </w:rPr>
              <w:t xml:space="preserve">nfrastructure </w:t>
            </w:r>
            <w:r w:rsidR="54C85BAE" w:rsidRPr="74354148">
              <w:rPr>
                <w:rFonts w:eastAsia="Calibri" w:cs="Calibri"/>
              </w:rPr>
              <w:t>A</w:t>
            </w:r>
            <w:r w:rsidR="5FED0DB0" w:rsidRPr="74354148">
              <w:rPr>
                <w:rFonts w:eastAsia="Calibri" w:cs="Calibri"/>
              </w:rPr>
              <w:t>ustralia</w:t>
            </w:r>
            <w:r w:rsidR="00B40AEF">
              <w:rPr>
                <w:rFonts w:eastAsia="Calibri" w:cs="Calibri"/>
              </w:rPr>
              <w:t>.</w:t>
            </w:r>
            <w:r w:rsidR="54C85BAE" w:rsidRPr="74354148">
              <w:rPr>
                <w:rFonts w:eastAsia="Calibri" w:cs="Calibri"/>
              </w:rPr>
              <w:t xml:space="preserve"> </w:t>
            </w:r>
          </w:p>
        </w:tc>
      </w:tr>
      <w:tr w:rsidR="00071A02" w14:paraId="2CC916F7" w14:textId="77777777" w:rsidTr="0054766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797" w:type="dxa"/>
          </w:tcPr>
          <w:p w14:paraId="7B16A437" w14:textId="037956CD" w:rsidR="00071A02" w:rsidRPr="00913511" w:rsidRDefault="00DC1A42" w:rsidP="0011275A">
            <w:pPr>
              <w:pStyle w:val="ListParagraph"/>
              <w:numPr>
                <w:ilvl w:val="0"/>
                <w:numId w:val="9"/>
              </w:numPr>
              <w:suppressAutoHyphens/>
              <w:ind w:left="313" w:hanging="284"/>
              <w:rPr>
                <w:b w:val="0"/>
              </w:rPr>
            </w:pPr>
            <w:r w:rsidRPr="00913511">
              <w:rPr>
                <w:b w:val="0"/>
                <w:lang w:val="en-US"/>
              </w:rPr>
              <w:t xml:space="preserve">The Review recommends that Infrastructure Australia also provides two new annual statements to the Australian Government to inform the annual budget process on infrastructure investment, and report on the performance outcomes being achieved from the investment program and the existing project </w:t>
            </w:r>
            <w:r w:rsidR="00123CFC" w:rsidRPr="00913511">
              <w:rPr>
                <w:b w:val="0"/>
                <w:lang w:val="en-US"/>
              </w:rPr>
              <w:t>initiatives.</w:t>
            </w:r>
            <w:r w:rsidR="00123CFC" w:rsidRPr="00913511">
              <w:rPr>
                <w:rFonts w:eastAsia="PMingLiU" w:cs="Mangal"/>
                <w:b w:val="0"/>
                <w:lang w:eastAsia="zh-TW"/>
              </w:rPr>
              <w:t xml:space="preserve"> The</w:t>
            </w:r>
            <w:r w:rsidRPr="00913511">
              <w:rPr>
                <w:rFonts w:eastAsia="PMingLiU" w:cs="Mangal"/>
                <w:b w:val="0"/>
                <w:lang w:eastAsia="zh-TW"/>
              </w:rPr>
              <w:t xml:space="preserve"> Review recommends </w:t>
            </w:r>
            <w:r w:rsidRPr="00913511">
              <w:rPr>
                <w:b w:val="0"/>
                <w:lang w:val="en-US"/>
              </w:rPr>
              <w:t xml:space="preserve">that the Government consider tabling these annual products in the interests of transparency and accountability. </w:t>
            </w:r>
          </w:p>
        </w:tc>
        <w:tc>
          <w:tcPr>
            <w:tcW w:w="1418" w:type="dxa"/>
          </w:tcPr>
          <w:p w14:paraId="2EA6D3E8" w14:textId="77777777" w:rsidR="00071A02" w:rsidRDefault="00071A02" w:rsidP="00AF3C47">
            <w:pPr>
              <w:ind w:left="284" w:hanging="284"/>
              <w:cnfStyle w:val="000000010000" w:firstRow="0" w:lastRow="0" w:firstColumn="0" w:lastColumn="0" w:oddVBand="0" w:evenVBand="0" w:oddHBand="0" w:evenHBand="1" w:firstRowFirstColumn="0" w:firstRowLastColumn="0" w:lastRowFirstColumn="0" w:lastRowLastColumn="0"/>
              <w:rPr>
                <w:rFonts w:eastAsia="Calibri" w:cs="Calibri"/>
              </w:rPr>
            </w:pPr>
            <w:r w:rsidRPr="5DF9AEF7">
              <w:rPr>
                <w:rFonts w:eastAsia="Calibri" w:cs="Calibri"/>
              </w:rPr>
              <w:t>High/Medium</w:t>
            </w:r>
          </w:p>
        </w:tc>
        <w:tc>
          <w:tcPr>
            <w:tcW w:w="2694" w:type="dxa"/>
          </w:tcPr>
          <w:p w14:paraId="511C43EC" w14:textId="39722403" w:rsidR="00071A02" w:rsidRDefault="00123CFC" w:rsidP="00CE5DE2">
            <w:pPr>
              <w:cnfStyle w:val="000000010000" w:firstRow="0" w:lastRow="0" w:firstColumn="0" w:lastColumn="0" w:oddVBand="0" w:evenVBand="0" w:oddHBand="0" w:evenHBand="1" w:firstRowFirstColumn="0" w:firstRowLastColumn="0" w:lastRowFirstColumn="0" w:lastRowLastColumn="0"/>
              <w:rPr>
                <w:rFonts w:eastAsia="Calibri" w:cs="Calibri"/>
              </w:rPr>
            </w:pPr>
            <w:r>
              <w:rPr>
                <w:rFonts w:eastAsia="Calibri" w:cs="Calibri"/>
              </w:rPr>
              <w:t xml:space="preserve">Legislative amendment or </w:t>
            </w:r>
            <w:r w:rsidR="17DACA6B" w:rsidRPr="74354148">
              <w:rPr>
                <w:rFonts w:eastAsia="Calibri" w:cs="Calibri"/>
              </w:rPr>
              <w:t>through</w:t>
            </w:r>
            <w:r w:rsidR="0740FB89" w:rsidRPr="74354148">
              <w:rPr>
                <w:rFonts w:eastAsia="Calibri" w:cs="Calibri"/>
              </w:rPr>
              <w:t xml:space="preserve"> </w:t>
            </w:r>
            <w:proofErr w:type="spellStart"/>
            <w:r>
              <w:rPr>
                <w:rFonts w:eastAsia="Calibri" w:cs="Calibri"/>
              </w:rPr>
              <w:t>SoE</w:t>
            </w:r>
            <w:proofErr w:type="spellEnd"/>
            <w:r>
              <w:rPr>
                <w:rFonts w:eastAsia="Calibri" w:cs="Calibri"/>
              </w:rPr>
              <w:t xml:space="preserve"> (if issued). </w:t>
            </w:r>
            <w:proofErr w:type="spellStart"/>
            <w:r>
              <w:rPr>
                <w:rFonts w:eastAsia="Calibri" w:cs="Calibri"/>
              </w:rPr>
              <w:t>SoE</w:t>
            </w:r>
            <w:proofErr w:type="spellEnd"/>
            <w:r>
              <w:rPr>
                <w:rFonts w:eastAsia="Calibri" w:cs="Calibri"/>
              </w:rPr>
              <w:t xml:space="preserve"> allows</w:t>
            </w:r>
            <w:r w:rsidR="17DACA6B" w:rsidRPr="74354148">
              <w:rPr>
                <w:rFonts w:eastAsia="Calibri" w:cs="Calibri"/>
              </w:rPr>
              <w:t xml:space="preserve"> flexibility about when I</w:t>
            </w:r>
            <w:r w:rsidR="4A00F4AA" w:rsidRPr="74354148">
              <w:rPr>
                <w:rFonts w:eastAsia="Calibri" w:cs="Calibri"/>
              </w:rPr>
              <w:t xml:space="preserve">nfrastructure </w:t>
            </w:r>
            <w:r w:rsidR="17DACA6B" w:rsidRPr="74354148">
              <w:rPr>
                <w:rFonts w:eastAsia="Calibri" w:cs="Calibri"/>
              </w:rPr>
              <w:t>A</w:t>
            </w:r>
            <w:r w:rsidR="7E291674" w:rsidRPr="74354148">
              <w:rPr>
                <w:rFonts w:eastAsia="Calibri" w:cs="Calibri"/>
              </w:rPr>
              <w:t>ustralia</w:t>
            </w:r>
            <w:r w:rsidR="17DACA6B" w:rsidRPr="74354148">
              <w:rPr>
                <w:rFonts w:eastAsia="Calibri" w:cs="Calibri"/>
              </w:rPr>
              <w:t xml:space="preserve"> issues these </w:t>
            </w:r>
            <w:r w:rsidR="00DC1A42">
              <w:rPr>
                <w:rFonts w:eastAsia="Calibri" w:cs="Calibri"/>
              </w:rPr>
              <w:t xml:space="preserve">products </w:t>
            </w:r>
            <w:r w:rsidR="17DACA6B" w:rsidRPr="74354148">
              <w:rPr>
                <w:rFonts w:eastAsia="Calibri" w:cs="Calibri"/>
              </w:rPr>
              <w:t>and what they discuss</w:t>
            </w:r>
            <w:r w:rsidR="00683FB8">
              <w:rPr>
                <w:rFonts w:eastAsia="Calibri" w:cs="Calibri"/>
              </w:rPr>
              <w:t>.</w:t>
            </w:r>
          </w:p>
        </w:tc>
        <w:tc>
          <w:tcPr>
            <w:tcW w:w="3826" w:type="dxa"/>
          </w:tcPr>
          <w:p w14:paraId="643FB2AC" w14:textId="77777777" w:rsidR="00071A02" w:rsidRDefault="00E533D2" w:rsidP="00CE5DE2">
            <w:pPr>
              <w:cnfStyle w:val="000000010000" w:firstRow="0" w:lastRow="0" w:firstColumn="0" w:lastColumn="0" w:oddVBand="0" w:evenVBand="0" w:oddHBand="0" w:evenHBand="1" w:firstRowFirstColumn="0" w:firstRowLastColumn="0" w:lastRowFirstColumn="0" w:lastRowLastColumn="0"/>
              <w:rPr>
                <w:rFonts w:eastAsia="Calibri" w:cs="Calibri"/>
              </w:rPr>
            </w:pPr>
            <w:r>
              <w:rPr>
                <w:rFonts w:eastAsia="Calibri" w:cs="Calibri"/>
              </w:rPr>
              <w:t>Legislative amendment: n</w:t>
            </w:r>
            <w:r w:rsidR="5D6BE534" w:rsidRPr="74354148">
              <w:rPr>
                <w:rFonts w:eastAsia="Calibri" w:cs="Calibri"/>
              </w:rPr>
              <w:t>ew provisions will be required, likely to Part 2 of the IA Act, which outlines core functions of I</w:t>
            </w:r>
            <w:r w:rsidR="58BD70D2" w:rsidRPr="74354148">
              <w:rPr>
                <w:rFonts w:eastAsia="Calibri" w:cs="Calibri"/>
              </w:rPr>
              <w:t xml:space="preserve">nfrastructure </w:t>
            </w:r>
            <w:r w:rsidR="5D6BE534" w:rsidRPr="74354148">
              <w:rPr>
                <w:rFonts w:eastAsia="Calibri" w:cs="Calibri"/>
              </w:rPr>
              <w:t>A</w:t>
            </w:r>
            <w:r w:rsidR="2ADEB2BC" w:rsidRPr="74354148">
              <w:rPr>
                <w:rFonts w:eastAsia="Calibri" w:cs="Calibri"/>
              </w:rPr>
              <w:t>ustralia</w:t>
            </w:r>
            <w:r>
              <w:rPr>
                <w:rFonts w:eastAsia="Calibri" w:cs="Calibri"/>
              </w:rPr>
              <w:t xml:space="preserve">. New provision requiring tabling of products. </w:t>
            </w:r>
          </w:p>
          <w:p w14:paraId="44668A01" w14:textId="22036841" w:rsidR="00E533D2" w:rsidRDefault="00E533D2" w:rsidP="00CE5DE2">
            <w:pPr>
              <w:cnfStyle w:val="000000010000" w:firstRow="0" w:lastRow="0" w:firstColumn="0" w:lastColumn="0" w:oddVBand="0" w:evenVBand="0" w:oddHBand="0" w:evenHBand="1" w:firstRowFirstColumn="0" w:firstRowLastColumn="0" w:lastRowFirstColumn="0" w:lastRowLastColumn="0"/>
              <w:rPr>
                <w:rFonts w:eastAsia="Calibri" w:cs="Calibri"/>
              </w:rPr>
            </w:pPr>
            <w:proofErr w:type="spellStart"/>
            <w:r>
              <w:rPr>
                <w:rFonts w:eastAsia="Calibri" w:cs="Calibri"/>
              </w:rPr>
              <w:t>SoE</w:t>
            </w:r>
            <w:proofErr w:type="spellEnd"/>
            <w:r>
              <w:rPr>
                <w:rFonts w:eastAsia="Calibri" w:cs="Calibri"/>
              </w:rPr>
              <w:t xml:space="preserve">: subject to Australian Government decision and drafting timelines. </w:t>
            </w:r>
          </w:p>
        </w:tc>
      </w:tr>
      <w:tr w:rsidR="00071A02" w14:paraId="101B9B2F" w14:textId="77777777" w:rsidTr="00547667">
        <w:trPr>
          <w:cantSplit/>
        </w:trPr>
        <w:tc>
          <w:tcPr>
            <w:cnfStyle w:val="001000000000" w:firstRow="0" w:lastRow="0" w:firstColumn="1" w:lastColumn="0" w:oddVBand="0" w:evenVBand="0" w:oddHBand="0" w:evenHBand="0" w:firstRowFirstColumn="0" w:firstRowLastColumn="0" w:lastRowFirstColumn="0" w:lastRowLastColumn="0"/>
            <w:tcW w:w="7797" w:type="dxa"/>
          </w:tcPr>
          <w:p w14:paraId="3982C9F6" w14:textId="2AF73F27" w:rsidR="00071A02" w:rsidRPr="00913511" w:rsidRDefault="00913511" w:rsidP="0011275A">
            <w:pPr>
              <w:pStyle w:val="ListParagraph"/>
              <w:numPr>
                <w:ilvl w:val="0"/>
                <w:numId w:val="9"/>
              </w:numPr>
              <w:suppressAutoHyphens/>
              <w:ind w:left="313" w:hanging="284"/>
              <w:rPr>
                <w:b w:val="0"/>
              </w:rPr>
            </w:pPr>
            <w:r w:rsidRPr="00913511">
              <w:rPr>
                <w:b w:val="0"/>
                <w:lang w:val="en-US"/>
              </w:rPr>
              <w:lastRenderedPageBreak/>
              <w:t>The Review recommends that there is a requirement within the IA Act that the Australian Government must formally, and publicly, respond to Infrastructure Australia’s advice, findings and recommendations within six months.</w:t>
            </w:r>
          </w:p>
        </w:tc>
        <w:tc>
          <w:tcPr>
            <w:tcW w:w="1418" w:type="dxa"/>
          </w:tcPr>
          <w:p w14:paraId="698AC01A" w14:textId="77777777" w:rsidR="00071A02" w:rsidRDefault="00071A02" w:rsidP="00CE5DE2">
            <w:pPr>
              <w:tabs>
                <w:tab w:val="left" w:pos="720"/>
              </w:tabs>
              <w:ind w:left="284" w:hanging="284"/>
              <w:cnfStyle w:val="000000000000" w:firstRow="0" w:lastRow="0" w:firstColumn="0" w:lastColumn="0" w:oddVBand="0" w:evenVBand="0" w:oddHBand="0" w:evenHBand="0" w:firstRowFirstColumn="0" w:firstRowLastColumn="0" w:lastRowFirstColumn="0" w:lastRowLastColumn="0"/>
              <w:rPr>
                <w:rFonts w:eastAsia="Calibri" w:cs="Calibri"/>
              </w:rPr>
            </w:pPr>
            <w:r w:rsidRPr="5DF9AEF7">
              <w:rPr>
                <w:rFonts w:eastAsia="Calibri" w:cs="Calibri"/>
              </w:rPr>
              <w:t>High</w:t>
            </w:r>
          </w:p>
        </w:tc>
        <w:tc>
          <w:tcPr>
            <w:tcW w:w="2694" w:type="dxa"/>
          </w:tcPr>
          <w:p w14:paraId="0AF88834" w14:textId="20E2B94C" w:rsidR="00071A02" w:rsidRDefault="00683FB8" w:rsidP="00CE5DE2">
            <w:pPr>
              <w:cnfStyle w:val="000000000000" w:firstRow="0" w:lastRow="0" w:firstColumn="0" w:lastColumn="0" w:oddVBand="0" w:evenVBand="0" w:oddHBand="0" w:evenHBand="0" w:firstRowFirstColumn="0" w:firstRowLastColumn="0" w:lastRowFirstColumn="0" w:lastRowLastColumn="0"/>
            </w:pPr>
            <w:r w:rsidRPr="5DF9AEF7">
              <w:rPr>
                <w:rFonts w:eastAsia="Calibri" w:cs="Calibri"/>
              </w:rPr>
              <w:t xml:space="preserve">Legislative amendment </w:t>
            </w:r>
            <w:r>
              <w:rPr>
                <w:rFonts w:eastAsia="Calibri" w:cs="Calibri"/>
              </w:rPr>
              <w:t>or new legislative provision.</w:t>
            </w:r>
          </w:p>
        </w:tc>
        <w:tc>
          <w:tcPr>
            <w:tcW w:w="3826" w:type="dxa"/>
          </w:tcPr>
          <w:p w14:paraId="7B8DF5CC" w14:textId="3FD5043E" w:rsidR="00071A02" w:rsidRDefault="3E35BC95" w:rsidP="74354148">
            <w:pPr>
              <w:cnfStyle w:val="000000000000" w:firstRow="0" w:lastRow="0" w:firstColumn="0" w:lastColumn="0" w:oddVBand="0" w:evenVBand="0" w:oddHBand="0" w:evenHBand="0" w:firstRowFirstColumn="0" w:firstRowLastColumn="0" w:lastRowFirstColumn="0" w:lastRowLastColumn="0"/>
              <w:rPr>
                <w:rFonts w:eastAsia="Calibri" w:cs="Calibri"/>
                <w:i/>
                <w:iCs/>
              </w:rPr>
            </w:pPr>
            <w:r w:rsidRPr="74354148">
              <w:rPr>
                <w:rFonts w:eastAsia="Calibri" w:cs="Calibri"/>
              </w:rPr>
              <w:t>New provision will be required, likely to Part 2 of the IA Act</w:t>
            </w:r>
            <w:r w:rsidRPr="74354148">
              <w:rPr>
                <w:rFonts w:eastAsia="Calibri" w:cs="Calibri"/>
                <w:i/>
                <w:iCs/>
              </w:rPr>
              <w:t xml:space="preserve">, </w:t>
            </w:r>
            <w:r w:rsidRPr="74354148">
              <w:rPr>
                <w:rFonts w:eastAsia="Calibri" w:cs="Calibri"/>
              </w:rPr>
              <w:t>to flow from the above changes</w:t>
            </w:r>
            <w:r w:rsidR="00B40AEF">
              <w:rPr>
                <w:rFonts w:eastAsia="Calibri" w:cs="Calibri"/>
              </w:rPr>
              <w:t>.</w:t>
            </w:r>
            <w:r w:rsidRPr="74354148">
              <w:rPr>
                <w:rFonts w:eastAsia="Calibri" w:cs="Calibri"/>
              </w:rPr>
              <w:t xml:space="preserve"> </w:t>
            </w:r>
          </w:p>
        </w:tc>
      </w:tr>
      <w:tr w:rsidR="00071A02" w14:paraId="2963873F" w14:textId="77777777" w:rsidTr="0054766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797" w:type="dxa"/>
          </w:tcPr>
          <w:p w14:paraId="0E1D0829" w14:textId="0093FAD3" w:rsidR="00071A02" w:rsidRPr="00913511" w:rsidRDefault="00913511" w:rsidP="0011275A">
            <w:pPr>
              <w:pStyle w:val="ListParagraph"/>
              <w:numPr>
                <w:ilvl w:val="0"/>
                <w:numId w:val="9"/>
              </w:numPr>
              <w:suppressAutoHyphens/>
              <w:ind w:left="313" w:hanging="284"/>
              <w:rPr>
                <w:b w:val="0"/>
              </w:rPr>
            </w:pPr>
            <w:r w:rsidRPr="00913511">
              <w:rPr>
                <w:b w:val="0"/>
              </w:rPr>
              <w:t>The Review recommends that Infrastructure Australia’s remit be expanded to include social infrastructure (where it is relevant to the infrastructure investment project, or place and precinct in question) as well as future investment challenges where Infrastructure Australia’s position as the national advisor best enables it to incorporate those challenges in its advice and analysis</w:t>
            </w:r>
            <w:r w:rsidRPr="00913511">
              <w:rPr>
                <w:b w:val="0"/>
                <w:lang w:val="en-US"/>
              </w:rPr>
              <w:t>.</w:t>
            </w:r>
          </w:p>
        </w:tc>
        <w:tc>
          <w:tcPr>
            <w:tcW w:w="1418" w:type="dxa"/>
          </w:tcPr>
          <w:p w14:paraId="0ACEB536" w14:textId="77777777" w:rsidR="00071A02" w:rsidRDefault="00071A02" w:rsidP="00CE5DE2">
            <w:pPr>
              <w:tabs>
                <w:tab w:val="left" w:pos="720"/>
              </w:tabs>
              <w:ind w:left="284" w:hanging="284"/>
              <w:cnfStyle w:val="000000010000" w:firstRow="0" w:lastRow="0" w:firstColumn="0" w:lastColumn="0" w:oddVBand="0" w:evenVBand="0" w:oddHBand="0" w:evenHBand="1" w:firstRowFirstColumn="0" w:firstRowLastColumn="0" w:lastRowFirstColumn="0" w:lastRowLastColumn="0"/>
              <w:rPr>
                <w:rFonts w:eastAsia="Calibri" w:cs="Calibri"/>
              </w:rPr>
            </w:pPr>
            <w:r w:rsidRPr="5DF9AEF7">
              <w:rPr>
                <w:rFonts w:eastAsia="Calibri" w:cs="Calibri"/>
              </w:rPr>
              <w:t>High</w:t>
            </w:r>
          </w:p>
        </w:tc>
        <w:tc>
          <w:tcPr>
            <w:tcW w:w="2694" w:type="dxa"/>
          </w:tcPr>
          <w:p w14:paraId="370A8174" w14:textId="382D30E5" w:rsidR="00071A02" w:rsidRDefault="7C93F224" w:rsidP="00CE5DE2">
            <w:pPr>
              <w:cnfStyle w:val="000000010000" w:firstRow="0" w:lastRow="0" w:firstColumn="0" w:lastColumn="0" w:oddVBand="0" w:evenVBand="0" w:oddHBand="0" w:evenHBand="1" w:firstRowFirstColumn="0" w:firstRowLastColumn="0" w:lastRowFirstColumn="0" w:lastRowLastColumn="0"/>
            </w:pPr>
            <w:r w:rsidRPr="36918AFB">
              <w:rPr>
                <w:rFonts w:eastAsia="Calibri" w:cs="Calibri"/>
              </w:rPr>
              <w:t>Legislative amended to existing provision outlining I</w:t>
            </w:r>
            <w:r w:rsidR="42213743" w:rsidRPr="36918AFB">
              <w:rPr>
                <w:rFonts w:eastAsia="Calibri" w:cs="Calibri"/>
              </w:rPr>
              <w:t xml:space="preserve">nfrastructure </w:t>
            </w:r>
            <w:r w:rsidRPr="36918AFB">
              <w:rPr>
                <w:rFonts w:eastAsia="Calibri" w:cs="Calibri"/>
              </w:rPr>
              <w:t>A</w:t>
            </w:r>
            <w:r w:rsidR="62076F86" w:rsidRPr="36918AFB">
              <w:rPr>
                <w:rFonts w:eastAsia="Calibri" w:cs="Calibri"/>
              </w:rPr>
              <w:t>ustralia</w:t>
            </w:r>
            <w:r w:rsidRPr="36918AFB">
              <w:rPr>
                <w:rFonts w:eastAsia="Calibri" w:cs="Calibri"/>
              </w:rPr>
              <w:t xml:space="preserve"> responsible sectors</w:t>
            </w:r>
            <w:r w:rsidR="00683FB8">
              <w:rPr>
                <w:rFonts w:eastAsia="Calibri" w:cs="Calibri"/>
              </w:rPr>
              <w:t>.</w:t>
            </w:r>
          </w:p>
        </w:tc>
        <w:tc>
          <w:tcPr>
            <w:tcW w:w="3826" w:type="dxa"/>
          </w:tcPr>
          <w:p w14:paraId="291518C2" w14:textId="2260F8D9" w:rsidR="00071A02" w:rsidRDefault="5B256573" w:rsidP="6A987B9B">
            <w:pPr>
              <w:cnfStyle w:val="000000010000" w:firstRow="0" w:lastRow="0" w:firstColumn="0" w:lastColumn="0" w:oddVBand="0" w:evenVBand="0" w:oddHBand="0" w:evenHBand="1" w:firstRowFirstColumn="0" w:firstRowLastColumn="0" w:lastRowFirstColumn="0" w:lastRowLastColumn="0"/>
              <w:rPr>
                <w:rFonts w:eastAsia="Calibri" w:cs="Calibri"/>
              </w:rPr>
            </w:pPr>
            <w:r w:rsidRPr="74354148">
              <w:rPr>
                <w:rFonts w:eastAsia="Calibri" w:cs="Calibri"/>
              </w:rPr>
              <w:t>Amendments</w:t>
            </w:r>
            <w:r w:rsidR="165C3A39" w:rsidRPr="74354148">
              <w:rPr>
                <w:rFonts w:eastAsia="Calibri" w:cs="Calibri"/>
              </w:rPr>
              <w:t xml:space="preserve"> </w:t>
            </w:r>
            <w:r w:rsidRPr="74354148">
              <w:rPr>
                <w:rFonts w:eastAsia="Calibri" w:cs="Calibri"/>
              </w:rPr>
              <w:t>required to Part 2</w:t>
            </w:r>
            <w:r w:rsidR="1B6FA592" w:rsidRPr="74354148">
              <w:rPr>
                <w:rFonts w:eastAsia="Calibri" w:cs="Calibri"/>
              </w:rPr>
              <w:t>, section 5</w:t>
            </w:r>
            <w:r w:rsidRPr="74354148">
              <w:rPr>
                <w:rFonts w:eastAsia="Calibri" w:cs="Calibri"/>
              </w:rPr>
              <w:t xml:space="preserve"> of the IA Act</w:t>
            </w:r>
            <w:r w:rsidR="362E6CB6" w:rsidRPr="74354148">
              <w:rPr>
                <w:rFonts w:eastAsia="Calibri" w:cs="Calibri"/>
                <w:i/>
                <w:iCs/>
              </w:rPr>
              <w:t xml:space="preserve"> </w:t>
            </w:r>
            <w:r w:rsidR="362E6CB6" w:rsidRPr="74354148">
              <w:rPr>
                <w:rFonts w:eastAsia="Calibri" w:cs="Calibri"/>
              </w:rPr>
              <w:t>and</w:t>
            </w:r>
            <w:r w:rsidR="362E6CB6" w:rsidRPr="74354148">
              <w:rPr>
                <w:rFonts w:eastAsia="Calibri" w:cs="Calibri"/>
                <w:i/>
                <w:iCs/>
              </w:rPr>
              <w:t xml:space="preserve"> s</w:t>
            </w:r>
            <w:r w:rsidR="362E6CB6" w:rsidRPr="74354148">
              <w:rPr>
                <w:rFonts w:eastAsia="Calibri" w:cs="Calibri"/>
              </w:rPr>
              <w:t>ection 3 (defines ‘national significance’ to include the four infrastructure sectors I</w:t>
            </w:r>
            <w:r w:rsidR="2EB179D4" w:rsidRPr="74354148">
              <w:rPr>
                <w:rFonts w:eastAsia="Calibri" w:cs="Calibri"/>
              </w:rPr>
              <w:t xml:space="preserve">nfrastructure </w:t>
            </w:r>
            <w:r w:rsidR="362E6CB6" w:rsidRPr="74354148">
              <w:rPr>
                <w:rFonts w:eastAsia="Calibri" w:cs="Calibri"/>
              </w:rPr>
              <w:t>A</w:t>
            </w:r>
            <w:r w:rsidR="1E2E932B" w:rsidRPr="74354148">
              <w:rPr>
                <w:rFonts w:eastAsia="Calibri" w:cs="Calibri"/>
              </w:rPr>
              <w:t>ustralia</w:t>
            </w:r>
            <w:r w:rsidR="362E6CB6" w:rsidRPr="74354148">
              <w:rPr>
                <w:rFonts w:eastAsia="Calibri" w:cs="Calibri"/>
              </w:rPr>
              <w:t xml:space="preserve"> currently has responsibility for)</w:t>
            </w:r>
            <w:r w:rsidR="0D1CCC41" w:rsidRPr="74354148">
              <w:rPr>
                <w:rFonts w:eastAsia="Calibri" w:cs="Calibri"/>
              </w:rPr>
              <w:t>.</w:t>
            </w:r>
            <w:r w:rsidR="362E6CB6" w:rsidRPr="74354148">
              <w:rPr>
                <w:rFonts w:eastAsia="Calibri" w:cs="Calibri"/>
              </w:rPr>
              <w:t xml:space="preserve"> </w:t>
            </w:r>
            <w:r w:rsidR="78DCFCF2" w:rsidRPr="74354148">
              <w:rPr>
                <w:rFonts w:eastAsia="Calibri" w:cs="Calibri"/>
              </w:rPr>
              <w:t xml:space="preserve">May require repeal and introduction of new provision </w:t>
            </w:r>
            <w:r w:rsidR="181B3C40" w:rsidRPr="74354148">
              <w:rPr>
                <w:rFonts w:eastAsia="Calibri" w:cs="Calibri"/>
              </w:rPr>
              <w:t>outlining expanded remit of Infrastructure Australia</w:t>
            </w:r>
            <w:r w:rsidR="00B40AEF">
              <w:rPr>
                <w:rFonts w:eastAsia="Calibri" w:cs="Calibri"/>
              </w:rPr>
              <w:t xml:space="preserve">. </w:t>
            </w:r>
            <w:r w:rsidR="181B3C40" w:rsidRPr="74354148">
              <w:rPr>
                <w:rFonts w:eastAsia="Calibri" w:cs="Calibri"/>
              </w:rPr>
              <w:t xml:space="preserve"> </w:t>
            </w:r>
          </w:p>
        </w:tc>
      </w:tr>
      <w:tr w:rsidR="002B6283" w14:paraId="4572E843" w14:textId="77777777" w:rsidTr="00547667">
        <w:trPr>
          <w:cantSplit/>
        </w:trPr>
        <w:tc>
          <w:tcPr>
            <w:cnfStyle w:val="001000000000" w:firstRow="0" w:lastRow="0" w:firstColumn="1" w:lastColumn="0" w:oddVBand="0" w:evenVBand="0" w:oddHBand="0" w:evenHBand="0" w:firstRowFirstColumn="0" w:firstRowLastColumn="0" w:lastRowFirstColumn="0" w:lastRowLastColumn="0"/>
            <w:tcW w:w="7797" w:type="dxa"/>
          </w:tcPr>
          <w:p w14:paraId="43884398" w14:textId="01AE9023" w:rsidR="002B6283" w:rsidRPr="00026E74" w:rsidRDefault="002B6283" w:rsidP="0011275A">
            <w:pPr>
              <w:pStyle w:val="ListParagraph"/>
              <w:numPr>
                <w:ilvl w:val="0"/>
                <w:numId w:val="9"/>
              </w:numPr>
              <w:ind w:left="313" w:hanging="284"/>
              <w:rPr>
                <w:b w:val="0"/>
              </w:rPr>
            </w:pPr>
            <w:r w:rsidRPr="00026E74">
              <w:rPr>
                <w:b w:val="0"/>
              </w:rPr>
              <w:t xml:space="preserve">The Review recommends that Infrastructure Australia develops a national planning and assessment framework, providing uniform guidelines based on best practice to support national consistency and coordination in infrastructure assessment. This work must have regard </w:t>
            </w:r>
            <w:r w:rsidRPr="00026E74">
              <w:rPr>
                <w:rFonts w:eastAsia="Calibri" w:cs="Calibri"/>
                <w:b w:val="0"/>
                <w:lang w:val="en-US"/>
              </w:rPr>
              <w:t>to and build in the broader government infrastructure objectives as outlined in the Charter and the Plan</w:t>
            </w:r>
            <w:r w:rsidRPr="00026E74">
              <w:rPr>
                <w:rFonts w:eastAsia="PMingLiU" w:cs="Mangal"/>
                <w:b w:val="0"/>
                <w:lang w:eastAsia="zh-TW"/>
              </w:rPr>
              <w:t>.</w:t>
            </w:r>
          </w:p>
        </w:tc>
        <w:tc>
          <w:tcPr>
            <w:tcW w:w="1418" w:type="dxa"/>
          </w:tcPr>
          <w:p w14:paraId="5D95FCA0" w14:textId="2C54194F" w:rsidR="002B6283" w:rsidRPr="6A987B9B" w:rsidRDefault="002B6283" w:rsidP="6A987B9B">
            <w:pPr>
              <w:tabs>
                <w:tab w:val="left" w:pos="720"/>
              </w:tabs>
              <w:ind w:left="284" w:hanging="284"/>
              <w:cnfStyle w:val="000000000000" w:firstRow="0" w:lastRow="0" w:firstColumn="0" w:lastColumn="0" w:oddVBand="0" w:evenVBand="0" w:oddHBand="0" w:evenHBand="0" w:firstRowFirstColumn="0" w:firstRowLastColumn="0" w:lastRowFirstColumn="0" w:lastRowLastColumn="0"/>
              <w:rPr>
                <w:rFonts w:eastAsia="Calibri" w:cs="Calibri"/>
              </w:rPr>
            </w:pPr>
            <w:r>
              <w:rPr>
                <w:rFonts w:eastAsia="Calibri" w:cs="Calibri"/>
              </w:rPr>
              <w:t xml:space="preserve">High </w:t>
            </w:r>
          </w:p>
        </w:tc>
        <w:tc>
          <w:tcPr>
            <w:tcW w:w="2694" w:type="dxa"/>
          </w:tcPr>
          <w:p w14:paraId="5E09813B" w14:textId="794BCDBD" w:rsidR="002B6283" w:rsidRPr="6A987B9B" w:rsidRDefault="00683FB8" w:rsidP="6A987B9B">
            <w:pPr>
              <w:cnfStyle w:val="000000000000" w:firstRow="0" w:lastRow="0" w:firstColumn="0" w:lastColumn="0" w:oddVBand="0" w:evenVBand="0" w:oddHBand="0" w:evenHBand="0" w:firstRowFirstColumn="0" w:firstRowLastColumn="0" w:lastRowFirstColumn="0" w:lastRowLastColumn="0"/>
              <w:rPr>
                <w:rFonts w:eastAsia="Calibri" w:cs="Calibri"/>
              </w:rPr>
            </w:pPr>
            <w:r w:rsidRPr="5DF9AEF7">
              <w:rPr>
                <w:rFonts w:eastAsia="Calibri" w:cs="Calibri"/>
              </w:rPr>
              <w:t xml:space="preserve">Legislative amendment </w:t>
            </w:r>
            <w:r>
              <w:rPr>
                <w:rFonts w:eastAsia="Calibri" w:cs="Calibri"/>
              </w:rPr>
              <w:t>or new legislative provision.</w:t>
            </w:r>
            <w:r w:rsidR="002B6283">
              <w:rPr>
                <w:rFonts w:eastAsia="Calibri" w:cs="Calibri"/>
              </w:rPr>
              <w:t xml:space="preserve"> </w:t>
            </w:r>
          </w:p>
        </w:tc>
        <w:tc>
          <w:tcPr>
            <w:tcW w:w="3826" w:type="dxa"/>
          </w:tcPr>
          <w:p w14:paraId="2DAF9EFC" w14:textId="17C53CEE" w:rsidR="002B6283" w:rsidRPr="74354148" w:rsidRDefault="00842545" w:rsidP="6A987B9B">
            <w:pPr>
              <w:cnfStyle w:val="000000000000" w:firstRow="0" w:lastRow="0" w:firstColumn="0" w:lastColumn="0" w:oddVBand="0" w:evenVBand="0" w:oddHBand="0" w:evenHBand="0" w:firstRowFirstColumn="0" w:firstRowLastColumn="0" w:lastRowFirstColumn="0" w:lastRowLastColumn="0"/>
              <w:rPr>
                <w:rFonts w:eastAsia="Calibri" w:cs="Calibri"/>
              </w:rPr>
            </w:pPr>
            <w:r>
              <w:rPr>
                <w:rFonts w:eastAsia="Calibri" w:cs="Calibri"/>
              </w:rPr>
              <w:t>A new provision,</w:t>
            </w:r>
            <w:r w:rsidR="002B6283" w:rsidRPr="4F9F5C11">
              <w:rPr>
                <w:rFonts w:eastAsia="Calibri" w:cs="Calibri"/>
              </w:rPr>
              <w:t xml:space="preserve"> likely to be included in Part 2 of the</w:t>
            </w:r>
            <w:r w:rsidR="002B6283" w:rsidRPr="4F9F5C11">
              <w:rPr>
                <w:rFonts w:eastAsia="Calibri" w:cs="Calibri"/>
                <w:i/>
                <w:iCs/>
              </w:rPr>
              <w:t xml:space="preserve"> </w:t>
            </w:r>
            <w:r w:rsidR="002B6283" w:rsidRPr="4F9F5C11">
              <w:rPr>
                <w:rFonts w:eastAsia="Calibri" w:cs="Calibri"/>
              </w:rPr>
              <w:t>IA Act (functions of Infrastructure Australia)</w:t>
            </w:r>
            <w:r w:rsidR="00597322">
              <w:rPr>
                <w:rFonts w:eastAsia="Calibri" w:cs="Calibri"/>
              </w:rPr>
              <w:t>.</w:t>
            </w:r>
            <w:r w:rsidR="00026E74">
              <w:rPr>
                <w:rFonts w:eastAsia="Calibri" w:cs="Calibri"/>
              </w:rPr>
              <w:t xml:space="preserve"> </w:t>
            </w:r>
          </w:p>
        </w:tc>
      </w:tr>
      <w:tr w:rsidR="00071A02" w14:paraId="6057284B" w14:textId="77777777" w:rsidTr="0054766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797" w:type="dxa"/>
          </w:tcPr>
          <w:p w14:paraId="49BB951D" w14:textId="1222DBBB" w:rsidR="00026E74" w:rsidRPr="00591CDB" w:rsidRDefault="00026E74" w:rsidP="00591CDB">
            <w:pPr>
              <w:pStyle w:val="ListParagraph"/>
              <w:numPr>
                <w:ilvl w:val="0"/>
                <w:numId w:val="9"/>
              </w:numPr>
              <w:ind w:left="312" w:hanging="284"/>
              <w:contextualSpacing w:val="0"/>
              <w:rPr>
                <w:b w:val="0"/>
              </w:rPr>
            </w:pPr>
            <w:r w:rsidRPr="00BA24B6">
              <w:rPr>
                <w:b w:val="0"/>
                <w:lang w:val="en-US"/>
              </w:rPr>
              <w:t>The Review recommends that Infrastructure Australia’s role in the project assessment context becomes one of accreditation or peer-review, acknowledging that many state and territories have developed their own project assessment capabilities. Such arrangements should apply across all projects, including those involving Commonwealth investments of over $250 million or recognised as ‘nationally significant’.</w:t>
            </w:r>
          </w:p>
          <w:p w14:paraId="29B9B9FB" w14:textId="5AA01111" w:rsidR="6A987B9B" w:rsidRPr="00BA24B6" w:rsidRDefault="00026E74" w:rsidP="00026E74">
            <w:pPr>
              <w:pStyle w:val="ListParagraph"/>
              <w:numPr>
                <w:ilvl w:val="0"/>
                <w:numId w:val="0"/>
              </w:numPr>
              <w:ind w:left="313"/>
              <w:rPr>
                <w:b w:val="0"/>
              </w:rPr>
            </w:pPr>
            <w:r w:rsidRPr="00BA24B6">
              <w:rPr>
                <w:rFonts w:eastAsia="PMingLiU" w:cs="Mangal"/>
                <w:b w:val="0"/>
                <w:lang w:eastAsia="zh-TW"/>
              </w:rPr>
              <w:t xml:space="preserve">Where </w:t>
            </w:r>
            <w:r w:rsidRPr="00BA24B6">
              <w:rPr>
                <w:rFonts w:eastAsia="Calibri" w:cs="Calibri"/>
                <w:b w:val="0"/>
                <w:lang w:val="en-US"/>
              </w:rPr>
              <w:t>a state or territory framework does not provide the necessary assurance or have not been accredited and the project involves Commonwealth investments of over $250 million or is recognised as ‘nationally significant’, Infrastructure Australia will undertake a full assessment</w:t>
            </w:r>
            <w:r w:rsidRPr="00BA24B6">
              <w:rPr>
                <w:b w:val="0"/>
                <w:lang w:val="en-US"/>
              </w:rPr>
              <w:t xml:space="preserve">. Infrastructure Australia’s assessment must be against the Charter objectives and strategies as outlined in the Plan. </w:t>
            </w:r>
          </w:p>
        </w:tc>
        <w:tc>
          <w:tcPr>
            <w:tcW w:w="1418" w:type="dxa"/>
          </w:tcPr>
          <w:p w14:paraId="04549A9A" w14:textId="77777777" w:rsidR="6A987B9B" w:rsidRDefault="6A987B9B" w:rsidP="6A987B9B">
            <w:pPr>
              <w:tabs>
                <w:tab w:val="left" w:pos="720"/>
              </w:tabs>
              <w:ind w:left="284" w:hanging="284"/>
              <w:cnfStyle w:val="000000010000" w:firstRow="0" w:lastRow="0" w:firstColumn="0" w:lastColumn="0" w:oddVBand="0" w:evenVBand="0" w:oddHBand="0" w:evenHBand="1" w:firstRowFirstColumn="0" w:firstRowLastColumn="0" w:lastRowFirstColumn="0" w:lastRowLastColumn="0"/>
              <w:rPr>
                <w:rFonts w:eastAsia="Calibri" w:cs="Calibri"/>
              </w:rPr>
            </w:pPr>
            <w:r w:rsidRPr="6A987B9B">
              <w:rPr>
                <w:rFonts w:eastAsia="Calibri" w:cs="Calibri"/>
              </w:rPr>
              <w:t>High</w:t>
            </w:r>
          </w:p>
        </w:tc>
        <w:tc>
          <w:tcPr>
            <w:tcW w:w="2694" w:type="dxa"/>
          </w:tcPr>
          <w:p w14:paraId="2A88524A" w14:textId="4BDD1896" w:rsidR="6A987B9B" w:rsidRDefault="00683FB8" w:rsidP="6A987B9B">
            <w:pPr>
              <w:cnfStyle w:val="000000010000" w:firstRow="0" w:lastRow="0" w:firstColumn="0" w:lastColumn="0" w:oddVBand="0" w:evenVBand="0" w:oddHBand="0" w:evenHBand="1" w:firstRowFirstColumn="0" w:firstRowLastColumn="0" w:lastRowFirstColumn="0" w:lastRowLastColumn="0"/>
              <w:rPr>
                <w:rFonts w:eastAsia="Calibri" w:cs="Calibri"/>
              </w:rPr>
            </w:pPr>
            <w:r w:rsidRPr="5DF9AEF7">
              <w:rPr>
                <w:rFonts w:eastAsia="Calibri" w:cs="Calibri"/>
              </w:rPr>
              <w:t xml:space="preserve">Legislative amendment </w:t>
            </w:r>
            <w:r>
              <w:rPr>
                <w:rFonts w:eastAsia="Calibri" w:cs="Calibri"/>
              </w:rPr>
              <w:t>or new legislative provision.</w:t>
            </w:r>
            <w:r w:rsidR="6A987B9B" w:rsidRPr="6A987B9B">
              <w:rPr>
                <w:rFonts w:eastAsia="Calibri" w:cs="Calibri"/>
              </w:rPr>
              <w:t xml:space="preserve"> </w:t>
            </w:r>
          </w:p>
        </w:tc>
        <w:tc>
          <w:tcPr>
            <w:tcW w:w="3826" w:type="dxa"/>
          </w:tcPr>
          <w:p w14:paraId="3A1DEFAF" w14:textId="245A2FFB" w:rsidR="00642D51" w:rsidRDefault="79661ABF" w:rsidP="6A987B9B">
            <w:pPr>
              <w:cnfStyle w:val="000000010000" w:firstRow="0" w:lastRow="0" w:firstColumn="0" w:lastColumn="0" w:oddVBand="0" w:evenVBand="0" w:oddHBand="0" w:evenHBand="1" w:firstRowFirstColumn="0" w:firstRowLastColumn="0" w:lastRowFirstColumn="0" w:lastRowLastColumn="0"/>
              <w:rPr>
                <w:rFonts w:eastAsia="Calibri" w:cs="Calibri"/>
              </w:rPr>
            </w:pPr>
            <w:r w:rsidRPr="74354148">
              <w:rPr>
                <w:rFonts w:eastAsia="Calibri" w:cs="Calibri"/>
              </w:rPr>
              <w:t>Significant amendment to section 5A</w:t>
            </w:r>
            <w:r w:rsidR="19E48551" w:rsidRPr="74354148">
              <w:rPr>
                <w:rFonts w:eastAsia="Calibri" w:cs="Calibri"/>
              </w:rPr>
              <w:t xml:space="preserve"> (evaluating infrastructure proposals)</w:t>
            </w:r>
            <w:r w:rsidRPr="74354148">
              <w:rPr>
                <w:rFonts w:eastAsia="Calibri" w:cs="Calibri"/>
              </w:rPr>
              <w:t xml:space="preserve"> and Part 2 </w:t>
            </w:r>
            <w:r w:rsidR="1D5F981A" w:rsidRPr="74354148">
              <w:rPr>
                <w:rFonts w:eastAsia="Calibri" w:cs="Calibri"/>
              </w:rPr>
              <w:t xml:space="preserve">of the IA Act, </w:t>
            </w:r>
            <w:r w:rsidRPr="74354148">
              <w:rPr>
                <w:rFonts w:eastAsia="Calibri" w:cs="Calibri"/>
              </w:rPr>
              <w:t>or a new provision outlining I</w:t>
            </w:r>
            <w:r w:rsidR="42663656" w:rsidRPr="74354148">
              <w:rPr>
                <w:rFonts w:eastAsia="Calibri" w:cs="Calibri"/>
              </w:rPr>
              <w:t xml:space="preserve">nfrastructure </w:t>
            </w:r>
            <w:r w:rsidRPr="74354148">
              <w:rPr>
                <w:rFonts w:eastAsia="Calibri" w:cs="Calibri"/>
              </w:rPr>
              <w:t>A</w:t>
            </w:r>
            <w:r w:rsidR="5023D147" w:rsidRPr="74354148">
              <w:rPr>
                <w:rFonts w:eastAsia="Calibri" w:cs="Calibri"/>
              </w:rPr>
              <w:t>ustralia</w:t>
            </w:r>
            <w:r w:rsidRPr="74354148">
              <w:rPr>
                <w:rFonts w:eastAsia="Calibri" w:cs="Calibri"/>
              </w:rPr>
              <w:t>’s revised role to focus on accreditation or peer-review of the state and territory assessment frameworks</w:t>
            </w:r>
            <w:r w:rsidR="00642D51">
              <w:rPr>
                <w:rFonts w:eastAsia="Calibri" w:cs="Calibri"/>
              </w:rPr>
              <w:t>.</w:t>
            </w:r>
          </w:p>
          <w:p w14:paraId="46F64B04" w14:textId="5DFD0357" w:rsidR="6A987B9B" w:rsidRDefault="00BA24B6" w:rsidP="6A987B9B">
            <w:pPr>
              <w:cnfStyle w:val="000000010000" w:firstRow="0" w:lastRow="0" w:firstColumn="0" w:lastColumn="0" w:oddVBand="0" w:evenVBand="0" w:oddHBand="0" w:evenHBand="1" w:firstRowFirstColumn="0" w:firstRowLastColumn="0" w:lastRowFirstColumn="0" w:lastRowLastColumn="0"/>
              <w:rPr>
                <w:rFonts w:eastAsia="Calibri" w:cs="Calibri"/>
              </w:rPr>
            </w:pPr>
            <w:r>
              <w:rPr>
                <w:rFonts w:eastAsia="Calibri" w:cs="Calibri"/>
              </w:rPr>
              <w:t>New</w:t>
            </w:r>
            <w:r w:rsidR="00642D51">
              <w:rPr>
                <w:rFonts w:eastAsia="Calibri" w:cs="Calibri"/>
              </w:rPr>
              <w:t xml:space="preserve"> provision stating where state or territory framework does not have necessary assurance or </w:t>
            </w:r>
            <w:r w:rsidR="00642D51" w:rsidRPr="00642D51">
              <w:rPr>
                <w:rFonts w:eastAsia="Calibri" w:cs="Calibri"/>
              </w:rPr>
              <w:t xml:space="preserve">has not been accredited and project involves </w:t>
            </w:r>
            <w:r w:rsidR="00642D51" w:rsidRPr="00642D51">
              <w:rPr>
                <w:rFonts w:eastAsia="Calibri" w:cs="Calibri"/>
                <w:lang w:val="en-US"/>
              </w:rPr>
              <w:t>Commonwealth investments of over $250 million or is recognised as ‘nationally significant’, Infrastructure Australia will undertake a full assessment</w:t>
            </w:r>
            <w:r w:rsidR="00642D51" w:rsidRPr="00642D51">
              <w:rPr>
                <w:lang w:val="en-US"/>
              </w:rPr>
              <w:t>.</w:t>
            </w:r>
          </w:p>
        </w:tc>
      </w:tr>
      <w:tr w:rsidR="00071A02" w14:paraId="6EC5EE4E" w14:textId="77777777" w:rsidTr="00547667">
        <w:trPr>
          <w:cantSplit/>
        </w:trPr>
        <w:tc>
          <w:tcPr>
            <w:cnfStyle w:val="001000000000" w:firstRow="0" w:lastRow="0" w:firstColumn="1" w:lastColumn="0" w:oddVBand="0" w:evenVBand="0" w:oddHBand="0" w:evenHBand="0" w:firstRowFirstColumn="0" w:firstRowLastColumn="0" w:lastRowFirstColumn="0" w:lastRowLastColumn="0"/>
            <w:tcW w:w="7797" w:type="dxa"/>
          </w:tcPr>
          <w:p w14:paraId="6C5046F5" w14:textId="10D4384A" w:rsidR="00071A02" w:rsidRPr="00813A4C" w:rsidRDefault="00BA24B6" w:rsidP="0011275A">
            <w:pPr>
              <w:pStyle w:val="ListParagraph"/>
              <w:numPr>
                <w:ilvl w:val="0"/>
                <w:numId w:val="9"/>
              </w:numPr>
              <w:suppressAutoHyphens/>
              <w:ind w:left="313" w:hanging="284"/>
              <w:rPr>
                <w:b w:val="0"/>
              </w:rPr>
            </w:pPr>
            <w:r w:rsidRPr="00813A4C">
              <w:rPr>
                <w:b w:val="0"/>
              </w:rPr>
              <w:lastRenderedPageBreak/>
              <w:t xml:space="preserve">The Review also recommends that, reflecting Infrastructure Australia’s role as the national advisor, it adopts a much more active role in the post-completion stage through having a clear national evaluation and assurance role against the Charter and Plan.  </w:t>
            </w:r>
          </w:p>
        </w:tc>
        <w:tc>
          <w:tcPr>
            <w:tcW w:w="1418" w:type="dxa"/>
          </w:tcPr>
          <w:p w14:paraId="5EBF043C" w14:textId="5D1E7714" w:rsidR="00071A02" w:rsidRDefault="62154BF9" w:rsidP="00CE5DE2">
            <w:pPr>
              <w:tabs>
                <w:tab w:val="left" w:pos="720"/>
              </w:tabs>
              <w:ind w:left="284" w:hanging="284"/>
              <w:cnfStyle w:val="000000000000" w:firstRow="0" w:lastRow="0" w:firstColumn="0" w:lastColumn="0" w:oddVBand="0" w:evenVBand="0" w:oddHBand="0" w:evenHBand="0" w:firstRowFirstColumn="0" w:firstRowLastColumn="0" w:lastRowFirstColumn="0" w:lastRowLastColumn="0"/>
              <w:rPr>
                <w:rFonts w:eastAsia="Calibri" w:cs="Calibri"/>
              </w:rPr>
            </w:pPr>
            <w:r w:rsidRPr="6A987B9B">
              <w:rPr>
                <w:rFonts w:eastAsia="Calibri" w:cs="Calibri"/>
              </w:rPr>
              <w:t xml:space="preserve">High </w:t>
            </w:r>
          </w:p>
        </w:tc>
        <w:tc>
          <w:tcPr>
            <w:tcW w:w="2694" w:type="dxa"/>
          </w:tcPr>
          <w:p w14:paraId="61126CE7" w14:textId="362B3387" w:rsidR="00071A02" w:rsidRDefault="00683FB8" w:rsidP="007D68BA">
            <w:pPr>
              <w:spacing w:after="0"/>
              <w:cnfStyle w:val="000000000000" w:firstRow="0" w:lastRow="0" w:firstColumn="0" w:lastColumn="0" w:oddVBand="0" w:evenVBand="0" w:oddHBand="0" w:evenHBand="0" w:firstRowFirstColumn="0" w:firstRowLastColumn="0" w:lastRowFirstColumn="0" w:lastRowLastColumn="0"/>
              <w:rPr>
                <w:rFonts w:eastAsia="Calibri" w:cs="Calibri"/>
              </w:rPr>
            </w:pPr>
            <w:r w:rsidRPr="5DF9AEF7">
              <w:rPr>
                <w:rFonts w:eastAsia="Calibri" w:cs="Calibri"/>
              </w:rPr>
              <w:t xml:space="preserve">Legislative amendment </w:t>
            </w:r>
            <w:r>
              <w:rPr>
                <w:rFonts w:eastAsia="Calibri" w:cs="Calibri"/>
              </w:rPr>
              <w:t>or new legislative provision.</w:t>
            </w:r>
            <w:r w:rsidR="050D33B9" w:rsidRPr="6A987B9B">
              <w:rPr>
                <w:rFonts w:eastAsia="Calibri" w:cs="Calibri"/>
              </w:rPr>
              <w:t xml:space="preserve"> </w:t>
            </w:r>
          </w:p>
        </w:tc>
        <w:tc>
          <w:tcPr>
            <w:tcW w:w="3826" w:type="dxa"/>
          </w:tcPr>
          <w:p w14:paraId="494A5A72" w14:textId="3F3BD030" w:rsidR="00071A02" w:rsidRDefault="0FBCC756" w:rsidP="6A987B9B">
            <w:pPr>
              <w:spacing w:after="0"/>
              <w:cnfStyle w:val="000000000000" w:firstRow="0" w:lastRow="0" w:firstColumn="0" w:lastColumn="0" w:oddVBand="0" w:evenVBand="0" w:oddHBand="0" w:evenHBand="0" w:firstRowFirstColumn="0" w:firstRowLastColumn="0" w:lastRowFirstColumn="0" w:lastRowLastColumn="0"/>
              <w:rPr>
                <w:rFonts w:eastAsia="Calibri" w:cs="Calibri"/>
              </w:rPr>
            </w:pPr>
            <w:r w:rsidRPr="74354148">
              <w:rPr>
                <w:rFonts w:eastAsia="Calibri" w:cs="Calibri"/>
              </w:rPr>
              <w:t xml:space="preserve">New legislative provision requiring a more active role of Infrastructure Australia in post completion reviews with reference to the Charter and the </w:t>
            </w:r>
            <w:r w:rsidR="02078DEB" w:rsidRPr="74354148">
              <w:rPr>
                <w:rFonts w:eastAsia="Calibri" w:cs="Calibri"/>
              </w:rPr>
              <w:t>I</w:t>
            </w:r>
            <w:r w:rsidRPr="74354148">
              <w:rPr>
                <w:rFonts w:eastAsia="Calibri" w:cs="Calibri"/>
              </w:rPr>
              <w:t>P</w:t>
            </w:r>
            <w:r w:rsidR="5B5FBAB8" w:rsidRPr="74354148">
              <w:rPr>
                <w:rFonts w:eastAsia="Calibri" w:cs="Calibri"/>
              </w:rPr>
              <w:t>L</w:t>
            </w:r>
            <w:r w:rsidR="00B40AEF">
              <w:rPr>
                <w:rFonts w:eastAsia="Calibri" w:cs="Calibri"/>
              </w:rPr>
              <w:t xml:space="preserve">. </w:t>
            </w:r>
          </w:p>
          <w:p w14:paraId="1AE8C478" w14:textId="13253DD5" w:rsidR="00071A02" w:rsidRDefault="00071A02" w:rsidP="6A987B9B">
            <w:pPr>
              <w:spacing w:after="0"/>
              <w:cnfStyle w:val="000000000000" w:firstRow="0" w:lastRow="0" w:firstColumn="0" w:lastColumn="0" w:oddVBand="0" w:evenVBand="0" w:oddHBand="0" w:evenHBand="0" w:firstRowFirstColumn="0" w:firstRowLastColumn="0" w:lastRowFirstColumn="0" w:lastRowLastColumn="0"/>
              <w:rPr>
                <w:rFonts w:eastAsia="Calibri" w:cs="Calibri"/>
              </w:rPr>
            </w:pPr>
          </w:p>
        </w:tc>
      </w:tr>
      <w:tr w:rsidR="6A987B9B" w14:paraId="4D8325BB" w14:textId="77777777" w:rsidTr="0054766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797" w:type="dxa"/>
          </w:tcPr>
          <w:p w14:paraId="606D869B" w14:textId="32B02A61" w:rsidR="6A987B9B" w:rsidRPr="00813A4C" w:rsidRDefault="00813A4C" w:rsidP="0011275A">
            <w:pPr>
              <w:pStyle w:val="ListParagraph"/>
              <w:numPr>
                <w:ilvl w:val="0"/>
                <w:numId w:val="9"/>
              </w:numPr>
              <w:ind w:left="313" w:hanging="284"/>
              <w:rPr>
                <w:b w:val="0"/>
              </w:rPr>
            </w:pPr>
            <w:r w:rsidRPr="00813A4C">
              <w:rPr>
                <w:b w:val="0"/>
              </w:rPr>
              <w:t xml:space="preserve">The Review recommends the formation of an I-bodies council to enable better collaboration and coordination between Infrastructure Australia and state and territories. This formation could be formalised in the IA Act or be made a sub-committee of the Board (see also </w:t>
            </w:r>
            <w:hyperlink w:anchor="_An_appropriate_Board">
              <w:r w:rsidRPr="00813A4C">
                <w:rPr>
                  <w:rStyle w:val="Hyperlink"/>
                  <w:b w:val="0"/>
                </w:rPr>
                <w:t>‘An appropriate Board and governance model’</w:t>
              </w:r>
            </w:hyperlink>
            <w:r w:rsidRPr="00813A4C">
              <w:rPr>
                <w:b w:val="0"/>
              </w:rPr>
              <w:t>)</w:t>
            </w:r>
            <w:r w:rsidRPr="00813A4C">
              <w:rPr>
                <w:b w:val="0"/>
                <w:lang w:val="en-US"/>
              </w:rPr>
              <w:t>.</w:t>
            </w:r>
          </w:p>
        </w:tc>
        <w:tc>
          <w:tcPr>
            <w:tcW w:w="1418" w:type="dxa"/>
          </w:tcPr>
          <w:p w14:paraId="651206DD" w14:textId="77777777" w:rsidR="6A987B9B" w:rsidRDefault="6A987B9B" w:rsidP="6A987B9B">
            <w:pPr>
              <w:tabs>
                <w:tab w:val="left" w:pos="720"/>
              </w:tabs>
              <w:ind w:left="284" w:hanging="284"/>
              <w:cnfStyle w:val="000000010000" w:firstRow="0" w:lastRow="0" w:firstColumn="0" w:lastColumn="0" w:oddVBand="0" w:evenVBand="0" w:oddHBand="0" w:evenHBand="1" w:firstRowFirstColumn="0" w:firstRowLastColumn="0" w:lastRowFirstColumn="0" w:lastRowLastColumn="0"/>
              <w:rPr>
                <w:rFonts w:eastAsia="Calibri" w:cs="Calibri"/>
              </w:rPr>
            </w:pPr>
            <w:r w:rsidRPr="6A987B9B">
              <w:rPr>
                <w:rFonts w:eastAsia="Calibri" w:cs="Calibri"/>
              </w:rPr>
              <w:t>Medium</w:t>
            </w:r>
          </w:p>
        </w:tc>
        <w:tc>
          <w:tcPr>
            <w:tcW w:w="2694" w:type="dxa"/>
          </w:tcPr>
          <w:p w14:paraId="72E025D2" w14:textId="14417469" w:rsidR="6A987B9B" w:rsidRDefault="79661ABF" w:rsidP="6A987B9B">
            <w:pPr>
              <w:cnfStyle w:val="000000010000" w:firstRow="0" w:lastRow="0" w:firstColumn="0" w:lastColumn="0" w:oddVBand="0" w:evenVBand="0" w:oddHBand="0" w:evenHBand="1" w:firstRowFirstColumn="0" w:firstRowLastColumn="0" w:lastRowFirstColumn="0" w:lastRowLastColumn="0"/>
              <w:rPr>
                <w:rFonts w:eastAsia="Calibri" w:cs="Calibri"/>
              </w:rPr>
            </w:pPr>
            <w:r w:rsidRPr="74354148">
              <w:rPr>
                <w:rFonts w:eastAsia="Calibri" w:cs="Calibri"/>
              </w:rPr>
              <w:t>Could be done through an intergovernmental agreement and established by the Minister and the Infrastructure Ministerial Council</w:t>
            </w:r>
            <w:r w:rsidR="00683FB8">
              <w:rPr>
                <w:rFonts w:eastAsia="Calibri" w:cs="Calibri"/>
              </w:rPr>
              <w:t>.</w:t>
            </w:r>
          </w:p>
        </w:tc>
        <w:tc>
          <w:tcPr>
            <w:tcW w:w="3826" w:type="dxa"/>
          </w:tcPr>
          <w:p w14:paraId="67C1D75E" w14:textId="2AFA0AF4" w:rsidR="6A987B9B" w:rsidRDefault="79661ABF" w:rsidP="6A987B9B">
            <w:pPr>
              <w:cnfStyle w:val="000000010000" w:firstRow="0" w:lastRow="0" w:firstColumn="0" w:lastColumn="0" w:oddVBand="0" w:evenVBand="0" w:oddHBand="0" w:evenHBand="1" w:firstRowFirstColumn="0" w:firstRowLastColumn="0" w:lastRowFirstColumn="0" w:lastRowLastColumn="0"/>
              <w:rPr>
                <w:rFonts w:eastAsia="Calibri" w:cs="Calibri"/>
              </w:rPr>
            </w:pPr>
            <w:r w:rsidRPr="74354148">
              <w:rPr>
                <w:rFonts w:eastAsia="Calibri" w:cs="Calibri"/>
              </w:rPr>
              <w:t xml:space="preserve">Subject to inter-jurisdictional negotiations and drafting and Minister’s decisions and timelines.  </w:t>
            </w:r>
          </w:p>
        </w:tc>
      </w:tr>
      <w:tr w:rsidR="00071A02" w14:paraId="117798A3" w14:textId="77777777" w:rsidTr="00547667">
        <w:trPr>
          <w:cantSplit/>
        </w:trPr>
        <w:tc>
          <w:tcPr>
            <w:cnfStyle w:val="001000000000" w:firstRow="0" w:lastRow="0" w:firstColumn="1" w:lastColumn="0" w:oddVBand="0" w:evenVBand="0" w:oddHBand="0" w:evenHBand="0" w:firstRowFirstColumn="0" w:firstRowLastColumn="0" w:lastRowFirstColumn="0" w:lastRowLastColumn="0"/>
            <w:tcW w:w="7797" w:type="dxa"/>
          </w:tcPr>
          <w:p w14:paraId="3A5427D0" w14:textId="7592A5CF" w:rsidR="00071A02" w:rsidRPr="00813A4C" w:rsidRDefault="00813A4C" w:rsidP="0011275A">
            <w:pPr>
              <w:pStyle w:val="ListParagraph"/>
              <w:numPr>
                <w:ilvl w:val="0"/>
                <w:numId w:val="9"/>
              </w:numPr>
              <w:suppressAutoHyphens/>
              <w:ind w:left="313" w:hanging="284"/>
              <w:rPr>
                <w:b w:val="0"/>
                <w:bCs/>
              </w:rPr>
            </w:pPr>
            <w:r w:rsidRPr="00813A4C">
              <w:rPr>
                <w:b w:val="0"/>
              </w:rPr>
              <w:t xml:space="preserve">The Review recommends the definition of ‘national significance’, in the context of project assessment, is revised to include both the $250 million monetary threshold figure as well as a list of non-monetary metrics, including factors as outlined in the five yearly Charter and/or a supplementary </w:t>
            </w:r>
            <w:proofErr w:type="spellStart"/>
            <w:r w:rsidRPr="00813A4C">
              <w:rPr>
                <w:b w:val="0"/>
              </w:rPr>
              <w:t>SoE</w:t>
            </w:r>
            <w:proofErr w:type="spellEnd"/>
            <w:r w:rsidRPr="00813A4C">
              <w:rPr>
                <w:b w:val="0"/>
                <w:lang w:val="en-US"/>
              </w:rPr>
              <w:t>.</w:t>
            </w:r>
            <w:r w:rsidR="48461F65" w:rsidRPr="00813A4C">
              <w:rPr>
                <w:b w:val="0"/>
              </w:rPr>
              <w:t xml:space="preserve"> </w:t>
            </w:r>
          </w:p>
        </w:tc>
        <w:tc>
          <w:tcPr>
            <w:tcW w:w="1418" w:type="dxa"/>
          </w:tcPr>
          <w:p w14:paraId="49882B9B" w14:textId="77777777" w:rsidR="00071A02" w:rsidRDefault="00071A02" w:rsidP="00CE5DE2">
            <w:pPr>
              <w:tabs>
                <w:tab w:val="left" w:pos="720"/>
              </w:tabs>
              <w:ind w:left="284" w:hanging="284"/>
              <w:cnfStyle w:val="000000000000" w:firstRow="0" w:lastRow="0" w:firstColumn="0" w:lastColumn="0" w:oddVBand="0" w:evenVBand="0" w:oddHBand="0" w:evenHBand="0" w:firstRowFirstColumn="0" w:firstRowLastColumn="0" w:lastRowFirstColumn="0" w:lastRowLastColumn="0"/>
              <w:rPr>
                <w:rFonts w:eastAsia="Calibri" w:cs="Calibri"/>
              </w:rPr>
            </w:pPr>
            <w:r w:rsidRPr="5DF9AEF7">
              <w:rPr>
                <w:rFonts w:eastAsia="Calibri" w:cs="Calibri"/>
              </w:rPr>
              <w:t>High</w:t>
            </w:r>
          </w:p>
        </w:tc>
        <w:tc>
          <w:tcPr>
            <w:tcW w:w="2694" w:type="dxa"/>
          </w:tcPr>
          <w:p w14:paraId="07FDB95F" w14:textId="50C1AE49" w:rsidR="00071A02" w:rsidRDefault="00071A02" w:rsidP="00CE5DE2">
            <w:pPr>
              <w:cnfStyle w:val="000000000000" w:firstRow="0" w:lastRow="0" w:firstColumn="0" w:lastColumn="0" w:oddVBand="0" w:evenVBand="0" w:oddHBand="0" w:evenHBand="0" w:firstRowFirstColumn="0" w:firstRowLastColumn="0" w:lastRowFirstColumn="0" w:lastRowLastColumn="0"/>
            </w:pPr>
            <w:r w:rsidRPr="5DF9AEF7">
              <w:rPr>
                <w:rFonts w:eastAsia="Calibri" w:cs="Calibri"/>
              </w:rPr>
              <w:t xml:space="preserve">Legislative amendment </w:t>
            </w:r>
            <w:r w:rsidR="00813A4C">
              <w:rPr>
                <w:rFonts w:eastAsia="Calibri" w:cs="Calibri"/>
              </w:rPr>
              <w:t>or new legislative provision</w:t>
            </w:r>
            <w:r w:rsidR="00683FB8">
              <w:rPr>
                <w:rFonts w:eastAsia="Calibri" w:cs="Calibri"/>
              </w:rPr>
              <w:t>.</w:t>
            </w:r>
            <w:r w:rsidR="00813A4C">
              <w:rPr>
                <w:rFonts w:eastAsia="Calibri" w:cs="Calibri"/>
              </w:rPr>
              <w:t xml:space="preserve"> </w:t>
            </w:r>
          </w:p>
        </w:tc>
        <w:tc>
          <w:tcPr>
            <w:tcW w:w="3826" w:type="dxa"/>
          </w:tcPr>
          <w:p w14:paraId="2BBD1FBE" w14:textId="633C9DA1" w:rsidR="00071A02" w:rsidRDefault="00813A4C" w:rsidP="6A987B9B">
            <w:pPr>
              <w:cnfStyle w:val="000000000000" w:firstRow="0" w:lastRow="0" w:firstColumn="0" w:lastColumn="0" w:oddVBand="0" w:evenVBand="0" w:oddHBand="0" w:evenHBand="0" w:firstRowFirstColumn="0" w:firstRowLastColumn="0" w:lastRowFirstColumn="0" w:lastRowLastColumn="0"/>
              <w:rPr>
                <w:rFonts w:eastAsia="Calibri" w:cs="Calibri"/>
              </w:rPr>
            </w:pPr>
            <w:r>
              <w:rPr>
                <w:rFonts w:eastAsia="Calibri" w:cs="Calibri"/>
              </w:rPr>
              <w:t>Possibl</w:t>
            </w:r>
            <w:r w:rsidR="00B40AEF">
              <w:rPr>
                <w:rFonts w:eastAsia="Calibri" w:cs="Calibri"/>
              </w:rPr>
              <w:t>e</w:t>
            </w:r>
            <w:r>
              <w:rPr>
                <w:rFonts w:eastAsia="Calibri" w:cs="Calibri"/>
              </w:rPr>
              <w:t xml:space="preserve"> </w:t>
            </w:r>
            <w:r w:rsidR="01AF9FE2" w:rsidRPr="74354148">
              <w:rPr>
                <w:rFonts w:eastAsia="Calibri" w:cs="Calibri"/>
              </w:rPr>
              <w:t>repeal of the definition in section 3</w:t>
            </w:r>
            <w:r w:rsidR="1AF4CD45" w:rsidRPr="74354148">
              <w:rPr>
                <w:rFonts w:eastAsia="Calibri" w:cs="Calibri"/>
              </w:rPr>
              <w:t xml:space="preserve"> of the IA Act</w:t>
            </w:r>
            <w:r w:rsidR="01AF9FE2" w:rsidRPr="74354148">
              <w:rPr>
                <w:rFonts w:eastAsia="Calibri" w:cs="Calibri"/>
              </w:rPr>
              <w:t xml:space="preserve"> and new provision outlining the revised </w:t>
            </w:r>
            <w:r w:rsidR="4B97ABB4" w:rsidRPr="74354148">
              <w:rPr>
                <w:rFonts w:eastAsia="Calibri" w:cs="Calibri"/>
              </w:rPr>
              <w:t>definition</w:t>
            </w:r>
            <w:r w:rsidR="00B40AEF">
              <w:rPr>
                <w:rFonts w:eastAsia="Calibri" w:cs="Calibri"/>
              </w:rPr>
              <w:t xml:space="preserve">. </w:t>
            </w:r>
          </w:p>
        </w:tc>
      </w:tr>
      <w:tr w:rsidR="00071A02" w14:paraId="4B1DAA24" w14:textId="77777777" w:rsidTr="0054766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797" w:type="dxa"/>
          </w:tcPr>
          <w:p w14:paraId="335A6D1A" w14:textId="0658FA7F" w:rsidR="00813A4C" w:rsidRPr="00591CDB" w:rsidRDefault="00813A4C" w:rsidP="00591CDB">
            <w:pPr>
              <w:pStyle w:val="ListParagraph"/>
              <w:numPr>
                <w:ilvl w:val="0"/>
                <w:numId w:val="9"/>
              </w:numPr>
              <w:suppressAutoHyphens/>
              <w:ind w:left="312" w:hanging="284"/>
              <w:contextualSpacing w:val="0"/>
              <w:rPr>
                <w:b w:val="0"/>
                <w:bCs/>
              </w:rPr>
            </w:pPr>
            <w:r w:rsidRPr="00470DFD">
              <w:rPr>
                <w:b w:val="0"/>
              </w:rPr>
              <w:t>The Review recommends that Infrastructure Australia be provided powers to undertake formal inquiries into national infrastructure investment topics, and supporting powers to enable it to carry out such inquiries. Matters may be referred by the Minister or may be undertaken by Infrastructure Australia, on its own initiative and in line with its Charter.</w:t>
            </w:r>
          </w:p>
          <w:p w14:paraId="7057DCF2" w14:textId="3AAC8EB5" w:rsidR="00813A4C" w:rsidRPr="00470DFD" w:rsidRDefault="00813A4C" w:rsidP="00591CDB">
            <w:pPr>
              <w:pStyle w:val="ListParagraph"/>
              <w:numPr>
                <w:ilvl w:val="0"/>
                <w:numId w:val="0"/>
              </w:numPr>
              <w:suppressAutoHyphens/>
              <w:ind w:left="312"/>
              <w:contextualSpacing w:val="0"/>
              <w:rPr>
                <w:b w:val="0"/>
                <w:lang w:val="en-US"/>
              </w:rPr>
            </w:pPr>
            <w:r w:rsidRPr="00470DFD">
              <w:rPr>
                <w:b w:val="0"/>
              </w:rPr>
              <w:t xml:space="preserve">The IA Act should be amended to include similar provisions such as those in Parts 2, 3 and 4 of the </w:t>
            </w:r>
            <w:r w:rsidRPr="00470DFD">
              <w:rPr>
                <w:b w:val="0"/>
                <w:i/>
                <w:iCs/>
              </w:rPr>
              <w:t xml:space="preserve">Productivity Commission Act 1998 </w:t>
            </w:r>
            <w:r w:rsidRPr="00470DFD">
              <w:rPr>
                <w:b w:val="0"/>
              </w:rPr>
              <w:t>(</w:t>
            </w:r>
            <w:proofErr w:type="spellStart"/>
            <w:r w:rsidRPr="00470DFD">
              <w:rPr>
                <w:b w:val="0"/>
              </w:rPr>
              <w:t>Cth</w:t>
            </w:r>
            <w:proofErr w:type="spellEnd"/>
            <w:r w:rsidRPr="00470DFD">
              <w:rPr>
                <w:b w:val="0"/>
              </w:rPr>
              <w:t>) outlining the formal inquiry role and necessary functions and powers required perform this function.</w:t>
            </w:r>
          </w:p>
          <w:p w14:paraId="144BB57C" w14:textId="64DBCE34" w:rsidR="00813A4C" w:rsidRPr="00470DFD" w:rsidRDefault="00813A4C" w:rsidP="00591CDB">
            <w:pPr>
              <w:pStyle w:val="ListParagraph"/>
              <w:numPr>
                <w:ilvl w:val="0"/>
                <w:numId w:val="0"/>
              </w:numPr>
              <w:suppressAutoHyphens/>
              <w:ind w:left="312"/>
              <w:contextualSpacing w:val="0"/>
              <w:rPr>
                <w:b w:val="0"/>
                <w:lang w:val="en-US"/>
              </w:rPr>
            </w:pPr>
            <w:r w:rsidRPr="00470DFD">
              <w:rPr>
                <w:b w:val="0"/>
                <w:lang w:val="en-US"/>
              </w:rPr>
              <w:t>In performing its commission and inquiry functions, Infrastructure Australia should have regard to matters including ‘national significance’, infrastructure investment, collaboration and coordination with state and territory projects and I-bodies, and engagement with the private sector.</w:t>
            </w:r>
          </w:p>
          <w:p w14:paraId="6663369D" w14:textId="5B0CB906" w:rsidR="00813A4C" w:rsidRPr="00470DFD" w:rsidRDefault="00813A4C" w:rsidP="00591CDB">
            <w:pPr>
              <w:pStyle w:val="ListParagraph"/>
              <w:numPr>
                <w:ilvl w:val="0"/>
                <w:numId w:val="0"/>
              </w:numPr>
              <w:suppressAutoHyphens/>
              <w:ind w:left="312"/>
              <w:contextualSpacing w:val="0"/>
              <w:rPr>
                <w:b w:val="0"/>
                <w:lang w:val="en-US"/>
              </w:rPr>
            </w:pPr>
            <w:r w:rsidRPr="00470DFD">
              <w:rPr>
                <w:b w:val="0"/>
                <w:lang w:val="en-US"/>
              </w:rPr>
              <w:t>A copy of the Infrastructure Australia inquiry report should be tabled in each House of Parliament within 25 sitting days of that House, and after the day the Minister has received the report.</w:t>
            </w:r>
          </w:p>
          <w:p w14:paraId="34276C2C" w14:textId="75C01E9C" w:rsidR="00071A02" w:rsidRPr="00470DFD" w:rsidRDefault="00813A4C" w:rsidP="00813A4C">
            <w:pPr>
              <w:pStyle w:val="ListParagraph"/>
              <w:numPr>
                <w:ilvl w:val="0"/>
                <w:numId w:val="0"/>
              </w:numPr>
              <w:suppressAutoHyphens/>
              <w:ind w:left="313"/>
              <w:rPr>
                <w:b w:val="0"/>
                <w:bCs/>
              </w:rPr>
            </w:pPr>
            <w:r w:rsidRPr="00470DFD">
              <w:rPr>
                <w:b w:val="0"/>
                <w:lang w:val="en-US"/>
              </w:rPr>
              <w:t>The Government must formally respond to the report and findings of Infrastructure Australia.</w:t>
            </w:r>
          </w:p>
        </w:tc>
        <w:tc>
          <w:tcPr>
            <w:tcW w:w="1418" w:type="dxa"/>
          </w:tcPr>
          <w:p w14:paraId="676DAE59" w14:textId="77777777" w:rsidR="00071A02" w:rsidRPr="00C27CDB" w:rsidRDefault="00071A02" w:rsidP="00CE5DE2">
            <w:pPr>
              <w:tabs>
                <w:tab w:val="left" w:pos="720"/>
              </w:tabs>
              <w:ind w:left="284" w:hanging="284"/>
              <w:cnfStyle w:val="000000010000" w:firstRow="0" w:lastRow="0" w:firstColumn="0" w:lastColumn="0" w:oddVBand="0" w:evenVBand="0" w:oddHBand="0" w:evenHBand="1" w:firstRowFirstColumn="0" w:firstRowLastColumn="0" w:lastRowFirstColumn="0" w:lastRowLastColumn="0"/>
              <w:rPr>
                <w:rFonts w:eastAsia="Calibri" w:cs="Calibri"/>
              </w:rPr>
            </w:pPr>
            <w:r w:rsidRPr="00C27CDB">
              <w:rPr>
                <w:rFonts w:eastAsia="Calibri" w:cs="Calibri"/>
              </w:rPr>
              <w:t>High</w:t>
            </w:r>
          </w:p>
        </w:tc>
        <w:tc>
          <w:tcPr>
            <w:tcW w:w="2694" w:type="dxa"/>
          </w:tcPr>
          <w:p w14:paraId="75C6686A" w14:textId="0B129EB9" w:rsidR="00071A02" w:rsidRDefault="3BF57F06" w:rsidP="00CE5DE2">
            <w:pPr>
              <w:cnfStyle w:val="000000010000" w:firstRow="0" w:lastRow="0" w:firstColumn="0" w:lastColumn="0" w:oddVBand="0" w:evenVBand="0" w:oddHBand="0" w:evenHBand="1" w:firstRowFirstColumn="0" w:firstRowLastColumn="0" w:lastRowFirstColumn="0" w:lastRowLastColumn="0"/>
            </w:pPr>
            <w:r w:rsidRPr="74354148">
              <w:rPr>
                <w:rFonts w:eastAsia="Calibri" w:cs="Calibri"/>
              </w:rPr>
              <w:t xml:space="preserve">Legislative amendment introducing inquiry powers similar to those of </w:t>
            </w:r>
            <w:r w:rsidR="4545C3E9" w:rsidRPr="74354148">
              <w:rPr>
                <w:rFonts w:eastAsia="Calibri" w:cs="Calibri"/>
              </w:rPr>
              <w:t xml:space="preserve">the </w:t>
            </w:r>
            <w:r w:rsidRPr="74354148">
              <w:rPr>
                <w:rFonts w:eastAsia="Calibri" w:cs="Calibri"/>
              </w:rPr>
              <w:t>PC</w:t>
            </w:r>
            <w:r w:rsidR="00813A4C">
              <w:rPr>
                <w:rFonts w:eastAsia="Calibri" w:cs="Calibri"/>
              </w:rPr>
              <w:t xml:space="preserve"> and provisions reflecting recommendation 12. </w:t>
            </w:r>
          </w:p>
        </w:tc>
        <w:tc>
          <w:tcPr>
            <w:tcW w:w="3826" w:type="dxa"/>
          </w:tcPr>
          <w:p w14:paraId="57A0B3C6" w14:textId="7A3285C7" w:rsidR="00071A02" w:rsidRDefault="609A6AE3" w:rsidP="6A987B9B">
            <w:pPr>
              <w:cnfStyle w:val="000000010000" w:firstRow="0" w:lastRow="0" w:firstColumn="0" w:lastColumn="0" w:oddVBand="0" w:evenVBand="0" w:oddHBand="0" w:evenHBand="1" w:firstRowFirstColumn="0" w:firstRowLastColumn="0" w:lastRowFirstColumn="0" w:lastRowLastColumn="0"/>
              <w:rPr>
                <w:rFonts w:eastAsia="Calibri" w:cs="Calibri"/>
              </w:rPr>
            </w:pPr>
            <w:r w:rsidRPr="6A987B9B">
              <w:rPr>
                <w:rFonts w:eastAsia="Calibri" w:cs="Calibri"/>
              </w:rPr>
              <w:t>New sections</w:t>
            </w:r>
            <w:r w:rsidR="7BECC5D0" w:rsidRPr="6A987B9B">
              <w:rPr>
                <w:rFonts w:eastAsia="Calibri" w:cs="Calibri"/>
              </w:rPr>
              <w:t xml:space="preserve"> (or potentially a new Part)</w:t>
            </w:r>
            <w:r w:rsidRPr="6A987B9B">
              <w:rPr>
                <w:rFonts w:eastAsia="Calibri" w:cs="Calibri"/>
              </w:rPr>
              <w:t xml:space="preserve"> outlining commission powers of inquiry, functions and powers to support the commission functions. </w:t>
            </w:r>
            <w:r w:rsidR="5C2A6F08" w:rsidRPr="6A987B9B">
              <w:rPr>
                <w:rFonts w:eastAsia="Calibri" w:cs="Calibri"/>
              </w:rPr>
              <w:t xml:space="preserve">Modelled on the </w:t>
            </w:r>
            <w:r w:rsidR="5C2A6F08" w:rsidRPr="6A987B9B">
              <w:rPr>
                <w:rFonts w:eastAsia="Calibri" w:cs="Calibri"/>
                <w:i/>
                <w:iCs/>
              </w:rPr>
              <w:t xml:space="preserve">Productivity Commission Act 1998 </w:t>
            </w:r>
            <w:r w:rsidR="5C2A6F08" w:rsidRPr="6A987B9B">
              <w:rPr>
                <w:rFonts w:eastAsia="Calibri" w:cs="Calibri"/>
              </w:rPr>
              <w:t>(</w:t>
            </w:r>
            <w:proofErr w:type="spellStart"/>
            <w:r w:rsidR="5C2A6F08" w:rsidRPr="6A987B9B">
              <w:rPr>
                <w:rFonts w:eastAsia="Calibri" w:cs="Calibri"/>
              </w:rPr>
              <w:t>Cth</w:t>
            </w:r>
            <w:proofErr w:type="spellEnd"/>
            <w:r w:rsidR="5C2A6F08" w:rsidRPr="6A987B9B">
              <w:rPr>
                <w:rFonts w:eastAsia="Calibri" w:cs="Calibri"/>
              </w:rPr>
              <w:t>), with additional requirement for tabling of Report and a formal government response</w:t>
            </w:r>
            <w:r w:rsidR="00B40AEF">
              <w:rPr>
                <w:rFonts w:eastAsia="Calibri" w:cs="Calibri"/>
              </w:rPr>
              <w:t xml:space="preserve">. </w:t>
            </w:r>
            <w:r w:rsidR="5C2A6F08" w:rsidRPr="6A987B9B">
              <w:rPr>
                <w:rFonts w:eastAsia="Calibri" w:cs="Calibri"/>
              </w:rPr>
              <w:t xml:space="preserve"> </w:t>
            </w:r>
          </w:p>
        </w:tc>
      </w:tr>
      <w:tr w:rsidR="00071A02" w14:paraId="2A9466B6" w14:textId="77777777" w:rsidTr="00547667">
        <w:trPr>
          <w:cantSplit/>
        </w:trPr>
        <w:tc>
          <w:tcPr>
            <w:cnfStyle w:val="001000000000" w:firstRow="0" w:lastRow="0" w:firstColumn="1" w:lastColumn="0" w:oddVBand="0" w:evenVBand="0" w:oddHBand="0" w:evenHBand="0" w:firstRowFirstColumn="0" w:firstRowLastColumn="0" w:lastRowFirstColumn="0" w:lastRowLastColumn="0"/>
            <w:tcW w:w="7797" w:type="dxa"/>
          </w:tcPr>
          <w:p w14:paraId="4C15008B" w14:textId="2B56A142" w:rsidR="00071A02" w:rsidRPr="00470DFD" w:rsidRDefault="00470DFD" w:rsidP="0011275A">
            <w:pPr>
              <w:pStyle w:val="ListParagraph"/>
              <w:numPr>
                <w:ilvl w:val="0"/>
                <w:numId w:val="9"/>
              </w:numPr>
              <w:suppressAutoHyphens/>
              <w:ind w:left="313" w:hanging="284"/>
              <w:rPr>
                <w:b w:val="0"/>
                <w:bCs/>
              </w:rPr>
            </w:pPr>
            <w:r w:rsidRPr="00470DFD">
              <w:rPr>
                <w:rFonts w:eastAsia="Calibri" w:cs="Calibri"/>
                <w:b w:val="0"/>
                <w:lang w:val="en-US"/>
              </w:rPr>
              <w:lastRenderedPageBreak/>
              <w:t xml:space="preserve">The Review recommends the Government consider the three structure governance model options as discussed above to strengthen the role and influence of Infrastructure Australia through its governance framework. The Review notes its preferred model is that of a </w:t>
            </w:r>
            <w:r w:rsidRPr="00470DFD">
              <w:rPr>
                <w:rFonts w:eastAsia="Calibri" w:cs="Calibri"/>
                <w:bCs/>
                <w:lang w:val="en-US"/>
              </w:rPr>
              <w:t>commission model</w:t>
            </w:r>
            <w:r w:rsidR="00407701">
              <w:rPr>
                <w:rFonts w:eastAsia="Calibri" w:cs="Calibri"/>
                <w:bCs/>
                <w:lang w:val="en-US"/>
              </w:rPr>
              <w:t xml:space="preserve"> </w:t>
            </w:r>
            <w:r w:rsidR="00407701" w:rsidRPr="00407701">
              <w:rPr>
                <w:rFonts w:eastAsia="Calibri" w:cs="Calibri"/>
                <w:b w:val="0"/>
                <w:bCs/>
                <w:lang w:val="en-US"/>
              </w:rPr>
              <w:t>(option 2)</w:t>
            </w:r>
            <w:r w:rsidRPr="00470DFD">
              <w:rPr>
                <w:rFonts w:eastAsia="Calibri" w:cs="Calibri"/>
                <w:b w:val="0"/>
                <w:lang w:val="en-US"/>
              </w:rPr>
              <w:t xml:space="preserve">. The commission would be formed to lead the agency as well as have power to undertake inquiries on topics, as discussed in the section on </w:t>
            </w:r>
            <w:hyperlink w:anchor="_Improving_national_investment">
              <w:r w:rsidRPr="00470DFD">
                <w:rPr>
                  <w:rStyle w:val="Hyperlink"/>
                  <w:rFonts w:eastAsia="Calibri" w:cs="Calibri"/>
                  <w:b w:val="0"/>
                  <w:lang w:val="en-US"/>
                </w:rPr>
                <w:t>Infrastructure Australia inquiry powers</w:t>
              </w:r>
            </w:hyperlink>
            <w:r w:rsidRPr="00470DFD">
              <w:rPr>
                <w:rFonts w:eastAsia="Calibri" w:cs="Calibri"/>
                <w:b w:val="0"/>
                <w:lang w:val="en-US"/>
              </w:rPr>
              <w:t>.</w:t>
            </w:r>
          </w:p>
        </w:tc>
        <w:tc>
          <w:tcPr>
            <w:tcW w:w="1418" w:type="dxa"/>
          </w:tcPr>
          <w:p w14:paraId="5CC2A9B0" w14:textId="77777777" w:rsidR="00071A02" w:rsidRDefault="00071A02" w:rsidP="00CE5DE2">
            <w:pPr>
              <w:tabs>
                <w:tab w:val="left" w:pos="720"/>
              </w:tabs>
              <w:ind w:left="284" w:hanging="284"/>
              <w:cnfStyle w:val="000000000000" w:firstRow="0" w:lastRow="0" w:firstColumn="0" w:lastColumn="0" w:oddVBand="0" w:evenVBand="0" w:oddHBand="0" w:evenHBand="0" w:firstRowFirstColumn="0" w:firstRowLastColumn="0" w:lastRowFirstColumn="0" w:lastRowLastColumn="0"/>
              <w:rPr>
                <w:rFonts w:eastAsia="Calibri" w:cs="Calibri"/>
              </w:rPr>
            </w:pPr>
            <w:r w:rsidRPr="5DF9AEF7">
              <w:rPr>
                <w:rFonts w:eastAsia="Calibri" w:cs="Calibri"/>
              </w:rPr>
              <w:t>High</w:t>
            </w:r>
          </w:p>
        </w:tc>
        <w:tc>
          <w:tcPr>
            <w:tcW w:w="2694" w:type="dxa"/>
          </w:tcPr>
          <w:p w14:paraId="32F4B2EF" w14:textId="6D2CC4A2" w:rsidR="00071A02" w:rsidRDefault="3D82454B" w:rsidP="00CE5DE2">
            <w:pPr>
              <w:cnfStyle w:val="000000000000" w:firstRow="0" w:lastRow="0" w:firstColumn="0" w:lastColumn="0" w:oddVBand="0" w:evenVBand="0" w:oddHBand="0" w:evenHBand="0" w:firstRowFirstColumn="0" w:firstRowLastColumn="0" w:lastRowFirstColumn="0" w:lastRowLastColumn="0"/>
            </w:pPr>
            <w:r w:rsidRPr="74354148">
              <w:rPr>
                <w:rFonts w:eastAsia="Calibri" w:cs="Calibri"/>
              </w:rPr>
              <w:t xml:space="preserve">Subject to </w:t>
            </w:r>
            <w:r w:rsidR="3E6C2175" w:rsidRPr="74354148">
              <w:rPr>
                <w:rFonts w:eastAsia="Calibri" w:cs="Calibri"/>
              </w:rPr>
              <w:t xml:space="preserve">the </w:t>
            </w:r>
            <w:r w:rsidRPr="74354148">
              <w:rPr>
                <w:rFonts w:eastAsia="Calibri" w:cs="Calibri"/>
              </w:rPr>
              <w:t>Government</w:t>
            </w:r>
            <w:r w:rsidR="0EF33C66" w:rsidRPr="74354148">
              <w:rPr>
                <w:rFonts w:eastAsia="Calibri" w:cs="Calibri"/>
              </w:rPr>
              <w:t>’s</w:t>
            </w:r>
            <w:r w:rsidRPr="74354148">
              <w:rPr>
                <w:rFonts w:eastAsia="Calibri" w:cs="Calibri"/>
              </w:rPr>
              <w:t xml:space="preserve"> response,</w:t>
            </w:r>
            <w:r w:rsidR="06E59FF0" w:rsidRPr="74354148">
              <w:rPr>
                <w:rFonts w:eastAsia="Calibri" w:cs="Calibri"/>
              </w:rPr>
              <w:t xml:space="preserve"> option 1 requires no change; option</w:t>
            </w:r>
            <w:r w:rsidR="313B93DC" w:rsidRPr="74354148">
              <w:rPr>
                <w:rFonts w:eastAsia="Calibri" w:cs="Calibri"/>
              </w:rPr>
              <w:t>s</w:t>
            </w:r>
            <w:r w:rsidR="06E59FF0" w:rsidRPr="74354148">
              <w:rPr>
                <w:rFonts w:eastAsia="Calibri" w:cs="Calibri"/>
              </w:rPr>
              <w:t xml:space="preserve"> 2 and 3 will require</w:t>
            </w:r>
            <w:r w:rsidRPr="74354148">
              <w:rPr>
                <w:rFonts w:eastAsia="Calibri" w:cs="Calibri"/>
              </w:rPr>
              <w:t xml:space="preserve"> legislative amendment</w:t>
            </w:r>
            <w:r w:rsidR="6912685D" w:rsidRPr="74354148">
              <w:rPr>
                <w:rFonts w:eastAsia="Calibri" w:cs="Calibri"/>
              </w:rPr>
              <w:t>s</w:t>
            </w:r>
            <w:r w:rsidRPr="74354148">
              <w:rPr>
                <w:rFonts w:eastAsia="Calibri" w:cs="Calibri"/>
              </w:rPr>
              <w:t xml:space="preserve"> to existing governance provisions in IA Act</w:t>
            </w:r>
            <w:r w:rsidR="00683FB8">
              <w:rPr>
                <w:rFonts w:eastAsia="Calibri" w:cs="Calibri"/>
              </w:rPr>
              <w:t xml:space="preserve">. </w:t>
            </w:r>
          </w:p>
        </w:tc>
        <w:tc>
          <w:tcPr>
            <w:tcW w:w="3826" w:type="dxa"/>
          </w:tcPr>
          <w:p w14:paraId="7081472C" w14:textId="747D7EAC" w:rsidR="00071A02" w:rsidRDefault="00F2D79F" w:rsidP="6A987B9B">
            <w:pPr>
              <w:cnfStyle w:val="000000000000" w:firstRow="0" w:lastRow="0" w:firstColumn="0" w:lastColumn="0" w:oddVBand="0" w:evenVBand="0" w:oddHBand="0" w:evenHBand="0" w:firstRowFirstColumn="0" w:firstRowLastColumn="0" w:lastRowFirstColumn="0" w:lastRowLastColumn="0"/>
              <w:rPr>
                <w:rFonts w:eastAsia="Calibri" w:cs="Calibri"/>
              </w:rPr>
            </w:pPr>
            <w:r w:rsidRPr="74354148">
              <w:rPr>
                <w:rFonts w:eastAsia="Calibri" w:cs="Calibri"/>
              </w:rPr>
              <w:t>Subject</w:t>
            </w:r>
            <w:r w:rsidR="5123F7B7" w:rsidRPr="74354148">
              <w:rPr>
                <w:rFonts w:eastAsia="Calibri" w:cs="Calibri"/>
              </w:rPr>
              <w:t xml:space="preserve"> </w:t>
            </w:r>
            <w:r w:rsidRPr="74354148">
              <w:rPr>
                <w:rFonts w:eastAsia="Calibri" w:cs="Calibri"/>
              </w:rPr>
              <w:t xml:space="preserve">to </w:t>
            </w:r>
            <w:r w:rsidR="660DDA34" w:rsidRPr="74354148">
              <w:rPr>
                <w:rFonts w:eastAsia="Calibri" w:cs="Calibri"/>
              </w:rPr>
              <w:t xml:space="preserve">the </w:t>
            </w:r>
            <w:r w:rsidRPr="74354148">
              <w:rPr>
                <w:rFonts w:eastAsia="Calibri" w:cs="Calibri"/>
              </w:rPr>
              <w:t>Government</w:t>
            </w:r>
            <w:r w:rsidR="6405CA74" w:rsidRPr="74354148">
              <w:rPr>
                <w:rFonts w:eastAsia="Calibri" w:cs="Calibri"/>
              </w:rPr>
              <w:t>’s</w:t>
            </w:r>
            <w:r w:rsidRPr="74354148">
              <w:rPr>
                <w:rFonts w:eastAsia="Calibri" w:cs="Calibri"/>
              </w:rPr>
              <w:t xml:space="preserve"> response: option </w:t>
            </w:r>
            <w:r w:rsidR="3ED8EB81" w:rsidRPr="74354148">
              <w:rPr>
                <w:rFonts w:eastAsia="Calibri" w:cs="Calibri"/>
              </w:rPr>
              <w:t xml:space="preserve">2 will require significant amendments/new provisions to Part 2A of the IA Act (Board of Infrastructure Australia). </w:t>
            </w:r>
            <w:r w:rsidRPr="74354148">
              <w:rPr>
                <w:rFonts w:eastAsia="Calibri" w:cs="Calibri"/>
              </w:rPr>
              <w:t xml:space="preserve"> </w:t>
            </w:r>
            <w:r w:rsidR="0D7F1AA2" w:rsidRPr="74354148">
              <w:rPr>
                <w:rFonts w:eastAsia="Calibri" w:cs="Calibri"/>
              </w:rPr>
              <w:t>Option 3 will require amendments to Part 2A, Division 2 (Constitution and membership of the Board)</w:t>
            </w:r>
            <w:r w:rsidR="00B40AEF">
              <w:rPr>
                <w:rFonts w:eastAsia="Calibri" w:cs="Calibri"/>
              </w:rPr>
              <w:t>.</w:t>
            </w:r>
          </w:p>
        </w:tc>
      </w:tr>
      <w:tr w:rsidR="00071A02" w14:paraId="343B0B49" w14:textId="77777777" w:rsidTr="0054766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797" w:type="dxa"/>
          </w:tcPr>
          <w:p w14:paraId="1A35142F" w14:textId="37B161EC" w:rsidR="00071A02" w:rsidRPr="00F679DE" w:rsidRDefault="00F679DE" w:rsidP="0011275A">
            <w:pPr>
              <w:pStyle w:val="ListParagraph"/>
              <w:numPr>
                <w:ilvl w:val="0"/>
                <w:numId w:val="9"/>
              </w:numPr>
              <w:suppressAutoHyphens/>
              <w:ind w:left="313" w:hanging="284"/>
              <w:rPr>
                <w:b w:val="0"/>
              </w:rPr>
            </w:pPr>
            <w:r w:rsidRPr="00F679DE">
              <w:rPr>
                <w:b w:val="0"/>
              </w:rPr>
              <w:t xml:space="preserve">The Review recommends the establishment of a </w:t>
            </w:r>
            <w:r w:rsidR="0028233F">
              <w:rPr>
                <w:b w:val="0"/>
              </w:rPr>
              <w:t>Cities and Suburbs Unit (CSU)</w:t>
            </w:r>
            <w:r w:rsidRPr="00F679DE">
              <w:rPr>
                <w:b w:val="0"/>
              </w:rPr>
              <w:t xml:space="preserve"> within DITRDCA.</w:t>
            </w:r>
          </w:p>
        </w:tc>
        <w:tc>
          <w:tcPr>
            <w:tcW w:w="1418" w:type="dxa"/>
          </w:tcPr>
          <w:p w14:paraId="01540E2B" w14:textId="77777777" w:rsidR="00071A02" w:rsidRDefault="00071A02" w:rsidP="00CE5DE2">
            <w:pPr>
              <w:tabs>
                <w:tab w:val="left" w:pos="720"/>
              </w:tabs>
              <w:ind w:left="284" w:hanging="284"/>
              <w:cnfStyle w:val="000000010000" w:firstRow="0" w:lastRow="0" w:firstColumn="0" w:lastColumn="0" w:oddVBand="0" w:evenVBand="0" w:oddHBand="0" w:evenHBand="1" w:firstRowFirstColumn="0" w:firstRowLastColumn="0" w:lastRowFirstColumn="0" w:lastRowLastColumn="0"/>
              <w:rPr>
                <w:rFonts w:eastAsia="Calibri" w:cs="Calibri"/>
              </w:rPr>
            </w:pPr>
            <w:r w:rsidRPr="5DF9AEF7">
              <w:rPr>
                <w:rFonts w:eastAsia="Calibri" w:cs="Calibri"/>
              </w:rPr>
              <w:t>Medium</w:t>
            </w:r>
          </w:p>
        </w:tc>
        <w:tc>
          <w:tcPr>
            <w:tcW w:w="2694" w:type="dxa"/>
          </w:tcPr>
          <w:p w14:paraId="10B038DA" w14:textId="1EB8788B" w:rsidR="00071A02" w:rsidRDefault="190D9BE3" w:rsidP="00CE5DE2">
            <w:pPr>
              <w:cnfStyle w:val="000000010000" w:firstRow="0" w:lastRow="0" w:firstColumn="0" w:lastColumn="0" w:oddVBand="0" w:evenVBand="0" w:oddHBand="0" w:evenHBand="1" w:firstRowFirstColumn="0" w:firstRowLastColumn="0" w:lastRowFirstColumn="0" w:lastRowLastColumn="0"/>
            </w:pPr>
            <w:r w:rsidRPr="74354148">
              <w:rPr>
                <w:rFonts w:eastAsia="Calibri" w:cs="Calibri"/>
              </w:rPr>
              <w:t xml:space="preserve">DITRDCA to set up a </w:t>
            </w:r>
            <w:r w:rsidR="5C55C1DF" w:rsidRPr="74354148">
              <w:rPr>
                <w:rFonts w:eastAsia="Calibri" w:cs="Calibri"/>
              </w:rPr>
              <w:t xml:space="preserve">CSU </w:t>
            </w:r>
            <w:r w:rsidRPr="74354148">
              <w:rPr>
                <w:rFonts w:eastAsia="Calibri" w:cs="Calibri"/>
              </w:rPr>
              <w:t xml:space="preserve">if the Government supports </w:t>
            </w:r>
            <w:r w:rsidR="5DCD7C1D" w:rsidRPr="74354148">
              <w:rPr>
                <w:rFonts w:eastAsia="Calibri" w:cs="Calibri"/>
              </w:rPr>
              <w:t>recommendation</w:t>
            </w:r>
            <w:r w:rsidR="00F679DE">
              <w:rPr>
                <w:rFonts w:eastAsia="Calibri" w:cs="Calibri"/>
              </w:rPr>
              <w:t>.</w:t>
            </w:r>
          </w:p>
        </w:tc>
        <w:tc>
          <w:tcPr>
            <w:tcW w:w="3826" w:type="dxa"/>
          </w:tcPr>
          <w:p w14:paraId="5381C3A2" w14:textId="7EA0D4B7" w:rsidR="00071A02" w:rsidRDefault="0A80F5B0" w:rsidP="6A987B9B">
            <w:pPr>
              <w:cnfStyle w:val="000000010000" w:firstRow="0" w:lastRow="0" w:firstColumn="0" w:lastColumn="0" w:oddVBand="0" w:evenVBand="0" w:oddHBand="0" w:evenHBand="1" w:firstRowFirstColumn="0" w:firstRowLastColumn="0" w:lastRowFirstColumn="0" w:lastRowLastColumn="0"/>
              <w:rPr>
                <w:rFonts w:eastAsia="Calibri" w:cs="Calibri"/>
              </w:rPr>
            </w:pPr>
            <w:r w:rsidRPr="6A987B9B">
              <w:rPr>
                <w:rFonts w:eastAsia="Calibri" w:cs="Calibri"/>
              </w:rPr>
              <w:t>Subject to internal discussions and executive decisions within DITRDCA</w:t>
            </w:r>
            <w:r w:rsidR="00B40AEF">
              <w:rPr>
                <w:rFonts w:eastAsia="Calibri" w:cs="Calibri"/>
              </w:rPr>
              <w:t xml:space="preserve">. </w:t>
            </w:r>
          </w:p>
        </w:tc>
      </w:tr>
      <w:tr w:rsidR="00071A02" w14:paraId="48ED0396" w14:textId="77777777" w:rsidTr="00547667">
        <w:trPr>
          <w:cantSplit/>
        </w:trPr>
        <w:tc>
          <w:tcPr>
            <w:cnfStyle w:val="001000000000" w:firstRow="0" w:lastRow="0" w:firstColumn="1" w:lastColumn="0" w:oddVBand="0" w:evenVBand="0" w:oddHBand="0" w:evenHBand="0" w:firstRowFirstColumn="0" w:firstRowLastColumn="0" w:lastRowFirstColumn="0" w:lastRowLastColumn="0"/>
            <w:tcW w:w="7797" w:type="dxa"/>
          </w:tcPr>
          <w:p w14:paraId="582CC131" w14:textId="1C3DC210" w:rsidR="00071A02" w:rsidRPr="00BE60E1" w:rsidRDefault="00F679DE" w:rsidP="0011275A">
            <w:pPr>
              <w:pStyle w:val="ListParagraph"/>
              <w:numPr>
                <w:ilvl w:val="0"/>
                <w:numId w:val="9"/>
              </w:numPr>
              <w:suppressAutoHyphens/>
              <w:ind w:left="313" w:hanging="284"/>
              <w:rPr>
                <w:b w:val="0"/>
              </w:rPr>
            </w:pPr>
            <w:r w:rsidRPr="00BE60E1">
              <w:rPr>
                <w:b w:val="0"/>
              </w:rPr>
              <w:t>The Review recommends that the Government clearly delineate the roles and responsibilities of Infrastructure Australia vis-a-vis other Commonwealth infrastructure bodies, including ICA and DITRDCA (IID and SPIDO). This should include investigating options for closer collaboration to provide each other mutual support in carrying out their respective roles, as advisors on infrastructure matters to the Australian Government</w:t>
            </w:r>
          </w:p>
        </w:tc>
        <w:tc>
          <w:tcPr>
            <w:tcW w:w="1418" w:type="dxa"/>
          </w:tcPr>
          <w:p w14:paraId="47FC4E31" w14:textId="77777777" w:rsidR="00071A02" w:rsidRDefault="00071A02" w:rsidP="00CE5DE2">
            <w:pPr>
              <w:tabs>
                <w:tab w:val="left" w:pos="720"/>
              </w:tabs>
              <w:ind w:left="284" w:hanging="284"/>
              <w:cnfStyle w:val="000000000000" w:firstRow="0" w:lastRow="0" w:firstColumn="0" w:lastColumn="0" w:oddVBand="0" w:evenVBand="0" w:oddHBand="0" w:evenHBand="0" w:firstRowFirstColumn="0" w:firstRowLastColumn="0" w:lastRowFirstColumn="0" w:lastRowLastColumn="0"/>
              <w:rPr>
                <w:rFonts w:eastAsia="Calibri" w:cs="Calibri"/>
              </w:rPr>
            </w:pPr>
            <w:r w:rsidRPr="5DF9AEF7">
              <w:rPr>
                <w:rFonts w:eastAsia="Calibri" w:cs="Calibri"/>
              </w:rPr>
              <w:t>Medium/Low</w:t>
            </w:r>
          </w:p>
        </w:tc>
        <w:tc>
          <w:tcPr>
            <w:tcW w:w="2694" w:type="dxa"/>
          </w:tcPr>
          <w:p w14:paraId="35507C07" w14:textId="3CAE325F" w:rsidR="00071A02" w:rsidRPr="00F679DE" w:rsidRDefault="7C93F224" w:rsidP="00CE5DE2">
            <w:pPr>
              <w:cnfStyle w:val="000000000000" w:firstRow="0" w:lastRow="0" w:firstColumn="0" w:lastColumn="0" w:oddVBand="0" w:evenVBand="0" w:oddHBand="0" w:evenHBand="0" w:firstRowFirstColumn="0" w:firstRowLastColumn="0" w:lastRowFirstColumn="0" w:lastRowLastColumn="0"/>
              <w:rPr>
                <w:rFonts w:eastAsia="Calibri" w:cs="Calibri"/>
              </w:rPr>
            </w:pPr>
            <w:r w:rsidRPr="36918AFB">
              <w:rPr>
                <w:rFonts w:eastAsia="Calibri" w:cs="Calibri"/>
              </w:rPr>
              <w:t>Discussion</w:t>
            </w:r>
            <w:r w:rsidR="00F679DE">
              <w:rPr>
                <w:rFonts w:eastAsia="Calibri" w:cs="Calibri"/>
              </w:rPr>
              <w:t>s</w:t>
            </w:r>
            <w:r w:rsidR="00901046">
              <w:rPr>
                <w:rFonts w:eastAsia="Calibri" w:cs="Calibri"/>
              </w:rPr>
              <w:t xml:space="preserve"> and negotiations as required regarding delineation of roles and responsibilities; </w:t>
            </w:r>
            <w:r w:rsidRPr="36918AFB">
              <w:rPr>
                <w:rFonts w:eastAsia="Calibri" w:cs="Calibri"/>
              </w:rPr>
              <w:t xml:space="preserve">collaboration between </w:t>
            </w:r>
            <w:r w:rsidR="3C27674C" w:rsidRPr="36918AFB">
              <w:rPr>
                <w:rFonts w:eastAsia="Calibri" w:cs="Calibri"/>
              </w:rPr>
              <w:t>Infrastructure Australia</w:t>
            </w:r>
            <w:r w:rsidR="00901046">
              <w:rPr>
                <w:rFonts w:eastAsia="Calibri" w:cs="Calibri"/>
              </w:rPr>
              <w:t xml:space="preserve"> and other Commonwealth infrastructure bodies</w:t>
            </w:r>
            <w:r w:rsidR="00683FB8">
              <w:rPr>
                <w:rFonts w:eastAsia="Calibri" w:cs="Calibri"/>
              </w:rPr>
              <w:t xml:space="preserve">. </w:t>
            </w:r>
          </w:p>
        </w:tc>
        <w:tc>
          <w:tcPr>
            <w:tcW w:w="3826" w:type="dxa"/>
          </w:tcPr>
          <w:p w14:paraId="6BB2E44B" w14:textId="459BB8F3" w:rsidR="00071A02" w:rsidRDefault="00901046" w:rsidP="00CE5DE2">
            <w:pPr>
              <w:cnfStyle w:val="000000000000" w:firstRow="0" w:lastRow="0" w:firstColumn="0" w:lastColumn="0" w:oddVBand="0" w:evenVBand="0" w:oddHBand="0" w:evenHBand="0" w:firstRowFirstColumn="0" w:firstRowLastColumn="0" w:lastRowFirstColumn="0" w:lastRowLastColumn="0"/>
            </w:pPr>
            <w:r>
              <w:rPr>
                <w:rFonts w:eastAsia="Calibri" w:cs="Calibri"/>
              </w:rPr>
              <w:t>Subject to discussions and negotiations as described</w:t>
            </w:r>
            <w:r w:rsidR="00B40AEF">
              <w:rPr>
                <w:rFonts w:eastAsia="Calibri" w:cs="Calibri"/>
              </w:rPr>
              <w:t xml:space="preserve">. </w:t>
            </w:r>
          </w:p>
        </w:tc>
      </w:tr>
      <w:tr w:rsidR="00071A02" w14:paraId="442AE584" w14:textId="77777777" w:rsidTr="0054766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797" w:type="dxa"/>
          </w:tcPr>
          <w:p w14:paraId="4EDC8D91" w14:textId="77777777" w:rsidR="00C32753" w:rsidRDefault="00BE60E1" w:rsidP="00A5536C">
            <w:pPr>
              <w:pStyle w:val="ListParagraph"/>
              <w:numPr>
                <w:ilvl w:val="0"/>
                <w:numId w:val="9"/>
              </w:numPr>
              <w:suppressAutoHyphens/>
              <w:ind w:left="388"/>
              <w:contextualSpacing w:val="0"/>
            </w:pPr>
            <w:r w:rsidRPr="00BE60E1">
              <w:rPr>
                <w:b w:val="0"/>
              </w:rPr>
              <w:t>The Review recommends that Infrastructure Australia be placed within either PM&amp;C or the Department of Treasury, through changes to the AAO.</w:t>
            </w:r>
          </w:p>
          <w:p w14:paraId="47AF7286" w14:textId="0BD6EA06" w:rsidR="00071A02" w:rsidRPr="00A5536C" w:rsidRDefault="00BE60E1" w:rsidP="00C32753">
            <w:pPr>
              <w:pStyle w:val="ListParagraph"/>
              <w:numPr>
                <w:ilvl w:val="0"/>
                <w:numId w:val="0"/>
              </w:numPr>
              <w:suppressAutoHyphens/>
              <w:ind w:left="388"/>
              <w:contextualSpacing w:val="0"/>
            </w:pPr>
            <w:r w:rsidRPr="00A5536C">
              <w:rPr>
                <w:b w:val="0"/>
              </w:rPr>
              <w:t>Should the Government decide not to support Recommendation 16, the Review strongly urges the Government to consider the option of including the Secretaries of these two central agencies on the Infrastructure Australia Board as ex officio members, as discussed in</w:t>
            </w:r>
            <w:r w:rsidRPr="00A5536C">
              <w:t xml:space="preserve"> </w:t>
            </w:r>
            <w:hyperlink w:anchor="_An_appropriate_Board">
              <w:r w:rsidRPr="00A5536C">
                <w:rPr>
                  <w:rStyle w:val="Hyperlink"/>
                  <w:b w:val="0"/>
                </w:rPr>
                <w:t>‘An appropriate Board and governance model’</w:t>
              </w:r>
            </w:hyperlink>
            <w:r w:rsidRPr="00A5536C">
              <w:t>.</w:t>
            </w:r>
          </w:p>
        </w:tc>
        <w:tc>
          <w:tcPr>
            <w:tcW w:w="1418" w:type="dxa"/>
          </w:tcPr>
          <w:p w14:paraId="30C96123" w14:textId="77777777" w:rsidR="00071A02" w:rsidRDefault="00071A02" w:rsidP="00CE5DE2">
            <w:pPr>
              <w:tabs>
                <w:tab w:val="left" w:pos="720"/>
              </w:tabs>
              <w:ind w:left="284" w:hanging="284"/>
              <w:cnfStyle w:val="000000010000" w:firstRow="0" w:lastRow="0" w:firstColumn="0" w:lastColumn="0" w:oddVBand="0" w:evenVBand="0" w:oddHBand="0" w:evenHBand="1" w:firstRowFirstColumn="0" w:firstRowLastColumn="0" w:lastRowFirstColumn="0" w:lastRowLastColumn="0"/>
              <w:rPr>
                <w:rFonts w:eastAsia="Calibri" w:cs="Calibri"/>
              </w:rPr>
            </w:pPr>
            <w:r w:rsidRPr="5DF9AEF7">
              <w:rPr>
                <w:rFonts w:eastAsia="Calibri" w:cs="Calibri"/>
              </w:rPr>
              <w:t>High</w:t>
            </w:r>
          </w:p>
        </w:tc>
        <w:tc>
          <w:tcPr>
            <w:tcW w:w="2694" w:type="dxa"/>
          </w:tcPr>
          <w:p w14:paraId="38A0491E" w14:textId="73A18B3B" w:rsidR="00071A02" w:rsidRDefault="00071A02" w:rsidP="00CE5DE2">
            <w:pPr>
              <w:cnfStyle w:val="000000010000" w:firstRow="0" w:lastRow="0" w:firstColumn="0" w:lastColumn="0" w:oddVBand="0" w:evenVBand="0" w:oddHBand="0" w:evenHBand="1" w:firstRowFirstColumn="0" w:firstRowLastColumn="0" w:lastRowFirstColumn="0" w:lastRowLastColumn="0"/>
              <w:rPr>
                <w:rFonts w:eastAsia="Calibri" w:cs="Calibri"/>
              </w:rPr>
            </w:pPr>
            <w:r w:rsidRPr="5DF9AEF7">
              <w:rPr>
                <w:rFonts w:eastAsia="Calibri" w:cs="Calibri"/>
              </w:rPr>
              <w:t>Amendment to AAO</w:t>
            </w:r>
            <w:r w:rsidR="009C2706">
              <w:rPr>
                <w:rFonts w:eastAsia="Calibri" w:cs="Calibri"/>
              </w:rPr>
              <w:t>; potentially changes to governance structure</w:t>
            </w:r>
            <w:r w:rsidR="00E26C16">
              <w:rPr>
                <w:rFonts w:eastAsia="Calibri" w:cs="Calibri"/>
              </w:rPr>
              <w:t xml:space="preserve"> and possible legislative amendments.</w:t>
            </w:r>
          </w:p>
        </w:tc>
        <w:tc>
          <w:tcPr>
            <w:tcW w:w="3826" w:type="dxa"/>
          </w:tcPr>
          <w:p w14:paraId="0210E702" w14:textId="69302C11" w:rsidR="00BE60E1" w:rsidRDefault="2DB74BAC" w:rsidP="6A987B9B">
            <w:pPr>
              <w:cnfStyle w:val="000000010000" w:firstRow="0" w:lastRow="0" w:firstColumn="0" w:lastColumn="0" w:oddVBand="0" w:evenVBand="0" w:oddHBand="0" w:evenHBand="1" w:firstRowFirstColumn="0" w:firstRowLastColumn="0" w:lastRowFirstColumn="0" w:lastRowLastColumn="0"/>
              <w:rPr>
                <w:rFonts w:eastAsia="Calibri" w:cs="Calibri"/>
              </w:rPr>
            </w:pPr>
            <w:r w:rsidRPr="6A987B9B">
              <w:rPr>
                <w:rFonts w:eastAsia="Calibri" w:cs="Calibri"/>
              </w:rPr>
              <w:t>AAO amendments; subject to discussions and executive decisions within the central agency that Infrastructure Australia is placed in</w:t>
            </w:r>
            <w:r w:rsidR="00BE60E1">
              <w:rPr>
                <w:rFonts w:eastAsia="Calibri" w:cs="Calibri"/>
              </w:rPr>
              <w:t>.</w:t>
            </w:r>
          </w:p>
          <w:p w14:paraId="7821CFB9" w14:textId="47FB3C65" w:rsidR="00BE60E1" w:rsidRDefault="0028233F" w:rsidP="6A987B9B">
            <w:pPr>
              <w:cnfStyle w:val="000000010000" w:firstRow="0" w:lastRow="0" w:firstColumn="0" w:lastColumn="0" w:oddVBand="0" w:evenVBand="0" w:oddHBand="0" w:evenHBand="1" w:firstRowFirstColumn="0" w:firstRowLastColumn="0" w:lastRowFirstColumn="0" w:lastRowLastColumn="0"/>
              <w:rPr>
                <w:rFonts w:eastAsia="Calibri" w:cs="Calibri"/>
              </w:rPr>
            </w:pPr>
            <w:r>
              <w:rPr>
                <w:rFonts w:eastAsia="Calibri" w:cs="Calibri"/>
              </w:rPr>
              <w:t>If</w:t>
            </w:r>
            <w:r w:rsidR="00BE60E1">
              <w:rPr>
                <w:rFonts w:eastAsia="Calibri" w:cs="Calibri"/>
              </w:rPr>
              <w:t xml:space="preserve"> including Secretaries on the Infrastructure Australia Board as ex-officio members: </w:t>
            </w:r>
            <w:r>
              <w:rPr>
                <w:rFonts w:eastAsia="Calibri" w:cs="Calibri"/>
              </w:rPr>
              <w:t>l</w:t>
            </w:r>
            <w:r w:rsidR="00BE60E1" w:rsidRPr="74354148">
              <w:rPr>
                <w:rFonts w:eastAsia="Calibri" w:cs="Calibri"/>
              </w:rPr>
              <w:t>egislative amendments/new provisions to Part 2A, Division 2 (Constitution and membership of the Board) of the IA Act</w:t>
            </w:r>
            <w:r w:rsidR="00B40AEF">
              <w:rPr>
                <w:rFonts w:eastAsia="Calibri" w:cs="Calibri"/>
              </w:rPr>
              <w:t xml:space="preserve">. </w:t>
            </w:r>
          </w:p>
        </w:tc>
      </w:tr>
    </w:tbl>
    <w:p w14:paraId="75B021FB" w14:textId="77777777" w:rsidR="00071A02" w:rsidRDefault="00071A02" w:rsidP="00071A02"/>
    <w:p w14:paraId="4E49B4D7" w14:textId="77777777" w:rsidR="00071A02" w:rsidRDefault="00071A02" w:rsidP="00071A02">
      <w:pPr>
        <w:pStyle w:val="Bullet3"/>
        <w:numPr>
          <w:ilvl w:val="2"/>
          <w:numId w:val="0"/>
        </w:numPr>
        <w:sectPr w:rsidR="00071A02" w:rsidSect="00591CDB">
          <w:footerReference w:type="default" r:id="rId34"/>
          <w:pgSz w:w="16838" w:h="11906" w:orient="landscape" w:code="9"/>
          <w:pgMar w:top="1021" w:right="1021" w:bottom="1021" w:left="1021" w:header="510" w:footer="0" w:gutter="0"/>
          <w:cols w:space="708"/>
          <w:docGrid w:linePitch="360"/>
        </w:sectPr>
      </w:pPr>
    </w:p>
    <w:p w14:paraId="7CAB726B" w14:textId="179BC397" w:rsidR="00071A02" w:rsidRDefault="21E2E44C" w:rsidP="00CB2290">
      <w:pPr>
        <w:pStyle w:val="Heading2"/>
      </w:pPr>
      <w:bookmarkStart w:id="135" w:name="_Appendix_A:_State"/>
      <w:bookmarkStart w:id="136" w:name="_Toc114841869"/>
      <w:bookmarkStart w:id="137" w:name="_Toc115379995"/>
      <w:bookmarkStart w:id="138" w:name="_Toc124783637"/>
      <w:bookmarkEnd w:id="135"/>
      <w:r>
        <w:lastRenderedPageBreak/>
        <w:t xml:space="preserve">Appendix A: </w:t>
      </w:r>
      <w:r w:rsidR="46D27D83">
        <w:t xml:space="preserve">State and </w:t>
      </w:r>
      <w:r w:rsidR="2575C245">
        <w:t>t</w:t>
      </w:r>
      <w:r w:rsidR="46D27D83">
        <w:t xml:space="preserve">erritory </w:t>
      </w:r>
      <w:r w:rsidR="008A63B7">
        <w:t>I</w:t>
      </w:r>
      <w:r w:rsidR="46D27D83">
        <w:t>-bodies and infrastructure advisors</w:t>
      </w:r>
      <w:bookmarkEnd w:id="136"/>
      <w:bookmarkEnd w:id="137"/>
      <w:bookmarkEnd w:id="138"/>
      <w:r>
        <w:t xml:space="preserve"> </w:t>
      </w:r>
    </w:p>
    <w:p w14:paraId="49286118" w14:textId="08119D9F" w:rsidR="00071A02" w:rsidRDefault="00071A02" w:rsidP="000B789C">
      <w:pPr>
        <w:pStyle w:val="Tablefigureheading"/>
      </w:pPr>
      <w:r>
        <w:t xml:space="preserve">Table </w:t>
      </w:r>
      <w:r w:rsidR="000B789C">
        <w:rPr>
          <w:color w:val="2B579A"/>
          <w:shd w:val="clear" w:color="auto" w:fill="E6E6E6"/>
        </w:rPr>
        <w:t>3</w:t>
      </w:r>
      <w:r>
        <w:t>: State and Territory I-bodies and infrastructure advisors</w:t>
      </w:r>
    </w:p>
    <w:tbl>
      <w:tblPr>
        <w:tblStyle w:val="DefaultTable11"/>
        <w:tblW w:w="21405" w:type="dxa"/>
        <w:tblLook w:val="04A0" w:firstRow="1" w:lastRow="0" w:firstColumn="1" w:lastColumn="0" w:noHBand="0" w:noVBand="1"/>
        <w:tblCaption w:val="Table 2: State and Territory I-bodies and infrastructure advisors"/>
        <w:tblDescription w:val="This table compares the characteristics and functions of each I-body or infrastructure advisor from each of the states and territories in Australia. "/>
      </w:tblPr>
      <w:tblGrid>
        <w:gridCol w:w="1626"/>
        <w:gridCol w:w="2472"/>
        <w:gridCol w:w="2580"/>
        <w:gridCol w:w="2415"/>
        <w:gridCol w:w="2422"/>
        <w:gridCol w:w="2472"/>
        <w:gridCol w:w="2473"/>
        <w:gridCol w:w="2472"/>
        <w:gridCol w:w="2473"/>
      </w:tblGrid>
      <w:tr w:rsidR="00071A02" w14:paraId="2EDB66A7" w14:textId="77777777" w:rsidTr="005476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6" w:type="dxa"/>
          </w:tcPr>
          <w:p w14:paraId="2D21BFAB" w14:textId="77777777" w:rsidR="00071A02" w:rsidRPr="00337606" w:rsidRDefault="00071A02" w:rsidP="00CE5DE2">
            <w:pPr>
              <w:rPr>
                <w:sz w:val="18"/>
                <w:szCs w:val="18"/>
              </w:rPr>
            </w:pPr>
            <w:r>
              <w:rPr>
                <w:sz w:val="18"/>
                <w:szCs w:val="18"/>
              </w:rPr>
              <w:t>Primary infrastructure advisor</w:t>
            </w:r>
          </w:p>
        </w:tc>
        <w:tc>
          <w:tcPr>
            <w:tcW w:w="2472" w:type="dxa"/>
          </w:tcPr>
          <w:p w14:paraId="02C2D6D2" w14:textId="174AFB3F" w:rsidR="00071A02" w:rsidRPr="00337606" w:rsidRDefault="7C93F224" w:rsidP="00CE5DE2">
            <w:pPr>
              <w:cnfStyle w:val="100000000000" w:firstRow="1" w:lastRow="0" w:firstColumn="0" w:lastColumn="0" w:oddVBand="0" w:evenVBand="0" w:oddHBand="0" w:evenHBand="0" w:firstRowFirstColumn="0" w:firstRowLastColumn="0" w:lastRowFirstColumn="0" w:lastRowLastColumn="0"/>
              <w:rPr>
                <w:sz w:val="18"/>
                <w:szCs w:val="18"/>
              </w:rPr>
            </w:pPr>
            <w:r w:rsidRPr="36918AFB">
              <w:rPr>
                <w:sz w:val="18"/>
                <w:szCs w:val="18"/>
              </w:rPr>
              <w:t xml:space="preserve">Infrastructure </w:t>
            </w:r>
            <w:r w:rsidR="00071A02">
              <w:br/>
            </w:r>
            <w:r w:rsidRPr="36918AFB">
              <w:rPr>
                <w:sz w:val="18"/>
                <w:szCs w:val="18"/>
              </w:rPr>
              <w:t>N</w:t>
            </w:r>
            <w:r w:rsidR="6BCC7172" w:rsidRPr="36918AFB">
              <w:rPr>
                <w:sz w:val="18"/>
                <w:szCs w:val="18"/>
              </w:rPr>
              <w:t xml:space="preserve">ew </w:t>
            </w:r>
            <w:r w:rsidRPr="36918AFB">
              <w:rPr>
                <w:sz w:val="18"/>
                <w:szCs w:val="18"/>
              </w:rPr>
              <w:t>S</w:t>
            </w:r>
            <w:r w:rsidR="2FF7F907" w:rsidRPr="36918AFB">
              <w:rPr>
                <w:sz w:val="18"/>
                <w:szCs w:val="18"/>
              </w:rPr>
              <w:t xml:space="preserve">outh </w:t>
            </w:r>
            <w:r w:rsidRPr="36918AFB">
              <w:rPr>
                <w:sz w:val="18"/>
                <w:szCs w:val="18"/>
              </w:rPr>
              <w:t>W</w:t>
            </w:r>
            <w:r w:rsidR="0859F74D" w:rsidRPr="36918AFB">
              <w:rPr>
                <w:sz w:val="18"/>
                <w:szCs w:val="18"/>
              </w:rPr>
              <w:t>ales</w:t>
            </w:r>
          </w:p>
        </w:tc>
        <w:tc>
          <w:tcPr>
            <w:tcW w:w="2580" w:type="dxa"/>
          </w:tcPr>
          <w:p w14:paraId="07B7E5A6" w14:textId="77777777" w:rsidR="00071A02" w:rsidRPr="00337606" w:rsidRDefault="00071A02" w:rsidP="00CE5DE2">
            <w:pPr>
              <w:cnfStyle w:val="100000000000" w:firstRow="1" w:lastRow="0" w:firstColumn="0" w:lastColumn="0" w:oddVBand="0" w:evenVBand="0" w:oddHBand="0" w:evenHBand="0" w:firstRowFirstColumn="0" w:firstRowLastColumn="0" w:lastRowFirstColumn="0" w:lastRowLastColumn="0"/>
              <w:rPr>
                <w:sz w:val="18"/>
                <w:szCs w:val="18"/>
              </w:rPr>
            </w:pPr>
            <w:r w:rsidRPr="00337606">
              <w:rPr>
                <w:sz w:val="18"/>
                <w:szCs w:val="18"/>
              </w:rPr>
              <w:t xml:space="preserve">Infrastructure </w:t>
            </w:r>
            <w:r>
              <w:rPr>
                <w:sz w:val="18"/>
                <w:szCs w:val="18"/>
              </w:rPr>
              <w:br/>
            </w:r>
            <w:r w:rsidRPr="00337606">
              <w:rPr>
                <w:sz w:val="18"/>
                <w:szCs w:val="18"/>
              </w:rPr>
              <w:t>Victoria</w:t>
            </w:r>
          </w:p>
        </w:tc>
        <w:tc>
          <w:tcPr>
            <w:tcW w:w="2415" w:type="dxa"/>
          </w:tcPr>
          <w:p w14:paraId="34F1BCFE" w14:textId="466A335F" w:rsidR="00071A02" w:rsidRPr="00337606" w:rsidRDefault="7C93F224" w:rsidP="00CE5DE2">
            <w:pPr>
              <w:cnfStyle w:val="100000000000" w:firstRow="1" w:lastRow="0" w:firstColumn="0" w:lastColumn="0" w:oddVBand="0" w:evenVBand="0" w:oddHBand="0" w:evenHBand="0" w:firstRowFirstColumn="0" w:firstRowLastColumn="0" w:lastRowFirstColumn="0" w:lastRowLastColumn="0"/>
              <w:rPr>
                <w:sz w:val="18"/>
                <w:szCs w:val="18"/>
              </w:rPr>
            </w:pPr>
            <w:r w:rsidRPr="36918AFB">
              <w:rPr>
                <w:sz w:val="18"/>
                <w:szCs w:val="18"/>
              </w:rPr>
              <w:t xml:space="preserve">Infrastructure </w:t>
            </w:r>
            <w:r w:rsidR="00071A02">
              <w:br/>
            </w:r>
            <w:r w:rsidRPr="36918AFB">
              <w:rPr>
                <w:sz w:val="18"/>
                <w:szCs w:val="18"/>
              </w:rPr>
              <w:t>S</w:t>
            </w:r>
            <w:r w:rsidR="723307D6" w:rsidRPr="36918AFB">
              <w:rPr>
                <w:sz w:val="18"/>
                <w:szCs w:val="18"/>
              </w:rPr>
              <w:t xml:space="preserve">outh </w:t>
            </w:r>
            <w:r w:rsidRPr="36918AFB">
              <w:rPr>
                <w:sz w:val="18"/>
                <w:szCs w:val="18"/>
              </w:rPr>
              <w:t>A</w:t>
            </w:r>
            <w:r w:rsidR="5AF3D603" w:rsidRPr="36918AFB">
              <w:rPr>
                <w:sz w:val="18"/>
                <w:szCs w:val="18"/>
              </w:rPr>
              <w:t>ustralia</w:t>
            </w:r>
          </w:p>
        </w:tc>
        <w:tc>
          <w:tcPr>
            <w:tcW w:w="2422" w:type="dxa"/>
          </w:tcPr>
          <w:p w14:paraId="38EC22C6" w14:textId="75682718" w:rsidR="00071A02" w:rsidRPr="00337606" w:rsidRDefault="7C93F224" w:rsidP="00CE5DE2">
            <w:pPr>
              <w:cnfStyle w:val="100000000000" w:firstRow="1" w:lastRow="0" w:firstColumn="0" w:lastColumn="0" w:oddVBand="0" w:evenVBand="0" w:oddHBand="0" w:evenHBand="0" w:firstRowFirstColumn="0" w:firstRowLastColumn="0" w:lastRowFirstColumn="0" w:lastRowLastColumn="0"/>
              <w:rPr>
                <w:sz w:val="18"/>
                <w:szCs w:val="18"/>
              </w:rPr>
            </w:pPr>
            <w:r w:rsidRPr="36918AFB">
              <w:rPr>
                <w:sz w:val="18"/>
                <w:szCs w:val="18"/>
              </w:rPr>
              <w:t xml:space="preserve">Infrastructure </w:t>
            </w:r>
            <w:r w:rsidR="00071A02">
              <w:br/>
            </w:r>
            <w:r w:rsidRPr="36918AFB">
              <w:rPr>
                <w:sz w:val="18"/>
                <w:szCs w:val="18"/>
              </w:rPr>
              <w:t>W</w:t>
            </w:r>
            <w:r w:rsidR="2F066033" w:rsidRPr="36918AFB">
              <w:rPr>
                <w:sz w:val="18"/>
                <w:szCs w:val="18"/>
              </w:rPr>
              <w:t xml:space="preserve">estern </w:t>
            </w:r>
            <w:r w:rsidRPr="36918AFB">
              <w:rPr>
                <w:sz w:val="18"/>
                <w:szCs w:val="18"/>
              </w:rPr>
              <w:t>A</w:t>
            </w:r>
            <w:r w:rsidR="751CCBE0" w:rsidRPr="36918AFB">
              <w:rPr>
                <w:sz w:val="18"/>
                <w:szCs w:val="18"/>
              </w:rPr>
              <w:t>ustralia</w:t>
            </w:r>
          </w:p>
        </w:tc>
        <w:tc>
          <w:tcPr>
            <w:tcW w:w="2472" w:type="dxa"/>
          </w:tcPr>
          <w:p w14:paraId="55FECD99" w14:textId="77777777" w:rsidR="00071A02" w:rsidRPr="00337606" w:rsidRDefault="00071A02" w:rsidP="00CE5DE2">
            <w:pPr>
              <w:cnfStyle w:val="100000000000" w:firstRow="1" w:lastRow="0" w:firstColumn="0" w:lastColumn="0" w:oddVBand="0" w:evenVBand="0" w:oddHBand="0" w:evenHBand="0" w:firstRowFirstColumn="0" w:firstRowLastColumn="0" w:lastRowFirstColumn="0" w:lastRowLastColumn="0"/>
              <w:rPr>
                <w:sz w:val="18"/>
                <w:szCs w:val="18"/>
              </w:rPr>
            </w:pPr>
            <w:r w:rsidRPr="00337606">
              <w:rPr>
                <w:sz w:val="18"/>
                <w:szCs w:val="18"/>
              </w:rPr>
              <w:t xml:space="preserve">Infrastructure </w:t>
            </w:r>
            <w:r>
              <w:rPr>
                <w:sz w:val="18"/>
                <w:szCs w:val="18"/>
              </w:rPr>
              <w:br/>
            </w:r>
            <w:r w:rsidRPr="00337606">
              <w:rPr>
                <w:sz w:val="18"/>
                <w:szCs w:val="18"/>
              </w:rPr>
              <w:t>Tasmania</w:t>
            </w:r>
          </w:p>
        </w:tc>
        <w:tc>
          <w:tcPr>
            <w:tcW w:w="2473" w:type="dxa"/>
          </w:tcPr>
          <w:p w14:paraId="2B2249A4" w14:textId="1B2E3211" w:rsidR="00071A02" w:rsidRPr="00337606" w:rsidRDefault="7C93F224" w:rsidP="00CE5DE2">
            <w:pPr>
              <w:cnfStyle w:val="100000000000" w:firstRow="1" w:lastRow="0" w:firstColumn="0" w:lastColumn="0" w:oddVBand="0" w:evenVBand="0" w:oddHBand="0" w:evenHBand="0" w:firstRowFirstColumn="0" w:firstRowLastColumn="0" w:lastRowFirstColumn="0" w:lastRowLastColumn="0"/>
              <w:rPr>
                <w:sz w:val="18"/>
                <w:szCs w:val="18"/>
              </w:rPr>
            </w:pPr>
            <w:r w:rsidRPr="36918AFB">
              <w:rPr>
                <w:sz w:val="18"/>
                <w:szCs w:val="18"/>
              </w:rPr>
              <w:t xml:space="preserve">Infrastructure </w:t>
            </w:r>
            <w:r w:rsidR="00071A02">
              <w:br/>
            </w:r>
            <w:r w:rsidRPr="36918AFB">
              <w:rPr>
                <w:sz w:val="18"/>
                <w:szCs w:val="18"/>
              </w:rPr>
              <w:t>N</w:t>
            </w:r>
            <w:r w:rsidR="0D97BAAE" w:rsidRPr="36918AFB">
              <w:rPr>
                <w:sz w:val="18"/>
                <w:szCs w:val="18"/>
              </w:rPr>
              <w:t xml:space="preserve">orthern </w:t>
            </w:r>
            <w:r w:rsidRPr="36918AFB">
              <w:rPr>
                <w:sz w:val="18"/>
                <w:szCs w:val="18"/>
              </w:rPr>
              <w:t>T</w:t>
            </w:r>
            <w:r w:rsidR="618AB105" w:rsidRPr="36918AFB">
              <w:rPr>
                <w:sz w:val="18"/>
                <w:szCs w:val="18"/>
              </w:rPr>
              <w:t>erri</w:t>
            </w:r>
            <w:r w:rsidR="7A0C8D74" w:rsidRPr="36918AFB">
              <w:rPr>
                <w:sz w:val="18"/>
                <w:szCs w:val="18"/>
              </w:rPr>
              <w:t>to</w:t>
            </w:r>
            <w:r w:rsidR="618AB105" w:rsidRPr="36918AFB">
              <w:rPr>
                <w:sz w:val="18"/>
                <w:szCs w:val="18"/>
              </w:rPr>
              <w:t>ry</w:t>
            </w:r>
            <w:r w:rsidRPr="36918AFB">
              <w:rPr>
                <w:sz w:val="18"/>
                <w:szCs w:val="18"/>
              </w:rPr>
              <w:t xml:space="preserve"> and </w:t>
            </w:r>
            <w:r w:rsidR="00071A02">
              <w:br/>
            </w:r>
            <w:r w:rsidRPr="36918AFB">
              <w:rPr>
                <w:sz w:val="18"/>
                <w:szCs w:val="18"/>
              </w:rPr>
              <w:t>Infrastructure N</w:t>
            </w:r>
            <w:r w:rsidR="248FDEDE" w:rsidRPr="36918AFB">
              <w:rPr>
                <w:sz w:val="18"/>
                <w:szCs w:val="18"/>
              </w:rPr>
              <w:t xml:space="preserve">orthern </w:t>
            </w:r>
            <w:r w:rsidRPr="36918AFB">
              <w:rPr>
                <w:sz w:val="18"/>
                <w:szCs w:val="18"/>
              </w:rPr>
              <w:t>T</w:t>
            </w:r>
            <w:r w:rsidR="52BF3FE5" w:rsidRPr="36918AFB">
              <w:rPr>
                <w:sz w:val="18"/>
                <w:szCs w:val="18"/>
              </w:rPr>
              <w:t>erri</w:t>
            </w:r>
            <w:r w:rsidR="35FD9FD4" w:rsidRPr="36918AFB">
              <w:rPr>
                <w:sz w:val="18"/>
                <w:szCs w:val="18"/>
              </w:rPr>
              <w:t>t</w:t>
            </w:r>
            <w:r w:rsidR="52BF3FE5" w:rsidRPr="36918AFB">
              <w:rPr>
                <w:sz w:val="18"/>
                <w:szCs w:val="18"/>
              </w:rPr>
              <w:t>ory</w:t>
            </w:r>
            <w:r w:rsidRPr="36918AFB">
              <w:rPr>
                <w:sz w:val="18"/>
                <w:szCs w:val="18"/>
              </w:rPr>
              <w:t xml:space="preserve"> Commissioner</w:t>
            </w:r>
          </w:p>
        </w:tc>
        <w:tc>
          <w:tcPr>
            <w:tcW w:w="2472" w:type="dxa"/>
          </w:tcPr>
          <w:p w14:paraId="5D6FD0FF" w14:textId="08AB3036" w:rsidR="00071A02" w:rsidRPr="00337606" w:rsidRDefault="7C93F224" w:rsidP="00CE5DE2">
            <w:pPr>
              <w:cnfStyle w:val="100000000000" w:firstRow="1" w:lastRow="0" w:firstColumn="0" w:lastColumn="0" w:oddVBand="0" w:evenVBand="0" w:oddHBand="0" w:evenHBand="0" w:firstRowFirstColumn="0" w:firstRowLastColumn="0" w:lastRowFirstColumn="0" w:lastRowLastColumn="0"/>
              <w:rPr>
                <w:sz w:val="18"/>
                <w:szCs w:val="18"/>
              </w:rPr>
            </w:pPr>
            <w:r w:rsidRPr="36918AFB">
              <w:rPr>
                <w:sz w:val="18"/>
                <w:szCs w:val="18"/>
              </w:rPr>
              <w:t>Q</w:t>
            </w:r>
            <w:r w:rsidR="1CB97C26" w:rsidRPr="36918AFB">
              <w:rPr>
                <w:sz w:val="18"/>
                <w:szCs w:val="18"/>
              </w:rPr>
              <w:t>ueens</w:t>
            </w:r>
            <w:r w:rsidRPr="36918AFB">
              <w:rPr>
                <w:sz w:val="18"/>
                <w:szCs w:val="18"/>
              </w:rPr>
              <w:t>l</w:t>
            </w:r>
            <w:r w:rsidR="1C7AD594" w:rsidRPr="36918AFB">
              <w:rPr>
                <w:sz w:val="18"/>
                <w:szCs w:val="18"/>
              </w:rPr>
              <w:t>an</w:t>
            </w:r>
            <w:r w:rsidRPr="36918AFB">
              <w:rPr>
                <w:sz w:val="18"/>
                <w:szCs w:val="18"/>
              </w:rPr>
              <w:t>d Department of State Development, Infrastructure, Local Government and Planning</w:t>
            </w:r>
          </w:p>
        </w:tc>
        <w:tc>
          <w:tcPr>
            <w:tcW w:w="2473" w:type="dxa"/>
          </w:tcPr>
          <w:p w14:paraId="25B1BE39" w14:textId="3AEC80C7" w:rsidR="00071A02" w:rsidRPr="00337606" w:rsidRDefault="7C93F224" w:rsidP="00CE5DE2">
            <w:pPr>
              <w:cnfStyle w:val="100000000000" w:firstRow="1" w:lastRow="0" w:firstColumn="0" w:lastColumn="0" w:oddVBand="0" w:evenVBand="0" w:oddHBand="0" w:evenHBand="0" w:firstRowFirstColumn="0" w:firstRowLastColumn="0" w:lastRowFirstColumn="0" w:lastRowLastColumn="0"/>
              <w:rPr>
                <w:sz w:val="18"/>
                <w:szCs w:val="18"/>
              </w:rPr>
            </w:pPr>
            <w:r w:rsidRPr="36918AFB">
              <w:rPr>
                <w:sz w:val="18"/>
                <w:szCs w:val="18"/>
              </w:rPr>
              <w:t>Infrastructure Finance &amp; Reform, A</w:t>
            </w:r>
            <w:r w:rsidR="0102EAAE" w:rsidRPr="36918AFB">
              <w:rPr>
                <w:sz w:val="18"/>
                <w:szCs w:val="18"/>
              </w:rPr>
              <w:t xml:space="preserve">ustralian </w:t>
            </w:r>
            <w:r w:rsidRPr="36918AFB">
              <w:rPr>
                <w:sz w:val="18"/>
                <w:szCs w:val="18"/>
              </w:rPr>
              <w:t>C</w:t>
            </w:r>
            <w:r w:rsidR="03E9CB37" w:rsidRPr="36918AFB">
              <w:rPr>
                <w:sz w:val="18"/>
                <w:szCs w:val="18"/>
              </w:rPr>
              <w:t xml:space="preserve">apital </w:t>
            </w:r>
            <w:r w:rsidRPr="36918AFB">
              <w:rPr>
                <w:sz w:val="18"/>
                <w:szCs w:val="18"/>
              </w:rPr>
              <w:t>T</w:t>
            </w:r>
            <w:r w:rsidR="45E72C48" w:rsidRPr="36918AFB">
              <w:rPr>
                <w:sz w:val="18"/>
                <w:szCs w:val="18"/>
              </w:rPr>
              <w:t>erri</w:t>
            </w:r>
            <w:r w:rsidR="10E86803" w:rsidRPr="36918AFB">
              <w:rPr>
                <w:sz w:val="18"/>
                <w:szCs w:val="18"/>
              </w:rPr>
              <w:t>t</w:t>
            </w:r>
            <w:r w:rsidR="45E72C48" w:rsidRPr="36918AFB">
              <w:rPr>
                <w:sz w:val="18"/>
                <w:szCs w:val="18"/>
              </w:rPr>
              <w:t>ory</w:t>
            </w:r>
            <w:r w:rsidRPr="36918AFB">
              <w:rPr>
                <w:sz w:val="18"/>
                <w:szCs w:val="18"/>
              </w:rPr>
              <w:t xml:space="preserve"> Treasury</w:t>
            </w:r>
          </w:p>
        </w:tc>
      </w:tr>
      <w:tr w:rsidR="00071A02" w14:paraId="3B76CDF1" w14:textId="77777777" w:rsidTr="00547667">
        <w:tc>
          <w:tcPr>
            <w:cnfStyle w:val="001000000000" w:firstRow="0" w:lastRow="0" w:firstColumn="1" w:lastColumn="0" w:oddVBand="0" w:evenVBand="0" w:oddHBand="0" w:evenHBand="0" w:firstRowFirstColumn="0" w:firstRowLastColumn="0" w:lastRowFirstColumn="0" w:lastRowLastColumn="0"/>
            <w:tcW w:w="1626" w:type="dxa"/>
          </w:tcPr>
          <w:p w14:paraId="31FDD542" w14:textId="77777777" w:rsidR="00071A02" w:rsidRPr="00337606" w:rsidRDefault="00071A02" w:rsidP="00CE5DE2">
            <w:pPr>
              <w:rPr>
                <w:sz w:val="18"/>
                <w:szCs w:val="18"/>
              </w:rPr>
            </w:pPr>
            <w:r w:rsidRPr="00337606">
              <w:rPr>
                <w:sz w:val="18"/>
                <w:szCs w:val="18"/>
              </w:rPr>
              <w:t>Corporate structure</w:t>
            </w:r>
          </w:p>
        </w:tc>
        <w:tc>
          <w:tcPr>
            <w:tcW w:w="2472" w:type="dxa"/>
          </w:tcPr>
          <w:p w14:paraId="71EB0E7A" w14:textId="77777777" w:rsidR="00071A02" w:rsidRPr="00337606" w:rsidRDefault="00071A02" w:rsidP="00CE5DE2">
            <w:pPr>
              <w:cnfStyle w:val="000000000000" w:firstRow="0" w:lastRow="0" w:firstColumn="0" w:lastColumn="0" w:oddVBand="0" w:evenVBand="0" w:oddHBand="0" w:evenHBand="0" w:firstRowFirstColumn="0" w:firstRowLastColumn="0" w:lastRowFirstColumn="0" w:lastRowLastColumn="0"/>
              <w:rPr>
                <w:sz w:val="18"/>
                <w:szCs w:val="18"/>
              </w:rPr>
            </w:pPr>
            <w:r w:rsidRPr="00337606">
              <w:rPr>
                <w:sz w:val="18"/>
                <w:szCs w:val="18"/>
              </w:rPr>
              <w:t xml:space="preserve">Statutory authority </w:t>
            </w:r>
          </w:p>
        </w:tc>
        <w:tc>
          <w:tcPr>
            <w:tcW w:w="2580" w:type="dxa"/>
          </w:tcPr>
          <w:p w14:paraId="619765CA" w14:textId="77777777" w:rsidR="00071A02" w:rsidRPr="00337606" w:rsidRDefault="00071A02" w:rsidP="00CE5DE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Statutory authority</w:t>
            </w:r>
          </w:p>
        </w:tc>
        <w:tc>
          <w:tcPr>
            <w:tcW w:w="2415" w:type="dxa"/>
          </w:tcPr>
          <w:p w14:paraId="0828DFD0" w14:textId="77777777" w:rsidR="00071A02" w:rsidRPr="00337606" w:rsidRDefault="00071A02" w:rsidP="00CE5DE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Statutory authority</w:t>
            </w:r>
          </w:p>
        </w:tc>
        <w:tc>
          <w:tcPr>
            <w:tcW w:w="2422" w:type="dxa"/>
          </w:tcPr>
          <w:p w14:paraId="231ED17B" w14:textId="77777777" w:rsidR="00071A02" w:rsidRPr="00337606" w:rsidRDefault="00071A02" w:rsidP="00CE5DE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Statutory authority</w:t>
            </w:r>
          </w:p>
        </w:tc>
        <w:tc>
          <w:tcPr>
            <w:tcW w:w="2472" w:type="dxa"/>
          </w:tcPr>
          <w:p w14:paraId="705727E2" w14:textId="77777777" w:rsidR="00071A02" w:rsidRPr="00337606" w:rsidRDefault="00071A02" w:rsidP="00CE5DE2">
            <w:pPr>
              <w:cnfStyle w:val="000000000000" w:firstRow="0" w:lastRow="0" w:firstColumn="0" w:lastColumn="0" w:oddVBand="0" w:evenVBand="0" w:oddHBand="0" w:evenHBand="0" w:firstRowFirstColumn="0" w:firstRowLastColumn="0" w:lastRowFirstColumn="0" w:lastRowLastColumn="0"/>
              <w:rPr>
                <w:sz w:val="18"/>
                <w:szCs w:val="18"/>
              </w:rPr>
            </w:pPr>
            <w:r w:rsidRPr="5C7F75D4">
              <w:rPr>
                <w:sz w:val="18"/>
                <w:szCs w:val="18"/>
              </w:rPr>
              <w:t>Part of Tasmanian Department of State Growth</w:t>
            </w:r>
          </w:p>
        </w:tc>
        <w:tc>
          <w:tcPr>
            <w:tcW w:w="2473" w:type="dxa"/>
          </w:tcPr>
          <w:p w14:paraId="5AA1FEE3" w14:textId="394A5191" w:rsidR="00071A02" w:rsidRPr="00337606" w:rsidRDefault="7C93F224" w:rsidP="00CE5DE2">
            <w:pPr>
              <w:cnfStyle w:val="000000000000" w:firstRow="0" w:lastRow="0" w:firstColumn="0" w:lastColumn="0" w:oddVBand="0" w:evenVBand="0" w:oddHBand="0" w:evenHBand="0" w:firstRowFirstColumn="0" w:firstRowLastColumn="0" w:lastRowFirstColumn="0" w:lastRowLastColumn="0"/>
              <w:rPr>
                <w:sz w:val="18"/>
                <w:szCs w:val="18"/>
              </w:rPr>
            </w:pPr>
            <w:r w:rsidRPr="36918AFB">
              <w:rPr>
                <w:sz w:val="18"/>
                <w:szCs w:val="18"/>
              </w:rPr>
              <w:t>Part of N</w:t>
            </w:r>
            <w:r w:rsidR="6D75180F" w:rsidRPr="36918AFB">
              <w:rPr>
                <w:sz w:val="18"/>
                <w:szCs w:val="18"/>
              </w:rPr>
              <w:t xml:space="preserve">orthern </w:t>
            </w:r>
            <w:r w:rsidRPr="36918AFB">
              <w:rPr>
                <w:sz w:val="18"/>
                <w:szCs w:val="18"/>
              </w:rPr>
              <w:t>T</w:t>
            </w:r>
            <w:r w:rsidR="2C8BFD33" w:rsidRPr="36918AFB">
              <w:rPr>
                <w:sz w:val="18"/>
                <w:szCs w:val="18"/>
              </w:rPr>
              <w:t>erritory</w:t>
            </w:r>
            <w:r w:rsidRPr="36918AFB">
              <w:rPr>
                <w:sz w:val="18"/>
                <w:szCs w:val="18"/>
              </w:rPr>
              <w:t xml:space="preserve"> Department of Infrastructure, Planning and Logistics</w:t>
            </w:r>
          </w:p>
        </w:tc>
        <w:tc>
          <w:tcPr>
            <w:tcW w:w="2472" w:type="dxa"/>
          </w:tcPr>
          <w:p w14:paraId="13BC38FD" w14:textId="77777777" w:rsidR="00071A02" w:rsidRPr="00337606" w:rsidRDefault="00071A02" w:rsidP="00CE5DE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As above</w:t>
            </w:r>
          </w:p>
        </w:tc>
        <w:tc>
          <w:tcPr>
            <w:tcW w:w="2473" w:type="dxa"/>
          </w:tcPr>
          <w:p w14:paraId="36E2F251" w14:textId="77777777" w:rsidR="00071A02" w:rsidRPr="00337606" w:rsidRDefault="00071A02" w:rsidP="00CE5DE2">
            <w:pPr>
              <w:spacing w:before="160" w:line="259" w:lineRule="auto"/>
              <w:cnfStyle w:val="000000000000" w:firstRow="0" w:lastRow="0" w:firstColumn="0" w:lastColumn="0" w:oddVBand="0" w:evenVBand="0" w:oddHBand="0" w:evenHBand="0" w:firstRowFirstColumn="0" w:firstRowLastColumn="0" w:lastRowFirstColumn="0" w:lastRowLastColumn="0"/>
            </w:pPr>
            <w:r w:rsidRPr="5C7F75D4">
              <w:rPr>
                <w:sz w:val="18"/>
                <w:szCs w:val="18"/>
              </w:rPr>
              <w:t>As above</w:t>
            </w:r>
          </w:p>
        </w:tc>
      </w:tr>
      <w:tr w:rsidR="00071A02" w14:paraId="250F016F" w14:textId="77777777" w:rsidTr="00547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6" w:type="dxa"/>
          </w:tcPr>
          <w:p w14:paraId="57C75916" w14:textId="77777777" w:rsidR="00071A02" w:rsidRPr="00337606" w:rsidRDefault="00071A02" w:rsidP="00CE5DE2">
            <w:pPr>
              <w:rPr>
                <w:sz w:val="18"/>
                <w:szCs w:val="18"/>
              </w:rPr>
            </w:pPr>
            <w:r>
              <w:rPr>
                <w:sz w:val="18"/>
                <w:szCs w:val="18"/>
              </w:rPr>
              <w:t>Year</w:t>
            </w:r>
            <w:r w:rsidRPr="00337606">
              <w:rPr>
                <w:sz w:val="18"/>
                <w:szCs w:val="18"/>
              </w:rPr>
              <w:t xml:space="preserve"> established</w:t>
            </w:r>
          </w:p>
        </w:tc>
        <w:tc>
          <w:tcPr>
            <w:tcW w:w="2472" w:type="dxa"/>
          </w:tcPr>
          <w:p w14:paraId="15B18639" w14:textId="77777777" w:rsidR="00071A02" w:rsidRPr="00337606" w:rsidRDefault="00071A02" w:rsidP="00CE5DE2">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2011</w:t>
            </w:r>
          </w:p>
        </w:tc>
        <w:tc>
          <w:tcPr>
            <w:tcW w:w="2580" w:type="dxa"/>
          </w:tcPr>
          <w:p w14:paraId="5676FB64" w14:textId="77777777" w:rsidR="00071A02" w:rsidRPr="00337606" w:rsidRDefault="00071A02" w:rsidP="00CE5DE2">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2015</w:t>
            </w:r>
          </w:p>
        </w:tc>
        <w:tc>
          <w:tcPr>
            <w:tcW w:w="2415" w:type="dxa"/>
          </w:tcPr>
          <w:p w14:paraId="2D971E7F" w14:textId="77777777" w:rsidR="00071A02" w:rsidRPr="00337606" w:rsidRDefault="00071A02" w:rsidP="00CE5DE2">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2018</w:t>
            </w:r>
          </w:p>
        </w:tc>
        <w:tc>
          <w:tcPr>
            <w:tcW w:w="2422" w:type="dxa"/>
          </w:tcPr>
          <w:p w14:paraId="1979A895" w14:textId="77777777" w:rsidR="00071A02" w:rsidRPr="00337606" w:rsidRDefault="00071A02" w:rsidP="00CE5DE2">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2019</w:t>
            </w:r>
          </w:p>
        </w:tc>
        <w:tc>
          <w:tcPr>
            <w:tcW w:w="2472" w:type="dxa"/>
          </w:tcPr>
          <w:p w14:paraId="6B4529AD" w14:textId="77777777" w:rsidR="00071A02" w:rsidRPr="00337606" w:rsidRDefault="00071A02" w:rsidP="00CE5DE2">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2014</w:t>
            </w:r>
          </w:p>
        </w:tc>
        <w:tc>
          <w:tcPr>
            <w:tcW w:w="2473" w:type="dxa"/>
          </w:tcPr>
          <w:p w14:paraId="575CD1F9" w14:textId="77777777" w:rsidR="00071A02" w:rsidRPr="00337606" w:rsidRDefault="00071A02" w:rsidP="00CE5DE2">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2021</w:t>
            </w:r>
          </w:p>
        </w:tc>
        <w:tc>
          <w:tcPr>
            <w:tcW w:w="2472" w:type="dxa"/>
          </w:tcPr>
          <w:p w14:paraId="1EF02EAD" w14:textId="77777777" w:rsidR="00071A02" w:rsidRPr="00337606" w:rsidRDefault="00071A02" w:rsidP="00CE5DE2">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Absorbed the functions of ‘Building Queensland’ in 2021</w:t>
            </w:r>
          </w:p>
        </w:tc>
        <w:tc>
          <w:tcPr>
            <w:tcW w:w="2473" w:type="dxa"/>
          </w:tcPr>
          <w:p w14:paraId="7F3B67EE" w14:textId="77777777" w:rsidR="00071A02" w:rsidRPr="00337606" w:rsidRDefault="00071A02" w:rsidP="00CE5DE2">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Unknown</w:t>
            </w:r>
          </w:p>
        </w:tc>
      </w:tr>
      <w:tr w:rsidR="00071A02" w14:paraId="31E1A804" w14:textId="77777777" w:rsidTr="00547667">
        <w:tc>
          <w:tcPr>
            <w:cnfStyle w:val="001000000000" w:firstRow="0" w:lastRow="0" w:firstColumn="1" w:lastColumn="0" w:oddVBand="0" w:evenVBand="0" w:oddHBand="0" w:evenHBand="0" w:firstRowFirstColumn="0" w:firstRowLastColumn="0" w:lastRowFirstColumn="0" w:lastRowLastColumn="0"/>
            <w:tcW w:w="1626" w:type="dxa"/>
          </w:tcPr>
          <w:p w14:paraId="4BB6CF6C" w14:textId="77777777" w:rsidR="00071A02" w:rsidRPr="00337606" w:rsidRDefault="00071A02" w:rsidP="00CE5DE2">
            <w:pPr>
              <w:rPr>
                <w:sz w:val="18"/>
                <w:szCs w:val="18"/>
              </w:rPr>
            </w:pPr>
            <w:r w:rsidRPr="00337606">
              <w:rPr>
                <w:sz w:val="18"/>
                <w:szCs w:val="18"/>
              </w:rPr>
              <w:t>Functions</w:t>
            </w:r>
          </w:p>
        </w:tc>
        <w:tc>
          <w:tcPr>
            <w:tcW w:w="2472" w:type="dxa"/>
          </w:tcPr>
          <w:p w14:paraId="3F4042BE" w14:textId="77777777" w:rsidR="00071A02" w:rsidRPr="00C31C55" w:rsidRDefault="00071A02" w:rsidP="0011275A">
            <w:pPr>
              <w:pStyle w:val="ListParagraph"/>
              <w:numPr>
                <w:ilvl w:val="0"/>
                <w:numId w:val="12"/>
              </w:numPr>
              <w:spacing w:before="0" w:after="0"/>
              <w:ind w:left="138" w:hanging="141"/>
              <w:cnfStyle w:val="000000000000" w:firstRow="0" w:lastRow="0" w:firstColumn="0" w:lastColumn="0" w:oddVBand="0" w:evenVBand="0" w:oddHBand="0" w:evenHBand="0" w:firstRowFirstColumn="0" w:firstRowLastColumn="0" w:lastRowFirstColumn="0" w:lastRowLastColumn="0"/>
            </w:pPr>
            <w:r w:rsidRPr="00C31C55">
              <w:t>Deliver 20-Year State Infrastructure Strategy, every five years.</w:t>
            </w:r>
          </w:p>
          <w:p w14:paraId="1F4D4B11" w14:textId="2C49B6DF" w:rsidR="00071A02" w:rsidRPr="00C31C55" w:rsidRDefault="7C93F224" w:rsidP="0011275A">
            <w:pPr>
              <w:pStyle w:val="ListParagraph"/>
              <w:numPr>
                <w:ilvl w:val="0"/>
                <w:numId w:val="12"/>
              </w:numPr>
              <w:spacing w:before="0" w:after="0"/>
              <w:ind w:left="138" w:hanging="141"/>
              <w:cnfStyle w:val="000000000000" w:firstRow="0" w:lastRow="0" w:firstColumn="0" w:lastColumn="0" w:oddVBand="0" w:evenVBand="0" w:oddHBand="0" w:evenHBand="0" w:firstRowFirstColumn="0" w:firstRowLastColumn="0" w:lastRowFirstColumn="0" w:lastRowLastColumn="0"/>
            </w:pPr>
            <w:r>
              <w:t>Provide independent advice on to N</w:t>
            </w:r>
            <w:r w:rsidR="1E285BFE">
              <w:t xml:space="preserve">ew </w:t>
            </w:r>
            <w:r>
              <w:t>S</w:t>
            </w:r>
            <w:r w:rsidR="5F68233F">
              <w:t xml:space="preserve">outh </w:t>
            </w:r>
            <w:r>
              <w:t>W</w:t>
            </w:r>
            <w:r w:rsidR="7104E22C">
              <w:t>ales</w:t>
            </w:r>
            <w:r>
              <w:t xml:space="preserve"> Government on infrastructure matters.</w:t>
            </w:r>
          </w:p>
          <w:p w14:paraId="73458F0F" w14:textId="77777777" w:rsidR="00071A02" w:rsidRDefault="00071A02" w:rsidP="0011275A">
            <w:pPr>
              <w:pStyle w:val="ListParagraph"/>
              <w:numPr>
                <w:ilvl w:val="0"/>
                <w:numId w:val="12"/>
              </w:numPr>
              <w:spacing w:before="0" w:after="0"/>
              <w:ind w:left="138" w:hanging="141"/>
              <w:cnfStyle w:val="000000000000" w:firstRow="0" w:lastRow="0" w:firstColumn="0" w:lastColumn="0" w:oddVBand="0" w:evenVBand="0" w:oddHBand="0" w:evenHBand="0" w:firstRowFirstColumn="0" w:firstRowLastColumn="0" w:lastRowFirstColumn="0" w:lastRowLastColumn="0"/>
            </w:pPr>
            <w:r>
              <w:t>Gateway</w:t>
            </w:r>
            <w:r w:rsidRPr="00AE01D3">
              <w:t xml:space="preserve"> </w:t>
            </w:r>
            <w:r>
              <w:t>R</w:t>
            </w:r>
            <w:r w:rsidRPr="00AE01D3">
              <w:t>eview</w:t>
            </w:r>
            <w:r>
              <w:t xml:space="preserve"> and monitoring</w:t>
            </w:r>
            <w:r w:rsidRPr="00AE01D3">
              <w:t xml:space="preserve"> of projects </w:t>
            </w:r>
            <w:r>
              <w:br/>
            </w:r>
            <w:r w:rsidRPr="00AE01D3">
              <w:t>≥ $10 million</w:t>
            </w:r>
            <w:r>
              <w:t>.</w:t>
            </w:r>
            <w:r w:rsidRPr="00AE01D3">
              <w:t xml:space="preserve"> </w:t>
            </w:r>
          </w:p>
          <w:p w14:paraId="4E8E2204" w14:textId="77777777" w:rsidR="00071A02" w:rsidRPr="00C31C55" w:rsidRDefault="00071A02" w:rsidP="0011275A">
            <w:pPr>
              <w:pStyle w:val="ListParagraph"/>
              <w:numPr>
                <w:ilvl w:val="0"/>
                <w:numId w:val="12"/>
              </w:numPr>
              <w:spacing w:before="0" w:after="0"/>
              <w:ind w:left="138" w:hanging="141"/>
              <w:cnfStyle w:val="000000000000" w:firstRow="0" w:lastRow="0" w:firstColumn="0" w:lastColumn="0" w:oddVBand="0" w:evenVBand="0" w:oddHBand="0" w:evenHBand="0" w:firstRowFirstColumn="0" w:firstRowLastColumn="0" w:lastRowFirstColumn="0" w:lastRowLastColumn="0"/>
            </w:pPr>
            <w:r w:rsidRPr="00C31C55">
              <w:t xml:space="preserve">Procurement and delivery of priority projects. </w:t>
            </w:r>
          </w:p>
          <w:p w14:paraId="3DBBDF20" w14:textId="33585B2C" w:rsidR="00071A02" w:rsidRPr="00C31C55" w:rsidRDefault="7C93F224" w:rsidP="0011275A">
            <w:pPr>
              <w:pStyle w:val="ListParagraph"/>
              <w:numPr>
                <w:ilvl w:val="0"/>
                <w:numId w:val="12"/>
              </w:numPr>
              <w:spacing w:before="0" w:after="0"/>
              <w:ind w:left="138" w:hanging="141"/>
              <w:cnfStyle w:val="000000000000" w:firstRow="0" w:lastRow="0" w:firstColumn="0" w:lastColumn="0" w:oddVBand="0" w:evenVBand="0" w:oddHBand="0" w:evenHBand="0" w:firstRowFirstColumn="0" w:firstRowLastColumn="0" w:lastRowFirstColumn="0" w:lastRowLastColumn="0"/>
              <w:rPr>
                <w:sz w:val="18"/>
                <w:szCs w:val="18"/>
              </w:rPr>
            </w:pPr>
            <w:r>
              <w:t>Stewardship of Restart N</w:t>
            </w:r>
            <w:r w:rsidR="493F59D8">
              <w:t xml:space="preserve">ew </w:t>
            </w:r>
            <w:r>
              <w:t>S</w:t>
            </w:r>
            <w:r w:rsidR="747AA77D">
              <w:t xml:space="preserve">outh </w:t>
            </w:r>
            <w:r>
              <w:t>W</w:t>
            </w:r>
            <w:r w:rsidR="279086D0">
              <w:t>ales</w:t>
            </w:r>
            <w:r>
              <w:t xml:space="preserve"> Fund.</w:t>
            </w:r>
          </w:p>
        </w:tc>
        <w:tc>
          <w:tcPr>
            <w:tcW w:w="2580" w:type="dxa"/>
          </w:tcPr>
          <w:p w14:paraId="6B6BA923" w14:textId="77777777" w:rsidR="00071A02" w:rsidRDefault="00071A02" w:rsidP="0011275A">
            <w:pPr>
              <w:pStyle w:val="ListParagraph"/>
              <w:numPr>
                <w:ilvl w:val="0"/>
                <w:numId w:val="12"/>
              </w:numPr>
              <w:spacing w:before="0" w:after="0"/>
              <w:ind w:left="138" w:hanging="141"/>
              <w:cnfStyle w:val="000000000000" w:firstRow="0" w:lastRow="0" w:firstColumn="0" w:lastColumn="0" w:oddVBand="0" w:evenVBand="0" w:oddHBand="0" w:evenHBand="0" w:firstRowFirstColumn="0" w:firstRowLastColumn="0" w:lastRowFirstColumn="0" w:lastRowLastColumn="0"/>
            </w:pPr>
            <w:r w:rsidRPr="00C31C55">
              <w:t xml:space="preserve">Deliver </w:t>
            </w:r>
            <w:r>
              <w:t>3</w:t>
            </w:r>
            <w:r w:rsidRPr="00C31C55">
              <w:t>0-Year State Infrastructure Strategy, every</w:t>
            </w:r>
            <w:r>
              <w:t xml:space="preserve"> three to</w:t>
            </w:r>
            <w:r w:rsidRPr="00C31C55">
              <w:t xml:space="preserve"> five years.</w:t>
            </w:r>
          </w:p>
          <w:p w14:paraId="1C448DBE" w14:textId="77777777" w:rsidR="00071A02" w:rsidRDefault="00071A02" w:rsidP="0011275A">
            <w:pPr>
              <w:pStyle w:val="ListParagraph"/>
              <w:numPr>
                <w:ilvl w:val="0"/>
                <w:numId w:val="12"/>
              </w:numPr>
              <w:spacing w:before="0" w:after="0"/>
              <w:ind w:left="138" w:hanging="141"/>
              <w:cnfStyle w:val="000000000000" w:firstRow="0" w:lastRow="0" w:firstColumn="0" w:lastColumn="0" w:oddVBand="0" w:evenVBand="0" w:oddHBand="0" w:evenHBand="0" w:firstRowFirstColumn="0" w:firstRowLastColumn="0" w:lastRowFirstColumn="0" w:lastRowLastColumn="0"/>
            </w:pPr>
            <w:r w:rsidRPr="00C31C55">
              <w:t>Provide independent advice on</w:t>
            </w:r>
            <w:r>
              <w:t xml:space="preserve"> to Victorian Government on </w:t>
            </w:r>
            <w:r w:rsidRPr="00C31C55">
              <w:t xml:space="preserve">infrastructure </w:t>
            </w:r>
            <w:r>
              <w:t>matters.</w:t>
            </w:r>
          </w:p>
          <w:p w14:paraId="0CFE6667" w14:textId="77777777" w:rsidR="00071A02" w:rsidRDefault="00071A02" w:rsidP="0011275A">
            <w:pPr>
              <w:pStyle w:val="ListParagraph"/>
              <w:numPr>
                <w:ilvl w:val="0"/>
                <w:numId w:val="12"/>
              </w:numPr>
              <w:spacing w:before="0" w:after="0"/>
              <w:ind w:left="138" w:hanging="141"/>
              <w:cnfStyle w:val="000000000000" w:firstRow="0" w:lastRow="0" w:firstColumn="0" w:lastColumn="0" w:oddVBand="0" w:evenVBand="0" w:oddHBand="0" w:evenHBand="0" w:firstRowFirstColumn="0" w:firstRowLastColumn="0" w:lastRowFirstColumn="0" w:lastRowLastColumn="0"/>
            </w:pPr>
            <w:r>
              <w:t>Publish original research on infrastructure matters.</w:t>
            </w:r>
          </w:p>
          <w:p w14:paraId="16AB2F9F" w14:textId="77777777" w:rsidR="00071A02" w:rsidRPr="00C31C55" w:rsidRDefault="00071A02" w:rsidP="0011275A">
            <w:pPr>
              <w:pStyle w:val="ListParagraph"/>
              <w:numPr>
                <w:ilvl w:val="0"/>
                <w:numId w:val="12"/>
              </w:numPr>
              <w:spacing w:before="0" w:after="0"/>
              <w:ind w:left="138" w:hanging="141"/>
              <w:cnfStyle w:val="000000000000" w:firstRow="0" w:lastRow="0" w:firstColumn="0" w:lastColumn="0" w:oddVBand="0" w:evenVBand="0" w:oddHBand="0" w:evenHBand="0" w:firstRowFirstColumn="0" w:firstRowLastColumn="0" w:lastRowFirstColumn="0" w:lastRowLastColumn="0"/>
            </w:pPr>
            <w:r>
              <w:t>Assist Victorian government agencies in the development of sectoral infrastructure plans.</w:t>
            </w:r>
          </w:p>
          <w:p w14:paraId="404EB510" w14:textId="77777777" w:rsidR="00071A02" w:rsidRPr="00337606" w:rsidRDefault="00071A02" w:rsidP="00CE5DE2">
            <w:pPr>
              <w:cnfStyle w:val="000000000000" w:firstRow="0" w:lastRow="0" w:firstColumn="0" w:lastColumn="0" w:oddVBand="0" w:evenVBand="0" w:oddHBand="0" w:evenHBand="0" w:firstRowFirstColumn="0" w:firstRowLastColumn="0" w:lastRowFirstColumn="0" w:lastRowLastColumn="0"/>
              <w:rPr>
                <w:sz w:val="18"/>
                <w:szCs w:val="18"/>
              </w:rPr>
            </w:pPr>
          </w:p>
        </w:tc>
        <w:tc>
          <w:tcPr>
            <w:tcW w:w="2415" w:type="dxa"/>
          </w:tcPr>
          <w:p w14:paraId="2684F989" w14:textId="77777777" w:rsidR="00071A02" w:rsidRDefault="00071A02" w:rsidP="0011275A">
            <w:pPr>
              <w:pStyle w:val="ListParagraph"/>
              <w:numPr>
                <w:ilvl w:val="0"/>
                <w:numId w:val="12"/>
              </w:numPr>
              <w:spacing w:before="0" w:after="0"/>
              <w:ind w:left="138" w:hanging="141"/>
              <w:cnfStyle w:val="000000000000" w:firstRow="0" w:lastRow="0" w:firstColumn="0" w:lastColumn="0" w:oddVBand="0" w:evenVBand="0" w:oddHBand="0" w:evenHBand="0" w:firstRowFirstColumn="0" w:firstRowLastColumn="0" w:lastRowFirstColumn="0" w:lastRowLastColumn="0"/>
            </w:pPr>
            <w:r w:rsidRPr="00C31C55">
              <w:t>Deliver 20-Year State Infrastructure Strategy, every five years.</w:t>
            </w:r>
          </w:p>
          <w:p w14:paraId="5665C4A0" w14:textId="1DBF44AD" w:rsidR="00071A02" w:rsidRPr="00C31C55" w:rsidRDefault="7C93F224" w:rsidP="0011275A">
            <w:pPr>
              <w:pStyle w:val="ListParagraph"/>
              <w:numPr>
                <w:ilvl w:val="0"/>
                <w:numId w:val="12"/>
              </w:numPr>
              <w:spacing w:before="0" w:after="0"/>
              <w:ind w:left="138" w:hanging="141"/>
              <w:cnfStyle w:val="000000000000" w:firstRow="0" w:lastRow="0" w:firstColumn="0" w:lastColumn="0" w:oddVBand="0" w:evenVBand="0" w:oddHBand="0" w:evenHBand="0" w:firstRowFirstColumn="0" w:firstRowLastColumn="0" w:lastRowFirstColumn="0" w:lastRowLastColumn="0"/>
            </w:pPr>
            <w:r>
              <w:t>Provide independent advice to S</w:t>
            </w:r>
            <w:r w:rsidR="11786915">
              <w:t xml:space="preserve">outh </w:t>
            </w:r>
            <w:r>
              <w:t>A</w:t>
            </w:r>
            <w:r w:rsidR="3AB7956F">
              <w:t>ustralia</w:t>
            </w:r>
            <w:r>
              <w:t xml:space="preserve"> Government on infrastructure matters.</w:t>
            </w:r>
          </w:p>
          <w:p w14:paraId="19350F62" w14:textId="77777777" w:rsidR="00071A02" w:rsidRDefault="00071A02" w:rsidP="0011275A">
            <w:pPr>
              <w:pStyle w:val="ListParagraph"/>
              <w:numPr>
                <w:ilvl w:val="0"/>
                <w:numId w:val="12"/>
              </w:numPr>
              <w:spacing w:before="0" w:after="0"/>
              <w:ind w:left="138" w:hanging="141"/>
              <w:cnfStyle w:val="000000000000" w:firstRow="0" w:lastRow="0" w:firstColumn="0" w:lastColumn="0" w:oddVBand="0" w:evenVBand="0" w:oddHBand="0" w:evenHBand="0" w:firstRowFirstColumn="0" w:firstRowLastColumn="0" w:lastRowFirstColumn="0" w:lastRowLastColumn="0"/>
            </w:pPr>
            <w:r w:rsidRPr="5C7F75D4">
              <w:t>Gateway Review and monitoring of projects ≥ $50 million.</w:t>
            </w:r>
          </w:p>
          <w:p w14:paraId="239BF39A" w14:textId="77777777" w:rsidR="00071A02" w:rsidRPr="00A84F8A" w:rsidRDefault="00071A02" w:rsidP="0011275A">
            <w:pPr>
              <w:pStyle w:val="ListParagraph"/>
              <w:numPr>
                <w:ilvl w:val="0"/>
                <w:numId w:val="12"/>
              </w:numPr>
              <w:spacing w:before="0" w:after="0"/>
              <w:ind w:left="138" w:hanging="141"/>
              <w:cnfStyle w:val="000000000000" w:firstRow="0" w:lastRow="0" w:firstColumn="0" w:lastColumn="0" w:oddVBand="0" w:evenVBand="0" w:oddHBand="0" w:evenHBand="0" w:firstRowFirstColumn="0" w:firstRowLastColumn="0" w:lastRowFirstColumn="0" w:lastRowLastColumn="0"/>
            </w:pPr>
            <w:r>
              <w:t>P</w:t>
            </w:r>
            <w:r w:rsidRPr="007A2625">
              <w:t>rioritise potential major projects for government decisions.</w:t>
            </w:r>
          </w:p>
        </w:tc>
        <w:tc>
          <w:tcPr>
            <w:tcW w:w="2422" w:type="dxa"/>
          </w:tcPr>
          <w:p w14:paraId="30DD1BFC" w14:textId="77777777" w:rsidR="00071A02" w:rsidRDefault="00071A02" w:rsidP="0011275A">
            <w:pPr>
              <w:pStyle w:val="ListParagraph"/>
              <w:numPr>
                <w:ilvl w:val="0"/>
                <w:numId w:val="12"/>
              </w:numPr>
              <w:spacing w:before="0" w:after="0"/>
              <w:ind w:left="138" w:hanging="141"/>
              <w:cnfStyle w:val="000000000000" w:firstRow="0" w:lastRow="0" w:firstColumn="0" w:lastColumn="0" w:oddVBand="0" w:evenVBand="0" w:oddHBand="0" w:evenHBand="0" w:firstRowFirstColumn="0" w:firstRowLastColumn="0" w:lastRowFirstColumn="0" w:lastRowLastColumn="0"/>
            </w:pPr>
            <w:r w:rsidRPr="00C31C55">
              <w:t>Deliver 20-Year State Infrastructure Strategy, every five years.</w:t>
            </w:r>
          </w:p>
          <w:p w14:paraId="2D875F80" w14:textId="577D5EDD" w:rsidR="00071A02" w:rsidRPr="00C31C55" w:rsidRDefault="7C93F224" w:rsidP="0011275A">
            <w:pPr>
              <w:pStyle w:val="ListParagraph"/>
              <w:numPr>
                <w:ilvl w:val="0"/>
                <w:numId w:val="12"/>
              </w:numPr>
              <w:spacing w:before="0" w:after="0"/>
              <w:ind w:left="138" w:hanging="141"/>
              <w:cnfStyle w:val="000000000000" w:firstRow="0" w:lastRow="0" w:firstColumn="0" w:lastColumn="0" w:oddVBand="0" w:evenVBand="0" w:oddHBand="0" w:evenHBand="0" w:firstRowFirstColumn="0" w:firstRowLastColumn="0" w:lastRowFirstColumn="0" w:lastRowLastColumn="0"/>
            </w:pPr>
            <w:r>
              <w:t>Provide independent advice to W</w:t>
            </w:r>
            <w:r w:rsidR="5E57A5A6">
              <w:t xml:space="preserve">estern </w:t>
            </w:r>
            <w:r>
              <w:t>A</w:t>
            </w:r>
            <w:r w:rsidR="3242A0EF">
              <w:t>ustralia</w:t>
            </w:r>
            <w:r>
              <w:t xml:space="preserve"> Government on infrastructure matters.</w:t>
            </w:r>
          </w:p>
          <w:p w14:paraId="3D6779E2" w14:textId="77777777" w:rsidR="00071A02" w:rsidRDefault="00071A02" w:rsidP="0011275A">
            <w:pPr>
              <w:pStyle w:val="ListParagraph"/>
              <w:numPr>
                <w:ilvl w:val="0"/>
                <w:numId w:val="12"/>
              </w:numPr>
              <w:spacing w:before="0" w:after="0"/>
              <w:ind w:left="138" w:hanging="141"/>
              <w:cnfStyle w:val="000000000000" w:firstRow="0" w:lastRow="0" w:firstColumn="0" w:lastColumn="0" w:oddVBand="0" w:evenVBand="0" w:oddHBand="0" w:evenHBand="0" w:firstRowFirstColumn="0" w:firstRowLastColumn="0" w:lastRowFirstColumn="0" w:lastRowLastColumn="0"/>
            </w:pPr>
            <w:r>
              <w:t>Assess major infrastructure proposals.</w:t>
            </w:r>
          </w:p>
          <w:p w14:paraId="45BB9869" w14:textId="3B053323" w:rsidR="00071A02" w:rsidRDefault="7C93F224" w:rsidP="0011275A">
            <w:pPr>
              <w:pStyle w:val="ListParagraph"/>
              <w:numPr>
                <w:ilvl w:val="0"/>
                <w:numId w:val="12"/>
              </w:numPr>
              <w:spacing w:before="0" w:after="0"/>
              <w:ind w:left="138" w:hanging="141"/>
              <w:cnfStyle w:val="000000000000" w:firstRow="0" w:lastRow="0" w:firstColumn="0" w:lastColumn="0" w:oddVBand="0" w:evenVBand="0" w:oddHBand="0" w:evenHBand="0" w:firstRowFirstColumn="0" w:firstRowLastColumn="0" w:lastRowFirstColumn="0" w:lastRowLastColumn="0"/>
            </w:pPr>
            <w:r>
              <w:t>Assist W</w:t>
            </w:r>
            <w:r w:rsidR="6FFFBD0E">
              <w:t xml:space="preserve">estern </w:t>
            </w:r>
            <w:r>
              <w:t>A</w:t>
            </w:r>
            <w:r w:rsidR="77809BED">
              <w:t>ustralia</w:t>
            </w:r>
            <w:r>
              <w:t xml:space="preserve"> government agencies in the development of infrastructure plans.</w:t>
            </w:r>
          </w:p>
          <w:p w14:paraId="5A4EED0E" w14:textId="2EBD3A35" w:rsidR="00071A02" w:rsidRPr="00553DEE" w:rsidRDefault="7C93F224" w:rsidP="00553DEE">
            <w:pPr>
              <w:pStyle w:val="ListParagraph"/>
              <w:numPr>
                <w:ilvl w:val="0"/>
                <w:numId w:val="12"/>
              </w:numPr>
              <w:spacing w:before="0" w:after="0"/>
              <w:ind w:left="138" w:hanging="141"/>
              <w:cnfStyle w:val="000000000000" w:firstRow="0" w:lastRow="0" w:firstColumn="0" w:lastColumn="0" w:oddVBand="0" w:evenVBand="0" w:oddHBand="0" w:evenHBand="0" w:firstRowFirstColumn="0" w:firstRowLastColumn="0" w:lastRowFirstColumn="0" w:lastRowLastColumn="0"/>
            </w:pPr>
            <w:r>
              <w:t>Review and report to W</w:t>
            </w:r>
            <w:r w:rsidR="1BC3E59A">
              <w:t xml:space="preserve">estern </w:t>
            </w:r>
            <w:r>
              <w:t>A</w:t>
            </w:r>
            <w:r w:rsidR="7FBB00AE">
              <w:t>ustralia</w:t>
            </w:r>
            <w:r>
              <w:t xml:space="preserve"> Government on completed projects</w:t>
            </w:r>
          </w:p>
        </w:tc>
        <w:tc>
          <w:tcPr>
            <w:tcW w:w="2472" w:type="dxa"/>
          </w:tcPr>
          <w:p w14:paraId="20E90CC0" w14:textId="77777777" w:rsidR="00071A02" w:rsidRDefault="00071A02" w:rsidP="0011275A">
            <w:pPr>
              <w:pStyle w:val="ListParagraph"/>
              <w:numPr>
                <w:ilvl w:val="0"/>
                <w:numId w:val="12"/>
              </w:numPr>
              <w:spacing w:before="0" w:after="0"/>
              <w:ind w:left="138" w:hanging="141"/>
              <w:cnfStyle w:val="000000000000" w:firstRow="0" w:lastRow="0" w:firstColumn="0" w:lastColumn="0" w:oddVBand="0" w:evenVBand="0" w:oddHBand="0" w:evenHBand="0" w:firstRowFirstColumn="0" w:firstRowLastColumn="0" w:lastRowFirstColumn="0" w:lastRowLastColumn="0"/>
            </w:pPr>
            <w:r w:rsidRPr="0059489E">
              <w:t>Del</w:t>
            </w:r>
            <w:r>
              <w:t>iver 30-Year Infrastructure Strategy.</w:t>
            </w:r>
          </w:p>
          <w:p w14:paraId="279AF359" w14:textId="77777777" w:rsidR="00071A02" w:rsidRDefault="00071A02" w:rsidP="0011275A">
            <w:pPr>
              <w:pStyle w:val="ListParagraph"/>
              <w:numPr>
                <w:ilvl w:val="0"/>
                <w:numId w:val="12"/>
              </w:numPr>
              <w:spacing w:before="0" w:after="0"/>
              <w:ind w:left="138" w:hanging="141"/>
              <w:cnfStyle w:val="000000000000" w:firstRow="0" w:lastRow="0" w:firstColumn="0" w:lastColumn="0" w:oddVBand="0" w:evenVBand="0" w:oddHBand="0" w:evenHBand="0" w:firstRowFirstColumn="0" w:firstRowLastColumn="0" w:lastRowFirstColumn="0" w:lastRowLastColumn="0"/>
            </w:pPr>
            <w:r w:rsidRPr="009F77E5">
              <w:t xml:space="preserve">Provide </w:t>
            </w:r>
            <w:r>
              <w:t xml:space="preserve">objective </w:t>
            </w:r>
            <w:r w:rsidRPr="009F77E5">
              <w:t xml:space="preserve">advice </w:t>
            </w:r>
            <w:r>
              <w:t>to</w:t>
            </w:r>
            <w:r w:rsidRPr="009F77E5">
              <w:t xml:space="preserve"> </w:t>
            </w:r>
            <w:r>
              <w:t xml:space="preserve">Tasmanian </w:t>
            </w:r>
            <w:r w:rsidRPr="009F77E5">
              <w:t xml:space="preserve">Government </w:t>
            </w:r>
            <w:r>
              <w:t>on infrastructure matters</w:t>
            </w:r>
            <w:r w:rsidRPr="009F77E5">
              <w:t>.</w:t>
            </w:r>
          </w:p>
          <w:p w14:paraId="7E766FC0" w14:textId="77777777" w:rsidR="00071A02" w:rsidRPr="009F77E5" w:rsidRDefault="00071A02" w:rsidP="0011275A">
            <w:pPr>
              <w:pStyle w:val="ListParagraph"/>
              <w:numPr>
                <w:ilvl w:val="0"/>
                <w:numId w:val="12"/>
              </w:numPr>
              <w:spacing w:before="0" w:after="0"/>
              <w:ind w:left="138" w:hanging="141"/>
              <w:cnfStyle w:val="000000000000" w:firstRow="0" w:lastRow="0" w:firstColumn="0" w:lastColumn="0" w:oddVBand="0" w:evenVBand="0" w:oddHBand="0" w:evenHBand="0" w:firstRowFirstColumn="0" w:firstRowLastColumn="0" w:lastRowFirstColumn="0" w:lastRowLastColumn="0"/>
            </w:pPr>
            <w:r w:rsidRPr="009F77E5">
              <w:t>Assess</w:t>
            </w:r>
            <w:r>
              <w:t xml:space="preserve"> and</w:t>
            </w:r>
            <w:r w:rsidRPr="009F77E5">
              <w:t xml:space="preserve"> prioritise </w:t>
            </w:r>
            <w:r>
              <w:t>all</w:t>
            </w:r>
            <w:r w:rsidRPr="009F77E5">
              <w:t xml:space="preserve"> major </w:t>
            </w:r>
            <w:r>
              <w:t>publicly funded</w:t>
            </w:r>
            <w:r w:rsidRPr="009F77E5">
              <w:t xml:space="preserve"> infrastructure proposals</w:t>
            </w:r>
            <w:r>
              <w:t>.</w:t>
            </w:r>
          </w:p>
          <w:p w14:paraId="20AA1176" w14:textId="18D14EF7" w:rsidR="00071A02" w:rsidRPr="0059489E" w:rsidRDefault="3BF57F06" w:rsidP="0011275A">
            <w:pPr>
              <w:pStyle w:val="ListParagraph"/>
              <w:numPr>
                <w:ilvl w:val="0"/>
                <w:numId w:val="12"/>
              </w:numPr>
              <w:spacing w:before="0" w:after="0"/>
              <w:ind w:left="138" w:hanging="141"/>
              <w:cnfStyle w:val="000000000000" w:firstRow="0" w:lastRow="0" w:firstColumn="0" w:lastColumn="0" w:oddVBand="0" w:evenVBand="0" w:oddHBand="0" w:evenHBand="0" w:firstRowFirstColumn="0" w:firstRowLastColumn="0" w:lastRowFirstColumn="0" w:lastRowLastColumn="0"/>
            </w:pPr>
            <w:r>
              <w:t>Develop project pipeline across local and state government</w:t>
            </w:r>
            <w:r w:rsidR="66FDF15D">
              <w:t>.</w:t>
            </w:r>
          </w:p>
          <w:p w14:paraId="376CA752" w14:textId="77777777" w:rsidR="00071A02" w:rsidRPr="00337606" w:rsidRDefault="00071A02" w:rsidP="0011275A">
            <w:pPr>
              <w:pStyle w:val="ListParagraph"/>
              <w:numPr>
                <w:ilvl w:val="0"/>
                <w:numId w:val="12"/>
              </w:numPr>
              <w:spacing w:before="0" w:after="0"/>
              <w:ind w:left="138" w:hanging="141"/>
              <w:cnfStyle w:val="000000000000" w:firstRow="0" w:lastRow="0" w:firstColumn="0" w:lastColumn="0" w:oddVBand="0" w:evenVBand="0" w:oddHBand="0" w:evenHBand="0" w:firstRowFirstColumn="0" w:firstRowLastColumn="0" w:lastRowFirstColumn="0" w:lastRowLastColumn="0"/>
              <w:rPr>
                <w:sz w:val="18"/>
                <w:szCs w:val="18"/>
              </w:rPr>
            </w:pPr>
            <w:r w:rsidRPr="0059489E">
              <w:t>Co-ordinate all infrastructure funding submissions to State and Commonwealth governments</w:t>
            </w:r>
            <w:r>
              <w:t>.</w:t>
            </w:r>
          </w:p>
        </w:tc>
        <w:tc>
          <w:tcPr>
            <w:tcW w:w="2473" w:type="dxa"/>
          </w:tcPr>
          <w:p w14:paraId="5E5BCB41" w14:textId="303C4AE5" w:rsidR="00071A02" w:rsidRDefault="7C93F224" w:rsidP="0011275A">
            <w:pPr>
              <w:pStyle w:val="ListParagraph"/>
              <w:numPr>
                <w:ilvl w:val="0"/>
                <w:numId w:val="12"/>
              </w:numPr>
              <w:spacing w:before="0" w:after="0"/>
              <w:ind w:left="138" w:hanging="141"/>
              <w:cnfStyle w:val="000000000000" w:firstRow="0" w:lastRow="0" w:firstColumn="0" w:lastColumn="0" w:oddVBand="0" w:evenVBand="0" w:oddHBand="0" w:evenHBand="0" w:firstRowFirstColumn="0" w:firstRowLastColumn="0" w:lastRowFirstColumn="0" w:lastRowLastColumn="0"/>
            </w:pPr>
            <w:r>
              <w:t>Develop N</w:t>
            </w:r>
            <w:r w:rsidR="23C7B381">
              <w:t xml:space="preserve">orthern </w:t>
            </w:r>
            <w:r>
              <w:t>T</w:t>
            </w:r>
            <w:r w:rsidR="21CB8334">
              <w:t>erritory</w:t>
            </w:r>
            <w:r>
              <w:t xml:space="preserve"> Infrastructure Strategy, Audit, Plan and Pipeline.</w:t>
            </w:r>
          </w:p>
          <w:p w14:paraId="02916DFC" w14:textId="77777777" w:rsidR="00071A02" w:rsidRPr="007D68BA" w:rsidRDefault="7C93F224" w:rsidP="0011275A">
            <w:pPr>
              <w:pStyle w:val="ListParagraph"/>
              <w:numPr>
                <w:ilvl w:val="0"/>
                <w:numId w:val="12"/>
              </w:numPr>
              <w:spacing w:before="0" w:after="0"/>
              <w:ind w:left="138" w:hanging="141"/>
              <w:cnfStyle w:val="000000000000" w:firstRow="0" w:lastRow="0" w:firstColumn="0" w:lastColumn="0" w:oddVBand="0" w:evenVBand="0" w:oddHBand="0" w:evenHBand="0" w:firstRowFirstColumn="0" w:firstRowLastColumn="0" w:lastRowFirstColumn="0" w:lastRowLastColumn="0"/>
            </w:pPr>
            <w:r w:rsidRPr="007D68BA">
              <w:t>Oversight of business cases and concept plans for priority projects.</w:t>
            </w:r>
          </w:p>
          <w:p w14:paraId="20350935" w14:textId="77777777" w:rsidR="00071A02" w:rsidRPr="00337606" w:rsidRDefault="00071A02" w:rsidP="0011275A">
            <w:pPr>
              <w:pStyle w:val="ListParagraph"/>
              <w:numPr>
                <w:ilvl w:val="0"/>
                <w:numId w:val="12"/>
              </w:numPr>
              <w:spacing w:before="0" w:after="0"/>
              <w:ind w:left="138" w:hanging="141"/>
              <w:cnfStyle w:val="000000000000" w:firstRow="0" w:lastRow="0" w:firstColumn="0" w:lastColumn="0" w:oddVBand="0" w:evenVBand="0" w:oddHBand="0" w:evenHBand="0" w:firstRowFirstColumn="0" w:firstRowLastColumn="0" w:lastRowFirstColumn="0" w:lastRowLastColumn="0"/>
              <w:rPr>
                <w:sz w:val="18"/>
                <w:szCs w:val="18"/>
              </w:rPr>
            </w:pPr>
            <w:r>
              <w:t>Management and delivery of significant enabling in</w:t>
            </w:r>
            <w:r w:rsidRPr="005B4E5F">
              <w:t>frastructure projects</w:t>
            </w:r>
            <w:r>
              <w:t>.</w:t>
            </w:r>
          </w:p>
        </w:tc>
        <w:tc>
          <w:tcPr>
            <w:tcW w:w="2472" w:type="dxa"/>
          </w:tcPr>
          <w:p w14:paraId="2DAEF3A0" w14:textId="77777777" w:rsidR="00071A02" w:rsidRDefault="00071A02" w:rsidP="0011275A">
            <w:pPr>
              <w:pStyle w:val="ListParagraph"/>
              <w:numPr>
                <w:ilvl w:val="0"/>
                <w:numId w:val="12"/>
              </w:numPr>
              <w:spacing w:before="0" w:after="0"/>
              <w:ind w:left="138" w:hanging="141"/>
              <w:cnfStyle w:val="000000000000" w:firstRow="0" w:lastRow="0" w:firstColumn="0" w:lastColumn="0" w:oddVBand="0" w:evenVBand="0" w:oddHBand="0" w:evenHBand="0" w:firstRowFirstColumn="0" w:firstRowLastColumn="0" w:lastRowFirstColumn="0" w:lastRowLastColumn="0"/>
            </w:pPr>
            <w:r w:rsidRPr="00C31C55">
              <w:t xml:space="preserve">Deliver 20-Year State Infrastructure Strategy, every </w:t>
            </w:r>
            <w:r>
              <w:t>four</w:t>
            </w:r>
            <w:r w:rsidRPr="00C31C55">
              <w:t xml:space="preserve"> years.</w:t>
            </w:r>
          </w:p>
          <w:p w14:paraId="2BC5028A" w14:textId="1DA262E0" w:rsidR="00071A02" w:rsidRDefault="7C93F224" w:rsidP="0011275A">
            <w:pPr>
              <w:pStyle w:val="ListParagraph"/>
              <w:numPr>
                <w:ilvl w:val="0"/>
                <w:numId w:val="12"/>
              </w:numPr>
              <w:spacing w:before="0" w:after="0"/>
              <w:ind w:left="138" w:hanging="141"/>
              <w:cnfStyle w:val="000000000000" w:firstRow="0" w:lastRow="0" w:firstColumn="0" w:lastColumn="0" w:oddVBand="0" w:evenVBand="0" w:oddHBand="0" w:evenHBand="0" w:firstRowFirstColumn="0" w:firstRowLastColumn="0" w:lastRowFirstColumn="0" w:lastRowLastColumn="0"/>
            </w:pPr>
            <w:r>
              <w:t>Deliver a Q</w:t>
            </w:r>
            <w:r w:rsidR="5AC486CC">
              <w:t>ueens</w:t>
            </w:r>
            <w:r>
              <w:t>l</w:t>
            </w:r>
            <w:r w:rsidR="1690B000">
              <w:t>an</w:t>
            </w:r>
            <w:r>
              <w:t>d Government Infrastructure Pipeline.</w:t>
            </w:r>
          </w:p>
          <w:p w14:paraId="3FFF3190" w14:textId="77777777" w:rsidR="00071A02" w:rsidRDefault="00071A02" w:rsidP="0011275A">
            <w:pPr>
              <w:pStyle w:val="ListParagraph"/>
              <w:numPr>
                <w:ilvl w:val="0"/>
                <w:numId w:val="12"/>
              </w:numPr>
              <w:spacing w:before="0" w:after="0"/>
              <w:ind w:left="138" w:hanging="141"/>
              <w:cnfStyle w:val="000000000000" w:firstRow="0" w:lastRow="0" w:firstColumn="0" w:lastColumn="0" w:oddVBand="0" w:evenVBand="0" w:oddHBand="0" w:evenHBand="0" w:firstRowFirstColumn="0" w:firstRowLastColumn="0" w:lastRowFirstColumn="0" w:lastRowLastColumn="0"/>
            </w:pPr>
            <w:r>
              <w:t>Provide leadership through a whole-of-government approach to infrastructure planning, investment, delivery and management.</w:t>
            </w:r>
          </w:p>
          <w:p w14:paraId="3C1D3B74" w14:textId="7F846FDD" w:rsidR="00071A02" w:rsidRPr="0018470A" w:rsidRDefault="7C93F224" w:rsidP="0011275A">
            <w:pPr>
              <w:pStyle w:val="ListParagraph"/>
              <w:numPr>
                <w:ilvl w:val="0"/>
                <w:numId w:val="12"/>
              </w:numPr>
              <w:spacing w:before="0" w:after="0"/>
              <w:ind w:left="138" w:hanging="141"/>
              <w:cnfStyle w:val="000000000000" w:firstRow="0" w:lastRow="0" w:firstColumn="0" w:lastColumn="0" w:oddVBand="0" w:evenVBand="0" w:oddHBand="0" w:evenHBand="0" w:firstRowFirstColumn="0" w:firstRowLastColumn="0" w:lastRowFirstColumn="0" w:lastRowLastColumn="0"/>
            </w:pPr>
            <w:r>
              <w:t>Administer the Business Case Development Framework and assist Q</w:t>
            </w:r>
            <w:r w:rsidR="74E03663">
              <w:t>ueens</w:t>
            </w:r>
            <w:r>
              <w:t>l</w:t>
            </w:r>
            <w:r w:rsidR="3BBEC481">
              <w:t>an</w:t>
            </w:r>
            <w:r>
              <w:t>d government agencies to develop robust business cases.</w:t>
            </w:r>
          </w:p>
        </w:tc>
        <w:tc>
          <w:tcPr>
            <w:tcW w:w="2473" w:type="dxa"/>
          </w:tcPr>
          <w:p w14:paraId="487E9853" w14:textId="77777777" w:rsidR="00071A02" w:rsidRDefault="00071A02" w:rsidP="0011275A">
            <w:pPr>
              <w:pStyle w:val="ListParagraph"/>
              <w:numPr>
                <w:ilvl w:val="0"/>
                <w:numId w:val="12"/>
              </w:numPr>
              <w:spacing w:before="0" w:after="0"/>
              <w:ind w:left="138" w:hanging="141"/>
              <w:cnfStyle w:val="000000000000" w:firstRow="0" w:lastRow="0" w:firstColumn="0" w:lastColumn="0" w:oddVBand="0" w:evenVBand="0" w:oddHBand="0" w:evenHBand="0" w:firstRowFirstColumn="0" w:firstRowLastColumn="0" w:lastRowFirstColumn="0" w:lastRowLastColumn="0"/>
            </w:pPr>
            <w:r>
              <w:t>Deliver a 10-Year Infrastructure Plan.</w:t>
            </w:r>
          </w:p>
          <w:p w14:paraId="3BA6710F" w14:textId="1612AA12" w:rsidR="00071A02" w:rsidRPr="00057A3D" w:rsidRDefault="7C93F224" w:rsidP="0011275A">
            <w:pPr>
              <w:pStyle w:val="ListParagraph"/>
              <w:numPr>
                <w:ilvl w:val="0"/>
                <w:numId w:val="12"/>
              </w:numPr>
              <w:spacing w:before="0" w:after="0"/>
              <w:ind w:left="138" w:hanging="141"/>
              <w:cnfStyle w:val="000000000000" w:firstRow="0" w:lastRow="0" w:firstColumn="0" w:lastColumn="0" w:oddVBand="0" w:evenVBand="0" w:oddHBand="0" w:evenHBand="0" w:firstRowFirstColumn="0" w:firstRowLastColumn="0" w:lastRowFirstColumn="0" w:lastRowLastColumn="0"/>
            </w:pPr>
            <w:r>
              <w:t>Provide advice to A</w:t>
            </w:r>
            <w:r w:rsidR="084BE5DD">
              <w:t xml:space="preserve">ustralian </w:t>
            </w:r>
            <w:r>
              <w:t>C</w:t>
            </w:r>
            <w:r w:rsidR="7B219080">
              <w:t xml:space="preserve">apital </w:t>
            </w:r>
            <w:r>
              <w:t>T</w:t>
            </w:r>
            <w:r w:rsidR="1B2AA9E8">
              <w:t>erritory</w:t>
            </w:r>
            <w:r>
              <w:t xml:space="preserve"> Government on the development of infrastructure projects within the Capital Framework, which includes a pre-funding business case review.</w:t>
            </w:r>
          </w:p>
          <w:p w14:paraId="7B4C1C2B" w14:textId="77777777" w:rsidR="00071A02" w:rsidRPr="00057A3D" w:rsidRDefault="00071A02" w:rsidP="0011275A">
            <w:pPr>
              <w:pStyle w:val="ListParagraph"/>
              <w:numPr>
                <w:ilvl w:val="0"/>
                <w:numId w:val="12"/>
              </w:numPr>
              <w:spacing w:before="0" w:after="0"/>
              <w:ind w:left="138" w:hanging="141"/>
              <w:cnfStyle w:val="000000000000" w:firstRow="0" w:lastRow="0" w:firstColumn="0" w:lastColumn="0" w:oddVBand="0" w:evenVBand="0" w:oddHBand="0" w:evenHBand="0" w:firstRowFirstColumn="0" w:firstRowLastColumn="0" w:lastRowFirstColumn="0" w:lastRowLastColumn="0"/>
            </w:pPr>
            <w:r w:rsidRPr="00057A3D">
              <w:t>Provide financial and commercial advice on the procurement of Public Private Partnerships.</w:t>
            </w:r>
          </w:p>
        </w:tc>
      </w:tr>
      <w:tr w:rsidR="00071A02" w14:paraId="2797EF34" w14:textId="77777777" w:rsidTr="00547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6" w:type="dxa"/>
          </w:tcPr>
          <w:p w14:paraId="38F767D0" w14:textId="77777777" w:rsidR="00071A02" w:rsidRPr="00337606" w:rsidRDefault="00071A02" w:rsidP="00CE5DE2">
            <w:pPr>
              <w:rPr>
                <w:sz w:val="18"/>
                <w:szCs w:val="18"/>
              </w:rPr>
            </w:pPr>
            <w:r w:rsidRPr="5C7F75D4">
              <w:rPr>
                <w:sz w:val="18"/>
                <w:szCs w:val="18"/>
              </w:rPr>
              <w:t>Agencies with complementary infrastructure functions</w:t>
            </w:r>
          </w:p>
        </w:tc>
        <w:tc>
          <w:tcPr>
            <w:tcW w:w="2472" w:type="dxa"/>
          </w:tcPr>
          <w:p w14:paraId="06565F8C" w14:textId="4717B50B" w:rsidR="00071A02" w:rsidRPr="005F3C8C" w:rsidRDefault="66056BDA" w:rsidP="74354148">
            <w:pPr>
              <w:spacing w:before="0" w:after="0"/>
              <w:cnfStyle w:val="000000010000" w:firstRow="0" w:lastRow="0" w:firstColumn="0" w:lastColumn="0" w:oddVBand="0" w:evenVBand="0" w:oddHBand="0" w:evenHBand="1" w:firstRowFirstColumn="0" w:firstRowLastColumn="0" w:lastRowFirstColumn="0" w:lastRowLastColumn="0"/>
              <w:rPr>
                <w:u w:val="single"/>
              </w:rPr>
            </w:pPr>
            <w:r w:rsidRPr="74354148">
              <w:rPr>
                <w:u w:val="single"/>
              </w:rPr>
              <w:t>Treasury N</w:t>
            </w:r>
            <w:r w:rsidR="1834E56F" w:rsidRPr="74354148">
              <w:rPr>
                <w:u w:val="single"/>
              </w:rPr>
              <w:t xml:space="preserve">ew </w:t>
            </w:r>
            <w:r w:rsidRPr="74354148">
              <w:rPr>
                <w:u w:val="single"/>
              </w:rPr>
              <w:t>S</w:t>
            </w:r>
            <w:r w:rsidR="026ACAD5" w:rsidRPr="74354148">
              <w:rPr>
                <w:u w:val="single"/>
              </w:rPr>
              <w:t xml:space="preserve">outh </w:t>
            </w:r>
            <w:r w:rsidRPr="74354148">
              <w:rPr>
                <w:u w:val="single"/>
              </w:rPr>
              <w:t>W</w:t>
            </w:r>
            <w:r w:rsidR="76CE8AA1" w:rsidRPr="74354148">
              <w:rPr>
                <w:u w:val="single"/>
              </w:rPr>
              <w:t>ales</w:t>
            </w:r>
          </w:p>
          <w:p w14:paraId="3A9C2E30" w14:textId="5210A02A" w:rsidR="00071A02" w:rsidRPr="005F3C8C" w:rsidRDefault="7C93F224" w:rsidP="0011275A">
            <w:pPr>
              <w:pStyle w:val="ListParagraph"/>
              <w:numPr>
                <w:ilvl w:val="0"/>
                <w:numId w:val="12"/>
              </w:numPr>
              <w:spacing w:before="0" w:after="0"/>
              <w:ind w:left="138" w:hanging="141"/>
              <w:cnfStyle w:val="000000010000" w:firstRow="0" w:lastRow="0" w:firstColumn="0" w:lastColumn="0" w:oddVBand="0" w:evenVBand="0" w:oddHBand="0" w:evenHBand="1" w:firstRowFirstColumn="0" w:firstRowLastColumn="0" w:lastRowFirstColumn="0" w:lastRowLastColumn="0"/>
              <w:rPr>
                <w:b/>
              </w:rPr>
            </w:pPr>
            <w:r>
              <w:rPr>
                <w:b/>
              </w:rPr>
              <w:t>Administer N</w:t>
            </w:r>
            <w:r w:rsidR="3739006F">
              <w:rPr>
                <w:b/>
              </w:rPr>
              <w:t xml:space="preserve">ew </w:t>
            </w:r>
            <w:r>
              <w:rPr>
                <w:b/>
              </w:rPr>
              <w:t>S</w:t>
            </w:r>
            <w:r w:rsidR="5E050115">
              <w:rPr>
                <w:b/>
              </w:rPr>
              <w:t xml:space="preserve">outh </w:t>
            </w:r>
            <w:r>
              <w:rPr>
                <w:b/>
              </w:rPr>
              <w:t>W</w:t>
            </w:r>
            <w:r w:rsidR="6C25DA54">
              <w:rPr>
                <w:b/>
              </w:rPr>
              <w:t>ales</w:t>
            </w:r>
            <w:r>
              <w:rPr>
                <w:b/>
              </w:rPr>
              <w:t xml:space="preserve"> Gateway Policy. </w:t>
            </w:r>
          </w:p>
          <w:p w14:paraId="14A4C759" w14:textId="77777777" w:rsidR="00071A02" w:rsidRPr="005F3C8C" w:rsidRDefault="00071A02" w:rsidP="74354148">
            <w:pPr>
              <w:spacing w:before="0" w:after="0"/>
              <w:cnfStyle w:val="000000010000" w:firstRow="0" w:lastRow="0" w:firstColumn="0" w:lastColumn="0" w:oddVBand="0" w:evenVBand="0" w:oddHBand="0" w:evenHBand="1" w:firstRowFirstColumn="0" w:firstRowLastColumn="0" w:lastRowFirstColumn="0" w:lastRowLastColumn="0"/>
              <w:rPr>
                <w:b/>
              </w:rPr>
            </w:pPr>
          </w:p>
          <w:p w14:paraId="108067FE" w14:textId="62D93216" w:rsidR="00071A02" w:rsidRPr="005F3C8C" w:rsidRDefault="17DACA6B" w:rsidP="00CE5DE2">
            <w:pPr>
              <w:spacing w:before="0" w:after="0"/>
              <w:cnfStyle w:val="000000010000" w:firstRow="0" w:lastRow="0" w:firstColumn="0" w:lastColumn="0" w:oddVBand="0" w:evenVBand="0" w:oddHBand="0" w:evenHBand="1" w:firstRowFirstColumn="0" w:firstRowLastColumn="0" w:lastRowFirstColumn="0" w:lastRowLastColumn="0"/>
              <w:rPr>
                <w:b/>
                <w:u w:val="single"/>
              </w:rPr>
            </w:pPr>
            <w:r w:rsidRPr="74354148">
              <w:rPr>
                <w:u w:val="single"/>
              </w:rPr>
              <w:t>N</w:t>
            </w:r>
            <w:r w:rsidR="0ADE0D5E" w:rsidRPr="74354148">
              <w:rPr>
                <w:u w:val="single"/>
              </w:rPr>
              <w:t xml:space="preserve">ew </w:t>
            </w:r>
            <w:r w:rsidRPr="74354148">
              <w:rPr>
                <w:u w:val="single"/>
              </w:rPr>
              <w:t>S</w:t>
            </w:r>
            <w:r w:rsidR="7D19CF07" w:rsidRPr="74354148">
              <w:rPr>
                <w:u w:val="single"/>
              </w:rPr>
              <w:t xml:space="preserve">outh </w:t>
            </w:r>
            <w:r w:rsidRPr="74354148">
              <w:rPr>
                <w:u w:val="single"/>
              </w:rPr>
              <w:t>W</w:t>
            </w:r>
            <w:r w:rsidR="11D9A8C5" w:rsidRPr="74354148">
              <w:rPr>
                <w:u w:val="single"/>
              </w:rPr>
              <w:t>ales</w:t>
            </w:r>
            <w:r w:rsidRPr="74354148">
              <w:rPr>
                <w:u w:val="single"/>
              </w:rPr>
              <w:t xml:space="preserve"> Department of Planning and Environment</w:t>
            </w:r>
          </w:p>
          <w:p w14:paraId="292239C4" w14:textId="5B015B38" w:rsidR="00071A02" w:rsidRPr="005F3C8C" w:rsidRDefault="7C93F224" w:rsidP="0011275A">
            <w:pPr>
              <w:pStyle w:val="ListParagraph"/>
              <w:numPr>
                <w:ilvl w:val="0"/>
                <w:numId w:val="12"/>
              </w:numPr>
              <w:spacing w:before="0" w:after="0"/>
              <w:ind w:left="138" w:hanging="141"/>
              <w:cnfStyle w:val="000000010000" w:firstRow="0" w:lastRow="0" w:firstColumn="0" w:lastColumn="0" w:oddVBand="0" w:evenVBand="0" w:oddHBand="0" w:evenHBand="1" w:firstRowFirstColumn="0" w:firstRowLastColumn="0" w:lastRowFirstColumn="0" w:lastRowLastColumn="0"/>
              <w:rPr>
                <w:u w:val="single"/>
              </w:rPr>
            </w:pPr>
            <w:r>
              <w:rPr>
                <w:b/>
              </w:rPr>
              <w:t>Assess proposals for major developments in N</w:t>
            </w:r>
            <w:r w:rsidR="6ADDCBA9">
              <w:rPr>
                <w:b/>
              </w:rPr>
              <w:t xml:space="preserve">ew </w:t>
            </w:r>
            <w:r>
              <w:rPr>
                <w:b/>
              </w:rPr>
              <w:t>S</w:t>
            </w:r>
            <w:r w:rsidR="03EAE908">
              <w:rPr>
                <w:b/>
              </w:rPr>
              <w:t xml:space="preserve">outh </w:t>
            </w:r>
            <w:r>
              <w:rPr>
                <w:b/>
              </w:rPr>
              <w:t>W</w:t>
            </w:r>
            <w:r w:rsidR="6C456DED">
              <w:rPr>
                <w:b/>
              </w:rPr>
              <w:t>ales</w:t>
            </w:r>
            <w:r>
              <w:rPr>
                <w:b/>
              </w:rPr>
              <w:t>, including State Significant Development and State Significant Infrastructure.</w:t>
            </w:r>
          </w:p>
        </w:tc>
        <w:tc>
          <w:tcPr>
            <w:tcW w:w="2580" w:type="dxa"/>
          </w:tcPr>
          <w:p w14:paraId="210EDA6A" w14:textId="77777777" w:rsidR="00071A02" w:rsidRPr="005F3C8C" w:rsidRDefault="00071A02" w:rsidP="00D91597">
            <w:pPr>
              <w:pStyle w:val="ListParagraph"/>
              <w:numPr>
                <w:ilvl w:val="0"/>
                <w:numId w:val="0"/>
              </w:numPr>
              <w:spacing w:before="0" w:after="0"/>
              <w:cnfStyle w:val="000000010000" w:firstRow="0" w:lastRow="0" w:firstColumn="0" w:lastColumn="0" w:oddVBand="0" w:evenVBand="0" w:oddHBand="0" w:evenHBand="1" w:firstRowFirstColumn="0" w:firstRowLastColumn="0" w:lastRowFirstColumn="0" w:lastRowLastColumn="0"/>
              <w:rPr>
                <w:b/>
                <w:u w:val="single"/>
              </w:rPr>
            </w:pPr>
            <w:r w:rsidRPr="005F3C8C">
              <w:rPr>
                <w:u w:val="single"/>
              </w:rPr>
              <w:t>Office of Projects Victoria</w:t>
            </w:r>
          </w:p>
          <w:p w14:paraId="51DDCF8D" w14:textId="77777777" w:rsidR="00071A02" w:rsidRPr="005F3C8C" w:rsidRDefault="00071A02" w:rsidP="0011275A">
            <w:pPr>
              <w:pStyle w:val="ListParagraph"/>
              <w:numPr>
                <w:ilvl w:val="0"/>
                <w:numId w:val="12"/>
              </w:numPr>
              <w:spacing w:before="0" w:after="0"/>
              <w:ind w:left="138" w:hanging="141"/>
              <w:cnfStyle w:val="000000010000" w:firstRow="0" w:lastRow="0" w:firstColumn="0" w:lastColumn="0" w:oddVBand="0" w:evenVBand="0" w:oddHBand="0" w:evenHBand="1" w:firstRowFirstColumn="0" w:firstRowLastColumn="0" w:lastRowFirstColumn="0" w:lastRowLastColumn="0"/>
              <w:rPr>
                <w:b/>
              </w:rPr>
            </w:pPr>
            <w:r w:rsidRPr="005F3C8C">
              <w:rPr>
                <w:b/>
              </w:rPr>
              <w:t>Develop Victorian Major Projects Pipeline.</w:t>
            </w:r>
          </w:p>
          <w:p w14:paraId="45703328" w14:textId="77777777" w:rsidR="00071A02" w:rsidRPr="005F3C8C" w:rsidRDefault="00071A02" w:rsidP="0011275A">
            <w:pPr>
              <w:pStyle w:val="ListParagraph"/>
              <w:numPr>
                <w:ilvl w:val="0"/>
                <w:numId w:val="12"/>
              </w:numPr>
              <w:spacing w:before="0" w:after="0"/>
              <w:ind w:left="138" w:hanging="141"/>
              <w:cnfStyle w:val="000000010000" w:firstRow="0" w:lastRow="0" w:firstColumn="0" w:lastColumn="0" w:oddVBand="0" w:evenVBand="0" w:oddHBand="0" w:evenHBand="1" w:firstRowFirstColumn="0" w:firstRowLastColumn="0" w:lastRowFirstColumn="0" w:lastRowLastColumn="0"/>
              <w:rPr>
                <w:b/>
              </w:rPr>
            </w:pPr>
            <w:r w:rsidRPr="005F3C8C">
              <w:rPr>
                <w:b/>
              </w:rPr>
              <w:t>Advise Victorian Government on developing and building major infrastructure projects.</w:t>
            </w:r>
          </w:p>
          <w:p w14:paraId="7C6764B0" w14:textId="77777777" w:rsidR="00071A02" w:rsidRPr="005F3C8C" w:rsidRDefault="00071A02" w:rsidP="0011275A">
            <w:pPr>
              <w:pStyle w:val="ListParagraph"/>
              <w:numPr>
                <w:ilvl w:val="0"/>
                <w:numId w:val="12"/>
              </w:numPr>
              <w:spacing w:before="0" w:after="0"/>
              <w:ind w:left="138" w:hanging="141"/>
              <w:cnfStyle w:val="000000010000" w:firstRow="0" w:lastRow="0" w:firstColumn="0" w:lastColumn="0" w:oddVBand="0" w:evenVBand="0" w:oddHBand="0" w:evenHBand="1" w:firstRowFirstColumn="0" w:firstRowLastColumn="0" w:lastRowFirstColumn="0" w:lastRowLastColumn="0"/>
              <w:rPr>
                <w:b/>
              </w:rPr>
            </w:pPr>
            <w:r w:rsidRPr="005F3C8C">
              <w:rPr>
                <w:b/>
              </w:rPr>
              <w:t>Monitor delivery of infrastructure projects.</w:t>
            </w:r>
          </w:p>
          <w:p w14:paraId="6CCFEFC6" w14:textId="4D0AB0E1" w:rsidR="00071A02" w:rsidRPr="00D91597" w:rsidRDefault="00071A02" w:rsidP="00D91597">
            <w:pPr>
              <w:pStyle w:val="ListParagraph"/>
              <w:numPr>
                <w:ilvl w:val="0"/>
                <w:numId w:val="12"/>
              </w:numPr>
              <w:spacing w:before="0" w:after="0"/>
              <w:ind w:left="138" w:hanging="141"/>
              <w:cnfStyle w:val="000000010000" w:firstRow="0" w:lastRow="0" w:firstColumn="0" w:lastColumn="0" w:oddVBand="0" w:evenVBand="0" w:oddHBand="0" w:evenHBand="1" w:firstRowFirstColumn="0" w:firstRowLastColumn="0" w:lastRowFirstColumn="0" w:lastRowLastColumn="0"/>
              <w:rPr>
                <w:b/>
              </w:rPr>
            </w:pPr>
            <w:r w:rsidRPr="005F3C8C">
              <w:rPr>
                <w:b/>
              </w:rPr>
              <w:t>Review the effectiveness of the High Value High Risk and Gateway Review processes.</w:t>
            </w:r>
          </w:p>
          <w:p w14:paraId="569156FE" w14:textId="77777777" w:rsidR="00D91597" w:rsidRDefault="00D91597" w:rsidP="00CE5DE2">
            <w:pPr>
              <w:spacing w:before="0" w:after="0"/>
              <w:cnfStyle w:val="000000010000" w:firstRow="0" w:lastRow="0" w:firstColumn="0" w:lastColumn="0" w:oddVBand="0" w:evenVBand="0" w:oddHBand="0" w:evenHBand="1" w:firstRowFirstColumn="0" w:firstRowLastColumn="0" w:lastRowFirstColumn="0" w:lastRowLastColumn="0"/>
              <w:rPr>
                <w:u w:val="single"/>
              </w:rPr>
            </w:pPr>
          </w:p>
          <w:p w14:paraId="002E6EBA" w14:textId="79C0051E" w:rsidR="00071A02" w:rsidRPr="005F3C8C" w:rsidRDefault="00071A02" w:rsidP="00CE5DE2">
            <w:pPr>
              <w:spacing w:before="0" w:after="0"/>
              <w:cnfStyle w:val="000000010000" w:firstRow="0" w:lastRow="0" w:firstColumn="0" w:lastColumn="0" w:oddVBand="0" w:evenVBand="0" w:oddHBand="0" w:evenHBand="1" w:firstRowFirstColumn="0" w:firstRowLastColumn="0" w:lastRowFirstColumn="0" w:lastRowLastColumn="0"/>
              <w:rPr>
                <w:b/>
                <w:u w:val="single"/>
              </w:rPr>
            </w:pPr>
            <w:r w:rsidRPr="005F3C8C">
              <w:rPr>
                <w:u w:val="single"/>
              </w:rPr>
              <w:t>Victorian Department of Treasury and Finance</w:t>
            </w:r>
          </w:p>
          <w:p w14:paraId="7C53E283" w14:textId="41E914DC" w:rsidR="00071A02" w:rsidRPr="005F3C8C" w:rsidRDefault="00071A02" w:rsidP="005D7BB2">
            <w:pPr>
              <w:pStyle w:val="ListParagraph"/>
              <w:numPr>
                <w:ilvl w:val="0"/>
                <w:numId w:val="12"/>
              </w:numPr>
              <w:spacing w:before="0" w:after="0"/>
              <w:ind w:left="138" w:hanging="141"/>
              <w:cnfStyle w:val="000000010000" w:firstRow="0" w:lastRow="0" w:firstColumn="0" w:lastColumn="0" w:oddVBand="0" w:evenVBand="0" w:oddHBand="0" w:evenHBand="1" w:firstRowFirstColumn="0" w:firstRowLastColumn="0" w:lastRowFirstColumn="0" w:lastRowLastColumn="0"/>
              <w:rPr>
                <w:u w:val="single"/>
              </w:rPr>
            </w:pPr>
            <w:r w:rsidRPr="005F3C8C">
              <w:rPr>
                <w:b/>
              </w:rPr>
              <w:t>Gateway Review and Project Assurance Reviews.</w:t>
            </w:r>
          </w:p>
        </w:tc>
        <w:tc>
          <w:tcPr>
            <w:tcW w:w="2415" w:type="dxa"/>
          </w:tcPr>
          <w:p w14:paraId="3925B93A" w14:textId="77777777" w:rsidR="00071A02" w:rsidRPr="005F3C8C" w:rsidRDefault="00071A02" w:rsidP="00CE5DE2">
            <w:pPr>
              <w:cnfStyle w:val="000000010000" w:firstRow="0" w:lastRow="0" w:firstColumn="0" w:lastColumn="0" w:oddVBand="0" w:evenVBand="0" w:oddHBand="0" w:evenHBand="1" w:firstRowFirstColumn="0" w:firstRowLastColumn="0" w:lastRowFirstColumn="0" w:lastRowLastColumn="0"/>
            </w:pPr>
          </w:p>
        </w:tc>
        <w:tc>
          <w:tcPr>
            <w:tcW w:w="2422" w:type="dxa"/>
          </w:tcPr>
          <w:p w14:paraId="773FB8DD" w14:textId="10337370" w:rsidR="00071A02" w:rsidRPr="005F3C8C" w:rsidRDefault="7C93F224" w:rsidP="00D91597">
            <w:pPr>
              <w:spacing w:before="0" w:after="0"/>
              <w:cnfStyle w:val="000000010000" w:firstRow="0" w:lastRow="0" w:firstColumn="0" w:lastColumn="0" w:oddVBand="0" w:evenVBand="0" w:oddHBand="0" w:evenHBand="1" w:firstRowFirstColumn="0" w:firstRowLastColumn="0" w:lastRowFirstColumn="0" w:lastRowLastColumn="0"/>
              <w:rPr>
                <w:b/>
                <w:u w:val="single"/>
              </w:rPr>
            </w:pPr>
            <w:r w:rsidRPr="36918AFB">
              <w:rPr>
                <w:u w:val="single"/>
              </w:rPr>
              <w:t>W</w:t>
            </w:r>
            <w:r w:rsidR="2FF2DFB2" w:rsidRPr="36918AFB">
              <w:rPr>
                <w:u w:val="single"/>
              </w:rPr>
              <w:t xml:space="preserve">estern </w:t>
            </w:r>
            <w:r w:rsidRPr="36918AFB">
              <w:rPr>
                <w:u w:val="single"/>
              </w:rPr>
              <w:t>A</w:t>
            </w:r>
            <w:r w:rsidR="1A81F104" w:rsidRPr="36918AFB">
              <w:rPr>
                <w:u w:val="single"/>
              </w:rPr>
              <w:t>ustralia</w:t>
            </w:r>
            <w:r w:rsidRPr="36918AFB">
              <w:rPr>
                <w:u w:val="single"/>
              </w:rPr>
              <w:t xml:space="preserve"> Department of Finance</w:t>
            </w:r>
          </w:p>
          <w:p w14:paraId="62A3EB79" w14:textId="77777777" w:rsidR="00071A02" w:rsidRPr="005F3C8C" w:rsidRDefault="00071A02" w:rsidP="00D91597">
            <w:pPr>
              <w:pStyle w:val="ListParagraph"/>
              <w:numPr>
                <w:ilvl w:val="0"/>
                <w:numId w:val="12"/>
              </w:numPr>
              <w:suppressAutoHyphens/>
              <w:spacing w:before="0" w:after="0"/>
              <w:ind w:left="141" w:hanging="141"/>
              <w:cnfStyle w:val="000000010000" w:firstRow="0" w:lastRow="0" w:firstColumn="0" w:lastColumn="0" w:oddVBand="0" w:evenVBand="0" w:oddHBand="0" w:evenHBand="1" w:firstRowFirstColumn="0" w:firstRowLastColumn="0" w:lastRowFirstColumn="0" w:lastRowLastColumn="0"/>
            </w:pPr>
            <w:r w:rsidRPr="005F3C8C">
              <w:rPr>
                <w:b/>
              </w:rPr>
              <w:t>Administer the Gateway Review process</w:t>
            </w:r>
            <w:r w:rsidRPr="005F3C8C">
              <w:t>.</w:t>
            </w:r>
          </w:p>
          <w:p w14:paraId="458D5E18" w14:textId="77777777" w:rsidR="00071A02" w:rsidRPr="005F3C8C" w:rsidRDefault="00071A02" w:rsidP="00D91597">
            <w:pPr>
              <w:pStyle w:val="ListParagraph"/>
              <w:numPr>
                <w:ilvl w:val="0"/>
                <w:numId w:val="12"/>
              </w:numPr>
              <w:spacing w:before="0" w:after="0"/>
              <w:ind w:left="141" w:hanging="141"/>
              <w:cnfStyle w:val="000000010000" w:firstRow="0" w:lastRow="0" w:firstColumn="0" w:lastColumn="0" w:oddVBand="0" w:evenVBand="0" w:oddHBand="0" w:evenHBand="1" w:firstRowFirstColumn="0" w:firstRowLastColumn="0" w:lastRowFirstColumn="0" w:lastRowLastColumn="0"/>
              <w:rPr>
                <w:u w:val="single"/>
              </w:rPr>
            </w:pPr>
            <w:r w:rsidRPr="005F3C8C">
              <w:rPr>
                <w:b/>
              </w:rPr>
              <w:t>Provide advice on reform projects, project and asset management, procurement and policy.</w:t>
            </w:r>
          </w:p>
        </w:tc>
        <w:tc>
          <w:tcPr>
            <w:tcW w:w="2472" w:type="dxa"/>
          </w:tcPr>
          <w:p w14:paraId="5B5F9017" w14:textId="77777777" w:rsidR="00071A02" w:rsidRPr="005F3C8C" w:rsidRDefault="00071A02" w:rsidP="00CE5DE2">
            <w:pPr>
              <w:cnfStyle w:val="000000010000" w:firstRow="0" w:lastRow="0" w:firstColumn="0" w:lastColumn="0" w:oddVBand="0" w:evenVBand="0" w:oddHBand="0" w:evenHBand="1" w:firstRowFirstColumn="0" w:firstRowLastColumn="0" w:lastRowFirstColumn="0" w:lastRowLastColumn="0"/>
            </w:pPr>
          </w:p>
        </w:tc>
        <w:tc>
          <w:tcPr>
            <w:tcW w:w="2473" w:type="dxa"/>
          </w:tcPr>
          <w:p w14:paraId="7C27A63B" w14:textId="77777777" w:rsidR="00071A02" w:rsidRPr="005F3C8C" w:rsidRDefault="00071A02" w:rsidP="00D91597">
            <w:pPr>
              <w:spacing w:before="0" w:after="0"/>
              <w:cnfStyle w:val="000000010000" w:firstRow="0" w:lastRow="0" w:firstColumn="0" w:lastColumn="0" w:oddVBand="0" w:evenVBand="0" w:oddHBand="0" w:evenHBand="1" w:firstRowFirstColumn="0" w:firstRowLastColumn="0" w:lastRowFirstColumn="0" w:lastRowLastColumn="0"/>
              <w:rPr>
                <w:b/>
                <w:u w:val="single"/>
              </w:rPr>
            </w:pPr>
            <w:r w:rsidRPr="005F3C8C">
              <w:rPr>
                <w:u w:val="single"/>
              </w:rPr>
              <w:t>Major Projects and Investment Commissioners</w:t>
            </w:r>
          </w:p>
          <w:p w14:paraId="18212A82" w14:textId="1E0837A5" w:rsidR="00071A02" w:rsidRPr="005F3C8C" w:rsidRDefault="7C93F224" w:rsidP="0011275A">
            <w:pPr>
              <w:pStyle w:val="ListParagraph"/>
              <w:numPr>
                <w:ilvl w:val="0"/>
                <w:numId w:val="12"/>
              </w:numPr>
              <w:spacing w:before="0" w:after="0"/>
              <w:ind w:left="138" w:hanging="141"/>
              <w:cnfStyle w:val="000000010000" w:firstRow="0" w:lastRow="0" w:firstColumn="0" w:lastColumn="0" w:oddVBand="0" w:evenVBand="0" w:oddHBand="0" w:evenHBand="1" w:firstRowFirstColumn="0" w:firstRowLastColumn="0" w:lastRowFirstColumn="0" w:lastRowLastColumn="0"/>
              <w:rPr>
                <w:u w:val="single"/>
              </w:rPr>
            </w:pPr>
            <w:r>
              <w:rPr>
                <w:b/>
              </w:rPr>
              <w:t>Promote infrastructure investment in the N</w:t>
            </w:r>
            <w:r w:rsidR="6333D793">
              <w:rPr>
                <w:b/>
              </w:rPr>
              <w:t xml:space="preserve">orthern </w:t>
            </w:r>
            <w:r>
              <w:rPr>
                <w:b/>
              </w:rPr>
              <w:t>T</w:t>
            </w:r>
            <w:r w:rsidR="0F69C22B">
              <w:rPr>
                <w:b/>
              </w:rPr>
              <w:t>erritory</w:t>
            </w:r>
            <w:r>
              <w:rPr>
                <w:b/>
              </w:rPr>
              <w:t>.</w:t>
            </w:r>
          </w:p>
        </w:tc>
        <w:tc>
          <w:tcPr>
            <w:tcW w:w="2472" w:type="dxa"/>
          </w:tcPr>
          <w:p w14:paraId="4B68877B" w14:textId="77777777" w:rsidR="00071A02" w:rsidRPr="005F3C8C" w:rsidRDefault="00071A02" w:rsidP="00D91597">
            <w:pPr>
              <w:spacing w:before="0" w:after="0"/>
              <w:cnfStyle w:val="000000010000" w:firstRow="0" w:lastRow="0" w:firstColumn="0" w:lastColumn="0" w:oddVBand="0" w:evenVBand="0" w:oddHBand="0" w:evenHBand="1" w:firstRowFirstColumn="0" w:firstRowLastColumn="0" w:lastRowFirstColumn="0" w:lastRowLastColumn="0"/>
              <w:rPr>
                <w:b/>
                <w:u w:val="single"/>
              </w:rPr>
            </w:pPr>
            <w:r w:rsidRPr="005F3C8C">
              <w:rPr>
                <w:u w:val="single"/>
              </w:rPr>
              <w:t>Queensland Treasury</w:t>
            </w:r>
          </w:p>
          <w:p w14:paraId="042253C0" w14:textId="77777777" w:rsidR="00071A02" w:rsidRPr="005F3C8C" w:rsidRDefault="00071A02" w:rsidP="0011275A">
            <w:pPr>
              <w:pStyle w:val="ListParagraph"/>
              <w:numPr>
                <w:ilvl w:val="0"/>
                <w:numId w:val="12"/>
              </w:numPr>
              <w:spacing w:before="0" w:after="0"/>
              <w:ind w:left="138" w:hanging="141"/>
              <w:cnfStyle w:val="000000010000" w:firstRow="0" w:lastRow="0" w:firstColumn="0" w:lastColumn="0" w:oddVBand="0" w:evenVBand="0" w:oddHBand="0" w:evenHBand="1" w:firstRowFirstColumn="0" w:firstRowLastColumn="0" w:lastRowFirstColumn="0" w:lastRowLastColumn="0"/>
              <w:rPr>
                <w:u w:val="single"/>
              </w:rPr>
            </w:pPr>
            <w:r w:rsidRPr="005F3C8C">
              <w:rPr>
                <w:b/>
              </w:rPr>
              <w:t>Administer the Project Assessment Framework.</w:t>
            </w:r>
          </w:p>
          <w:p w14:paraId="33F3ACF7" w14:textId="77777777" w:rsidR="00071A02" w:rsidRPr="005F3C8C" w:rsidRDefault="00071A02" w:rsidP="0011275A">
            <w:pPr>
              <w:pStyle w:val="ListParagraph"/>
              <w:numPr>
                <w:ilvl w:val="0"/>
                <w:numId w:val="12"/>
              </w:numPr>
              <w:spacing w:before="0" w:after="0"/>
              <w:ind w:left="138" w:hanging="141"/>
              <w:cnfStyle w:val="000000010000" w:firstRow="0" w:lastRow="0" w:firstColumn="0" w:lastColumn="0" w:oddVBand="0" w:evenVBand="0" w:oddHBand="0" w:evenHBand="1" w:firstRowFirstColumn="0" w:firstRowLastColumn="0" w:lastRowFirstColumn="0" w:lastRowLastColumn="0"/>
              <w:rPr>
                <w:u w:val="single"/>
              </w:rPr>
            </w:pPr>
            <w:r w:rsidRPr="005F3C8C">
              <w:rPr>
                <w:b/>
              </w:rPr>
              <w:t>Administer the Gateway Review Framework and process.</w:t>
            </w:r>
          </w:p>
          <w:p w14:paraId="263F4CC2" w14:textId="77777777" w:rsidR="00071A02" w:rsidRPr="005F3C8C" w:rsidRDefault="00071A02" w:rsidP="0011275A">
            <w:pPr>
              <w:pStyle w:val="ListParagraph"/>
              <w:numPr>
                <w:ilvl w:val="0"/>
                <w:numId w:val="12"/>
              </w:numPr>
              <w:spacing w:before="0" w:after="0"/>
              <w:ind w:left="138" w:hanging="141"/>
              <w:cnfStyle w:val="000000010000" w:firstRow="0" w:lastRow="0" w:firstColumn="0" w:lastColumn="0" w:oddVBand="0" w:evenVBand="0" w:oddHBand="0" w:evenHBand="1" w:firstRowFirstColumn="0" w:firstRowLastColumn="0" w:lastRowFirstColumn="0" w:lastRowLastColumn="0"/>
              <w:rPr>
                <w:u w:val="single"/>
              </w:rPr>
            </w:pPr>
            <w:r w:rsidRPr="005F3C8C">
              <w:rPr>
                <w:b/>
              </w:rPr>
              <w:t>Procurement and negotiation of Public Private Partnerships</w:t>
            </w:r>
          </w:p>
        </w:tc>
        <w:tc>
          <w:tcPr>
            <w:tcW w:w="2473" w:type="dxa"/>
          </w:tcPr>
          <w:p w14:paraId="65707DD3" w14:textId="77777777" w:rsidR="00071A02" w:rsidRPr="00337606" w:rsidRDefault="00071A02" w:rsidP="00CE5DE2">
            <w:pPr>
              <w:cnfStyle w:val="000000010000" w:firstRow="0" w:lastRow="0" w:firstColumn="0" w:lastColumn="0" w:oddVBand="0" w:evenVBand="0" w:oddHBand="0" w:evenHBand="1" w:firstRowFirstColumn="0" w:firstRowLastColumn="0" w:lastRowFirstColumn="0" w:lastRowLastColumn="0"/>
              <w:rPr>
                <w:sz w:val="18"/>
                <w:szCs w:val="18"/>
              </w:rPr>
            </w:pPr>
          </w:p>
        </w:tc>
      </w:tr>
      <w:bookmarkEnd w:id="0"/>
    </w:tbl>
    <w:p w14:paraId="14E650CC" w14:textId="77777777" w:rsidR="00071A02" w:rsidRPr="00B041CB" w:rsidRDefault="00071A02" w:rsidP="004729CA"/>
    <w:sectPr w:rsidR="00071A02" w:rsidRPr="00B041CB" w:rsidSect="00547667">
      <w:footerReference w:type="default" r:id="rId35"/>
      <w:headerReference w:type="first" r:id="rId36"/>
      <w:footerReference w:type="first" r:id="rId37"/>
      <w:pgSz w:w="23808" w:h="16840" w:orient="landscape" w:code="8"/>
      <w:pgMar w:top="720" w:right="720" w:bottom="720" w:left="720" w:header="567" w:footer="0"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3BBF6D0" w16cex:dateUtc="2022-09-30T05:16:00.69Z"/>
  <w16cex:commentExtensible w16cex:durableId="220BB435" w16cex:dateUtc="2022-09-30T06:06:03.36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4B7B0" w14:textId="77777777" w:rsidR="00A5536C" w:rsidRDefault="00A5536C" w:rsidP="00FC413F">
      <w:pPr>
        <w:spacing w:after="0"/>
      </w:pPr>
      <w:r>
        <w:separator/>
      </w:r>
    </w:p>
  </w:endnote>
  <w:endnote w:type="continuationSeparator" w:id="0">
    <w:p w14:paraId="318E8B96" w14:textId="77777777" w:rsidR="00A5536C" w:rsidRDefault="00A5536C"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323DB" w14:textId="7C5A4D86" w:rsidR="00A5536C" w:rsidRDefault="00A5536C"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Independent review of Infrastructure Australia</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28035B5B" w14:textId="77777777" w:rsidR="00A5536C" w:rsidRPr="00FC413F" w:rsidRDefault="00A5536C" w:rsidP="00953CCD">
    <w:pPr>
      <w:pStyle w:val="Footer"/>
      <w:tabs>
        <w:tab w:val="clear" w:pos="4513"/>
        <w:tab w:val="clear" w:pos="9026"/>
      </w:tabs>
      <w:ind w:left="-1418"/>
      <w:rPr>
        <w:rFonts w:cs="Segoe UI"/>
        <w:szCs w:val="18"/>
      </w:rPr>
    </w:pPr>
    <w:r>
      <w:rPr>
        <w:noProof/>
        <w:lang w:eastAsia="en-AU"/>
      </w:rPr>
      <w:drawing>
        <wp:inline distT="0" distB="0" distL="0" distR="0" wp14:anchorId="3D339BF1" wp14:editId="7FF23BF9">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13B3D" w14:textId="18749E9D" w:rsidR="00A5536C" w:rsidRDefault="00A5536C" w:rsidP="00502541">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204096">
      <w:rPr>
        <w:rFonts w:cs="Segoe UI"/>
        <w:noProof/>
        <w:szCs w:val="18"/>
      </w:rPr>
      <w:t>Independent review of Infrastructure Australia</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A9E2E" w14:textId="02039604" w:rsidR="00A5536C" w:rsidRDefault="00A5536C" w:rsidP="000F7862">
    <w:pPr>
      <w:pStyle w:val="Footer"/>
      <w:tabs>
        <w:tab w:val="clear" w:pos="4513"/>
        <w:tab w:val="clear" w:pos="9026"/>
        <w:tab w:val="right" w:pos="9781"/>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204096">
      <w:rPr>
        <w:rFonts w:cs="Segoe UI"/>
        <w:noProof/>
        <w:szCs w:val="18"/>
      </w:rPr>
      <w:t>Independent review of Infrastructure Australia</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31231378" w14:textId="77777777" w:rsidR="00A5536C" w:rsidRPr="00FC413F" w:rsidRDefault="00A5536C" w:rsidP="00953CCD">
    <w:pPr>
      <w:pStyle w:val="Footer"/>
      <w:tabs>
        <w:tab w:val="clear" w:pos="4513"/>
        <w:tab w:val="clear" w:pos="9026"/>
      </w:tabs>
      <w:ind w:left="-1418"/>
      <w:rPr>
        <w:rFonts w:cs="Segoe UI"/>
        <w:szCs w:val="18"/>
      </w:rPr>
    </w:pPr>
    <w:r>
      <w:rPr>
        <w:noProof/>
        <w:lang w:eastAsia="en-AU"/>
      </w:rPr>
      <w:drawing>
        <wp:inline distT="0" distB="0" distL="0" distR="0" wp14:anchorId="29AEA462" wp14:editId="42ACFE0C">
          <wp:extent cx="7812000" cy="155667"/>
          <wp:effectExtent l="0" t="0" r="0" b="0"/>
          <wp:docPr id="4" name="Picture 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2000" cy="15566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1675E" w14:textId="3EEA4F6F" w:rsidR="00A5536C" w:rsidRDefault="00A5536C" w:rsidP="000F7862">
    <w:pPr>
      <w:pStyle w:val="Footer"/>
      <w:tabs>
        <w:tab w:val="clear" w:pos="4513"/>
        <w:tab w:val="clear" w:pos="9026"/>
        <w:tab w:val="right" w:pos="14742"/>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204096">
      <w:rPr>
        <w:rFonts w:cs="Segoe UI"/>
        <w:noProof/>
        <w:szCs w:val="18"/>
      </w:rPr>
      <w:t>Independent review of Infrastructure Australia</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08C753DF" w14:textId="77777777" w:rsidR="00A5536C" w:rsidRPr="00FC413F" w:rsidRDefault="00A5536C" w:rsidP="00953CCD">
    <w:pPr>
      <w:pStyle w:val="Footer"/>
      <w:tabs>
        <w:tab w:val="clear" w:pos="4513"/>
        <w:tab w:val="clear" w:pos="9026"/>
      </w:tabs>
      <w:ind w:left="-1418"/>
      <w:rPr>
        <w:rFonts w:cs="Segoe UI"/>
        <w:szCs w:val="18"/>
      </w:rPr>
    </w:pPr>
    <w:r>
      <w:rPr>
        <w:noProof/>
        <w:lang w:eastAsia="en-AU"/>
      </w:rPr>
      <w:drawing>
        <wp:inline distT="0" distB="0" distL="0" distR="0" wp14:anchorId="61E959DE" wp14:editId="75FC055D">
          <wp:extent cx="10944000" cy="218078"/>
          <wp:effectExtent l="0" t="0" r="0" b="0"/>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44000" cy="218078"/>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0D01" w14:textId="788DB410" w:rsidR="00A5536C" w:rsidRDefault="00A5536C"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Independent review of Infrastructure Australia</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BCEC3" w14:textId="6B14837D" w:rsidR="00A5536C" w:rsidRDefault="00A5536C" w:rsidP="00547667">
    <w:pPr>
      <w:pStyle w:val="Footer"/>
      <w:tabs>
        <w:tab w:val="clear" w:pos="4513"/>
        <w:tab w:val="clear" w:pos="9026"/>
        <w:tab w:val="right" w:pos="2225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204096">
      <w:rPr>
        <w:rFonts w:cs="Segoe UI"/>
        <w:noProof/>
        <w:szCs w:val="18"/>
      </w:rPr>
      <w:t>Independent review of Infrastructure Australia</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40</w:t>
    </w:r>
    <w:r>
      <w:rPr>
        <w:rFonts w:cs="Segoe UI"/>
        <w:szCs w:val="18"/>
      </w:rPr>
      <w:fldChar w:fldCharType="end"/>
    </w:r>
  </w:p>
  <w:p w14:paraId="25180E25" w14:textId="77777777" w:rsidR="00A5536C" w:rsidRPr="00FC413F" w:rsidRDefault="00A5536C" w:rsidP="00547667">
    <w:pPr>
      <w:pStyle w:val="Footer"/>
      <w:tabs>
        <w:tab w:val="clear" w:pos="4513"/>
        <w:tab w:val="clear" w:pos="9026"/>
      </w:tabs>
      <w:ind w:left="-1418"/>
      <w:rPr>
        <w:rFonts w:cs="Segoe UI"/>
        <w:szCs w:val="18"/>
      </w:rPr>
    </w:pPr>
    <w:r>
      <w:rPr>
        <w:noProof/>
        <w:lang w:eastAsia="en-AU"/>
      </w:rPr>
      <w:drawing>
        <wp:inline distT="0" distB="0" distL="0" distR="0" wp14:anchorId="26E36C39" wp14:editId="12F2D874">
          <wp:extent cx="15588000" cy="310616"/>
          <wp:effectExtent l="0" t="0" r="0" b="0"/>
          <wp:docPr id="3" name="Picture 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8000" cy="31061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2A9D2" w14:textId="77777777" w:rsidR="00A5536C" w:rsidRDefault="00A5536C" w:rsidP="00FC413F">
      <w:pPr>
        <w:spacing w:after="0"/>
      </w:pPr>
      <w:r>
        <w:separator/>
      </w:r>
    </w:p>
  </w:footnote>
  <w:footnote w:type="continuationSeparator" w:id="0">
    <w:p w14:paraId="62EF29F7" w14:textId="77777777" w:rsidR="00A5536C" w:rsidRDefault="00A5536C" w:rsidP="00FC413F">
      <w:pPr>
        <w:spacing w:after="0"/>
      </w:pPr>
      <w:r>
        <w:continuationSeparator/>
      </w:r>
    </w:p>
  </w:footnote>
  <w:footnote w:id="1">
    <w:p w14:paraId="17106D24" w14:textId="6AA0D527" w:rsidR="00A5536C" w:rsidRDefault="00A5536C" w:rsidP="001A47AD">
      <w:pPr>
        <w:pStyle w:val="FootnoteText"/>
      </w:pPr>
      <w:r w:rsidRPr="36918AFB">
        <w:rPr>
          <w:rStyle w:val="FootnoteReference"/>
        </w:rPr>
        <w:footnoteRef/>
      </w:r>
      <w:r>
        <w:t xml:space="preserve"> C King, </w:t>
      </w:r>
      <w:hyperlink r:id="rId1" w:history="1">
        <w:r w:rsidRPr="36918AFB">
          <w:rPr>
            <w:rStyle w:val="Hyperlink"/>
            <w:i/>
            <w:iCs/>
          </w:rPr>
          <w:t>Independent review to rejuvenate Infrastructure Australia</w:t>
        </w:r>
      </w:hyperlink>
      <w:r>
        <w:t xml:space="preserve"> [media release], Australian Government, 22 July 2022, accessed 22 July 2022.</w:t>
      </w:r>
    </w:p>
  </w:footnote>
  <w:footnote w:id="2">
    <w:p w14:paraId="59BD15B8" w14:textId="371E1AA7" w:rsidR="00A5536C" w:rsidRDefault="00A5536C" w:rsidP="001A47AD">
      <w:pPr>
        <w:pStyle w:val="FootnoteText"/>
      </w:pPr>
      <w:r w:rsidRPr="490A766D">
        <w:rPr>
          <w:rStyle w:val="FootnoteReference"/>
        </w:rPr>
        <w:footnoteRef/>
      </w:r>
      <w:r>
        <w:t xml:space="preserve"> C King, </w:t>
      </w:r>
      <w:hyperlink r:id="rId2">
        <w:r w:rsidRPr="74354148">
          <w:rPr>
            <w:rStyle w:val="Hyperlink"/>
            <w:i/>
            <w:iCs/>
          </w:rPr>
          <w:t>Independent review to rejuvenate Infrastructure Australia</w:t>
        </w:r>
      </w:hyperlink>
      <w:r>
        <w:t xml:space="preserve"> [media release], Australian Government, 22 July 2022, accessed 22 July 2022.</w:t>
      </w:r>
    </w:p>
  </w:footnote>
  <w:footnote w:id="3">
    <w:p w14:paraId="397F98B5" w14:textId="18F13836" w:rsidR="00A5536C" w:rsidRPr="0048740E" w:rsidRDefault="00A5536C" w:rsidP="001A47AD">
      <w:pPr>
        <w:pStyle w:val="FootnoteText"/>
      </w:pPr>
      <w:r>
        <w:rPr>
          <w:rStyle w:val="FootnoteReference"/>
        </w:rPr>
        <w:footnoteRef/>
      </w:r>
      <w:r>
        <w:t xml:space="preserve"> Department of Infrastructure, Transport, Regional Development, Communications and the Arts (DITRDCA), </w:t>
      </w:r>
      <w:hyperlink r:id="rId3" w:history="1">
        <w:r w:rsidRPr="36918AFB">
          <w:rPr>
            <w:rStyle w:val="Hyperlink"/>
            <w:i/>
            <w:iCs/>
          </w:rPr>
          <w:t>Independent Review of Infrastructure Australia</w:t>
        </w:r>
      </w:hyperlink>
      <w:r>
        <w:t>, DITRDCA website, n.d., accessed 1 August 2022.</w:t>
      </w:r>
    </w:p>
  </w:footnote>
  <w:footnote w:id="4">
    <w:p w14:paraId="5B25CE1A" w14:textId="7906244A" w:rsidR="00A5536C" w:rsidRDefault="00A5536C" w:rsidP="001A47AD">
      <w:pPr>
        <w:pStyle w:val="FootnoteText"/>
      </w:pPr>
      <w:r w:rsidRPr="490A766D">
        <w:rPr>
          <w:rStyle w:val="FootnoteReference"/>
        </w:rPr>
        <w:footnoteRef/>
      </w:r>
      <w:r>
        <w:t xml:space="preserve"> DITRDCA, </w:t>
      </w:r>
      <w:hyperlink r:id="rId4" w:history="1">
        <w:r w:rsidRPr="36918AFB">
          <w:rPr>
            <w:rStyle w:val="Hyperlink"/>
            <w:i/>
            <w:iCs/>
          </w:rPr>
          <w:t>Infrastructure Australia Review Guiding Questions</w:t>
        </w:r>
      </w:hyperlink>
      <w:r>
        <w:t>, Independent Review of Infrastructure Australia, n.d., accessed 1 August 2022.</w:t>
      </w:r>
    </w:p>
  </w:footnote>
  <w:footnote w:id="5">
    <w:p w14:paraId="5FF1B683" w14:textId="77777777" w:rsidR="00A5536C" w:rsidRPr="00617220" w:rsidRDefault="00A5536C" w:rsidP="001A47AD">
      <w:pPr>
        <w:pStyle w:val="FootnoteText"/>
        <w:rPr>
          <w:lang w:val="en-US"/>
        </w:rPr>
      </w:pPr>
      <w:r>
        <w:rPr>
          <w:rStyle w:val="FootnoteReference"/>
        </w:rPr>
        <w:footnoteRef/>
      </w:r>
      <w:r>
        <w:t xml:space="preserve"> </w:t>
      </w:r>
      <w:r w:rsidRPr="00DA5BFD">
        <w:rPr>
          <w:lang w:val="en-US"/>
        </w:rPr>
        <w:t>Australian Labor Party, National Platform and Constitution 2007, April 2007</w:t>
      </w:r>
      <w:r>
        <w:rPr>
          <w:lang w:val="en-US"/>
        </w:rPr>
        <w:t>.</w:t>
      </w:r>
    </w:p>
  </w:footnote>
  <w:footnote w:id="6">
    <w:p w14:paraId="433A0AD8" w14:textId="77777777" w:rsidR="00A5536C" w:rsidRPr="002B2B7D" w:rsidRDefault="00A5536C" w:rsidP="001A47AD">
      <w:pPr>
        <w:pStyle w:val="FootnoteText"/>
        <w:ind w:left="126" w:hanging="126"/>
        <w:rPr>
          <w:lang w:val="en-US"/>
        </w:rPr>
      </w:pPr>
      <w:r>
        <w:rPr>
          <w:rStyle w:val="FootnoteReference"/>
        </w:rPr>
        <w:footnoteRef/>
      </w:r>
      <w:r>
        <w:t xml:space="preserve"> </w:t>
      </w:r>
      <w:r w:rsidRPr="00DA5BFD">
        <w:rPr>
          <w:lang w:val="en-US"/>
        </w:rPr>
        <w:t>Minister for Infrastructure, Transport, Regional Development and Local Government, Infrastructure</w:t>
      </w:r>
      <w:r>
        <w:rPr>
          <w:lang w:val="en-US"/>
        </w:rPr>
        <w:t xml:space="preserve"> </w:t>
      </w:r>
      <w:r w:rsidRPr="00DA5BFD">
        <w:rPr>
          <w:lang w:val="en-US"/>
        </w:rPr>
        <w:t>Australia Bill 2008, Second Reading Speech, House of Representatives, 21 February 2008</w:t>
      </w:r>
      <w:r>
        <w:rPr>
          <w:lang w:val="en-US"/>
        </w:rPr>
        <w:t>.</w:t>
      </w:r>
    </w:p>
  </w:footnote>
  <w:footnote w:id="7">
    <w:p w14:paraId="7C7ACB61" w14:textId="7BAB1F51" w:rsidR="00A5536C" w:rsidRPr="00FD34BF" w:rsidRDefault="00A5536C">
      <w:pPr>
        <w:pStyle w:val="FootnoteText"/>
        <w:rPr>
          <w:lang w:val="en-US"/>
        </w:rPr>
      </w:pPr>
      <w:r>
        <w:rPr>
          <w:rStyle w:val="FootnoteReference"/>
        </w:rPr>
        <w:footnoteRef/>
      </w:r>
      <w:r>
        <w:t xml:space="preserve"> Infrastructure Australia, </w:t>
      </w:r>
      <w:hyperlink r:id="rId5" w:history="1">
        <w:r w:rsidRPr="003F08CD">
          <w:rPr>
            <w:rStyle w:val="Hyperlink"/>
          </w:rPr>
          <w:t>National Infrastructure Priorities: Infrastructure for an economically, socially and environmentally sustainable future, Infrastructure Australia</w:t>
        </w:r>
      </w:hyperlink>
      <w:r>
        <w:t xml:space="preserve">, May 2009, accessed 30 September 2022. </w:t>
      </w:r>
    </w:p>
  </w:footnote>
  <w:footnote w:id="8">
    <w:p w14:paraId="302920B1" w14:textId="6EDD711E" w:rsidR="00A5536C" w:rsidRDefault="00A5536C" w:rsidP="4F9F5C11">
      <w:pPr>
        <w:pStyle w:val="FootnoteText"/>
      </w:pPr>
      <w:r w:rsidRPr="4F9F5C11">
        <w:rPr>
          <w:rStyle w:val="FootnoteReference"/>
        </w:rPr>
        <w:footnoteRef/>
      </w:r>
      <w:r>
        <w:t xml:space="preserve"> UK Infrastructure and Projects Authority, </w:t>
      </w:r>
      <w:hyperlink r:id="rId6">
        <w:r w:rsidRPr="4F9F5C11">
          <w:rPr>
            <w:rStyle w:val="Hyperlink"/>
          </w:rPr>
          <w:t>Annual Report on Major Projects 2021-22</w:t>
        </w:r>
      </w:hyperlink>
      <w:r>
        <w:t xml:space="preserve">, UK Infrastructure and Projects Authority, July 2022, accessed 30 September 2022. </w:t>
      </w:r>
    </w:p>
  </w:footnote>
  <w:footnote w:id="9">
    <w:p w14:paraId="4AE440E7" w14:textId="40496E21" w:rsidR="00A5536C" w:rsidRDefault="00A5536C" w:rsidP="003F08CD">
      <w:pPr>
        <w:pStyle w:val="FootnoteText"/>
      </w:pPr>
      <w:r w:rsidRPr="4F9F5C11">
        <w:rPr>
          <w:rStyle w:val="FootnoteReference"/>
        </w:rPr>
        <w:footnoteRef/>
      </w:r>
      <w:r>
        <w:t xml:space="preserve"> UK Infrastructure and Projects Authority, </w:t>
      </w:r>
      <w:hyperlink r:id="rId7">
        <w:r w:rsidRPr="4F9F5C11">
          <w:rPr>
            <w:rStyle w:val="Hyperlink"/>
          </w:rPr>
          <w:t>Annual Report on Major Projects 2021-22</w:t>
        </w:r>
      </w:hyperlink>
      <w:r>
        <w:t xml:space="preserve">, UK Infrastructure and Projects Authority, July 2022, accessed 30 September 2022. </w:t>
      </w:r>
    </w:p>
  </w:footnote>
  <w:footnote w:id="10">
    <w:p w14:paraId="1681C85F" w14:textId="1A5D9502" w:rsidR="00A5536C" w:rsidRPr="002D7563" w:rsidRDefault="00A5536C">
      <w:pPr>
        <w:pStyle w:val="FootnoteText"/>
        <w:rPr>
          <w:lang w:val="en-US"/>
        </w:rPr>
      </w:pPr>
      <w:r>
        <w:rPr>
          <w:rStyle w:val="FootnoteReference"/>
        </w:rPr>
        <w:footnoteRef/>
      </w:r>
      <w:r>
        <w:t xml:space="preserve"> </w:t>
      </w:r>
      <w:r>
        <w:rPr>
          <w:lang w:val="en-US"/>
        </w:rPr>
        <w:t xml:space="preserve">Section 3, </w:t>
      </w:r>
      <w:r>
        <w:rPr>
          <w:i/>
          <w:lang w:val="en-US"/>
        </w:rPr>
        <w:t xml:space="preserve">Infrastructure Australia Act 2008 </w:t>
      </w:r>
      <w:r>
        <w:rPr>
          <w:lang w:val="en-US"/>
        </w:rPr>
        <w:t xml:space="preserve">(Cth).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75D0" w14:textId="2EF24B84" w:rsidR="00A5536C" w:rsidRPr="00D56936" w:rsidRDefault="00A5536C"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Pr>
        <w:rFonts w:cs="Segoe UI Light"/>
        <w:noProof/>
        <w:color w:val="001C40"/>
        <w:sz w:val="20"/>
        <w:szCs w:val="20"/>
      </w:rPr>
      <w:t>List of acronyms</w:t>
    </w:r>
    <w:r w:rsidRPr="00D56936">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341A6" w14:textId="3E86D504" w:rsidR="00A5536C" w:rsidRDefault="00A553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86F3D" w14:textId="707BE42B" w:rsidR="00A5536C" w:rsidRPr="00ED4399" w:rsidRDefault="00A5536C" w:rsidP="000F7862">
    <w:pPr>
      <w:pStyle w:val="Header"/>
      <w:spacing w:after="600"/>
      <w:jc w:val="right"/>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STYLEREF  "Heading 2—not showing"  \* MERGEFORMAT </w:instrText>
    </w:r>
    <w:r>
      <w:rPr>
        <w:rFonts w:asciiTheme="minorHAnsi" w:hAnsiTheme="minorHAnsi" w:cstheme="minorHAnsi"/>
      </w:rPr>
      <w:fldChar w:fldCharType="separate"/>
    </w:r>
    <w:r w:rsidR="00204096">
      <w:rPr>
        <w:rFonts w:asciiTheme="minorHAnsi" w:hAnsiTheme="minorHAnsi" w:cstheme="minorHAnsi"/>
        <w:noProof/>
      </w:rPr>
      <w:t>Table of contents</w:t>
    </w:r>
    <w:r>
      <w:rPr>
        <w:rFonts w:asciiTheme="minorHAnsi" w:hAnsiTheme="minorHAnsi" w:cstheme="minorHAns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202AA" w14:textId="725B1EF7" w:rsidR="00A5536C" w:rsidRPr="00ED4399" w:rsidRDefault="00A5536C" w:rsidP="00547667">
    <w:pPr>
      <w:pStyle w:val="Header"/>
      <w:tabs>
        <w:tab w:val="clear" w:pos="9356"/>
        <w:tab w:val="right" w:pos="21972"/>
      </w:tabs>
      <w:spacing w:after="600"/>
      <w:jc w:val="right"/>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STYLEREF  "Heading 2"  \* MERGEFORMAT </w:instrText>
    </w:r>
    <w:r>
      <w:rPr>
        <w:rFonts w:asciiTheme="minorHAnsi" w:hAnsiTheme="minorHAnsi" w:cstheme="minorHAnsi"/>
      </w:rPr>
      <w:fldChar w:fldCharType="separate"/>
    </w:r>
    <w:r>
      <w:rPr>
        <w:rFonts w:asciiTheme="minorHAnsi" w:hAnsiTheme="minorHAnsi" w:cstheme="minorHAnsi"/>
        <w:noProof/>
      </w:rPr>
      <w:t>List of acronyms</w:t>
    </w:r>
    <w:r>
      <w:rPr>
        <w:rFonts w:asciiTheme="minorHAnsi" w:hAnsiTheme="minorHAnsi" w:cstheme="minorHAns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6218D" w14:textId="44433BAE" w:rsidR="00A5536C" w:rsidRPr="00ED4399" w:rsidRDefault="00A5536C" w:rsidP="000F7862">
    <w:pPr>
      <w:pStyle w:val="Header"/>
      <w:spacing w:after="600"/>
      <w:jc w:val="right"/>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STYLEREF  "Heading 2"  \* MERGEFORMAT </w:instrText>
    </w:r>
    <w:r>
      <w:rPr>
        <w:rFonts w:asciiTheme="minorHAnsi" w:hAnsiTheme="minorHAnsi" w:cstheme="minorHAnsi"/>
      </w:rPr>
      <w:fldChar w:fldCharType="separate"/>
    </w:r>
    <w:r w:rsidR="00204096">
      <w:rPr>
        <w:rFonts w:asciiTheme="minorHAnsi" w:hAnsiTheme="minorHAnsi" w:cstheme="minorHAnsi"/>
        <w:noProof/>
      </w:rPr>
      <w:t>Infrastructure Australia: mandate and core roles</w:t>
    </w:r>
    <w:r>
      <w:rPr>
        <w:rFonts w:asciiTheme="minorHAnsi" w:hAnsiTheme="minorHAnsi" w:cstheme="minorHAns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12474" w14:textId="463E6AD4" w:rsidR="00A5536C" w:rsidRPr="00ED4399" w:rsidRDefault="00A5536C" w:rsidP="00547667">
    <w:pPr>
      <w:pStyle w:val="Header"/>
      <w:tabs>
        <w:tab w:val="clear" w:pos="9356"/>
        <w:tab w:val="right" w:pos="21972"/>
      </w:tabs>
      <w:spacing w:after="600"/>
      <w:jc w:val="right"/>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STYLEREF  "Heading 2"  \* MERGEFORMAT </w:instrText>
    </w:r>
    <w:r>
      <w:rPr>
        <w:rFonts w:asciiTheme="minorHAnsi" w:hAnsiTheme="minorHAnsi" w:cstheme="minorHAnsi"/>
      </w:rPr>
      <w:fldChar w:fldCharType="separate"/>
    </w:r>
    <w:r w:rsidR="00204096">
      <w:rPr>
        <w:rFonts w:asciiTheme="minorHAnsi" w:hAnsiTheme="minorHAnsi" w:cstheme="minorHAnsi"/>
        <w:noProof/>
      </w:rPr>
      <w:t>Appendix A: State and territory I-bodies and infrastructure advisors</w:t>
    </w:r>
    <w:r>
      <w:rPr>
        <w:rFonts w:asciiTheme="minorHAnsi" w:hAnsiTheme="minorHAnsi" w:cstheme="minorHAnsi"/>
      </w:rPr>
      <w:fldChar w:fldCharType="end"/>
    </w:r>
  </w:p>
</w:hdr>
</file>

<file path=word/intelligence2.xml><?xml version="1.0" encoding="utf-8"?>
<int2:intelligence xmlns:int2="http://schemas.microsoft.com/office/intelligence/2020/intelligence" xmlns:oel="http://schemas.microsoft.com/office/2019/extlst">
  <int2:observations>
    <int2:textHash int2:hashCode="wSHuM1LApbLiqB" int2:id="VwNcTM71">
      <int2:state int2:value="Rejected" int2:type="LegacyProofing"/>
    </int2:textHash>
    <int2:textHash int2:hashCode="nWxRsTV0+6R7QS" int2:id="3obXhBbH">
      <int2:state int2:value="Rejected" int2:type="LegacyProofing"/>
    </int2:textHash>
    <int2:textHash int2:hashCode="51jl/QGzDNvFU1" int2:id="46aye5ef">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56E7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5EE70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0B44A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878D7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2CAE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3412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1206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08E3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A81B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DEBE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621AED"/>
    <w:multiLevelType w:val="multilevel"/>
    <w:tmpl w:val="A9EC3C1C"/>
    <w:numStyleLink w:val="NumberedHeadings"/>
  </w:abstractNum>
  <w:abstractNum w:abstractNumId="11" w15:restartNumberingAfterBreak="0">
    <w:nsid w:val="24E92756"/>
    <w:multiLevelType w:val="hybridMultilevel"/>
    <w:tmpl w:val="513A850A"/>
    <w:lvl w:ilvl="0" w:tplc="FFFFFFFF">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A9EC3C1C"/>
    <w:styleLink w:val="NumberedHeadings"/>
    <w:lvl w:ilvl="0">
      <w:numFmt w:val="none"/>
      <w:pStyle w:val="Heading1Numbered"/>
      <w:lvlText w:val=""/>
      <w:lvlJc w:val="left"/>
      <w:pPr>
        <w:tabs>
          <w:tab w:val="num" w:pos="360"/>
        </w:tabs>
      </w:pPr>
    </w:lvl>
    <w:lvl w:ilvl="1">
      <w:start w:val="1"/>
      <w:numFmt w:val="decimal"/>
      <w:pStyle w:val="Heading2Numbered"/>
      <w:lvlText w:val="%1.%2."/>
      <w:lvlJc w:val="left"/>
      <w:pPr>
        <w:ind w:left="851" w:hanging="851"/>
      </w:pPr>
    </w:lvl>
    <w:lvl w:ilvl="2">
      <w:start w:val="1"/>
      <w:numFmt w:val="decimal"/>
      <w:pStyle w:val="Heading3Numbered"/>
      <w:lvlText w:val="%1.%2.%3."/>
      <w:lvlJc w:val="left"/>
      <w:pPr>
        <w:ind w:left="1134" w:hanging="1134"/>
      </w:pPr>
    </w:lvl>
    <w:lvl w:ilvl="3">
      <w:start w:val="1"/>
      <w:numFmt w:val="decimal"/>
      <w:pStyle w:val="Heading4Numbered"/>
      <w:lvlText w:val="%1.%2.%3.%4."/>
      <w:lvlJc w:val="left"/>
      <w:pPr>
        <w:ind w:left="1134" w:hanging="1134"/>
      </w:pPr>
    </w:lvl>
    <w:lvl w:ilvl="4">
      <w:start w:val="1"/>
      <w:numFmt w:val="decimal"/>
      <w:pStyle w:val="Heading5Numbered"/>
      <w:lvlText w:val="%1.%2.%3.%4.%5."/>
      <w:lvlJc w:val="left"/>
      <w:pPr>
        <w:ind w:left="1134" w:hanging="1134"/>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5" w15:restartNumberingAfterBreak="0">
    <w:nsid w:val="4173295E"/>
    <w:multiLevelType w:val="hybridMultilevel"/>
    <w:tmpl w:val="5B2C35CE"/>
    <w:styleLink w:val="Bullets"/>
    <w:lvl w:ilvl="0" w:tplc="FFFFFFFF">
      <w:start w:val="1"/>
      <w:numFmt w:val="bullet"/>
      <w:pStyle w:val="Bullet1"/>
      <w:lvlText w:val="•"/>
      <w:lvlJc w:val="left"/>
      <w:pPr>
        <w:ind w:left="284" w:hanging="284"/>
      </w:pPr>
      <w:rPr>
        <w:rFonts w:ascii="Calibri" w:hAnsi="Calibri" w:hint="default"/>
        <w:color w:val="auto"/>
      </w:rPr>
    </w:lvl>
    <w:lvl w:ilvl="1" w:tplc="FFFFFFFF">
      <w:start w:val="1"/>
      <w:numFmt w:val="bullet"/>
      <w:pStyle w:val="Bullet2"/>
      <w:lvlText w:val="–"/>
      <w:lvlJc w:val="left"/>
      <w:pPr>
        <w:ind w:left="568" w:hanging="284"/>
      </w:pPr>
      <w:rPr>
        <w:rFonts w:ascii="Calibri" w:hAnsi="Calibri" w:hint="default"/>
        <w:color w:val="auto"/>
      </w:rPr>
    </w:lvl>
    <w:lvl w:ilvl="2" w:tplc="FFFFFFFF">
      <w:start w:val="1"/>
      <w:numFmt w:val="bullet"/>
      <w:pStyle w:val="Bullet3"/>
      <w:lvlText w:val="›"/>
      <w:lvlJc w:val="left"/>
      <w:pPr>
        <w:ind w:left="852" w:hanging="284"/>
      </w:pPr>
      <w:rPr>
        <w:rFonts w:ascii="Calibri" w:hAnsi="Calibri" w:hint="default"/>
        <w:color w:val="auto"/>
      </w:rPr>
    </w:lvl>
    <w:lvl w:ilvl="3" w:tplc="058C41F4">
      <w:start w:val="1"/>
      <w:numFmt w:val="bullet"/>
      <w:lvlText w:val="▫"/>
      <w:lvlJc w:val="left"/>
      <w:pPr>
        <w:ind w:left="1136" w:hanging="284"/>
      </w:pPr>
      <w:rPr>
        <w:rFonts w:ascii="Calibri" w:hAnsi="Calibri" w:hint="default"/>
        <w:color w:val="auto"/>
      </w:rPr>
    </w:lvl>
    <w:lvl w:ilvl="4" w:tplc="80920746">
      <w:start w:val="1"/>
      <w:numFmt w:val="bullet"/>
      <w:lvlText w:val="—"/>
      <w:lvlJc w:val="left"/>
      <w:pPr>
        <w:ind w:left="1420" w:hanging="284"/>
      </w:pPr>
      <w:rPr>
        <w:rFonts w:ascii="Calibri" w:hAnsi="Calibri" w:hint="default"/>
        <w:color w:val="auto"/>
      </w:rPr>
    </w:lvl>
    <w:lvl w:ilvl="5" w:tplc="6576E4B2">
      <w:start w:val="1"/>
      <w:numFmt w:val="bullet"/>
      <w:lvlText w:val="»"/>
      <w:lvlJc w:val="left"/>
      <w:pPr>
        <w:ind w:left="1704" w:hanging="284"/>
      </w:pPr>
      <w:rPr>
        <w:rFonts w:ascii="Calibri" w:hAnsi="Calibri" w:hint="default"/>
        <w:color w:val="auto"/>
      </w:rPr>
    </w:lvl>
    <w:lvl w:ilvl="6" w:tplc="1CF675DE">
      <w:start w:val="1"/>
      <w:numFmt w:val="decimal"/>
      <w:lvlText w:val="%7."/>
      <w:lvlJc w:val="left"/>
      <w:pPr>
        <w:ind w:left="1988" w:hanging="284"/>
      </w:pPr>
    </w:lvl>
    <w:lvl w:ilvl="7" w:tplc="2398E332">
      <w:start w:val="1"/>
      <w:numFmt w:val="lowerLetter"/>
      <w:lvlText w:val="%8."/>
      <w:lvlJc w:val="left"/>
      <w:pPr>
        <w:ind w:left="2272" w:hanging="284"/>
      </w:pPr>
    </w:lvl>
    <w:lvl w:ilvl="8" w:tplc="A68E47C4">
      <w:start w:val="1"/>
      <w:numFmt w:val="lowerRoman"/>
      <w:lvlText w:val="%9."/>
      <w:lvlJc w:val="left"/>
      <w:pPr>
        <w:ind w:left="2556" w:hanging="284"/>
      </w:pPr>
    </w:lvl>
  </w:abstractNum>
  <w:abstractNum w:abstractNumId="16"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013764A"/>
    <w:multiLevelType w:val="hybridMultilevel"/>
    <w:tmpl w:val="9ED0377C"/>
    <w:lvl w:ilvl="0" w:tplc="DC08BA9E">
      <w:start w:val="1"/>
      <w:numFmt w:val="decimal"/>
      <w:lvlText w:val="%1."/>
      <w:lvlJc w:val="left"/>
      <w:pPr>
        <w:ind w:left="720" w:hanging="360"/>
      </w:pPr>
      <w:rPr>
        <w:b w:val="0"/>
      </w:rPr>
    </w:lvl>
    <w:lvl w:ilvl="1" w:tplc="B914EAE2">
      <w:start w:val="1"/>
      <w:numFmt w:val="lowerLetter"/>
      <w:lvlText w:val="%2."/>
      <w:lvlJc w:val="left"/>
      <w:pPr>
        <w:ind w:left="1440" w:hanging="360"/>
      </w:pPr>
    </w:lvl>
    <w:lvl w:ilvl="2" w:tplc="A134C9C8">
      <w:start w:val="1"/>
      <w:numFmt w:val="lowerRoman"/>
      <w:lvlText w:val="%3."/>
      <w:lvlJc w:val="right"/>
      <w:pPr>
        <w:ind w:left="2160" w:hanging="180"/>
      </w:pPr>
    </w:lvl>
    <w:lvl w:ilvl="3" w:tplc="939C6380">
      <w:start w:val="1"/>
      <w:numFmt w:val="decimal"/>
      <w:lvlText w:val="%4."/>
      <w:lvlJc w:val="left"/>
      <w:pPr>
        <w:ind w:left="2880" w:hanging="360"/>
      </w:pPr>
    </w:lvl>
    <w:lvl w:ilvl="4" w:tplc="7F1CE1E2">
      <w:start w:val="1"/>
      <w:numFmt w:val="lowerLetter"/>
      <w:lvlText w:val="%5."/>
      <w:lvlJc w:val="left"/>
      <w:pPr>
        <w:ind w:left="3600" w:hanging="360"/>
      </w:pPr>
    </w:lvl>
    <w:lvl w:ilvl="5" w:tplc="28B87812">
      <w:start w:val="1"/>
      <w:numFmt w:val="lowerRoman"/>
      <w:lvlText w:val="%6."/>
      <w:lvlJc w:val="right"/>
      <w:pPr>
        <w:ind w:left="4320" w:hanging="180"/>
      </w:pPr>
    </w:lvl>
    <w:lvl w:ilvl="6" w:tplc="CDFA796E">
      <w:start w:val="1"/>
      <w:numFmt w:val="decimal"/>
      <w:lvlText w:val="%7."/>
      <w:lvlJc w:val="left"/>
      <w:pPr>
        <w:ind w:left="5040" w:hanging="360"/>
      </w:pPr>
    </w:lvl>
    <w:lvl w:ilvl="7" w:tplc="DF30B25E">
      <w:start w:val="1"/>
      <w:numFmt w:val="lowerLetter"/>
      <w:lvlText w:val="%8."/>
      <w:lvlJc w:val="left"/>
      <w:pPr>
        <w:ind w:left="5760" w:hanging="360"/>
      </w:pPr>
    </w:lvl>
    <w:lvl w:ilvl="8" w:tplc="354885DC">
      <w:start w:val="1"/>
      <w:numFmt w:val="lowerRoman"/>
      <w:lvlText w:val="%9."/>
      <w:lvlJc w:val="right"/>
      <w:pPr>
        <w:ind w:left="6480" w:hanging="180"/>
      </w:pPr>
    </w:lvl>
  </w:abstractNum>
  <w:abstractNum w:abstractNumId="18" w15:restartNumberingAfterBreak="0">
    <w:nsid w:val="5E0142C6"/>
    <w:multiLevelType w:val="hybridMultilevel"/>
    <w:tmpl w:val="3CF265F0"/>
    <w:lvl w:ilvl="0" w:tplc="148EEFBA">
      <w:start w:val="1"/>
      <w:numFmt w:val="bullet"/>
      <w:lvlText w:val="o"/>
      <w:lvlJc w:val="left"/>
      <w:pPr>
        <w:ind w:left="720" w:hanging="360"/>
      </w:pPr>
      <w:rPr>
        <w:rFonts w:ascii="Courier New" w:hAnsi="Courier New" w:hint="default"/>
      </w:rPr>
    </w:lvl>
    <w:lvl w:ilvl="1" w:tplc="60A05CDE">
      <w:start w:val="1"/>
      <w:numFmt w:val="bullet"/>
      <w:lvlText w:val="o"/>
      <w:lvlJc w:val="left"/>
      <w:pPr>
        <w:ind w:left="1440" w:hanging="360"/>
      </w:pPr>
      <w:rPr>
        <w:rFonts w:ascii="Courier New" w:hAnsi="Courier New" w:hint="default"/>
      </w:rPr>
    </w:lvl>
    <w:lvl w:ilvl="2" w:tplc="09CE9816">
      <w:start w:val="1"/>
      <w:numFmt w:val="bullet"/>
      <w:lvlText w:val=""/>
      <w:lvlJc w:val="left"/>
      <w:pPr>
        <w:ind w:left="2160" w:hanging="360"/>
      </w:pPr>
      <w:rPr>
        <w:rFonts w:ascii="Wingdings" w:hAnsi="Wingdings" w:hint="default"/>
      </w:rPr>
    </w:lvl>
    <w:lvl w:ilvl="3" w:tplc="1DBADE40">
      <w:start w:val="1"/>
      <w:numFmt w:val="bullet"/>
      <w:lvlText w:val=""/>
      <w:lvlJc w:val="left"/>
      <w:pPr>
        <w:ind w:left="2880" w:hanging="360"/>
      </w:pPr>
      <w:rPr>
        <w:rFonts w:ascii="Symbol" w:hAnsi="Symbol" w:hint="default"/>
      </w:rPr>
    </w:lvl>
    <w:lvl w:ilvl="4" w:tplc="BB6821D6">
      <w:start w:val="1"/>
      <w:numFmt w:val="bullet"/>
      <w:lvlText w:val="o"/>
      <w:lvlJc w:val="left"/>
      <w:pPr>
        <w:ind w:left="3600" w:hanging="360"/>
      </w:pPr>
      <w:rPr>
        <w:rFonts w:ascii="Courier New" w:hAnsi="Courier New" w:hint="default"/>
      </w:rPr>
    </w:lvl>
    <w:lvl w:ilvl="5" w:tplc="70640640">
      <w:start w:val="1"/>
      <w:numFmt w:val="bullet"/>
      <w:lvlText w:val=""/>
      <w:lvlJc w:val="left"/>
      <w:pPr>
        <w:ind w:left="4320" w:hanging="360"/>
      </w:pPr>
      <w:rPr>
        <w:rFonts w:ascii="Wingdings" w:hAnsi="Wingdings" w:hint="default"/>
      </w:rPr>
    </w:lvl>
    <w:lvl w:ilvl="6" w:tplc="33ACA2D4">
      <w:start w:val="1"/>
      <w:numFmt w:val="bullet"/>
      <w:lvlText w:val=""/>
      <w:lvlJc w:val="left"/>
      <w:pPr>
        <w:ind w:left="5040" w:hanging="360"/>
      </w:pPr>
      <w:rPr>
        <w:rFonts w:ascii="Symbol" w:hAnsi="Symbol" w:hint="default"/>
      </w:rPr>
    </w:lvl>
    <w:lvl w:ilvl="7" w:tplc="4EB04910">
      <w:start w:val="1"/>
      <w:numFmt w:val="bullet"/>
      <w:lvlText w:val="o"/>
      <w:lvlJc w:val="left"/>
      <w:pPr>
        <w:ind w:left="5760" w:hanging="360"/>
      </w:pPr>
      <w:rPr>
        <w:rFonts w:ascii="Courier New" w:hAnsi="Courier New" w:hint="default"/>
      </w:rPr>
    </w:lvl>
    <w:lvl w:ilvl="8" w:tplc="72022564">
      <w:start w:val="1"/>
      <w:numFmt w:val="bullet"/>
      <w:lvlText w:val=""/>
      <w:lvlJc w:val="left"/>
      <w:pPr>
        <w:ind w:left="6480" w:hanging="360"/>
      </w:pPr>
      <w:rPr>
        <w:rFonts w:ascii="Wingdings" w:hAnsi="Wingdings" w:hint="default"/>
      </w:rPr>
    </w:lvl>
  </w:abstractNum>
  <w:abstractNum w:abstractNumId="19" w15:restartNumberingAfterBreak="0">
    <w:nsid w:val="68827E7D"/>
    <w:multiLevelType w:val="hybridMultilevel"/>
    <w:tmpl w:val="B058BFD4"/>
    <w:lvl w:ilvl="0" w:tplc="993051B8">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CD772A"/>
    <w:multiLevelType w:val="hybridMultilevel"/>
    <w:tmpl w:val="9528AE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21"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8"/>
  </w:num>
  <w:num w:numId="2">
    <w:abstractNumId w:val="19"/>
  </w:num>
  <w:num w:numId="3">
    <w:abstractNumId w:val="11"/>
  </w:num>
  <w:num w:numId="4">
    <w:abstractNumId w:val="16"/>
  </w:num>
  <w:num w:numId="5">
    <w:abstractNumId w:val="21"/>
  </w:num>
  <w:num w:numId="6">
    <w:abstractNumId w:val="15"/>
  </w:num>
  <w:num w:numId="7">
    <w:abstractNumId w:val="14"/>
  </w:num>
  <w:num w:numId="8">
    <w:abstractNumId w:val="10"/>
  </w:num>
  <w:num w:numId="9">
    <w:abstractNumId w:val="17"/>
  </w:num>
  <w:num w:numId="10">
    <w:abstractNumId w:val="12"/>
  </w:num>
  <w:num w:numId="11">
    <w:abstractNumId w:val="13"/>
  </w:num>
  <w:num w:numId="12">
    <w:abstractNumId w:val="20"/>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245EF"/>
    <w:rsid w:val="00025083"/>
    <w:rsid w:val="00026E74"/>
    <w:rsid w:val="00031520"/>
    <w:rsid w:val="00032291"/>
    <w:rsid w:val="000329D9"/>
    <w:rsid w:val="00033B0F"/>
    <w:rsid w:val="0003502E"/>
    <w:rsid w:val="000522EB"/>
    <w:rsid w:val="000554B4"/>
    <w:rsid w:val="000579A7"/>
    <w:rsid w:val="00071A02"/>
    <w:rsid w:val="00071F7B"/>
    <w:rsid w:val="00072195"/>
    <w:rsid w:val="000740FB"/>
    <w:rsid w:val="00080696"/>
    <w:rsid w:val="00084383"/>
    <w:rsid w:val="00090E62"/>
    <w:rsid w:val="0009B46D"/>
    <w:rsid w:val="000A08E0"/>
    <w:rsid w:val="000B1E86"/>
    <w:rsid w:val="000B437D"/>
    <w:rsid w:val="000B789C"/>
    <w:rsid w:val="000B8248"/>
    <w:rsid w:val="000C0244"/>
    <w:rsid w:val="000C390F"/>
    <w:rsid w:val="000D2C3F"/>
    <w:rsid w:val="000D4B3B"/>
    <w:rsid w:val="000E29BE"/>
    <w:rsid w:val="000F7862"/>
    <w:rsid w:val="00105DA4"/>
    <w:rsid w:val="00107C23"/>
    <w:rsid w:val="00111F84"/>
    <w:rsid w:val="0011275A"/>
    <w:rsid w:val="00113169"/>
    <w:rsid w:val="00113A03"/>
    <w:rsid w:val="001218E2"/>
    <w:rsid w:val="00123CFC"/>
    <w:rsid w:val="0012D8F2"/>
    <w:rsid w:val="00133A45"/>
    <w:rsid w:val="00143894"/>
    <w:rsid w:val="00152474"/>
    <w:rsid w:val="00160F59"/>
    <w:rsid w:val="00182799"/>
    <w:rsid w:val="00190A0C"/>
    <w:rsid w:val="001A47AD"/>
    <w:rsid w:val="001B3927"/>
    <w:rsid w:val="001C0B0C"/>
    <w:rsid w:val="001C663E"/>
    <w:rsid w:val="001D583B"/>
    <w:rsid w:val="001E4471"/>
    <w:rsid w:val="001E7AC4"/>
    <w:rsid w:val="001E7DB8"/>
    <w:rsid w:val="00204096"/>
    <w:rsid w:val="00204A64"/>
    <w:rsid w:val="0020C00B"/>
    <w:rsid w:val="0021041C"/>
    <w:rsid w:val="002179E4"/>
    <w:rsid w:val="00217C11"/>
    <w:rsid w:val="002368AF"/>
    <w:rsid w:val="00236F1B"/>
    <w:rsid w:val="00242A01"/>
    <w:rsid w:val="00243F99"/>
    <w:rsid w:val="0026102B"/>
    <w:rsid w:val="00261FFA"/>
    <w:rsid w:val="00263B20"/>
    <w:rsid w:val="00271833"/>
    <w:rsid w:val="00272982"/>
    <w:rsid w:val="00272AB7"/>
    <w:rsid w:val="00276153"/>
    <w:rsid w:val="0028233F"/>
    <w:rsid w:val="00282BDE"/>
    <w:rsid w:val="00287C7E"/>
    <w:rsid w:val="00297AC4"/>
    <w:rsid w:val="002A5AB5"/>
    <w:rsid w:val="002B1D1E"/>
    <w:rsid w:val="002B6283"/>
    <w:rsid w:val="002C6954"/>
    <w:rsid w:val="002C8336"/>
    <w:rsid w:val="002D59DD"/>
    <w:rsid w:val="002D7563"/>
    <w:rsid w:val="002E71E9"/>
    <w:rsid w:val="002F1A23"/>
    <w:rsid w:val="002F418A"/>
    <w:rsid w:val="00300077"/>
    <w:rsid w:val="00300BDD"/>
    <w:rsid w:val="00310148"/>
    <w:rsid w:val="00316D87"/>
    <w:rsid w:val="0031754F"/>
    <w:rsid w:val="00323710"/>
    <w:rsid w:val="003266B3"/>
    <w:rsid w:val="00342348"/>
    <w:rsid w:val="003508A8"/>
    <w:rsid w:val="003579B0"/>
    <w:rsid w:val="00357BF9"/>
    <w:rsid w:val="0036572D"/>
    <w:rsid w:val="00366209"/>
    <w:rsid w:val="0036635B"/>
    <w:rsid w:val="00368A43"/>
    <w:rsid w:val="00381BDA"/>
    <w:rsid w:val="00387DB8"/>
    <w:rsid w:val="00390069"/>
    <w:rsid w:val="003909E2"/>
    <w:rsid w:val="003B01F7"/>
    <w:rsid w:val="003B671A"/>
    <w:rsid w:val="003B6D01"/>
    <w:rsid w:val="003C575A"/>
    <w:rsid w:val="003C9011"/>
    <w:rsid w:val="003D71C5"/>
    <w:rsid w:val="003E28E3"/>
    <w:rsid w:val="003F08CD"/>
    <w:rsid w:val="003F3CB7"/>
    <w:rsid w:val="003F5327"/>
    <w:rsid w:val="0040170B"/>
    <w:rsid w:val="00407701"/>
    <w:rsid w:val="0040986F"/>
    <w:rsid w:val="00416734"/>
    <w:rsid w:val="004201CF"/>
    <w:rsid w:val="00422B9D"/>
    <w:rsid w:val="0044098D"/>
    <w:rsid w:val="00445017"/>
    <w:rsid w:val="0045DAD2"/>
    <w:rsid w:val="00470DFD"/>
    <w:rsid w:val="00471814"/>
    <w:rsid w:val="00471925"/>
    <w:rsid w:val="004729CA"/>
    <w:rsid w:val="004744BB"/>
    <w:rsid w:val="004757A6"/>
    <w:rsid w:val="00485AB4"/>
    <w:rsid w:val="004974EF"/>
    <w:rsid w:val="004975F2"/>
    <w:rsid w:val="0049784E"/>
    <w:rsid w:val="004A3207"/>
    <w:rsid w:val="004B3048"/>
    <w:rsid w:val="004B78F6"/>
    <w:rsid w:val="004C2A4F"/>
    <w:rsid w:val="004C631C"/>
    <w:rsid w:val="004E1517"/>
    <w:rsid w:val="004F7EDB"/>
    <w:rsid w:val="00502541"/>
    <w:rsid w:val="00511E45"/>
    <w:rsid w:val="005178F8"/>
    <w:rsid w:val="00521544"/>
    <w:rsid w:val="005413E7"/>
    <w:rsid w:val="00542D71"/>
    <w:rsid w:val="00547667"/>
    <w:rsid w:val="00553DEE"/>
    <w:rsid w:val="00574CF6"/>
    <w:rsid w:val="00591CDB"/>
    <w:rsid w:val="005941FC"/>
    <w:rsid w:val="00597322"/>
    <w:rsid w:val="005B2F5C"/>
    <w:rsid w:val="005B50FF"/>
    <w:rsid w:val="005B7958"/>
    <w:rsid w:val="005C0459"/>
    <w:rsid w:val="005C37D2"/>
    <w:rsid w:val="005C57D2"/>
    <w:rsid w:val="005D038B"/>
    <w:rsid w:val="005D1F5A"/>
    <w:rsid w:val="005D7BB2"/>
    <w:rsid w:val="005E098B"/>
    <w:rsid w:val="005E3339"/>
    <w:rsid w:val="005E4596"/>
    <w:rsid w:val="005E55BD"/>
    <w:rsid w:val="005F05F3"/>
    <w:rsid w:val="005F3C8C"/>
    <w:rsid w:val="00610225"/>
    <w:rsid w:val="00613D56"/>
    <w:rsid w:val="00630D43"/>
    <w:rsid w:val="0063E80B"/>
    <w:rsid w:val="0064052D"/>
    <w:rsid w:val="00642D51"/>
    <w:rsid w:val="00643EEF"/>
    <w:rsid w:val="006452B1"/>
    <w:rsid w:val="006542FA"/>
    <w:rsid w:val="00654F9E"/>
    <w:rsid w:val="00670726"/>
    <w:rsid w:val="00683FB8"/>
    <w:rsid w:val="00687DC5"/>
    <w:rsid w:val="00691FA2"/>
    <w:rsid w:val="006A2866"/>
    <w:rsid w:val="006A5B51"/>
    <w:rsid w:val="006C072B"/>
    <w:rsid w:val="006D43C7"/>
    <w:rsid w:val="006DF538"/>
    <w:rsid w:val="006E139E"/>
    <w:rsid w:val="006E5952"/>
    <w:rsid w:val="00716775"/>
    <w:rsid w:val="00731351"/>
    <w:rsid w:val="00744CD2"/>
    <w:rsid w:val="0076A669"/>
    <w:rsid w:val="00772C27"/>
    <w:rsid w:val="00786515"/>
    <w:rsid w:val="00790F25"/>
    <w:rsid w:val="00793843"/>
    <w:rsid w:val="007955CC"/>
    <w:rsid w:val="00796DBC"/>
    <w:rsid w:val="0079788A"/>
    <w:rsid w:val="007A2848"/>
    <w:rsid w:val="007A369B"/>
    <w:rsid w:val="007A7F83"/>
    <w:rsid w:val="007B1D1A"/>
    <w:rsid w:val="007B68AB"/>
    <w:rsid w:val="007D2B6C"/>
    <w:rsid w:val="007D68BA"/>
    <w:rsid w:val="007D6EA1"/>
    <w:rsid w:val="007D7440"/>
    <w:rsid w:val="00805251"/>
    <w:rsid w:val="00813A4C"/>
    <w:rsid w:val="00817ABD"/>
    <w:rsid w:val="00822181"/>
    <w:rsid w:val="00822DBF"/>
    <w:rsid w:val="00827EAD"/>
    <w:rsid w:val="00834717"/>
    <w:rsid w:val="00842545"/>
    <w:rsid w:val="00844104"/>
    <w:rsid w:val="00847DDA"/>
    <w:rsid w:val="00870EDE"/>
    <w:rsid w:val="00887B65"/>
    <w:rsid w:val="008A0937"/>
    <w:rsid w:val="008A63B7"/>
    <w:rsid w:val="008A7B93"/>
    <w:rsid w:val="008A7E91"/>
    <w:rsid w:val="008B0E42"/>
    <w:rsid w:val="008B7158"/>
    <w:rsid w:val="008C9F7A"/>
    <w:rsid w:val="008D4156"/>
    <w:rsid w:val="008E4F22"/>
    <w:rsid w:val="008E534F"/>
    <w:rsid w:val="008E78A3"/>
    <w:rsid w:val="008F24DE"/>
    <w:rsid w:val="008F4DA0"/>
    <w:rsid w:val="008F5575"/>
    <w:rsid w:val="00901046"/>
    <w:rsid w:val="00903B4D"/>
    <w:rsid w:val="00912D17"/>
    <w:rsid w:val="00913511"/>
    <w:rsid w:val="00925700"/>
    <w:rsid w:val="00925E34"/>
    <w:rsid w:val="009276A3"/>
    <w:rsid w:val="009279AE"/>
    <w:rsid w:val="009327A1"/>
    <w:rsid w:val="00934C59"/>
    <w:rsid w:val="00935A30"/>
    <w:rsid w:val="0094015C"/>
    <w:rsid w:val="00944067"/>
    <w:rsid w:val="00953CCD"/>
    <w:rsid w:val="0096059C"/>
    <w:rsid w:val="00965B3F"/>
    <w:rsid w:val="0097042C"/>
    <w:rsid w:val="00985DD5"/>
    <w:rsid w:val="0099129F"/>
    <w:rsid w:val="00996F63"/>
    <w:rsid w:val="009A23F0"/>
    <w:rsid w:val="009A6D76"/>
    <w:rsid w:val="009B3399"/>
    <w:rsid w:val="009B5758"/>
    <w:rsid w:val="009C1ECD"/>
    <w:rsid w:val="009C2706"/>
    <w:rsid w:val="009D00FF"/>
    <w:rsid w:val="009D2EAA"/>
    <w:rsid w:val="009D65B2"/>
    <w:rsid w:val="009E5B72"/>
    <w:rsid w:val="009F438D"/>
    <w:rsid w:val="00A1EF34"/>
    <w:rsid w:val="00A24200"/>
    <w:rsid w:val="00A32D82"/>
    <w:rsid w:val="00A407BE"/>
    <w:rsid w:val="00A44E4B"/>
    <w:rsid w:val="00A4759C"/>
    <w:rsid w:val="00A5536C"/>
    <w:rsid w:val="00A5600C"/>
    <w:rsid w:val="00A61865"/>
    <w:rsid w:val="00A63390"/>
    <w:rsid w:val="00A66EB4"/>
    <w:rsid w:val="00A72E4E"/>
    <w:rsid w:val="00A73308"/>
    <w:rsid w:val="00A82DAF"/>
    <w:rsid w:val="00A86AF3"/>
    <w:rsid w:val="00A9003B"/>
    <w:rsid w:val="00AC3D09"/>
    <w:rsid w:val="00AC6195"/>
    <w:rsid w:val="00AD6A2B"/>
    <w:rsid w:val="00AE61A6"/>
    <w:rsid w:val="00AE6F3A"/>
    <w:rsid w:val="00AF3C47"/>
    <w:rsid w:val="00AF7EF5"/>
    <w:rsid w:val="00B041CB"/>
    <w:rsid w:val="00B12FC1"/>
    <w:rsid w:val="00B223D5"/>
    <w:rsid w:val="00B32F31"/>
    <w:rsid w:val="00B35B7A"/>
    <w:rsid w:val="00B3785F"/>
    <w:rsid w:val="00B40AEF"/>
    <w:rsid w:val="00B40FE6"/>
    <w:rsid w:val="00B416C9"/>
    <w:rsid w:val="00B43F55"/>
    <w:rsid w:val="00B51BCC"/>
    <w:rsid w:val="00B51BCE"/>
    <w:rsid w:val="00B5393D"/>
    <w:rsid w:val="00B637E7"/>
    <w:rsid w:val="00B74715"/>
    <w:rsid w:val="00B76D03"/>
    <w:rsid w:val="00B87ACF"/>
    <w:rsid w:val="00BA227C"/>
    <w:rsid w:val="00BA24B6"/>
    <w:rsid w:val="00BA268A"/>
    <w:rsid w:val="00BB3D46"/>
    <w:rsid w:val="00BC0598"/>
    <w:rsid w:val="00BD6ED1"/>
    <w:rsid w:val="00BE280C"/>
    <w:rsid w:val="00BE3A51"/>
    <w:rsid w:val="00BE60E1"/>
    <w:rsid w:val="00BE6E84"/>
    <w:rsid w:val="00BF0767"/>
    <w:rsid w:val="00BF5FA4"/>
    <w:rsid w:val="00C02452"/>
    <w:rsid w:val="00C1523F"/>
    <w:rsid w:val="00C2C54D"/>
    <w:rsid w:val="00C32046"/>
    <w:rsid w:val="00C32353"/>
    <w:rsid w:val="00C32753"/>
    <w:rsid w:val="00C35F69"/>
    <w:rsid w:val="00C36E40"/>
    <w:rsid w:val="00C575BE"/>
    <w:rsid w:val="00C61A7A"/>
    <w:rsid w:val="00C62177"/>
    <w:rsid w:val="00C6F57A"/>
    <w:rsid w:val="00C77B8F"/>
    <w:rsid w:val="00C97D36"/>
    <w:rsid w:val="00CA5147"/>
    <w:rsid w:val="00CB2290"/>
    <w:rsid w:val="00CC6208"/>
    <w:rsid w:val="00CD0046"/>
    <w:rsid w:val="00CD2038"/>
    <w:rsid w:val="00CD6B73"/>
    <w:rsid w:val="00CE5DE2"/>
    <w:rsid w:val="00CF2B75"/>
    <w:rsid w:val="00D17B1B"/>
    <w:rsid w:val="00D34974"/>
    <w:rsid w:val="00D36B96"/>
    <w:rsid w:val="00D42957"/>
    <w:rsid w:val="00D4499A"/>
    <w:rsid w:val="00D47BFD"/>
    <w:rsid w:val="00D54B93"/>
    <w:rsid w:val="00D56936"/>
    <w:rsid w:val="00D6074C"/>
    <w:rsid w:val="00D64922"/>
    <w:rsid w:val="00D65F4A"/>
    <w:rsid w:val="00D761B3"/>
    <w:rsid w:val="00D902B1"/>
    <w:rsid w:val="00D91597"/>
    <w:rsid w:val="00D92A21"/>
    <w:rsid w:val="00DA49E0"/>
    <w:rsid w:val="00DC1A42"/>
    <w:rsid w:val="00DC5DC8"/>
    <w:rsid w:val="00DC6B1C"/>
    <w:rsid w:val="00DCC0A4"/>
    <w:rsid w:val="00DD115A"/>
    <w:rsid w:val="00DD236E"/>
    <w:rsid w:val="00DD43C5"/>
    <w:rsid w:val="00DE1920"/>
    <w:rsid w:val="00DF39CA"/>
    <w:rsid w:val="00E2104E"/>
    <w:rsid w:val="00E2478A"/>
    <w:rsid w:val="00E26C16"/>
    <w:rsid w:val="00E4211C"/>
    <w:rsid w:val="00E42B3F"/>
    <w:rsid w:val="00E47447"/>
    <w:rsid w:val="00E533D2"/>
    <w:rsid w:val="00E55917"/>
    <w:rsid w:val="00E56738"/>
    <w:rsid w:val="00E569D7"/>
    <w:rsid w:val="00E7227D"/>
    <w:rsid w:val="00E740C4"/>
    <w:rsid w:val="00E76BC6"/>
    <w:rsid w:val="00E79D1B"/>
    <w:rsid w:val="00E80E04"/>
    <w:rsid w:val="00E827E5"/>
    <w:rsid w:val="00E941EA"/>
    <w:rsid w:val="00E96DE6"/>
    <w:rsid w:val="00EA415A"/>
    <w:rsid w:val="00EB7535"/>
    <w:rsid w:val="00EC3568"/>
    <w:rsid w:val="00EC7A8B"/>
    <w:rsid w:val="00ED2382"/>
    <w:rsid w:val="00ED32BA"/>
    <w:rsid w:val="00ED4399"/>
    <w:rsid w:val="00ED4C25"/>
    <w:rsid w:val="00ED749D"/>
    <w:rsid w:val="00ED761D"/>
    <w:rsid w:val="00EE6EE8"/>
    <w:rsid w:val="00EF376A"/>
    <w:rsid w:val="00EF5B98"/>
    <w:rsid w:val="00F2D79F"/>
    <w:rsid w:val="00F300F1"/>
    <w:rsid w:val="00F32B7A"/>
    <w:rsid w:val="00F41576"/>
    <w:rsid w:val="00F4487C"/>
    <w:rsid w:val="00F44B68"/>
    <w:rsid w:val="00F56909"/>
    <w:rsid w:val="00F575D0"/>
    <w:rsid w:val="00F61A54"/>
    <w:rsid w:val="00F61FA1"/>
    <w:rsid w:val="00F679DE"/>
    <w:rsid w:val="00F814AD"/>
    <w:rsid w:val="00F85748"/>
    <w:rsid w:val="00FA449F"/>
    <w:rsid w:val="00FA64C7"/>
    <w:rsid w:val="00FC1D8D"/>
    <w:rsid w:val="00FC413F"/>
    <w:rsid w:val="00FC9208"/>
    <w:rsid w:val="00FD34BF"/>
    <w:rsid w:val="00FD3DAB"/>
    <w:rsid w:val="00FD5B9A"/>
    <w:rsid w:val="00FF4253"/>
    <w:rsid w:val="0102EAAE"/>
    <w:rsid w:val="010B1BB7"/>
    <w:rsid w:val="01103751"/>
    <w:rsid w:val="011D0614"/>
    <w:rsid w:val="0120DAF2"/>
    <w:rsid w:val="012977F4"/>
    <w:rsid w:val="012C2191"/>
    <w:rsid w:val="012E9670"/>
    <w:rsid w:val="013765FE"/>
    <w:rsid w:val="013D476D"/>
    <w:rsid w:val="01436FA8"/>
    <w:rsid w:val="014CF4D1"/>
    <w:rsid w:val="01567DA1"/>
    <w:rsid w:val="015BBA91"/>
    <w:rsid w:val="01616101"/>
    <w:rsid w:val="0165BF55"/>
    <w:rsid w:val="01695164"/>
    <w:rsid w:val="016C9BE5"/>
    <w:rsid w:val="01708CF5"/>
    <w:rsid w:val="017097C1"/>
    <w:rsid w:val="01711498"/>
    <w:rsid w:val="0174D07B"/>
    <w:rsid w:val="017D2027"/>
    <w:rsid w:val="0182CC82"/>
    <w:rsid w:val="0185F496"/>
    <w:rsid w:val="018E8E47"/>
    <w:rsid w:val="018EB6EC"/>
    <w:rsid w:val="019CB435"/>
    <w:rsid w:val="01A34C75"/>
    <w:rsid w:val="01AF9FE2"/>
    <w:rsid w:val="01B5E9E6"/>
    <w:rsid w:val="01B84BCF"/>
    <w:rsid w:val="01BB796A"/>
    <w:rsid w:val="01C020E7"/>
    <w:rsid w:val="01C0B1B9"/>
    <w:rsid w:val="01CB7DD4"/>
    <w:rsid w:val="01CF0B3F"/>
    <w:rsid w:val="01E16165"/>
    <w:rsid w:val="01E330B7"/>
    <w:rsid w:val="01E7B1BD"/>
    <w:rsid w:val="01F1C638"/>
    <w:rsid w:val="02078DEB"/>
    <w:rsid w:val="021549BB"/>
    <w:rsid w:val="02167C05"/>
    <w:rsid w:val="0221FD57"/>
    <w:rsid w:val="0222616A"/>
    <w:rsid w:val="0225BE45"/>
    <w:rsid w:val="0229BE9F"/>
    <w:rsid w:val="022BB707"/>
    <w:rsid w:val="02313593"/>
    <w:rsid w:val="023681E7"/>
    <w:rsid w:val="023A4548"/>
    <w:rsid w:val="023E1899"/>
    <w:rsid w:val="023FB9B2"/>
    <w:rsid w:val="0246B931"/>
    <w:rsid w:val="025DBF69"/>
    <w:rsid w:val="0267B551"/>
    <w:rsid w:val="026ACAD5"/>
    <w:rsid w:val="026ED222"/>
    <w:rsid w:val="0270D0BE"/>
    <w:rsid w:val="0278896D"/>
    <w:rsid w:val="028C1C52"/>
    <w:rsid w:val="029C7DA4"/>
    <w:rsid w:val="02A6E3FD"/>
    <w:rsid w:val="02ABF554"/>
    <w:rsid w:val="02AD00D6"/>
    <w:rsid w:val="02AD90F7"/>
    <w:rsid w:val="02BA433C"/>
    <w:rsid w:val="02BE51BF"/>
    <w:rsid w:val="02BE95D5"/>
    <w:rsid w:val="02C0702A"/>
    <w:rsid w:val="02C578F5"/>
    <w:rsid w:val="02D24C13"/>
    <w:rsid w:val="02D3BA93"/>
    <w:rsid w:val="02D44A05"/>
    <w:rsid w:val="02DFC015"/>
    <w:rsid w:val="02E76D2C"/>
    <w:rsid w:val="02F951E1"/>
    <w:rsid w:val="02F9A377"/>
    <w:rsid w:val="031451DF"/>
    <w:rsid w:val="0314751C"/>
    <w:rsid w:val="031890F2"/>
    <w:rsid w:val="03234DE7"/>
    <w:rsid w:val="03415576"/>
    <w:rsid w:val="03538FEB"/>
    <w:rsid w:val="03568A39"/>
    <w:rsid w:val="035CC6A9"/>
    <w:rsid w:val="035DC508"/>
    <w:rsid w:val="0363D7D3"/>
    <w:rsid w:val="0367DF52"/>
    <w:rsid w:val="03704664"/>
    <w:rsid w:val="0371C941"/>
    <w:rsid w:val="038912C2"/>
    <w:rsid w:val="03904097"/>
    <w:rsid w:val="0391114B"/>
    <w:rsid w:val="03AC19CD"/>
    <w:rsid w:val="03B8DBA4"/>
    <w:rsid w:val="03BA52E7"/>
    <w:rsid w:val="03CFA68E"/>
    <w:rsid w:val="03D478F9"/>
    <w:rsid w:val="03E3E1A0"/>
    <w:rsid w:val="03E46E2F"/>
    <w:rsid w:val="03E9CB37"/>
    <w:rsid w:val="03EAE908"/>
    <w:rsid w:val="03F05027"/>
    <w:rsid w:val="03F28865"/>
    <w:rsid w:val="03F5EC11"/>
    <w:rsid w:val="03FF5175"/>
    <w:rsid w:val="04276B3B"/>
    <w:rsid w:val="042B144F"/>
    <w:rsid w:val="043A4078"/>
    <w:rsid w:val="04446403"/>
    <w:rsid w:val="04573532"/>
    <w:rsid w:val="04614956"/>
    <w:rsid w:val="04618254"/>
    <w:rsid w:val="04627C66"/>
    <w:rsid w:val="046A6A54"/>
    <w:rsid w:val="046DC946"/>
    <w:rsid w:val="0471AB35"/>
    <w:rsid w:val="0471C654"/>
    <w:rsid w:val="0477BE31"/>
    <w:rsid w:val="047B66C6"/>
    <w:rsid w:val="04847A83"/>
    <w:rsid w:val="0490FF46"/>
    <w:rsid w:val="0492309C"/>
    <w:rsid w:val="04B0ECE7"/>
    <w:rsid w:val="04B65E7E"/>
    <w:rsid w:val="04C5F5FE"/>
    <w:rsid w:val="04D0DCC1"/>
    <w:rsid w:val="04D8B17A"/>
    <w:rsid w:val="04D910F8"/>
    <w:rsid w:val="04DC5A11"/>
    <w:rsid w:val="04E26D81"/>
    <w:rsid w:val="04E7DC59"/>
    <w:rsid w:val="04F62462"/>
    <w:rsid w:val="04F8BE66"/>
    <w:rsid w:val="04FDF176"/>
    <w:rsid w:val="04FEE1B2"/>
    <w:rsid w:val="05051322"/>
    <w:rsid w:val="050C3ACE"/>
    <w:rsid w:val="050D33B9"/>
    <w:rsid w:val="050D8A00"/>
    <w:rsid w:val="050DEAFE"/>
    <w:rsid w:val="051527A1"/>
    <w:rsid w:val="051C4BA5"/>
    <w:rsid w:val="0522209C"/>
    <w:rsid w:val="0522DFB5"/>
    <w:rsid w:val="052489AD"/>
    <w:rsid w:val="052A431F"/>
    <w:rsid w:val="052ADC99"/>
    <w:rsid w:val="05313532"/>
    <w:rsid w:val="05397222"/>
    <w:rsid w:val="0543B3D0"/>
    <w:rsid w:val="0551F53D"/>
    <w:rsid w:val="055DF16A"/>
    <w:rsid w:val="05695059"/>
    <w:rsid w:val="057A37F2"/>
    <w:rsid w:val="057FE70A"/>
    <w:rsid w:val="05862249"/>
    <w:rsid w:val="059B0166"/>
    <w:rsid w:val="059D8048"/>
    <w:rsid w:val="05A0163E"/>
    <w:rsid w:val="05A01F62"/>
    <w:rsid w:val="05A42B24"/>
    <w:rsid w:val="05A4DABA"/>
    <w:rsid w:val="05AE215C"/>
    <w:rsid w:val="05B17637"/>
    <w:rsid w:val="05C4F546"/>
    <w:rsid w:val="05C590E6"/>
    <w:rsid w:val="05DAB8EE"/>
    <w:rsid w:val="05E6CC11"/>
    <w:rsid w:val="05EAF476"/>
    <w:rsid w:val="05F82F19"/>
    <w:rsid w:val="0602C485"/>
    <w:rsid w:val="06068B62"/>
    <w:rsid w:val="06263BCA"/>
    <w:rsid w:val="062B57DE"/>
    <w:rsid w:val="062C2730"/>
    <w:rsid w:val="062EEE22"/>
    <w:rsid w:val="0632097B"/>
    <w:rsid w:val="06375F51"/>
    <w:rsid w:val="0645D85E"/>
    <w:rsid w:val="0646401B"/>
    <w:rsid w:val="06530D9D"/>
    <w:rsid w:val="06547AF4"/>
    <w:rsid w:val="0658C98B"/>
    <w:rsid w:val="065975BC"/>
    <w:rsid w:val="06605B21"/>
    <w:rsid w:val="0664C8B5"/>
    <w:rsid w:val="066FB4E8"/>
    <w:rsid w:val="06712728"/>
    <w:rsid w:val="0678A706"/>
    <w:rsid w:val="067EFF71"/>
    <w:rsid w:val="06887F98"/>
    <w:rsid w:val="068973DF"/>
    <w:rsid w:val="069056E9"/>
    <w:rsid w:val="06A149F5"/>
    <w:rsid w:val="06AA35C7"/>
    <w:rsid w:val="06C0B384"/>
    <w:rsid w:val="06C6A358"/>
    <w:rsid w:val="06C6C9AE"/>
    <w:rsid w:val="06C764CD"/>
    <w:rsid w:val="06D12AC4"/>
    <w:rsid w:val="06E17AD5"/>
    <w:rsid w:val="06E59FF0"/>
    <w:rsid w:val="06E69285"/>
    <w:rsid w:val="06E72982"/>
    <w:rsid w:val="06FDB3DF"/>
    <w:rsid w:val="0707071C"/>
    <w:rsid w:val="070DFE59"/>
    <w:rsid w:val="07105C35"/>
    <w:rsid w:val="07107069"/>
    <w:rsid w:val="071A927C"/>
    <w:rsid w:val="071DAF87"/>
    <w:rsid w:val="0733090F"/>
    <w:rsid w:val="0733157E"/>
    <w:rsid w:val="0735AEDC"/>
    <w:rsid w:val="073898BF"/>
    <w:rsid w:val="073FC219"/>
    <w:rsid w:val="0740FB89"/>
    <w:rsid w:val="0759909C"/>
    <w:rsid w:val="076AE499"/>
    <w:rsid w:val="076DC6DF"/>
    <w:rsid w:val="0779EBE9"/>
    <w:rsid w:val="077D51AB"/>
    <w:rsid w:val="07817EDB"/>
    <w:rsid w:val="0784E720"/>
    <w:rsid w:val="07886D6A"/>
    <w:rsid w:val="078D08AF"/>
    <w:rsid w:val="079A501F"/>
    <w:rsid w:val="07A7820E"/>
    <w:rsid w:val="07ABC296"/>
    <w:rsid w:val="07B6533D"/>
    <w:rsid w:val="07BF515C"/>
    <w:rsid w:val="07C7E6F5"/>
    <w:rsid w:val="07C85443"/>
    <w:rsid w:val="07CA38FF"/>
    <w:rsid w:val="07DAD308"/>
    <w:rsid w:val="07E5F93B"/>
    <w:rsid w:val="07E71134"/>
    <w:rsid w:val="07F16D9B"/>
    <w:rsid w:val="07F21604"/>
    <w:rsid w:val="08019670"/>
    <w:rsid w:val="08041C9D"/>
    <w:rsid w:val="0813C897"/>
    <w:rsid w:val="0820C7C4"/>
    <w:rsid w:val="082196FB"/>
    <w:rsid w:val="08232FD1"/>
    <w:rsid w:val="082DD19D"/>
    <w:rsid w:val="083352A1"/>
    <w:rsid w:val="0839C5C9"/>
    <w:rsid w:val="084BE5DD"/>
    <w:rsid w:val="0850E6BC"/>
    <w:rsid w:val="08559214"/>
    <w:rsid w:val="0859F74D"/>
    <w:rsid w:val="086322ED"/>
    <w:rsid w:val="08667161"/>
    <w:rsid w:val="086F0493"/>
    <w:rsid w:val="0883CB4E"/>
    <w:rsid w:val="0885665E"/>
    <w:rsid w:val="089215A9"/>
    <w:rsid w:val="0892C1E0"/>
    <w:rsid w:val="089BD1BC"/>
    <w:rsid w:val="089D166F"/>
    <w:rsid w:val="089D2714"/>
    <w:rsid w:val="089F131E"/>
    <w:rsid w:val="08AF6E9A"/>
    <w:rsid w:val="08C54654"/>
    <w:rsid w:val="08CA26C6"/>
    <w:rsid w:val="08CB3C7B"/>
    <w:rsid w:val="08CD0BF8"/>
    <w:rsid w:val="08D67143"/>
    <w:rsid w:val="08DF0F3F"/>
    <w:rsid w:val="08F17D02"/>
    <w:rsid w:val="08FADC5E"/>
    <w:rsid w:val="08FC9BD1"/>
    <w:rsid w:val="090B80DD"/>
    <w:rsid w:val="09103208"/>
    <w:rsid w:val="091C19A5"/>
    <w:rsid w:val="0920BB30"/>
    <w:rsid w:val="092D5F9B"/>
    <w:rsid w:val="094BA00A"/>
    <w:rsid w:val="094C6132"/>
    <w:rsid w:val="0957EA99"/>
    <w:rsid w:val="095EAD2D"/>
    <w:rsid w:val="095EEE82"/>
    <w:rsid w:val="0961F097"/>
    <w:rsid w:val="09695003"/>
    <w:rsid w:val="096ACBB1"/>
    <w:rsid w:val="09788658"/>
    <w:rsid w:val="097AE6AB"/>
    <w:rsid w:val="097C94B5"/>
    <w:rsid w:val="098459A6"/>
    <w:rsid w:val="0986A5A7"/>
    <w:rsid w:val="09940FFB"/>
    <w:rsid w:val="0994568F"/>
    <w:rsid w:val="09A775FE"/>
    <w:rsid w:val="09AC1B93"/>
    <w:rsid w:val="09BD675C"/>
    <w:rsid w:val="09C22DB4"/>
    <w:rsid w:val="09C3C93D"/>
    <w:rsid w:val="09CD684A"/>
    <w:rsid w:val="09D23780"/>
    <w:rsid w:val="09E28604"/>
    <w:rsid w:val="09E6AD41"/>
    <w:rsid w:val="09EB5FDD"/>
    <w:rsid w:val="09EC293A"/>
    <w:rsid w:val="09FAD44C"/>
    <w:rsid w:val="09FBBE78"/>
    <w:rsid w:val="09FDCA17"/>
    <w:rsid w:val="09FF18B3"/>
    <w:rsid w:val="0A0E2555"/>
    <w:rsid w:val="0A1344AC"/>
    <w:rsid w:val="0A259830"/>
    <w:rsid w:val="0A34289D"/>
    <w:rsid w:val="0A403D6D"/>
    <w:rsid w:val="0A4BC8AE"/>
    <w:rsid w:val="0A60A8BC"/>
    <w:rsid w:val="0A627E53"/>
    <w:rsid w:val="0A6934AE"/>
    <w:rsid w:val="0A7297B7"/>
    <w:rsid w:val="0A7D70FC"/>
    <w:rsid w:val="0A7DB111"/>
    <w:rsid w:val="0A80F5B0"/>
    <w:rsid w:val="0A98FF36"/>
    <w:rsid w:val="0A9DE136"/>
    <w:rsid w:val="0A9E8360"/>
    <w:rsid w:val="0AA6D67B"/>
    <w:rsid w:val="0AA816F9"/>
    <w:rsid w:val="0AB321DB"/>
    <w:rsid w:val="0AB61592"/>
    <w:rsid w:val="0AB854AD"/>
    <w:rsid w:val="0AC0EFB3"/>
    <w:rsid w:val="0AC36BE6"/>
    <w:rsid w:val="0AC76AE9"/>
    <w:rsid w:val="0ACCE64F"/>
    <w:rsid w:val="0ACD7F2D"/>
    <w:rsid w:val="0AD1A003"/>
    <w:rsid w:val="0AD54A07"/>
    <w:rsid w:val="0ADCE989"/>
    <w:rsid w:val="0ADE0D5E"/>
    <w:rsid w:val="0AE8B8BE"/>
    <w:rsid w:val="0AEE4D9F"/>
    <w:rsid w:val="0B127179"/>
    <w:rsid w:val="0B15715D"/>
    <w:rsid w:val="0B23DC22"/>
    <w:rsid w:val="0B23F654"/>
    <w:rsid w:val="0B261812"/>
    <w:rsid w:val="0B354C1F"/>
    <w:rsid w:val="0B3C80A3"/>
    <w:rsid w:val="0B649472"/>
    <w:rsid w:val="0B7C519B"/>
    <w:rsid w:val="0B815151"/>
    <w:rsid w:val="0B8D7F83"/>
    <w:rsid w:val="0B941A21"/>
    <w:rsid w:val="0B9DB2AC"/>
    <w:rsid w:val="0BAA4A34"/>
    <w:rsid w:val="0BAB45DB"/>
    <w:rsid w:val="0BB43265"/>
    <w:rsid w:val="0BD9FC0E"/>
    <w:rsid w:val="0BDF7E77"/>
    <w:rsid w:val="0BE7990F"/>
    <w:rsid w:val="0BEB86A1"/>
    <w:rsid w:val="0BEDAB91"/>
    <w:rsid w:val="0C164400"/>
    <w:rsid w:val="0C192F58"/>
    <w:rsid w:val="0C1F734B"/>
    <w:rsid w:val="0C2F0BA2"/>
    <w:rsid w:val="0C3CDB44"/>
    <w:rsid w:val="0C469FA1"/>
    <w:rsid w:val="0C4EA4B5"/>
    <w:rsid w:val="0C50C2CE"/>
    <w:rsid w:val="0C51BAD6"/>
    <w:rsid w:val="0C56D163"/>
    <w:rsid w:val="0C7699E1"/>
    <w:rsid w:val="0C79FEDA"/>
    <w:rsid w:val="0C83F9BF"/>
    <w:rsid w:val="0C9BF18E"/>
    <w:rsid w:val="0CB0F1E6"/>
    <w:rsid w:val="0CB18686"/>
    <w:rsid w:val="0CB7092B"/>
    <w:rsid w:val="0CBA5C09"/>
    <w:rsid w:val="0CCD34FB"/>
    <w:rsid w:val="0CD4AE82"/>
    <w:rsid w:val="0CDD1C84"/>
    <w:rsid w:val="0CE048BC"/>
    <w:rsid w:val="0CE35F2E"/>
    <w:rsid w:val="0CE613A9"/>
    <w:rsid w:val="0CEDEC54"/>
    <w:rsid w:val="0CF3C3A3"/>
    <w:rsid w:val="0CF51E49"/>
    <w:rsid w:val="0CF73048"/>
    <w:rsid w:val="0CFC698D"/>
    <w:rsid w:val="0D0570DC"/>
    <w:rsid w:val="0D0E9A3D"/>
    <w:rsid w:val="0D1591EA"/>
    <w:rsid w:val="0D15EDE6"/>
    <w:rsid w:val="0D1B7B00"/>
    <w:rsid w:val="0D1CCC41"/>
    <w:rsid w:val="0D1E720B"/>
    <w:rsid w:val="0D25F7DC"/>
    <w:rsid w:val="0D2FFDB2"/>
    <w:rsid w:val="0D309F57"/>
    <w:rsid w:val="0D3F7F0A"/>
    <w:rsid w:val="0D5993C3"/>
    <w:rsid w:val="0D5E39D1"/>
    <w:rsid w:val="0D60DCF8"/>
    <w:rsid w:val="0D68A57F"/>
    <w:rsid w:val="0D6BC95F"/>
    <w:rsid w:val="0D77FECE"/>
    <w:rsid w:val="0D7F1AA2"/>
    <w:rsid w:val="0D89D88F"/>
    <w:rsid w:val="0D8CB31F"/>
    <w:rsid w:val="0D8F4ABE"/>
    <w:rsid w:val="0D97BAAE"/>
    <w:rsid w:val="0DAB2F04"/>
    <w:rsid w:val="0DC19A9E"/>
    <w:rsid w:val="0DE176A3"/>
    <w:rsid w:val="0DF1DDF6"/>
    <w:rsid w:val="0DF7005F"/>
    <w:rsid w:val="0DFAFA66"/>
    <w:rsid w:val="0E013EA1"/>
    <w:rsid w:val="0E06FC90"/>
    <w:rsid w:val="0E0FA3E0"/>
    <w:rsid w:val="0E24CE31"/>
    <w:rsid w:val="0E292DE5"/>
    <w:rsid w:val="0E30E77C"/>
    <w:rsid w:val="0E3459BB"/>
    <w:rsid w:val="0E36F567"/>
    <w:rsid w:val="0E3B3247"/>
    <w:rsid w:val="0E4334CC"/>
    <w:rsid w:val="0E4CC247"/>
    <w:rsid w:val="0E4D47F3"/>
    <w:rsid w:val="0E524F8F"/>
    <w:rsid w:val="0E5B27B1"/>
    <w:rsid w:val="0E62577D"/>
    <w:rsid w:val="0E6C8C07"/>
    <w:rsid w:val="0E6F8A9C"/>
    <w:rsid w:val="0E746EC6"/>
    <w:rsid w:val="0E79E440"/>
    <w:rsid w:val="0E81DB30"/>
    <w:rsid w:val="0E8C34D8"/>
    <w:rsid w:val="0E917D8C"/>
    <w:rsid w:val="0E9B149F"/>
    <w:rsid w:val="0EAD28F7"/>
    <w:rsid w:val="0EB15B02"/>
    <w:rsid w:val="0EC71851"/>
    <w:rsid w:val="0ED52A3B"/>
    <w:rsid w:val="0ED600ED"/>
    <w:rsid w:val="0EDA0A91"/>
    <w:rsid w:val="0EE2C632"/>
    <w:rsid w:val="0EE91140"/>
    <w:rsid w:val="0EF33C66"/>
    <w:rsid w:val="0EF5A727"/>
    <w:rsid w:val="0F0C6898"/>
    <w:rsid w:val="0F3317BE"/>
    <w:rsid w:val="0F3B13CC"/>
    <w:rsid w:val="0F3DAC45"/>
    <w:rsid w:val="0F40D014"/>
    <w:rsid w:val="0F4135FF"/>
    <w:rsid w:val="0F69C22B"/>
    <w:rsid w:val="0F7EE8F2"/>
    <w:rsid w:val="0F810C7B"/>
    <w:rsid w:val="0F86849F"/>
    <w:rsid w:val="0F8DAE57"/>
    <w:rsid w:val="0F99C272"/>
    <w:rsid w:val="0F9F7A74"/>
    <w:rsid w:val="0FA58D84"/>
    <w:rsid w:val="0FAB83B5"/>
    <w:rsid w:val="0FAF5AA2"/>
    <w:rsid w:val="0FB5FEF2"/>
    <w:rsid w:val="0FB7CBCF"/>
    <w:rsid w:val="0FBCC756"/>
    <w:rsid w:val="0FC39F92"/>
    <w:rsid w:val="0FC8794E"/>
    <w:rsid w:val="0FC9978A"/>
    <w:rsid w:val="0FCAF096"/>
    <w:rsid w:val="0FCAF43A"/>
    <w:rsid w:val="0FD32C80"/>
    <w:rsid w:val="0FDB6AD3"/>
    <w:rsid w:val="0FE38688"/>
    <w:rsid w:val="0FF0D9F2"/>
    <w:rsid w:val="0FF2D8B0"/>
    <w:rsid w:val="0FFE75A3"/>
    <w:rsid w:val="1003F592"/>
    <w:rsid w:val="1024F9D5"/>
    <w:rsid w:val="102D0BA4"/>
    <w:rsid w:val="1040AD58"/>
    <w:rsid w:val="1043A424"/>
    <w:rsid w:val="104D52AA"/>
    <w:rsid w:val="104E4C2C"/>
    <w:rsid w:val="1055D9AF"/>
    <w:rsid w:val="10581F5A"/>
    <w:rsid w:val="105AA573"/>
    <w:rsid w:val="10601553"/>
    <w:rsid w:val="106CCD6E"/>
    <w:rsid w:val="106DC183"/>
    <w:rsid w:val="10705003"/>
    <w:rsid w:val="10786CB8"/>
    <w:rsid w:val="107E364F"/>
    <w:rsid w:val="107EA62D"/>
    <w:rsid w:val="1085E616"/>
    <w:rsid w:val="108649AF"/>
    <w:rsid w:val="108852CC"/>
    <w:rsid w:val="108B8D0D"/>
    <w:rsid w:val="1094C105"/>
    <w:rsid w:val="109B1DE6"/>
    <w:rsid w:val="10A2CDE8"/>
    <w:rsid w:val="10A340E4"/>
    <w:rsid w:val="10AB1D0F"/>
    <w:rsid w:val="10C08DD8"/>
    <w:rsid w:val="10C7CC59"/>
    <w:rsid w:val="10CCD94A"/>
    <w:rsid w:val="10CDCFE6"/>
    <w:rsid w:val="10D11E93"/>
    <w:rsid w:val="10D9C722"/>
    <w:rsid w:val="10DEF3A4"/>
    <w:rsid w:val="10E7FE6E"/>
    <w:rsid w:val="10E86803"/>
    <w:rsid w:val="10F0BA3B"/>
    <w:rsid w:val="10F3105D"/>
    <w:rsid w:val="10F98C22"/>
    <w:rsid w:val="11046D49"/>
    <w:rsid w:val="1113C184"/>
    <w:rsid w:val="111550AD"/>
    <w:rsid w:val="112066E7"/>
    <w:rsid w:val="11225500"/>
    <w:rsid w:val="112EF325"/>
    <w:rsid w:val="1135A528"/>
    <w:rsid w:val="1137FA04"/>
    <w:rsid w:val="113C46AB"/>
    <w:rsid w:val="115400D7"/>
    <w:rsid w:val="115C66B2"/>
    <w:rsid w:val="115FDC94"/>
    <w:rsid w:val="11614891"/>
    <w:rsid w:val="11786915"/>
    <w:rsid w:val="117C02C5"/>
    <w:rsid w:val="1187B257"/>
    <w:rsid w:val="1187E956"/>
    <w:rsid w:val="1190E6A8"/>
    <w:rsid w:val="11A3D22C"/>
    <w:rsid w:val="11BA3694"/>
    <w:rsid w:val="11BF0AF2"/>
    <w:rsid w:val="11BF8186"/>
    <w:rsid w:val="11C17ED7"/>
    <w:rsid w:val="11C2CFF3"/>
    <w:rsid w:val="11C60F47"/>
    <w:rsid w:val="11CE55A7"/>
    <w:rsid w:val="11D9A8C5"/>
    <w:rsid w:val="11DB9B70"/>
    <w:rsid w:val="11DC38DB"/>
    <w:rsid w:val="11E943CD"/>
    <w:rsid w:val="11ECFE53"/>
    <w:rsid w:val="11FBA8F6"/>
    <w:rsid w:val="11FE71B0"/>
    <w:rsid w:val="12081F24"/>
    <w:rsid w:val="12089C42"/>
    <w:rsid w:val="1209E207"/>
    <w:rsid w:val="1212B20A"/>
    <w:rsid w:val="121A768E"/>
    <w:rsid w:val="12283E38"/>
    <w:rsid w:val="1233DDE9"/>
    <w:rsid w:val="1243D5BC"/>
    <w:rsid w:val="12541857"/>
    <w:rsid w:val="1263227A"/>
    <w:rsid w:val="1266386C"/>
    <w:rsid w:val="12682962"/>
    <w:rsid w:val="12727227"/>
    <w:rsid w:val="1274DED0"/>
    <w:rsid w:val="12754D07"/>
    <w:rsid w:val="127E0A0B"/>
    <w:rsid w:val="12901C11"/>
    <w:rsid w:val="12985AAA"/>
    <w:rsid w:val="12A36A57"/>
    <w:rsid w:val="12A5FF21"/>
    <w:rsid w:val="12ACEA8A"/>
    <w:rsid w:val="12B6A091"/>
    <w:rsid w:val="12B7DF72"/>
    <w:rsid w:val="12B811E8"/>
    <w:rsid w:val="12BB5676"/>
    <w:rsid w:val="12BB6672"/>
    <w:rsid w:val="12BE2561"/>
    <w:rsid w:val="12C51DF5"/>
    <w:rsid w:val="12C552C8"/>
    <w:rsid w:val="12CA61E8"/>
    <w:rsid w:val="12CB10DD"/>
    <w:rsid w:val="12D29894"/>
    <w:rsid w:val="12D567FD"/>
    <w:rsid w:val="12E183DF"/>
    <w:rsid w:val="12E20C16"/>
    <w:rsid w:val="12E28498"/>
    <w:rsid w:val="12F14A5C"/>
    <w:rsid w:val="12F26A3C"/>
    <w:rsid w:val="130AABA2"/>
    <w:rsid w:val="131BA851"/>
    <w:rsid w:val="1321E85A"/>
    <w:rsid w:val="132DA382"/>
    <w:rsid w:val="1338674A"/>
    <w:rsid w:val="1338AB88"/>
    <w:rsid w:val="133ED672"/>
    <w:rsid w:val="135A1A9E"/>
    <w:rsid w:val="136985D7"/>
    <w:rsid w:val="137791C2"/>
    <w:rsid w:val="138C574F"/>
    <w:rsid w:val="138E4E91"/>
    <w:rsid w:val="13945357"/>
    <w:rsid w:val="13988172"/>
    <w:rsid w:val="139B7449"/>
    <w:rsid w:val="139C7405"/>
    <w:rsid w:val="139F258A"/>
    <w:rsid w:val="13A23F36"/>
    <w:rsid w:val="13B36E56"/>
    <w:rsid w:val="13B428A0"/>
    <w:rsid w:val="13B967B3"/>
    <w:rsid w:val="13C2C98D"/>
    <w:rsid w:val="13CD5569"/>
    <w:rsid w:val="13CDA293"/>
    <w:rsid w:val="13D4C31C"/>
    <w:rsid w:val="13E079CA"/>
    <w:rsid w:val="13E11E89"/>
    <w:rsid w:val="13EAE482"/>
    <w:rsid w:val="13F4EDCA"/>
    <w:rsid w:val="13FA1385"/>
    <w:rsid w:val="13FA36B3"/>
    <w:rsid w:val="140D50E5"/>
    <w:rsid w:val="140E48DA"/>
    <w:rsid w:val="1418803E"/>
    <w:rsid w:val="141A3C4B"/>
    <w:rsid w:val="1427B4F3"/>
    <w:rsid w:val="143C1260"/>
    <w:rsid w:val="143F0EF4"/>
    <w:rsid w:val="14466D41"/>
    <w:rsid w:val="1459E1FE"/>
    <w:rsid w:val="14611F7A"/>
    <w:rsid w:val="146A9F33"/>
    <w:rsid w:val="146C1E4E"/>
    <w:rsid w:val="14904115"/>
    <w:rsid w:val="1496C297"/>
    <w:rsid w:val="149AF300"/>
    <w:rsid w:val="149DBDC1"/>
    <w:rsid w:val="14A2917F"/>
    <w:rsid w:val="14A2A5E8"/>
    <w:rsid w:val="14A79F5F"/>
    <w:rsid w:val="14AE67EC"/>
    <w:rsid w:val="14C10433"/>
    <w:rsid w:val="14C649D3"/>
    <w:rsid w:val="14D5E588"/>
    <w:rsid w:val="14D93A80"/>
    <w:rsid w:val="14EB86EB"/>
    <w:rsid w:val="14EC29C1"/>
    <w:rsid w:val="14F0D692"/>
    <w:rsid w:val="14F372D4"/>
    <w:rsid w:val="14F3B5C3"/>
    <w:rsid w:val="14F3E3E2"/>
    <w:rsid w:val="14FAE73D"/>
    <w:rsid w:val="14FBFDF8"/>
    <w:rsid w:val="150BC11C"/>
    <w:rsid w:val="150DB99D"/>
    <w:rsid w:val="15136223"/>
    <w:rsid w:val="15138BD0"/>
    <w:rsid w:val="1515B72E"/>
    <w:rsid w:val="151E49B6"/>
    <w:rsid w:val="1536FF30"/>
    <w:rsid w:val="1548C9E3"/>
    <w:rsid w:val="15493FFD"/>
    <w:rsid w:val="1549EC7A"/>
    <w:rsid w:val="154C8362"/>
    <w:rsid w:val="1562953E"/>
    <w:rsid w:val="1565BB10"/>
    <w:rsid w:val="156B75AB"/>
    <w:rsid w:val="156BC5D1"/>
    <w:rsid w:val="158BCA13"/>
    <w:rsid w:val="1599C4E4"/>
    <w:rsid w:val="159BB2F2"/>
    <w:rsid w:val="159CAFE1"/>
    <w:rsid w:val="15B07783"/>
    <w:rsid w:val="15C08916"/>
    <w:rsid w:val="15C6EA1A"/>
    <w:rsid w:val="15CC1395"/>
    <w:rsid w:val="15D2BF79"/>
    <w:rsid w:val="15D9C033"/>
    <w:rsid w:val="15DCF1E1"/>
    <w:rsid w:val="15E8037D"/>
    <w:rsid w:val="15E978A1"/>
    <w:rsid w:val="15EF2ED6"/>
    <w:rsid w:val="15F49F3C"/>
    <w:rsid w:val="15F9A9A8"/>
    <w:rsid w:val="15FB971C"/>
    <w:rsid w:val="15FBCC0B"/>
    <w:rsid w:val="15FCEFDB"/>
    <w:rsid w:val="16108CEC"/>
    <w:rsid w:val="162018B4"/>
    <w:rsid w:val="163233C8"/>
    <w:rsid w:val="163D0D26"/>
    <w:rsid w:val="16482A46"/>
    <w:rsid w:val="164D91BA"/>
    <w:rsid w:val="164DB18D"/>
    <w:rsid w:val="16554476"/>
    <w:rsid w:val="16585C50"/>
    <w:rsid w:val="165C3A39"/>
    <w:rsid w:val="16647EC7"/>
    <w:rsid w:val="167A02A9"/>
    <w:rsid w:val="1687885F"/>
    <w:rsid w:val="1690B000"/>
    <w:rsid w:val="1692F2A9"/>
    <w:rsid w:val="16973B81"/>
    <w:rsid w:val="169DAF7A"/>
    <w:rsid w:val="16A063F5"/>
    <w:rsid w:val="16A45C29"/>
    <w:rsid w:val="16AF3284"/>
    <w:rsid w:val="16B34A3F"/>
    <w:rsid w:val="16BFBB3F"/>
    <w:rsid w:val="16C2B1C6"/>
    <w:rsid w:val="16C57EB3"/>
    <w:rsid w:val="16CF3AD0"/>
    <w:rsid w:val="16D57A3E"/>
    <w:rsid w:val="16D6B384"/>
    <w:rsid w:val="16D79C7F"/>
    <w:rsid w:val="16DD0B9C"/>
    <w:rsid w:val="16E8879A"/>
    <w:rsid w:val="16ECCDEB"/>
    <w:rsid w:val="16F0C4DC"/>
    <w:rsid w:val="16F28321"/>
    <w:rsid w:val="17000F5E"/>
    <w:rsid w:val="1700A9D3"/>
    <w:rsid w:val="1703690C"/>
    <w:rsid w:val="1703ACFA"/>
    <w:rsid w:val="1726FA66"/>
    <w:rsid w:val="172DBB39"/>
    <w:rsid w:val="172F0CFF"/>
    <w:rsid w:val="1740D3FE"/>
    <w:rsid w:val="174D396B"/>
    <w:rsid w:val="174D50E5"/>
    <w:rsid w:val="1752A09B"/>
    <w:rsid w:val="175EB5FD"/>
    <w:rsid w:val="176394B9"/>
    <w:rsid w:val="17683301"/>
    <w:rsid w:val="176C0A52"/>
    <w:rsid w:val="177676A2"/>
    <w:rsid w:val="177FA6F4"/>
    <w:rsid w:val="178C088B"/>
    <w:rsid w:val="178ECA3A"/>
    <w:rsid w:val="179564AC"/>
    <w:rsid w:val="17975862"/>
    <w:rsid w:val="17A082E1"/>
    <w:rsid w:val="17A58AE9"/>
    <w:rsid w:val="17B76B90"/>
    <w:rsid w:val="17BBCC6D"/>
    <w:rsid w:val="17C072F7"/>
    <w:rsid w:val="17C095D3"/>
    <w:rsid w:val="17DACA6B"/>
    <w:rsid w:val="17DBB25D"/>
    <w:rsid w:val="17DDA833"/>
    <w:rsid w:val="17EEC49B"/>
    <w:rsid w:val="17F18490"/>
    <w:rsid w:val="17F2FEFA"/>
    <w:rsid w:val="1803C2EF"/>
    <w:rsid w:val="181A72BE"/>
    <w:rsid w:val="181B3C40"/>
    <w:rsid w:val="182CDB1D"/>
    <w:rsid w:val="1834E56F"/>
    <w:rsid w:val="1841E751"/>
    <w:rsid w:val="18471CA2"/>
    <w:rsid w:val="184D0629"/>
    <w:rsid w:val="184D9096"/>
    <w:rsid w:val="1854786F"/>
    <w:rsid w:val="1865B346"/>
    <w:rsid w:val="186F18DD"/>
    <w:rsid w:val="187FB70B"/>
    <w:rsid w:val="18808EAB"/>
    <w:rsid w:val="18898A83"/>
    <w:rsid w:val="189660C2"/>
    <w:rsid w:val="18AE32BA"/>
    <w:rsid w:val="18B5C4B8"/>
    <w:rsid w:val="18BA92F4"/>
    <w:rsid w:val="18BB4E4C"/>
    <w:rsid w:val="18BFA0AD"/>
    <w:rsid w:val="18BFC7B0"/>
    <w:rsid w:val="18C4591C"/>
    <w:rsid w:val="18CCE7D5"/>
    <w:rsid w:val="18DDA123"/>
    <w:rsid w:val="18ED5ACB"/>
    <w:rsid w:val="18F6CE09"/>
    <w:rsid w:val="190D9BE3"/>
    <w:rsid w:val="1911E074"/>
    <w:rsid w:val="19137C48"/>
    <w:rsid w:val="1928B94C"/>
    <w:rsid w:val="19306A66"/>
    <w:rsid w:val="19318830"/>
    <w:rsid w:val="1934909D"/>
    <w:rsid w:val="1945101F"/>
    <w:rsid w:val="1951C61C"/>
    <w:rsid w:val="1956562D"/>
    <w:rsid w:val="19619CD9"/>
    <w:rsid w:val="19712B22"/>
    <w:rsid w:val="1973DE32"/>
    <w:rsid w:val="19754270"/>
    <w:rsid w:val="198E92CB"/>
    <w:rsid w:val="199A0595"/>
    <w:rsid w:val="199B8CE7"/>
    <w:rsid w:val="19A73E2E"/>
    <w:rsid w:val="19AFAB29"/>
    <w:rsid w:val="19BD5821"/>
    <w:rsid w:val="19C30A61"/>
    <w:rsid w:val="19C3324F"/>
    <w:rsid w:val="19E48551"/>
    <w:rsid w:val="19E77F18"/>
    <w:rsid w:val="19F491AD"/>
    <w:rsid w:val="19FD3D39"/>
    <w:rsid w:val="1A0AE93E"/>
    <w:rsid w:val="1A0ECCF7"/>
    <w:rsid w:val="1A0F0DB0"/>
    <w:rsid w:val="1A0F5414"/>
    <w:rsid w:val="1A13B036"/>
    <w:rsid w:val="1A190F5A"/>
    <w:rsid w:val="1A1BAFA7"/>
    <w:rsid w:val="1A1E46BB"/>
    <w:rsid w:val="1A24F6D3"/>
    <w:rsid w:val="1A3CD348"/>
    <w:rsid w:val="1A5EA590"/>
    <w:rsid w:val="1A62A636"/>
    <w:rsid w:val="1A6F2415"/>
    <w:rsid w:val="1A6F5402"/>
    <w:rsid w:val="1A788393"/>
    <w:rsid w:val="1A7A436F"/>
    <w:rsid w:val="1A7D35A3"/>
    <w:rsid w:val="1A7D8FB2"/>
    <w:rsid w:val="1A81F104"/>
    <w:rsid w:val="1A882710"/>
    <w:rsid w:val="1A8B07EC"/>
    <w:rsid w:val="1A916D99"/>
    <w:rsid w:val="1AB8FFB1"/>
    <w:rsid w:val="1ABC0E07"/>
    <w:rsid w:val="1ABD10F8"/>
    <w:rsid w:val="1AC551A3"/>
    <w:rsid w:val="1AC94D71"/>
    <w:rsid w:val="1AD9231D"/>
    <w:rsid w:val="1ADA5F7B"/>
    <w:rsid w:val="1ADC45BF"/>
    <w:rsid w:val="1AE912A6"/>
    <w:rsid w:val="1AF4CD45"/>
    <w:rsid w:val="1AF95B53"/>
    <w:rsid w:val="1B1303F4"/>
    <w:rsid w:val="1B24BBAA"/>
    <w:rsid w:val="1B270EF2"/>
    <w:rsid w:val="1B2AA9E8"/>
    <w:rsid w:val="1B31157A"/>
    <w:rsid w:val="1B340B1D"/>
    <w:rsid w:val="1B345CFB"/>
    <w:rsid w:val="1B43638D"/>
    <w:rsid w:val="1B53FECE"/>
    <w:rsid w:val="1B64B1CC"/>
    <w:rsid w:val="1B66044E"/>
    <w:rsid w:val="1B6FA592"/>
    <w:rsid w:val="1B72A3A1"/>
    <w:rsid w:val="1B755C45"/>
    <w:rsid w:val="1B842BAB"/>
    <w:rsid w:val="1B8F397F"/>
    <w:rsid w:val="1B91A919"/>
    <w:rsid w:val="1B91B5B4"/>
    <w:rsid w:val="1B9A94DC"/>
    <w:rsid w:val="1B9A986A"/>
    <w:rsid w:val="1B9B8ACB"/>
    <w:rsid w:val="1BB025E0"/>
    <w:rsid w:val="1BB77D84"/>
    <w:rsid w:val="1BB82F6D"/>
    <w:rsid w:val="1BC3E59A"/>
    <w:rsid w:val="1BC936C0"/>
    <w:rsid w:val="1BD6B0F0"/>
    <w:rsid w:val="1BDCDC3C"/>
    <w:rsid w:val="1BE9BA1F"/>
    <w:rsid w:val="1BF29734"/>
    <w:rsid w:val="1BFDB56C"/>
    <w:rsid w:val="1BFEE0ED"/>
    <w:rsid w:val="1C035BEE"/>
    <w:rsid w:val="1C05D85E"/>
    <w:rsid w:val="1C23833F"/>
    <w:rsid w:val="1C3497F9"/>
    <w:rsid w:val="1C361F34"/>
    <w:rsid w:val="1C47926A"/>
    <w:rsid w:val="1C4DBE3B"/>
    <w:rsid w:val="1C678047"/>
    <w:rsid w:val="1C79D2CC"/>
    <w:rsid w:val="1C7AD594"/>
    <w:rsid w:val="1C855514"/>
    <w:rsid w:val="1C876B5F"/>
    <w:rsid w:val="1C914EB7"/>
    <w:rsid w:val="1C98FD87"/>
    <w:rsid w:val="1CA29865"/>
    <w:rsid w:val="1CA51E6D"/>
    <w:rsid w:val="1CA52BAC"/>
    <w:rsid w:val="1CB484CC"/>
    <w:rsid w:val="1CB97C26"/>
    <w:rsid w:val="1CE3982F"/>
    <w:rsid w:val="1CEBED7E"/>
    <w:rsid w:val="1D19D38B"/>
    <w:rsid w:val="1D1E7408"/>
    <w:rsid w:val="1D2137BB"/>
    <w:rsid w:val="1D2BA5F7"/>
    <w:rsid w:val="1D321643"/>
    <w:rsid w:val="1D321B74"/>
    <w:rsid w:val="1D3507F9"/>
    <w:rsid w:val="1D36C0EA"/>
    <w:rsid w:val="1D3FDBB5"/>
    <w:rsid w:val="1D4B02A1"/>
    <w:rsid w:val="1D55FFD9"/>
    <w:rsid w:val="1D5F981A"/>
    <w:rsid w:val="1D650721"/>
    <w:rsid w:val="1D7A0803"/>
    <w:rsid w:val="1D8A8608"/>
    <w:rsid w:val="1D8EBFD8"/>
    <w:rsid w:val="1DA49A9F"/>
    <w:rsid w:val="1DB86155"/>
    <w:rsid w:val="1DB9B892"/>
    <w:rsid w:val="1DBA0079"/>
    <w:rsid w:val="1DD94DDF"/>
    <w:rsid w:val="1DE6A76E"/>
    <w:rsid w:val="1DE96D71"/>
    <w:rsid w:val="1DE9CC11"/>
    <w:rsid w:val="1DED301D"/>
    <w:rsid w:val="1DEF8E55"/>
    <w:rsid w:val="1DEFDDC1"/>
    <w:rsid w:val="1DF520ED"/>
    <w:rsid w:val="1DFB70CE"/>
    <w:rsid w:val="1DFF2005"/>
    <w:rsid w:val="1DFFB59C"/>
    <w:rsid w:val="1E033471"/>
    <w:rsid w:val="1E08C58E"/>
    <w:rsid w:val="1E091A69"/>
    <w:rsid w:val="1E285BFE"/>
    <w:rsid w:val="1E28ECFF"/>
    <w:rsid w:val="1E2E932B"/>
    <w:rsid w:val="1E44A3AB"/>
    <w:rsid w:val="1E45DB60"/>
    <w:rsid w:val="1E5F4FA8"/>
    <w:rsid w:val="1E67F035"/>
    <w:rsid w:val="1E6BA07D"/>
    <w:rsid w:val="1E7AFA06"/>
    <w:rsid w:val="1E7C4C44"/>
    <w:rsid w:val="1E87B786"/>
    <w:rsid w:val="1E90B535"/>
    <w:rsid w:val="1E936982"/>
    <w:rsid w:val="1EA562AE"/>
    <w:rsid w:val="1EB13E9D"/>
    <w:rsid w:val="1EBCD21A"/>
    <w:rsid w:val="1EBD0EF4"/>
    <w:rsid w:val="1ECF1F84"/>
    <w:rsid w:val="1ED0198D"/>
    <w:rsid w:val="1ED1EA42"/>
    <w:rsid w:val="1EDB3376"/>
    <w:rsid w:val="1EE0935D"/>
    <w:rsid w:val="1EE76FA9"/>
    <w:rsid w:val="1EED1B2B"/>
    <w:rsid w:val="1EF73CC5"/>
    <w:rsid w:val="1F006A84"/>
    <w:rsid w:val="1F0F00AF"/>
    <w:rsid w:val="1F25E22B"/>
    <w:rsid w:val="1F377090"/>
    <w:rsid w:val="1F38D0AC"/>
    <w:rsid w:val="1F3AF6E2"/>
    <w:rsid w:val="1F412922"/>
    <w:rsid w:val="1F50B7D7"/>
    <w:rsid w:val="1F5B81C7"/>
    <w:rsid w:val="1F5C6B8D"/>
    <w:rsid w:val="1F61AFC7"/>
    <w:rsid w:val="1F6342A8"/>
    <w:rsid w:val="1F645CB5"/>
    <w:rsid w:val="1F670C26"/>
    <w:rsid w:val="1F77584A"/>
    <w:rsid w:val="1F7A9C80"/>
    <w:rsid w:val="1F7FD215"/>
    <w:rsid w:val="1F90F14E"/>
    <w:rsid w:val="1F97820C"/>
    <w:rsid w:val="1F97E2D2"/>
    <w:rsid w:val="1FA2189F"/>
    <w:rsid w:val="1FA61BF1"/>
    <w:rsid w:val="1FABBFA7"/>
    <w:rsid w:val="1FC05FD6"/>
    <w:rsid w:val="1FC1E3C5"/>
    <w:rsid w:val="1FC27BF7"/>
    <w:rsid w:val="1FC9C141"/>
    <w:rsid w:val="1FCC26EC"/>
    <w:rsid w:val="1FE85E6B"/>
    <w:rsid w:val="1FECA049"/>
    <w:rsid w:val="1FF5ED48"/>
    <w:rsid w:val="1FFD8941"/>
    <w:rsid w:val="1FFEF042"/>
    <w:rsid w:val="200D609C"/>
    <w:rsid w:val="2029A0C5"/>
    <w:rsid w:val="202ECB61"/>
    <w:rsid w:val="2031786D"/>
    <w:rsid w:val="20335797"/>
    <w:rsid w:val="2033FCD9"/>
    <w:rsid w:val="2048FD03"/>
    <w:rsid w:val="204ABA30"/>
    <w:rsid w:val="204AD05B"/>
    <w:rsid w:val="204E295F"/>
    <w:rsid w:val="205F8A54"/>
    <w:rsid w:val="2060308A"/>
    <w:rsid w:val="20675365"/>
    <w:rsid w:val="206B295D"/>
    <w:rsid w:val="206C6D10"/>
    <w:rsid w:val="20730DD0"/>
    <w:rsid w:val="207C6521"/>
    <w:rsid w:val="207E7771"/>
    <w:rsid w:val="2080A95E"/>
    <w:rsid w:val="2082D83C"/>
    <w:rsid w:val="20838F20"/>
    <w:rsid w:val="20ABD871"/>
    <w:rsid w:val="20B31305"/>
    <w:rsid w:val="20C6E611"/>
    <w:rsid w:val="20C80A06"/>
    <w:rsid w:val="20CCE52B"/>
    <w:rsid w:val="20CE95F6"/>
    <w:rsid w:val="20D5D13C"/>
    <w:rsid w:val="20D91296"/>
    <w:rsid w:val="20D9343F"/>
    <w:rsid w:val="20E221AB"/>
    <w:rsid w:val="20E7A04D"/>
    <w:rsid w:val="2116EDC7"/>
    <w:rsid w:val="211A6A0D"/>
    <w:rsid w:val="211E0C4D"/>
    <w:rsid w:val="212B4F8B"/>
    <w:rsid w:val="212FC3E7"/>
    <w:rsid w:val="2133DD1C"/>
    <w:rsid w:val="213DF58C"/>
    <w:rsid w:val="213E4837"/>
    <w:rsid w:val="21406650"/>
    <w:rsid w:val="214648E8"/>
    <w:rsid w:val="215410CA"/>
    <w:rsid w:val="215591A3"/>
    <w:rsid w:val="215CB263"/>
    <w:rsid w:val="2164E79C"/>
    <w:rsid w:val="2168A78B"/>
    <w:rsid w:val="216BEC7D"/>
    <w:rsid w:val="216D316D"/>
    <w:rsid w:val="21754612"/>
    <w:rsid w:val="217B5735"/>
    <w:rsid w:val="2180F8CD"/>
    <w:rsid w:val="2188D111"/>
    <w:rsid w:val="2197ADDE"/>
    <w:rsid w:val="21994799"/>
    <w:rsid w:val="219CC45D"/>
    <w:rsid w:val="21A20CD0"/>
    <w:rsid w:val="21A72BC5"/>
    <w:rsid w:val="21A87A26"/>
    <w:rsid w:val="21AE7F1B"/>
    <w:rsid w:val="21B389BD"/>
    <w:rsid w:val="21B48E56"/>
    <w:rsid w:val="21BF78D8"/>
    <w:rsid w:val="21CB8334"/>
    <w:rsid w:val="21CD4121"/>
    <w:rsid w:val="21D4DC88"/>
    <w:rsid w:val="21D5A550"/>
    <w:rsid w:val="21D64502"/>
    <w:rsid w:val="21D870BC"/>
    <w:rsid w:val="21DCA44D"/>
    <w:rsid w:val="21E2E44C"/>
    <w:rsid w:val="21EB9223"/>
    <w:rsid w:val="21F8004C"/>
    <w:rsid w:val="220868DB"/>
    <w:rsid w:val="220BBE08"/>
    <w:rsid w:val="22128AA2"/>
    <w:rsid w:val="2212D438"/>
    <w:rsid w:val="221F5F81"/>
    <w:rsid w:val="222BF9DE"/>
    <w:rsid w:val="22314565"/>
    <w:rsid w:val="224D53CB"/>
    <w:rsid w:val="2254E0C4"/>
    <w:rsid w:val="225C00C1"/>
    <w:rsid w:val="226723C2"/>
    <w:rsid w:val="22677521"/>
    <w:rsid w:val="226E6ED8"/>
    <w:rsid w:val="2285223C"/>
    <w:rsid w:val="2286942B"/>
    <w:rsid w:val="2290122F"/>
    <w:rsid w:val="22A53A1A"/>
    <w:rsid w:val="22B16E6E"/>
    <w:rsid w:val="22C7DF01"/>
    <w:rsid w:val="22D6D3BB"/>
    <w:rsid w:val="22D74724"/>
    <w:rsid w:val="22D86A76"/>
    <w:rsid w:val="22D9C16D"/>
    <w:rsid w:val="22EBA600"/>
    <w:rsid w:val="22F3E4AA"/>
    <w:rsid w:val="23135073"/>
    <w:rsid w:val="23444A87"/>
    <w:rsid w:val="2349C800"/>
    <w:rsid w:val="23522DAB"/>
    <w:rsid w:val="235EEEC0"/>
    <w:rsid w:val="236593DD"/>
    <w:rsid w:val="2368BB15"/>
    <w:rsid w:val="23767234"/>
    <w:rsid w:val="237878AC"/>
    <w:rsid w:val="237A4FA6"/>
    <w:rsid w:val="237AB8E0"/>
    <w:rsid w:val="238098FD"/>
    <w:rsid w:val="2382992F"/>
    <w:rsid w:val="238D4D7C"/>
    <w:rsid w:val="238DB7A7"/>
    <w:rsid w:val="238E8032"/>
    <w:rsid w:val="238F362D"/>
    <w:rsid w:val="2393546B"/>
    <w:rsid w:val="239CB39D"/>
    <w:rsid w:val="23A10733"/>
    <w:rsid w:val="23A70B8D"/>
    <w:rsid w:val="23A730DE"/>
    <w:rsid w:val="23A78E72"/>
    <w:rsid w:val="23A9CBBF"/>
    <w:rsid w:val="23AC20AD"/>
    <w:rsid w:val="23B0C2B2"/>
    <w:rsid w:val="23B23858"/>
    <w:rsid w:val="23B72628"/>
    <w:rsid w:val="23BDFA29"/>
    <w:rsid w:val="23C010A9"/>
    <w:rsid w:val="23C7B381"/>
    <w:rsid w:val="23D2511A"/>
    <w:rsid w:val="23D277FB"/>
    <w:rsid w:val="23E02AF1"/>
    <w:rsid w:val="23E193E4"/>
    <w:rsid w:val="23E5D12A"/>
    <w:rsid w:val="23EE1540"/>
    <w:rsid w:val="23F58C46"/>
    <w:rsid w:val="2400BBBD"/>
    <w:rsid w:val="2404B94A"/>
    <w:rsid w:val="2406C6E1"/>
    <w:rsid w:val="24077EBC"/>
    <w:rsid w:val="240AA388"/>
    <w:rsid w:val="2410E4D4"/>
    <w:rsid w:val="2414BF64"/>
    <w:rsid w:val="2428962A"/>
    <w:rsid w:val="242EB71B"/>
    <w:rsid w:val="243213B8"/>
    <w:rsid w:val="243520EA"/>
    <w:rsid w:val="2466CC3B"/>
    <w:rsid w:val="247821A0"/>
    <w:rsid w:val="2489AC77"/>
    <w:rsid w:val="248BCFE0"/>
    <w:rsid w:val="248FDEDE"/>
    <w:rsid w:val="2491F8BD"/>
    <w:rsid w:val="249FA4B7"/>
    <w:rsid w:val="24AC3CA6"/>
    <w:rsid w:val="24B1B7F9"/>
    <w:rsid w:val="24D25808"/>
    <w:rsid w:val="24D7A94A"/>
    <w:rsid w:val="24DB4C01"/>
    <w:rsid w:val="24E2686E"/>
    <w:rsid w:val="24E3E6F4"/>
    <w:rsid w:val="24E79259"/>
    <w:rsid w:val="24EC323A"/>
    <w:rsid w:val="24EE845A"/>
    <w:rsid w:val="24F2A2E6"/>
    <w:rsid w:val="24F45955"/>
    <w:rsid w:val="24F99419"/>
    <w:rsid w:val="24FD3F2E"/>
    <w:rsid w:val="24FFEFCD"/>
    <w:rsid w:val="25041793"/>
    <w:rsid w:val="25112875"/>
    <w:rsid w:val="25162007"/>
    <w:rsid w:val="2517DADC"/>
    <w:rsid w:val="2519804F"/>
    <w:rsid w:val="251A7232"/>
    <w:rsid w:val="251E2B53"/>
    <w:rsid w:val="251F9875"/>
    <w:rsid w:val="2527B905"/>
    <w:rsid w:val="253375AE"/>
    <w:rsid w:val="25362204"/>
    <w:rsid w:val="2543F933"/>
    <w:rsid w:val="25471DB5"/>
    <w:rsid w:val="254969DE"/>
    <w:rsid w:val="254A4A24"/>
    <w:rsid w:val="254DD38E"/>
    <w:rsid w:val="254E3142"/>
    <w:rsid w:val="25591325"/>
    <w:rsid w:val="2563DC7F"/>
    <w:rsid w:val="2567090B"/>
    <w:rsid w:val="256B0637"/>
    <w:rsid w:val="25701906"/>
    <w:rsid w:val="2570479F"/>
    <w:rsid w:val="2570C166"/>
    <w:rsid w:val="2575C245"/>
    <w:rsid w:val="257ECF69"/>
    <w:rsid w:val="25848CFF"/>
    <w:rsid w:val="258A9A0D"/>
    <w:rsid w:val="25944524"/>
    <w:rsid w:val="25A59D6E"/>
    <w:rsid w:val="25A78769"/>
    <w:rsid w:val="25ABAA5C"/>
    <w:rsid w:val="25AC8E2A"/>
    <w:rsid w:val="25B5BEE3"/>
    <w:rsid w:val="25B85E28"/>
    <w:rsid w:val="25D3D046"/>
    <w:rsid w:val="25D450FD"/>
    <w:rsid w:val="25E7E0A8"/>
    <w:rsid w:val="25ED52F2"/>
    <w:rsid w:val="25F7492D"/>
    <w:rsid w:val="26029C9C"/>
    <w:rsid w:val="260DFF03"/>
    <w:rsid w:val="261275BC"/>
    <w:rsid w:val="2612FD1B"/>
    <w:rsid w:val="26140DBD"/>
    <w:rsid w:val="26155D75"/>
    <w:rsid w:val="26163DF6"/>
    <w:rsid w:val="26226A70"/>
    <w:rsid w:val="26310A38"/>
    <w:rsid w:val="26326018"/>
    <w:rsid w:val="2634A77C"/>
    <w:rsid w:val="2640BA18"/>
    <w:rsid w:val="26498262"/>
    <w:rsid w:val="264B2D1F"/>
    <w:rsid w:val="265390A8"/>
    <w:rsid w:val="26579F72"/>
    <w:rsid w:val="265B7633"/>
    <w:rsid w:val="265BE30A"/>
    <w:rsid w:val="26675ECF"/>
    <w:rsid w:val="266A0EFC"/>
    <w:rsid w:val="266B31BF"/>
    <w:rsid w:val="2670F63C"/>
    <w:rsid w:val="2676E452"/>
    <w:rsid w:val="267FBDA0"/>
    <w:rsid w:val="268023B3"/>
    <w:rsid w:val="26875674"/>
    <w:rsid w:val="26A4BA55"/>
    <w:rsid w:val="26AB67F0"/>
    <w:rsid w:val="26AE0F5B"/>
    <w:rsid w:val="26B0F569"/>
    <w:rsid w:val="26E2EE16"/>
    <w:rsid w:val="26E31845"/>
    <w:rsid w:val="26E8123E"/>
    <w:rsid w:val="26F4E386"/>
    <w:rsid w:val="26F8BD07"/>
    <w:rsid w:val="27002A10"/>
    <w:rsid w:val="2704551B"/>
    <w:rsid w:val="270E48DB"/>
    <w:rsid w:val="2710101E"/>
    <w:rsid w:val="271750A4"/>
    <w:rsid w:val="271B19F5"/>
    <w:rsid w:val="271B8F47"/>
    <w:rsid w:val="27274451"/>
    <w:rsid w:val="275667D6"/>
    <w:rsid w:val="275791A5"/>
    <w:rsid w:val="275C2BF1"/>
    <w:rsid w:val="275DF20B"/>
    <w:rsid w:val="27611C38"/>
    <w:rsid w:val="2762F435"/>
    <w:rsid w:val="278B28E6"/>
    <w:rsid w:val="27905E7D"/>
    <w:rsid w:val="279086D0"/>
    <w:rsid w:val="2796404F"/>
    <w:rsid w:val="279879B3"/>
    <w:rsid w:val="279CE681"/>
    <w:rsid w:val="27A770DA"/>
    <w:rsid w:val="27ADE23F"/>
    <w:rsid w:val="27B6A536"/>
    <w:rsid w:val="27C6AA79"/>
    <w:rsid w:val="27DA706C"/>
    <w:rsid w:val="27F0A512"/>
    <w:rsid w:val="27F187BB"/>
    <w:rsid w:val="27F3F679"/>
    <w:rsid w:val="27FF8650"/>
    <w:rsid w:val="28154269"/>
    <w:rsid w:val="2816B645"/>
    <w:rsid w:val="2829FE89"/>
    <w:rsid w:val="282B5FF6"/>
    <w:rsid w:val="28445D89"/>
    <w:rsid w:val="28572028"/>
    <w:rsid w:val="2869DD62"/>
    <w:rsid w:val="286A9C39"/>
    <w:rsid w:val="2878D930"/>
    <w:rsid w:val="287EBE77"/>
    <w:rsid w:val="2880A539"/>
    <w:rsid w:val="288433D5"/>
    <w:rsid w:val="288A1FC1"/>
    <w:rsid w:val="289BFA71"/>
    <w:rsid w:val="28A0D660"/>
    <w:rsid w:val="28A5C23D"/>
    <w:rsid w:val="28C6E302"/>
    <w:rsid w:val="28C8281F"/>
    <w:rsid w:val="28CEC085"/>
    <w:rsid w:val="28D1E198"/>
    <w:rsid w:val="28D6B6A5"/>
    <w:rsid w:val="28DD3499"/>
    <w:rsid w:val="28DF85AD"/>
    <w:rsid w:val="28F67CDC"/>
    <w:rsid w:val="2909D7B1"/>
    <w:rsid w:val="2926F947"/>
    <w:rsid w:val="2938153C"/>
    <w:rsid w:val="2938688C"/>
    <w:rsid w:val="2939CEBD"/>
    <w:rsid w:val="293A3D5E"/>
    <w:rsid w:val="2946A745"/>
    <w:rsid w:val="29479251"/>
    <w:rsid w:val="294902F1"/>
    <w:rsid w:val="2960A388"/>
    <w:rsid w:val="2963660F"/>
    <w:rsid w:val="2966CF95"/>
    <w:rsid w:val="29686BFC"/>
    <w:rsid w:val="296B0315"/>
    <w:rsid w:val="296C3219"/>
    <w:rsid w:val="29721C5E"/>
    <w:rsid w:val="2972D442"/>
    <w:rsid w:val="29743754"/>
    <w:rsid w:val="297FA98F"/>
    <w:rsid w:val="298B4B36"/>
    <w:rsid w:val="29C8FC7C"/>
    <w:rsid w:val="29CBC096"/>
    <w:rsid w:val="29D76810"/>
    <w:rsid w:val="29DBDD6C"/>
    <w:rsid w:val="29E998B5"/>
    <w:rsid w:val="2A04742A"/>
    <w:rsid w:val="2A0909BD"/>
    <w:rsid w:val="2A109E7C"/>
    <w:rsid w:val="2A11FD83"/>
    <w:rsid w:val="2A1F878A"/>
    <w:rsid w:val="2A22A26D"/>
    <w:rsid w:val="2A279910"/>
    <w:rsid w:val="2A32F8EB"/>
    <w:rsid w:val="2A34330E"/>
    <w:rsid w:val="2A36610B"/>
    <w:rsid w:val="2A397CCF"/>
    <w:rsid w:val="2A39B5F5"/>
    <w:rsid w:val="2A4345A2"/>
    <w:rsid w:val="2A488CDB"/>
    <w:rsid w:val="2A4B138A"/>
    <w:rsid w:val="2A4E04C5"/>
    <w:rsid w:val="2A4F9BE0"/>
    <w:rsid w:val="2A5206B1"/>
    <w:rsid w:val="2A52913A"/>
    <w:rsid w:val="2A52BAB7"/>
    <w:rsid w:val="2A5F60B5"/>
    <w:rsid w:val="2A60CF2F"/>
    <w:rsid w:val="2A62E1F8"/>
    <w:rsid w:val="2A753F53"/>
    <w:rsid w:val="2A7B1C10"/>
    <w:rsid w:val="2A956F7B"/>
    <w:rsid w:val="2A9D5E90"/>
    <w:rsid w:val="2AC24D92"/>
    <w:rsid w:val="2AC5B6A8"/>
    <w:rsid w:val="2AC6CE1E"/>
    <w:rsid w:val="2AC98639"/>
    <w:rsid w:val="2ACD8A0E"/>
    <w:rsid w:val="2AD6A10C"/>
    <w:rsid w:val="2ADEB2BC"/>
    <w:rsid w:val="2AE82820"/>
    <w:rsid w:val="2AEBB3E4"/>
    <w:rsid w:val="2AEFB8A3"/>
    <w:rsid w:val="2AF2FE0B"/>
    <w:rsid w:val="2AFB5B04"/>
    <w:rsid w:val="2B0EB520"/>
    <w:rsid w:val="2B0FA5C5"/>
    <w:rsid w:val="2B118F62"/>
    <w:rsid w:val="2B190404"/>
    <w:rsid w:val="2B225767"/>
    <w:rsid w:val="2B23230F"/>
    <w:rsid w:val="2B27557C"/>
    <w:rsid w:val="2B2C135C"/>
    <w:rsid w:val="2B33D0C2"/>
    <w:rsid w:val="2B4169D1"/>
    <w:rsid w:val="2B41A6EF"/>
    <w:rsid w:val="2B467DAA"/>
    <w:rsid w:val="2B47FC28"/>
    <w:rsid w:val="2B4AE48B"/>
    <w:rsid w:val="2B5B4358"/>
    <w:rsid w:val="2B6BA5B1"/>
    <w:rsid w:val="2B6E9723"/>
    <w:rsid w:val="2B6FA5A8"/>
    <w:rsid w:val="2B79DDA7"/>
    <w:rsid w:val="2B8FEAFA"/>
    <w:rsid w:val="2B92729A"/>
    <w:rsid w:val="2B946DC0"/>
    <w:rsid w:val="2B9DA56C"/>
    <w:rsid w:val="2BA23CFB"/>
    <w:rsid w:val="2BA45740"/>
    <w:rsid w:val="2BAC6F71"/>
    <w:rsid w:val="2BADCDE4"/>
    <w:rsid w:val="2BB522EB"/>
    <w:rsid w:val="2BB65F39"/>
    <w:rsid w:val="2BB8F187"/>
    <w:rsid w:val="2BCC41F6"/>
    <w:rsid w:val="2BD228AC"/>
    <w:rsid w:val="2BDA47BB"/>
    <w:rsid w:val="2BEB02D7"/>
    <w:rsid w:val="2BEC4B68"/>
    <w:rsid w:val="2BF16514"/>
    <w:rsid w:val="2BF92DC9"/>
    <w:rsid w:val="2BFA9923"/>
    <w:rsid w:val="2BFEF941"/>
    <w:rsid w:val="2C09B0B0"/>
    <w:rsid w:val="2C0A40B0"/>
    <w:rsid w:val="2C177338"/>
    <w:rsid w:val="2C26F65E"/>
    <w:rsid w:val="2C314590"/>
    <w:rsid w:val="2C508915"/>
    <w:rsid w:val="2C6664E3"/>
    <w:rsid w:val="2C7D44F8"/>
    <w:rsid w:val="2C85A143"/>
    <w:rsid w:val="2C8767F8"/>
    <w:rsid w:val="2C8903A3"/>
    <w:rsid w:val="2C8BFD33"/>
    <w:rsid w:val="2C923F00"/>
    <w:rsid w:val="2C9C7ED8"/>
    <w:rsid w:val="2CA00CBE"/>
    <w:rsid w:val="2CA3B56F"/>
    <w:rsid w:val="2CB6AED1"/>
    <w:rsid w:val="2CC41635"/>
    <w:rsid w:val="2CC939B0"/>
    <w:rsid w:val="2CDDD717"/>
    <w:rsid w:val="2CE13C43"/>
    <w:rsid w:val="2CE210D2"/>
    <w:rsid w:val="2CE7CF38"/>
    <w:rsid w:val="2CFAF83D"/>
    <w:rsid w:val="2CFD496A"/>
    <w:rsid w:val="2D01B80F"/>
    <w:rsid w:val="2D020698"/>
    <w:rsid w:val="2D130A33"/>
    <w:rsid w:val="2D193100"/>
    <w:rsid w:val="2D22F5A6"/>
    <w:rsid w:val="2D30C287"/>
    <w:rsid w:val="2D330D8E"/>
    <w:rsid w:val="2D36C70F"/>
    <w:rsid w:val="2D4822A6"/>
    <w:rsid w:val="2D5946ED"/>
    <w:rsid w:val="2D5A8075"/>
    <w:rsid w:val="2D6AE68E"/>
    <w:rsid w:val="2D6EB165"/>
    <w:rsid w:val="2D779D75"/>
    <w:rsid w:val="2D841394"/>
    <w:rsid w:val="2D886F6D"/>
    <w:rsid w:val="2D8A5B79"/>
    <w:rsid w:val="2DA57BAB"/>
    <w:rsid w:val="2DAAB1AB"/>
    <w:rsid w:val="2DB5C9E8"/>
    <w:rsid w:val="2DB74BAC"/>
    <w:rsid w:val="2DBA3F7B"/>
    <w:rsid w:val="2DC0F7F8"/>
    <w:rsid w:val="2DC509CD"/>
    <w:rsid w:val="2DC6E622"/>
    <w:rsid w:val="2DCA59CF"/>
    <w:rsid w:val="2DDA77D3"/>
    <w:rsid w:val="2DDA8C3F"/>
    <w:rsid w:val="2DDF514A"/>
    <w:rsid w:val="2DE336DC"/>
    <w:rsid w:val="2DEC5976"/>
    <w:rsid w:val="2DF4CFFD"/>
    <w:rsid w:val="2DFF48E9"/>
    <w:rsid w:val="2DFFAF08"/>
    <w:rsid w:val="2E0611F1"/>
    <w:rsid w:val="2E0623E3"/>
    <w:rsid w:val="2E07716D"/>
    <w:rsid w:val="2E19471B"/>
    <w:rsid w:val="2E1A2CE9"/>
    <w:rsid w:val="2E1E330D"/>
    <w:rsid w:val="2E1EE958"/>
    <w:rsid w:val="2E4F426D"/>
    <w:rsid w:val="2E50960C"/>
    <w:rsid w:val="2E57427F"/>
    <w:rsid w:val="2E599FC2"/>
    <w:rsid w:val="2E6368F0"/>
    <w:rsid w:val="2E7CD4D8"/>
    <w:rsid w:val="2E7F4FFC"/>
    <w:rsid w:val="2E872A8E"/>
    <w:rsid w:val="2E89DB16"/>
    <w:rsid w:val="2E8B251A"/>
    <w:rsid w:val="2EA43CD9"/>
    <w:rsid w:val="2EA5F5CB"/>
    <w:rsid w:val="2EB1244B"/>
    <w:rsid w:val="2EB179D4"/>
    <w:rsid w:val="2EB45CE8"/>
    <w:rsid w:val="2EB69F85"/>
    <w:rsid w:val="2EB9EB4C"/>
    <w:rsid w:val="2EC0B560"/>
    <w:rsid w:val="2EC844A0"/>
    <w:rsid w:val="2ECA0C3F"/>
    <w:rsid w:val="2ED06A4E"/>
    <w:rsid w:val="2ED495FC"/>
    <w:rsid w:val="2EDEC7FA"/>
    <w:rsid w:val="2EEBD18C"/>
    <w:rsid w:val="2EEC7980"/>
    <w:rsid w:val="2EF47365"/>
    <w:rsid w:val="2EFC70DE"/>
    <w:rsid w:val="2EFDE289"/>
    <w:rsid w:val="2F0639F8"/>
    <w:rsid w:val="2F066033"/>
    <w:rsid w:val="2F06C6E6"/>
    <w:rsid w:val="2F1CE243"/>
    <w:rsid w:val="2F1DC7EE"/>
    <w:rsid w:val="2F286757"/>
    <w:rsid w:val="2F29A5BC"/>
    <w:rsid w:val="2F30791D"/>
    <w:rsid w:val="2F3DDAF9"/>
    <w:rsid w:val="2F5E66F6"/>
    <w:rsid w:val="2F73C9BF"/>
    <w:rsid w:val="2F77490A"/>
    <w:rsid w:val="2F85C815"/>
    <w:rsid w:val="2F99E5C7"/>
    <w:rsid w:val="2FA6AC7B"/>
    <w:rsid w:val="2FAD9B9E"/>
    <w:rsid w:val="2FBC8354"/>
    <w:rsid w:val="2FC5B32A"/>
    <w:rsid w:val="2FD7D292"/>
    <w:rsid w:val="2FDC437C"/>
    <w:rsid w:val="2FE28E9A"/>
    <w:rsid w:val="2FEC8313"/>
    <w:rsid w:val="2FF2DFB2"/>
    <w:rsid w:val="2FF3B85E"/>
    <w:rsid w:val="2FF7F907"/>
    <w:rsid w:val="30157ED3"/>
    <w:rsid w:val="3017C129"/>
    <w:rsid w:val="3018A539"/>
    <w:rsid w:val="30213BD6"/>
    <w:rsid w:val="3023E1CC"/>
    <w:rsid w:val="3028802C"/>
    <w:rsid w:val="30335398"/>
    <w:rsid w:val="304C9276"/>
    <w:rsid w:val="3053CDF3"/>
    <w:rsid w:val="3053F4C8"/>
    <w:rsid w:val="306629D4"/>
    <w:rsid w:val="306C3AAF"/>
    <w:rsid w:val="307454BB"/>
    <w:rsid w:val="3088E85D"/>
    <w:rsid w:val="308CDE0B"/>
    <w:rsid w:val="308DE3F9"/>
    <w:rsid w:val="30983C12"/>
    <w:rsid w:val="3099A645"/>
    <w:rsid w:val="30B87B85"/>
    <w:rsid w:val="30C98E51"/>
    <w:rsid w:val="30D11A0F"/>
    <w:rsid w:val="30D14E81"/>
    <w:rsid w:val="30D359E5"/>
    <w:rsid w:val="30E0B125"/>
    <w:rsid w:val="30E1C88A"/>
    <w:rsid w:val="30EBF441"/>
    <w:rsid w:val="30FB0AD3"/>
    <w:rsid w:val="30FDD47A"/>
    <w:rsid w:val="3106E25C"/>
    <w:rsid w:val="310C65E4"/>
    <w:rsid w:val="31114CF2"/>
    <w:rsid w:val="311A15F9"/>
    <w:rsid w:val="311B8422"/>
    <w:rsid w:val="312A631A"/>
    <w:rsid w:val="313B93DC"/>
    <w:rsid w:val="3146D32A"/>
    <w:rsid w:val="314A472E"/>
    <w:rsid w:val="3151B92A"/>
    <w:rsid w:val="31544682"/>
    <w:rsid w:val="3155F500"/>
    <w:rsid w:val="31738E61"/>
    <w:rsid w:val="31761BFE"/>
    <w:rsid w:val="318074A8"/>
    <w:rsid w:val="3182D8C8"/>
    <w:rsid w:val="318EA190"/>
    <w:rsid w:val="3194FEF9"/>
    <w:rsid w:val="31957776"/>
    <w:rsid w:val="31AFA96E"/>
    <w:rsid w:val="31B470CE"/>
    <w:rsid w:val="31BF5934"/>
    <w:rsid w:val="31C0E337"/>
    <w:rsid w:val="31C2F2DC"/>
    <w:rsid w:val="31EDDE47"/>
    <w:rsid w:val="3203470E"/>
    <w:rsid w:val="32117E7F"/>
    <w:rsid w:val="3211EDBE"/>
    <w:rsid w:val="3216D510"/>
    <w:rsid w:val="32286351"/>
    <w:rsid w:val="323F356C"/>
    <w:rsid w:val="3242A0EF"/>
    <w:rsid w:val="3244AC2C"/>
    <w:rsid w:val="3254C742"/>
    <w:rsid w:val="3262ACEF"/>
    <w:rsid w:val="3265ED03"/>
    <w:rsid w:val="327AA4D2"/>
    <w:rsid w:val="327CC93C"/>
    <w:rsid w:val="328FB662"/>
    <w:rsid w:val="32934AB0"/>
    <w:rsid w:val="32A1CCC3"/>
    <w:rsid w:val="32AC5D85"/>
    <w:rsid w:val="32C9616C"/>
    <w:rsid w:val="32DC0874"/>
    <w:rsid w:val="32E2F0A4"/>
    <w:rsid w:val="32E38768"/>
    <w:rsid w:val="32E3CB7E"/>
    <w:rsid w:val="32ED1740"/>
    <w:rsid w:val="32FA1E9D"/>
    <w:rsid w:val="32FE299C"/>
    <w:rsid w:val="330B0D86"/>
    <w:rsid w:val="3315CD3D"/>
    <w:rsid w:val="331879D5"/>
    <w:rsid w:val="3322DC8F"/>
    <w:rsid w:val="3326D5D4"/>
    <w:rsid w:val="332936A4"/>
    <w:rsid w:val="3329E714"/>
    <w:rsid w:val="332ED98B"/>
    <w:rsid w:val="33343301"/>
    <w:rsid w:val="33364B79"/>
    <w:rsid w:val="333D465A"/>
    <w:rsid w:val="33444A59"/>
    <w:rsid w:val="3356C30B"/>
    <w:rsid w:val="33611C03"/>
    <w:rsid w:val="3366985B"/>
    <w:rsid w:val="3368C3EC"/>
    <w:rsid w:val="3372E02F"/>
    <w:rsid w:val="3373C9D6"/>
    <w:rsid w:val="33816CE8"/>
    <w:rsid w:val="3393F537"/>
    <w:rsid w:val="339A97BE"/>
    <w:rsid w:val="339CF5E0"/>
    <w:rsid w:val="33A2FCBB"/>
    <w:rsid w:val="33B73C8E"/>
    <w:rsid w:val="33B76829"/>
    <w:rsid w:val="33BD1497"/>
    <w:rsid w:val="33C6F5B4"/>
    <w:rsid w:val="33EC06BE"/>
    <w:rsid w:val="33EF8FFB"/>
    <w:rsid w:val="33F76012"/>
    <w:rsid w:val="34016010"/>
    <w:rsid w:val="3408B858"/>
    <w:rsid w:val="341234BB"/>
    <w:rsid w:val="341F3C67"/>
    <w:rsid w:val="342FA17A"/>
    <w:rsid w:val="34364028"/>
    <w:rsid w:val="343D7E8F"/>
    <w:rsid w:val="34407BC7"/>
    <w:rsid w:val="344D7FBA"/>
    <w:rsid w:val="345A5B09"/>
    <w:rsid w:val="3464B6B0"/>
    <w:rsid w:val="346598A8"/>
    <w:rsid w:val="34693724"/>
    <w:rsid w:val="346ADAA6"/>
    <w:rsid w:val="346EF65B"/>
    <w:rsid w:val="34711C9B"/>
    <w:rsid w:val="3473CF72"/>
    <w:rsid w:val="347BF80D"/>
    <w:rsid w:val="347EC105"/>
    <w:rsid w:val="34807472"/>
    <w:rsid w:val="3480922D"/>
    <w:rsid w:val="3484C971"/>
    <w:rsid w:val="348E2ADC"/>
    <w:rsid w:val="3493C3FB"/>
    <w:rsid w:val="349F0FBE"/>
    <w:rsid w:val="34A32982"/>
    <w:rsid w:val="34A8BE5B"/>
    <w:rsid w:val="34A93873"/>
    <w:rsid w:val="34AA349E"/>
    <w:rsid w:val="34B545F4"/>
    <w:rsid w:val="34B8A841"/>
    <w:rsid w:val="34B9612F"/>
    <w:rsid w:val="34C83B1E"/>
    <w:rsid w:val="34D26FE1"/>
    <w:rsid w:val="34D8A61F"/>
    <w:rsid w:val="34DE9CFE"/>
    <w:rsid w:val="34E01419"/>
    <w:rsid w:val="34EB5B67"/>
    <w:rsid w:val="34EF25DD"/>
    <w:rsid w:val="3504ADDD"/>
    <w:rsid w:val="351C8FBD"/>
    <w:rsid w:val="35293B51"/>
    <w:rsid w:val="35394DC3"/>
    <w:rsid w:val="354D8E2F"/>
    <w:rsid w:val="35535123"/>
    <w:rsid w:val="3556D8DB"/>
    <w:rsid w:val="356528AC"/>
    <w:rsid w:val="356CD7B3"/>
    <w:rsid w:val="356CF67E"/>
    <w:rsid w:val="356EA80A"/>
    <w:rsid w:val="35863CD0"/>
    <w:rsid w:val="358B605C"/>
    <w:rsid w:val="3599FAC2"/>
    <w:rsid w:val="359B17E3"/>
    <w:rsid w:val="359FCB53"/>
    <w:rsid w:val="35A2BDD8"/>
    <w:rsid w:val="35A488B9"/>
    <w:rsid w:val="35A82C46"/>
    <w:rsid w:val="35A92F82"/>
    <w:rsid w:val="35AD9F1B"/>
    <w:rsid w:val="35BFD558"/>
    <w:rsid w:val="35C8ABA6"/>
    <w:rsid w:val="35D68B53"/>
    <w:rsid w:val="35E8E2A5"/>
    <w:rsid w:val="35ED16A4"/>
    <w:rsid w:val="35F4B860"/>
    <w:rsid w:val="35FD9FD4"/>
    <w:rsid w:val="3600E760"/>
    <w:rsid w:val="3603B76A"/>
    <w:rsid w:val="3606460E"/>
    <w:rsid w:val="3611E57B"/>
    <w:rsid w:val="36270759"/>
    <w:rsid w:val="3629FB3D"/>
    <w:rsid w:val="362E6CB6"/>
    <w:rsid w:val="36304263"/>
    <w:rsid w:val="3640E986"/>
    <w:rsid w:val="3641B14B"/>
    <w:rsid w:val="364896FF"/>
    <w:rsid w:val="364A0DEF"/>
    <w:rsid w:val="364F3699"/>
    <w:rsid w:val="366808E5"/>
    <w:rsid w:val="3668F96C"/>
    <w:rsid w:val="3670D5ED"/>
    <w:rsid w:val="367260BC"/>
    <w:rsid w:val="367CAC55"/>
    <w:rsid w:val="3681F489"/>
    <w:rsid w:val="3685FF5C"/>
    <w:rsid w:val="368C9BBB"/>
    <w:rsid w:val="368FD443"/>
    <w:rsid w:val="36918AFB"/>
    <w:rsid w:val="369BDFFE"/>
    <w:rsid w:val="36A8298B"/>
    <w:rsid w:val="36B01AF6"/>
    <w:rsid w:val="36B9EC79"/>
    <w:rsid w:val="36D08742"/>
    <w:rsid w:val="36D72BD2"/>
    <w:rsid w:val="36DB7C33"/>
    <w:rsid w:val="36E42580"/>
    <w:rsid w:val="36F82380"/>
    <w:rsid w:val="37026799"/>
    <w:rsid w:val="3709B086"/>
    <w:rsid w:val="370BFC72"/>
    <w:rsid w:val="370F283F"/>
    <w:rsid w:val="3713CB61"/>
    <w:rsid w:val="37250587"/>
    <w:rsid w:val="3725A4E5"/>
    <w:rsid w:val="372BB85B"/>
    <w:rsid w:val="372BEC09"/>
    <w:rsid w:val="373243E0"/>
    <w:rsid w:val="3738B7FA"/>
    <w:rsid w:val="3739006F"/>
    <w:rsid w:val="375723C4"/>
    <w:rsid w:val="3758F572"/>
    <w:rsid w:val="3763CAE7"/>
    <w:rsid w:val="377B9D58"/>
    <w:rsid w:val="377C7969"/>
    <w:rsid w:val="377E8154"/>
    <w:rsid w:val="378031DF"/>
    <w:rsid w:val="3780D731"/>
    <w:rsid w:val="3793D60B"/>
    <w:rsid w:val="37A7F328"/>
    <w:rsid w:val="37AB5F21"/>
    <w:rsid w:val="37AF0BA6"/>
    <w:rsid w:val="37B12ADE"/>
    <w:rsid w:val="37B1594A"/>
    <w:rsid w:val="37B33F1D"/>
    <w:rsid w:val="37BADC26"/>
    <w:rsid w:val="37BE19C4"/>
    <w:rsid w:val="37CBA7D7"/>
    <w:rsid w:val="37DC11E8"/>
    <w:rsid w:val="37E9105B"/>
    <w:rsid w:val="37EB96D2"/>
    <w:rsid w:val="37F33888"/>
    <w:rsid w:val="37F6573F"/>
    <w:rsid w:val="37FB075E"/>
    <w:rsid w:val="3804D4C4"/>
    <w:rsid w:val="381DB7D4"/>
    <w:rsid w:val="381E6CC9"/>
    <w:rsid w:val="3830C41B"/>
    <w:rsid w:val="38344771"/>
    <w:rsid w:val="383BFBB3"/>
    <w:rsid w:val="38403095"/>
    <w:rsid w:val="384C9764"/>
    <w:rsid w:val="384CF953"/>
    <w:rsid w:val="3857CD45"/>
    <w:rsid w:val="3857EE91"/>
    <w:rsid w:val="386B308D"/>
    <w:rsid w:val="386F402C"/>
    <w:rsid w:val="387FDE2C"/>
    <w:rsid w:val="3883A310"/>
    <w:rsid w:val="388859E2"/>
    <w:rsid w:val="38916892"/>
    <w:rsid w:val="38977FEC"/>
    <w:rsid w:val="38AE1113"/>
    <w:rsid w:val="38AF312F"/>
    <w:rsid w:val="38B30EA2"/>
    <w:rsid w:val="38B3D6B6"/>
    <w:rsid w:val="38C441B2"/>
    <w:rsid w:val="38D2120B"/>
    <w:rsid w:val="38D68258"/>
    <w:rsid w:val="38DA76B4"/>
    <w:rsid w:val="38DC297B"/>
    <w:rsid w:val="38E9058E"/>
    <w:rsid w:val="38ED21F4"/>
    <w:rsid w:val="38FC71FF"/>
    <w:rsid w:val="38FDD341"/>
    <w:rsid w:val="39051F04"/>
    <w:rsid w:val="390531F6"/>
    <w:rsid w:val="3909F157"/>
    <w:rsid w:val="3912D97C"/>
    <w:rsid w:val="391CECC5"/>
    <w:rsid w:val="3942323C"/>
    <w:rsid w:val="394B61AB"/>
    <w:rsid w:val="395321EA"/>
    <w:rsid w:val="395B2779"/>
    <w:rsid w:val="39691433"/>
    <w:rsid w:val="396D21EE"/>
    <w:rsid w:val="39805C2D"/>
    <w:rsid w:val="3982F08D"/>
    <w:rsid w:val="39850B69"/>
    <w:rsid w:val="39897DAF"/>
    <w:rsid w:val="398AE06D"/>
    <w:rsid w:val="3995994E"/>
    <w:rsid w:val="3996C62D"/>
    <w:rsid w:val="399B1E5A"/>
    <w:rsid w:val="39A65EF4"/>
    <w:rsid w:val="39ADD8FE"/>
    <w:rsid w:val="39B3DCF7"/>
    <w:rsid w:val="39BDEE6D"/>
    <w:rsid w:val="39C21C84"/>
    <w:rsid w:val="39CD456C"/>
    <w:rsid w:val="39D5C2A1"/>
    <w:rsid w:val="39D7CC14"/>
    <w:rsid w:val="39EC23A8"/>
    <w:rsid w:val="39F39A3B"/>
    <w:rsid w:val="39FCC233"/>
    <w:rsid w:val="3A04B4BB"/>
    <w:rsid w:val="3A184CA5"/>
    <w:rsid w:val="3A1B0D2D"/>
    <w:rsid w:val="3A230E38"/>
    <w:rsid w:val="3A2735A2"/>
    <w:rsid w:val="3A2EC0E4"/>
    <w:rsid w:val="3A325FE2"/>
    <w:rsid w:val="3A36EFBB"/>
    <w:rsid w:val="3A43604D"/>
    <w:rsid w:val="3A44B393"/>
    <w:rsid w:val="3A4F0BEB"/>
    <w:rsid w:val="3A631388"/>
    <w:rsid w:val="3A7EFE47"/>
    <w:rsid w:val="3A8545E2"/>
    <w:rsid w:val="3A8818E9"/>
    <w:rsid w:val="3A8B75E2"/>
    <w:rsid w:val="3A8F52C7"/>
    <w:rsid w:val="3A9941E6"/>
    <w:rsid w:val="3A9E51BB"/>
    <w:rsid w:val="3AA53101"/>
    <w:rsid w:val="3AAB98FD"/>
    <w:rsid w:val="3AAFBD4B"/>
    <w:rsid w:val="3AB7956F"/>
    <w:rsid w:val="3AC2D066"/>
    <w:rsid w:val="3ACD6DD4"/>
    <w:rsid w:val="3ACFEC96"/>
    <w:rsid w:val="3AD4DA2C"/>
    <w:rsid w:val="3AD86CA9"/>
    <w:rsid w:val="3AD922B5"/>
    <w:rsid w:val="3ADE029D"/>
    <w:rsid w:val="3AE2FFE3"/>
    <w:rsid w:val="3AF07843"/>
    <w:rsid w:val="3B009988"/>
    <w:rsid w:val="3B0A6847"/>
    <w:rsid w:val="3B0DAFEA"/>
    <w:rsid w:val="3B1A8539"/>
    <w:rsid w:val="3B24DD19"/>
    <w:rsid w:val="3B293849"/>
    <w:rsid w:val="3B2DAF4C"/>
    <w:rsid w:val="3B330F36"/>
    <w:rsid w:val="3B344889"/>
    <w:rsid w:val="3B437917"/>
    <w:rsid w:val="3B453DCA"/>
    <w:rsid w:val="3B4AA6EC"/>
    <w:rsid w:val="3B4E73D0"/>
    <w:rsid w:val="3B5DF71C"/>
    <w:rsid w:val="3B679665"/>
    <w:rsid w:val="3B6E7FB7"/>
    <w:rsid w:val="3B76063F"/>
    <w:rsid w:val="3B85F07D"/>
    <w:rsid w:val="3B8F2E9C"/>
    <w:rsid w:val="3BA7F437"/>
    <w:rsid w:val="3BAB5BC0"/>
    <w:rsid w:val="3BBEC481"/>
    <w:rsid w:val="3BC01CDD"/>
    <w:rsid w:val="3BC880A7"/>
    <w:rsid w:val="3BCB94A3"/>
    <w:rsid w:val="3BCEB81E"/>
    <w:rsid w:val="3BCFC2BA"/>
    <w:rsid w:val="3BD98CF8"/>
    <w:rsid w:val="3BDDE98E"/>
    <w:rsid w:val="3BEAD51B"/>
    <w:rsid w:val="3BF57F06"/>
    <w:rsid w:val="3BFD4E8C"/>
    <w:rsid w:val="3BFEDADD"/>
    <w:rsid w:val="3BFF4E25"/>
    <w:rsid w:val="3C11391D"/>
    <w:rsid w:val="3C1AEC4E"/>
    <w:rsid w:val="3C1B19E1"/>
    <w:rsid w:val="3C27674C"/>
    <w:rsid w:val="3C2A6A94"/>
    <w:rsid w:val="3C3097FF"/>
    <w:rsid w:val="3C356B0A"/>
    <w:rsid w:val="3C3C1806"/>
    <w:rsid w:val="3C41AC69"/>
    <w:rsid w:val="3C4BA35C"/>
    <w:rsid w:val="3C56F646"/>
    <w:rsid w:val="3C5FDE12"/>
    <w:rsid w:val="3C62CAC0"/>
    <w:rsid w:val="3C6D45F6"/>
    <w:rsid w:val="3C7DBF3B"/>
    <w:rsid w:val="3C7F9859"/>
    <w:rsid w:val="3C819A66"/>
    <w:rsid w:val="3C82D995"/>
    <w:rsid w:val="3C83D660"/>
    <w:rsid w:val="3C877EC8"/>
    <w:rsid w:val="3C929F8D"/>
    <w:rsid w:val="3CA0B4F5"/>
    <w:rsid w:val="3CAA756D"/>
    <w:rsid w:val="3CAE3126"/>
    <w:rsid w:val="3CB8A61F"/>
    <w:rsid w:val="3CB8C7C1"/>
    <w:rsid w:val="3CBB8187"/>
    <w:rsid w:val="3CC0BD88"/>
    <w:rsid w:val="3CCF97AF"/>
    <w:rsid w:val="3CD4F9B6"/>
    <w:rsid w:val="3CDCDBC2"/>
    <w:rsid w:val="3CE75CEA"/>
    <w:rsid w:val="3CED8707"/>
    <w:rsid w:val="3CFBB7F6"/>
    <w:rsid w:val="3CFD8557"/>
    <w:rsid w:val="3D06A426"/>
    <w:rsid w:val="3D0980EE"/>
    <w:rsid w:val="3D1005A0"/>
    <w:rsid w:val="3D10DF46"/>
    <w:rsid w:val="3D140CA6"/>
    <w:rsid w:val="3D259784"/>
    <w:rsid w:val="3D280C7C"/>
    <w:rsid w:val="3D2E9553"/>
    <w:rsid w:val="3D32450A"/>
    <w:rsid w:val="3D471547"/>
    <w:rsid w:val="3D4F835F"/>
    <w:rsid w:val="3D52B464"/>
    <w:rsid w:val="3D701455"/>
    <w:rsid w:val="3D716213"/>
    <w:rsid w:val="3D7D4476"/>
    <w:rsid w:val="3D82454B"/>
    <w:rsid w:val="3D862382"/>
    <w:rsid w:val="3D87A970"/>
    <w:rsid w:val="3DAB707C"/>
    <w:rsid w:val="3DADB88C"/>
    <w:rsid w:val="3DB14E4D"/>
    <w:rsid w:val="3DB15E5B"/>
    <w:rsid w:val="3DB4F400"/>
    <w:rsid w:val="3DC6423D"/>
    <w:rsid w:val="3DC6EA8C"/>
    <w:rsid w:val="3DD15A04"/>
    <w:rsid w:val="3DD8AFBD"/>
    <w:rsid w:val="3DE8CB11"/>
    <w:rsid w:val="3DE9405D"/>
    <w:rsid w:val="3DF9B678"/>
    <w:rsid w:val="3E09010C"/>
    <w:rsid w:val="3E0AD462"/>
    <w:rsid w:val="3E0C105B"/>
    <w:rsid w:val="3E0FA997"/>
    <w:rsid w:val="3E1F6F3A"/>
    <w:rsid w:val="3E2640DC"/>
    <w:rsid w:val="3E2A67C3"/>
    <w:rsid w:val="3E2D37B3"/>
    <w:rsid w:val="3E311A5A"/>
    <w:rsid w:val="3E316DDE"/>
    <w:rsid w:val="3E3583AB"/>
    <w:rsid w:val="3E35BC95"/>
    <w:rsid w:val="3E3C8556"/>
    <w:rsid w:val="3E473CB4"/>
    <w:rsid w:val="3E4DF2E9"/>
    <w:rsid w:val="3E4FCDA7"/>
    <w:rsid w:val="3E506231"/>
    <w:rsid w:val="3E59C843"/>
    <w:rsid w:val="3E69204C"/>
    <w:rsid w:val="3E6C2175"/>
    <w:rsid w:val="3E6FCF68"/>
    <w:rsid w:val="3E7BD6B6"/>
    <w:rsid w:val="3E8BA5D8"/>
    <w:rsid w:val="3E90F84A"/>
    <w:rsid w:val="3E94F745"/>
    <w:rsid w:val="3E9955B8"/>
    <w:rsid w:val="3E9B07C4"/>
    <w:rsid w:val="3E9F85AC"/>
    <w:rsid w:val="3EAA2EC6"/>
    <w:rsid w:val="3EB59487"/>
    <w:rsid w:val="3EBB1CD0"/>
    <w:rsid w:val="3EBBF8CF"/>
    <w:rsid w:val="3EBC9754"/>
    <w:rsid w:val="3ECB44C4"/>
    <w:rsid w:val="3ED72BCF"/>
    <w:rsid w:val="3ED8EB81"/>
    <w:rsid w:val="3EDD4BE6"/>
    <w:rsid w:val="3EDEF424"/>
    <w:rsid w:val="3EE4CDB8"/>
    <w:rsid w:val="3EEC6757"/>
    <w:rsid w:val="3EF1F5AD"/>
    <w:rsid w:val="3EF2AAEC"/>
    <w:rsid w:val="3EF3CE3C"/>
    <w:rsid w:val="3F0533DD"/>
    <w:rsid w:val="3F0A25D6"/>
    <w:rsid w:val="3F16872A"/>
    <w:rsid w:val="3F169161"/>
    <w:rsid w:val="3F1BF3D9"/>
    <w:rsid w:val="3F2844CB"/>
    <w:rsid w:val="3F41C204"/>
    <w:rsid w:val="3F42F396"/>
    <w:rsid w:val="3F4B6AFF"/>
    <w:rsid w:val="3F5ADD60"/>
    <w:rsid w:val="3F5B4CBF"/>
    <w:rsid w:val="3F76B629"/>
    <w:rsid w:val="3F82087B"/>
    <w:rsid w:val="3F915C02"/>
    <w:rsid w:val="3FA35DB9"/>
    <w:rsid w:val="3FA7FE36"/>
    <w:rsid w:val="3FA88249"/>
    <w:rsid w:val="3FADD47D"/>
    <w:rsid w:val="3FC1C87E"/>
    <w:rsid w:val="3FC60995"/>
    <w:rsid w:val="3FC844F0"/>
    <w:rsid w:val="3FCC36E6"/>
    <w:rsid w:val="3FCE617E"/>
    <w:rsid w:val="3FD855B7"/>
    <w:rsid w:val="3FDDC1D2"/>
    <w:rsid w:val="3FF2A3A0"/>
    <w:rsid w:val="40009D17"/>
    <w:rsid w:val="40075968"/>
    <w:rsid w:val="401D4AA1"/>
    <w:rsid w:val="402D3893"/>
    <w:rsid w:val="402FF98E"/>
    <w:rsid w:val="40301EF0"/>
    <w:rsid w:val="4033A249"/>
    <w:rsid w:val="4040A5A6"/>
    <w:rsid w:val="4042DFB3"/>
    <w:rsid w:val="404677E9"/>
    <w:rsid w:val="40470646"/>
    <w:rsid w:val="4050F035"/>
    <w:rsid w:val="4050F8CD"/>
    <w:rsid w:val="405164E8"/>
    <w:rsid w:val="40667EFC"/>
    <w:rsid w:val="40668ABA"/>
    <w:rsid w:val="406D340F"/>
    <w:rsid w:val="406E937C"/>
    <w:rsid w:val="4073EDB1"/>
    <w:rsid w:val="40815D3F"/>
    <w:rsid w:val="40836E7A"/>
    <w:rsid w:val="4086D34B"/>
    <w:rsid w:val="40A333DD"/>
    <w:rsid w:val="40A902D5"/>
    <w:rsid w:val="40B2A1D1"/>
    <w:rsid w:val="40B463BF"/>
    <w:rsid w:val="40B77737"/>
    <w:rsid w:val="40BDD9C9"/>
    <w:rsid w:val="40C3C27B"/>
    <w:rsid w:val="40C7EDAB"/>
    <w:rsid w:val="40CFB56F"/>
    <w:rsid w:val="40D6E308"/>
    <w:rsid w:val="40E7C833"/>
    <w:rsid w:val="40F58060"/>
    <w:rsid w:val="40F65B87"/>
    <w:rsid w:val="40F94B91"/>
    <w:rsid w:val="40FD260E"/>
    <w:rsid w:val="4100B3D2"/>
    <w:rsid w:val="4109C5C5"/>
    <w:rsid w:val="41112132"/>
    <w:rsid w:val="4119451D"/>
    <w:rsid w:val="411BD251"/>
    <w:rsid w:val="412A099E"/>
    <w:rsid w:val="412A150B"/>
    <w:rsid w:val="4131B1E9"/>
    <w:rsid w:val="414D4421"/>
    <w:rsid w:val="4153097C"/>
    <w:rsid w:val="41677C72"/>
    <w:rsid w:val="416B57B6"/>
    <w:rsid w:val="4171FD67"/>
    <w:rsid w:val="4174910B"/>
    <w:rsid w:val="4179F7F7"/>
    <w:rsid w:val="419CC4DE"/>
    <w:rsid w:val="41A5FF9C"/>
    <w:rsid w:val="41A96FCC"/>
    <w:rsid w:val="41ABEEF3"/>
    <w:rsid w:val="41B3FD9B"/>
    <w:rsid w:val="41B500FE"/>
    <w:rsid w:val="41BD225C"/>
    <w:rsid w:val="41C06E4F"/>
    <w:rsid w:val="41C4F474"/>
    <w:rsid w:val="41C6E65C"/>
    <w:rsid w:val="41CC058B"/>
    <w:rsid w:val="41D0F67A"/>
    <w:rsid w:val="41DA295B"/>
    <w:rsid w:val="41DA89FC"/>
    <w:rsid w:val="41E1D30F"/>
    <w:rsid w:val="41E76B5D"/>
    <w:rsid w:val="41EB3B59"/>
    <w:rsid w:val="41ED3549"/>
    <w:rsid w:val="41F120EE"/>
    <w:rsid w:val="41F4215C"/>
    <w:rsid w:val="42213743"/>
    <w:rsid w:val="42323245"/>
    <w:rsid w:val="4235861E"/>
    <w:rsid w:val="423F596B"/>
    <w:rsid w:val="4245B8F5"/>
    <w:rsid w:val="424BB3C8"/>
    <w:rsid w:val="424E45DC"/>
    <w:rsid w:val="42663656"/>
    <w:rsid w:val="4267E90B"/>
    <w:rsid w:val="42737DA5"/>
    <w:rsid w:val="428641E8"/>
    <w:rsid w:val="42881B86"/>
    <w:rsid w:val="4288E2E4"/>
    <w:rsid w:val="428F25A3"/>
    <w:rsid w:val="429751D0"/>
    <w:rsid w:val="42AFC8B6"/>
    <w:rsid w:val="42B239C0"/>
    <w:rsid w:val="42C4E9D4"/>
    <w:rsid w:val="42D909FC"/>
    <w:rsid w:val="42DBE55F"/>
    <w:rsid w:val="42E0CB20"/>
    <w:rsid w:val="42EB7C18"/>
    <w:rsid w:val="42EED9DD"/>
    <w:rsid w:val="42EF038E"/>
    <w:rsid w:val="42F644F2"/>
    <w:rsid w:val="42F71D9D"/>
    <w:rsid w:val="43165F1D"/>
    <w:rsid w:val="431D18B3"/>
    <w:rsid w:val="431DC69D"/>
    <w:rsid w:val="431F559B"/>
    <w:rsid w:val="43221D9D"/>
    <w:rsid w:val="432EE77E"/>
    <w:rsid w:val="4331342D"/>
    <w:rsid w:val="43314565"/>
    <w:rsid w:val="43322995"/>
    <w:rsid w:val="4333D8E3"/>
    <w:rsid w:val="4334CDCF"/>
    <w:rsid w:val="433A479F"/>
    <w:rsid w:val="433ACF1F"/>
    <w:rsid w:val="434DA72B"/>
    <w:rsid w:val="4350E98C"/>
    <w:rsid w:val="435FC467"/>
    <w:rsid w:val="436A9A13"/>
    <w:rsid w:val="43736805"/>
    <w:rsid w:val="437A0B12"/>
    <w:rsid w:val="437F4724"/>
    <w:rsid w:val="437FE0D1"/>
    <w:rsid w:val="438681CE"/>
    <w:rsid w:val="43A42D7C"/>
    <w:rsid w:val="43C69360"/>
    <w:rsid w:val="43D1DE04"/>
    <w:rsid w:val="43E73A26"/>
    <w:rsid w:val="43EB03C7"/>
    <w:rsid w:val="43EF9E94"/>
    <w:rsid w:val="43F25DE7"/>
    <w:rsid w:val="43F3D16F"/>
    <w:rsid w:val="4402F43B"/>
    <w:rsid w:val="440520B1"/>
    <w:rsid w:val="44072AF7"/>
    <w:rsid w:val="440DFAB1"/>
    <w:rsid w:val="441A438A"/>
    <w:rsid w:val="441A48AF"/>
    <w:rsid w:val="441D848A"/>
    <w:rsid w:val="441E51AD"/>
    <w:rsid w:val="44231FFD"/>
    <w:rsid w:val="44265658"/>
    <w:rsid w:val="44436C76"/>
    <w:rsid w:val="4447863B"/>
    <w:rsid w:val="4448F65E"/>
    <w:rsid w:val="4454DB19"/>
    <w:rsid w:val="44554546"/>
    <w:rsid w:val="4465A792"/>
    <w:rsid w:val="446952AB"/>
    <w:rsid w:val="446F2D78"/>
    <w:rsid w:val="4479AC4A"/>
    <w:rsid w:val="4480ACF8"/>
    <w:rsid w:val="4480CF87"/>
    <w:rsid w:val="44863793"/>
    <w:rsid w:val="44902337"/>
    <w:rsid w:val="44949402"/>
    <w:rsid w:val="449499D1"/>
    <w:rsid w:val="449A70B6"/>
    <w:rsid w:val="44C2120C"/>
    <w:rsid w:val="44C4151B"/>
    <w:rsid w:val="44C92FF3"/>
    <w:rsid w:val="44DDA216"/>
    <w:rsid w:val="44E1B6F4"/>
    <w:rsid w:val="44E31B7A"/>
    <w:rsid w:val="44E958BC"/>
    <w:rsid w:val="44EA5B5D"/>
    <w:rsid w:val="44EC7CF3"/>
    <w:rsid w:val="44ECB9ED"/>
    <w:rsid w:val="44F18932"/>
    <w:rsid w:val="450D49E9"/>
    <w:rsid w:val="4515DB73"/>
    <w:rsid w:val="451C4EAE"/>
    <w:rsid w:val="452219FC"/>
    <w:rsid w:val="4533A3BE"/>
    <w:rsid w:val="45360ADF"/>
    <w:rsid w:val="4543C7BE"/>
    <w:rsid w:val="4545C3E9"/>
    <w:rsid w:val="454E817F"/>
    <w:rsid w:val="4552C50F"/>
    <w:rsid w:val="456076A4"/>
    <w:rsid w:val="4576D52B"/>
    <w:rsid w:val="45785D7A"/>
    <w:rsid w:val="45806F3E"/>
    <w:rsid w:val="45B68A70"/>
    <w:rsid w:val="45C289FD"/>
    <w:rsid w:val="45CF9D87"/>
    <w:rsid w:val="45D25DE1"/>
    <w:rsid w:val="45E72C48"/>
    <w:rsid w:val="45ED5085"/>
    <w:rsid w:val="45F52352"/>
    <w:rsid w:val="45FE95F1"/>
    <w:rsid w:val="460842C9"/>
    <w:rsid w:val="46182831"/>
    <w:rsid w:val="461B15FB"/>
    <w:rsid w:val="4620B544"/>
    <w:rsid w:val="4643C60C"/>
    <w:rsid w:val="46464247"/>
    <w:rsid w:val="464DFFDF"/>
    <w:rsid w:val="465E79CB"/>
    <w:rsid w:val="466DB344"/>
    <w:rsid w:val="46739436"/>
    <w:rsid w:val="468E1944"/>
    <w:rsid w:val="469BFA10"/>
    <w:rsid w:val="469C7A17"/>
    <w:rsid w:val="46A4679D"/>
    <w:rsid w:val="46BA9CD5"/>
    <w:rsid w:val="46C0A66C"/>
    <w:rsid w:val="46C3C6E4"/>
    <w:rsid w:val="46CF0A3C"/>
    <w:rsid w:val="46D27D83"/>
    <w:rsid w:val="46D61141"/>
    <w:rsid w:val="46DC38BC"/>
    <w:rsid w:val="46E26A84"/>
    <w:rsid w:val="46F73B47"/>
    <w:rsid w:val="47001EEB"/>
    <w:rsid w:val="47023E22"/>
    <w:rsid w:val="470D905E"/>
    <w:rsid w:val="471043DA"/>
    <w:rsid w:val="47169B79"/>
    <w:rsid w:val="4717151E"/>
    <w:rsid w:val="47242B0A"/>
    <w:rsid w:val="472491A1"/>
    <w:rsid w:val="4726B8BB"/>
    <w:rsid w:val="4732BD4D"/>
    <w:rsid w:val="4733F9E3"/>
    <w:rsid w:val="473479F2"/>
    <w:rsid w:val="4736E295"/>
    <w:rsid w:val="4739305B"/>
    <w:rsid w:val="473CA805"/>
    <w:rsid w:val="473D7BBF"/>
    <w:rsid w:val="474EBCEF"/>
    <w:rsid w:val="474FB311"/>
    <w:rsid w:val="4754E04E"/>
    <w:rsid w:val="476363E6"/>
    <w:rsid w:val="47644314"/>
    <w:rsid w:val="477B7B14"/>
    <w:rsid w:val="477C9CCD"/>
    <w:rsid w:val="4786BD84"/>
    <w:rsid w:val="478C03D7"/>
    <w:rsid w:val="4798A467"/>
    <w:rsid w:val="4799E1D9"/>
    <w:rsid w:val="47AAE212"/>
    <w:rsid w:val="47AE8914"/>
    <w:rsid w:val="47B372ED"/>
    <w:rsid w:val="47B3A7D0"/>
    <w:rsid w:val="47B3F4AC"/>
    <w:rsid w:val="47B5B791"/>
    <w:rsid w:val="47B640AD"/>
    <w:rsid w:val="47BC5348"/>
    <w:rsid w:val="47C03A8D"/>
    <w:rsid w:val="47C98184"/>
    <w:rsid w:val="47D849E0"/>
    <w:rsid w:val="47E49794"/>
    <w:rsid w:val="47E749AD"/>
    <w:rsid w:val="47EFE297"/>
    <w:rsid w:val="47F2541D"/>
    <w:rsid w:val="47F80DFC"/>
    <w:rsid w:val="47FD67A5"/>
    <w:rsid w:val="4802D193"/>
    <w:rsid w:val="480C27C8"/>
    <w:rsid w:val="480F3429"/>
    <w:rsid w:val="48118D91"/>
    <w:rsid w:val="4812CB91"/>
    <w:rsid w:val="4829E9A5"/>
    <w:rsid w:val="4839DC25"/>
    <w:rsid w:val="4840AB28"/>
    <w:rsid w:val="48461F65"/>
    <w:rsid w:val="484F914F"/>
    <w:rsid w:val="4851BB4D"/>
    <w:rsid w:val="485F1F96"/>
    <w:rsid w:val="486074EA"/>
    <w:rsid w:val="48623EC1"/>
    <w:rsid w:val="4862B77B"/>
    <w:rsid w:val="4869EFD6"/>
    <w:rsid w:val="486FDD64"/>
    <w:rsid w:val="4885A60F"/>
    <w:rsid w:val="4889FE1A"/>
    <w:rsid w:val="488C526E"/>
    <w:rsid w:val="48A405DE"/>
    <w:rsid w:val="48AA738B"/>
    <w:rsid w:val="48BAAB49"/>
    <w:rsid w:val="48D19795"/>
    <w:rsid w:val="48D6F909"/>
    <w:rsid w:val="48DB70C3"/>
    <w:rsid w:val="48DBC55A"/>
    <w:rsid w:val="48E3CE78"/>
    <w:rsid w:val="48E4DC90"/>
    <w:rsid w:val="48E815F5"/>
    <w:rsid w:val="48F24D45"/>
    <w:rsid w:val="48F35A80"/>
    <w:rsid w:val="490347EB"/>
    <w:rsid w:val="4906DD64"/>
    <w:rsid w:val="490A766D"/>
    <w:rsid w:val="49142616"/>
    <w:rsid w:val="492364CF"/>
    <w:rsid w:val="49272E59"/>
    <w:rsid w:val="493A8E27"/>
    <w:rsid w:val="493F59D8"/>
    <w:rsid w:val="4945E270"/>
    <w:rsid w:val="4946BB33"/>
    <w:rsid w:val="494A3FFF"/>
    <w:rsid w:val="4955AF0C"/>
    <w:rsid w:val="49574BA4"/>
    <w:rsid w:val="4975D5BD"/>
    <w:rsid w:val="497E5AAF"/>
    <w:rsid w:val="497E9C54"/>
    <w:rsid w:val="498AD814"/>
    <w:rsid w:val="4998605A"/>
    <w:rsid w:val="49A6BA99"/>
    <w:rsid w:val="49AAA6A2"/>
    <w:rsid w:val="49C230A8"/>
    <w:rsid w:val="49CA286C"/>
    <w:rsid w:val="49CA7117"/>
    <w:rsid w:val="49D72EF7"/>
    <w:rsid w:val="49D8459B"/>
    <w:rsid w:val="49E24191"/>
    <w:rsid w:val="49E55F11"/>
    <w:rsid w:val="49F0B75D"/>
    <w:rsid w:val="49F18F3D"/>
    <w:rsid w:val="49F770CD"/>
    <w:rsid w:val="4A00F4AA"/>
    <w:rsid w:val="4A0658BC"/>
    <w:rsid w:val="4A074E52"/>
    <w:rsid w:val="4A09988A"/>
    <w:rsid w:val="4A09EF29"/>
    <w:rsid w:val="4A0F75AE"/>
    <w:rsid w:val="4A13A175"/>
    <w:rsid w:val="4A13C4EF"/>
    <w:rsid w:val="4A13C7BF"/>
    <w:rsid w:val="4A14B314"/>
    <w:rsid w:val="4A34DE7B"/>
    <w:rsid w:val="4A48C3B6"/>
    <w:rsid w:val="4A4FD0D9"/>
    <w:rsid w:val="4A5E612B"/>
    <w:rsid w:val="4A6357BB"/>
    <w:rsid w:val="4A6C17A0"/>
    <w:rsid w:val="4A6D343C"/>
    <w:rsid w:val="4A7A2F40"/>
    <w:rsid w:val="4A7EF362"/>
    <w:rsid w:val="4A8B5904"/>
    <w:rsid w:val="4A8B7465"/>
    <w:rsid w:val="4A9CC75E"/>
    <w:rsid w:val="4AA58613"/>
    <w:rsid w:val="4AB4D567"/>
    <w:rsid w:val="4AB614BF"/>
    <w:rsid w:val="4AC1FEA8"/>
    <w:rsid w:val="4AC49674"/>
    <w:rsid w:val="4AE1BB3E"/>
    <w:rsid w:val="4AE1C075"/>
    <w:rsid w:val="4AE7435C"/>
    <w:rsid w:val="4AF04AAD"/>
    <w:rsid w:val="4AFC0016"/>
    <w:rsid w:val="4B02ED0A"/>
    <w:rsid w:val="4B03F685"/>
    <w:rsid w:val="4B05F7B0"/>
    <w:rsid w:val="4B1780A6"/>
    <w:rsid w:val="4B190E1B"/>
    <w:rsid w:val="4B19C3B1"/>
    <w:rsid w:val="4B1A432D"/>
    <w:rsid w:val="4B218583"/>
    <w:rsid w:val="4B2FC723"/>
    <w:rsid w:val="4B3143F6"/>
    <w:rsid w:val="4B4EC569"/>
    <w:rsid w:val="4B5B4843"/>
    <w:rsid w:val="4B5B86BF"/>
    <w:rsid w:val="4B662230"/>
    <w:rsid w:val="4B668461"/>
    <w:rsid w:val="4B692A09"/>
    <w:rsid w:val="4B878B49"/>
    <w:rsid w:val="4B92468F"/>
    <w:rsid w:val="4B92AB79"/>
    <w:rsid w:val="4B94A4A3"/>
    <w:rsid w:val="4B968F4D"/>
    <w:rsid w:val="4B971469"/>
    <w:rsid w:val="4B97ABB4"/>
    <w:rsid w:val="4B99F5B1"/>
    <w:rsid w:val="4BA2291D"/>
    <w:rsid w:val="4BB9E277"/>
    <w:rsid w:val="4BBE59EF"/>
    <w:rsid w:val="4BC2A0EA"/>
    <w:rsid w:val="4BC2BD9A"/>
    <w:rsid w:val="4BC5988C"/>
    <w:rsid w:val="4BD3BE43"/>
    <w:rsid w:val="4BD42D94"/>
    <w:rsid w:val="4BD5D70D"/>
    <w:rsid w:val="4BD923AE"/>
    <w:rsid w:val="4BE2D2FE"/>
    <w:rsid w:val="4BE33DF2"/>
    <w:rsid w:val="4BE430CA"/>
    <w:rsid w:val="4BECB74A"/>
    <w:rsid w:val="4BEEF40E"/>
    <w:rsid w:val="4BF24C0B"/>
    <w:rsid w:val="4BFA1B94"/>
    <w:rsid w:val="4BFA4952"/>
    <w:rsid w:val="4BFBFADE"/>
    <w:rsid w:val="4C06ECA6"/>
    <w:rsid w:val="4C07B6A8"/>
    <w:rsid w:val="4C093857"/>
    <w:rsid w:val="4C0E0620"/>
    <w:rsid w:val="4C133C00"/>
    <w:rsid w:val="4C13F5F4"/>
    <w:rsid w:val="4C1CA6D0"/>
    <w:rsid w:val="4C339EA0"/>
    <w:rsid w:val="4C3527EA"/>
    <w:rsid w:val="4C390F25"/>
    <w:rsid w:val="4C39EDE3"/>
    <w:rsid w:val="4C3A928C"/>
    <w:rsid w:val="4C4CFD77"/>
    <w:rsid w:val="4C4D9EA1"/>
    <w:rsid w:val="4C6B82DB"/>
    <w:rsid w:val="4C722EE9"/>
    <w:rsid w:val="4C802C67"/>
    <w:rsid w:val="4C85DACD"/>
    <w:rsid w:val="4C89C0DC"/>
    <w:rsid w:val="4C94D336"/>
    <w:rsid w:val="4C958B86"/>
    <w:rsid w:val="4CA6C250"/>
    <w:rsid w:val="4CAE0A97"/>
    <w:rsid w:val="4CB7D2F5"/>
    <w:rsid w:val="4CB91EAB"/>
    <w:rsid w:val="4CB9FBA3"/>
    <w:rsid w:val="4CBD2F2A"/>
    <w:rsid w:val="4CC2A45C"/>
    <w:rsid w:val="4CC8DDCA"/>
    <w:rsid w:val="4CD48A39"/>
    <w:rsid w:val="4CE2A54C"/>
    <w:rsid w:val="4CE63CB4"/>
    <w:rsid w:val="4CE76FC4"/>
    <w:rsid w:val="4CEDBCE1"/>
    <w:rsid w:val="4CF66E16"/>
    <w:rsid w:val="4CFBCF98"/>
    <w:rsid w:val="4D1A482C"/>
    <w:rsid w:val="4D1D744D"/>
    <w:rsid w:val="4D35C72F"/>
    <w:rsid w:val="4D3DF97E"/>
    <w:rsid w:val="4D5C5F29"/>
    <w:rsid w:val="4D5E0456"/>
    <w:rsid w:val="4D62E378"/>
    <w:rsid w:val="4D6E1555"/>
    <w:rsid w:val="4D6F8EA4"/>
    <w:rsid w:val="4D7448AD"/>
    <w:rsid w:val="4D77382B"/>
    <w:rsid w:val="4D78F09E"/>
    <w:rsid w:val="4D7944A1"/>
    <w:rsid w:val="4D79D7A9"/>
    <w:rsid w:val="4D81F52C"/>
    <w:rsid w:val="4D8266C6"/>
    <w:rsid w:val="4D8DEB9D"/>
    <w:rsid w:val="4D971492"/>
    <w:rsid w:val="4D9D78F9"/>
    <w:rsid w:val="4DA5D1FD"/>
    <w:rsid w:val="4DA8AE11"/>
    <w:rsid w:val="4DB02A92"/>
    <w:rsid w:val="4DDEC6AB"/>
    <w:rsid w:val="4E19BB1F"/>
    <w:rsid w:val="4E1C1308"/>
    <w:rsid w:val="4E259EA8"/>
    <w:rsid w:val="4E279A46"/>
    <w:rsid w:val="4E2FF9E9"/>
    <w:rsid w:val="4E352525"/>
    <w:rsid w:val="4E437B67"/>
    <w:rsid w:val="4E447320"/>
    <w:rsid w:val="4E4EB455"/>
    <w:rsid w:val="4E4F9190"/>
    <w:rsid w:val="4E5CB659"/>
    <w:rsid w:val="4E648512"/>
    <w:rsid w:val="4E68E4B8"/>
    <w:rsid w:val="4E70D23E"/>
    <w:rsid w:val="4E79C6B1"/>
    <w:rsid w:val="4E8D4A42"/>
    <w:rsid w:val="4E957C44"/>
    <w:rsid w:val="4E98F1E3"/>
    <w:rsid w:val="4E9B2943"/>
    <w:rsid w:val="4EA63DA8"/>
    <w:rsid w:val="4EAF5854"/>
    <w:rsid w:val="4EB54C5E"/>
    <w:rsid w:val="4EBC478A"/>
    <w:rsid w:val="4EC0F3C4"/>
    <w:rsid w:val="4EC1F9CB"/>
    <w:rsid w:val="4ECBB851"/>
    <w:rsid w:val="4ECE8C4F"/>
    <w:rsid w:val="4ED15263"/>
    <w:rsid w:val="4ED18B8F"/>
    <w:rsid w:val="4ED98BE1"/>
    <w:rsid w:val="4EF6D5D3"/>
    <w:rsid w:val="4EF8908D"/>
    <w:rsid w:val="4EFB3516"/>
    <w:rsid w:val="4F041290"/>
    <w:rsid w:val="4F0629F8"/>
    <w:rsid w:val="4F080CD1"/>
    <w:rsid w:val="4F0B9EFD"/>
    <w:rsid w:val="4F11B7BD"/>
    <w:rsid w:val="4F2C0155"/>
    <w:rsid w:val="4F2C1C25"/>
    <w:rsid w:val="4F2D43B6"/>
    <w:rsid w:val="4F36EF6B"/>
    <w:rsid w:val="4F45F751"/>
    <w:rsid w:val="4F63EC0D"/>
    <w:rsid w:val="4F6762CA"/>
    <w:rsid w:val="4F70B336"/>
    <w:rsid w:val="4F74992D"/>
    <w:rsid w:val="4F7DD40D"/>
    <w:rsid w:val="4F87E168"/>
    <w:rsid w:val="4F8E2510"/>
    <w:rsid w:val="4F9262B6"/>
    <w:rsid w:val="4F9486CE"/>
    <w:rsid w:val="4F9AD3D7"/>
    <w:rsid w:val="4F9AEC95"/>
    <w:rsid w:val="4F9D3351"/>
    <w:rsid w:val="4F9F5C11"/>
    <w:rsid w:val="4FA71654"/>
    <w:rsid w:val="4FACE0AE"/>
    <w:rsid w:val="4FC2783C"/>
    <w:rsid w:val="4FD5F590"/>
    <w:rsid w:val="4FEC02AE"/>
    <w:rsid w:val="4FEE49F0"/>
    <w:rsid w:val="4FEF3BB2"/>
    <w:rsid w:val="5003642B"/>
    <w:rsid w:val="500E3C4C"/>
    <w:rsid w:val="501DDD76"/>
    <w:rsid w:val="502364EA"/>
    <w:rsid w:val="5023D147"/>
    <w:rsid w:val="502D728D"/>
    <w:rsid w:val="5043448A"/>
    <w:rsid w:val="5045A6FD"/>
    <w:rsid w:val="5046EC29"/>
    <w:rsid w:val="5051054B"/>
    <w:rsid w:val="5054E804"/>
    <w:rsid w:val="505FC4A9"/>
    <w:rsid w:val="50689E04"/>
    <w:rsid w:val="507BAF38"/>
    <w:rsid w:val="507E20E8"/>
    <w:rsid w:val="5082802F"/>
    <w:rsid w:val="508D4C46"/>
    <w:rsid w:val="508E71BD"/>
    <w:rsid w:val="509E7475"/>
    <w:rsid w:val="509EDD20"/>
    <w:rsid w:val="50A621E2"/>
    <w:rsid w:val="50A6A084"/>
    <w:rsid w:val="50B14C5D"/>
    <w:rsid w:val="50B2B882"/>
    <w:rsid w:val="50C8BED7"/>
    <w:rsid w:val="50CE48C4"/>
    <w:rsid w:val="50E5BE69"/>
    <w:rsid w:val="50E6BC2E"/>
    <w:rsid w:val="50EDA0BD"/>
    <w:rsid w:val="5100888A"/>
    <w:rsid w:val="510E4359"/>
    <w:rsid w:val="510FABC9"/>
    <w:rsid w:val="5115446E"/>
    <w:rsid w:val="511DD028"/>
    <w:rsid w:val="511F1E37"/>
    <w:rsid w:val="5123F7B7"/>
    <w:rsid w:val="51250BCC"/>
    <w:rsid w:val="5136C51D"/>
    <w:rsid w:val="5139B3DD"/>
    <w:rsid w:val="513B5ACA"/>
    <w:rsid w:val="513FA0A6"/>
    <w:rsid w:val="5145A00C"/>
    <w:rsid w:val="515C43CD"/>
    <w:rsid w:val="515CB54D"/>
    <w:rsid w:val="515DCD1D"/>
    <w:rsid w:val="5167F4A8"/>
    <w:rsid w:val="516F7911"/>
    <w:rsid w:val="517A9AC6"/>
    <w:rsid w:val="51857998"/>
    <w:rsid w:val="5186623F"/>
    <w:rsid w:val="518A49E2"/>
    <w:rsid w:val="51965874"/>
    <w:rsid w:val="5199A149"/>
    <w:rsid w:val="519DD40F"/>
    <w:rsid w:val="51A4F285"/>
    <w:rsid w:val="51ACDF1B"/>
    <w:rsid w:val="51B3C66C"/>
    <w:rsid w:val="51BD685C"/>
    <w:rsid w:val="51BDEB99"/>
    <w:rsid w:val="51BED163"/>
    <w:rsid w:val="51C32DD5"/>
    <w:rsid w:val="51C392C5"/>
    <w:rsid w:val="51CD8361"/>
    <w:rsid w:val="51D0CBEB"/>
    <w:rsid w:val="51DB1FDD"/>
    <w:rsid w:val="51E48300"/>
    <w:rsid w:val="52001338"/>
    <w:rsid w:val="5206B612"/>
    <w:rsid w:val="521276BB"/>
    <w:rsid w:val="521D23D6"/>
    <w:rsid w:val="521EF3C8"/>
    <w:rsid w:val="52206AB4"/>
    <w:rsid w:val="522450C4"/>
    <w:rsid w:val="522530A5"/>
    <w:rsid w:val="52265BA8"/>
    <w:rsid w:val="523895D0"/>
    <w:rsid w:val="5242FFC7"/>
    <w:rsid w:val="524853C0"/>
    <w:rsid w:val="525E6DDF"/>
    <w:rsid w:val="526061BB"/>
    <w:rsid w:val="526433D2"/>
    <w:rsid w:val="526B3C62"/>
    <w:rsid w:val="527F481C"/>
    <w:rsid w:val="529A8467"/>
    <w:rsid w:val="52A62B09"/>
    <w:rsid w:val="52A81E75"/>
    <w:rsid w:val="52ACBCAC"/>
    <w:rsid w:val="52AD623A"/>
    <w:rsid w:val="52B097F8"/>
    <w:rsid w:val="52B114CF"/>
    <w:rsid w:val="52B57446"/>
    <w:rsid w:val="52BF3FE5"/>
    <w:rsid w:val="52BF9A63"/>
    <w:rsid w:val="52C1911A"/>
    <w:rsid w:val="52C3454A"/>
    <w:rsid w:val="52D20BB5"/>
    <w:rsid w:val="52D2EFB1"/>
    <w:rsid w:val="52F2B83A"/>
    <w:rsid w:val="52F6708B"/>
    <w:rsid w:val="52F90FCB"/>
    <w:rsid w:val="52FDB048"/>
    <w:rsid w:val="52FF384C"/>
    <w:rsid w:val="530277C0"/>
    <w:rsid w:val="5303099D"/>
    <w:rsid w:val="5304881E"/>
    <w:rsid w:val="53088F2B"/>
    <w:rsid w:val="5322A26E"/>
    <w:rsid w:val="5323DB02"/>
    <w:rsid w:val="53268B4E"/>
    <w:rsid w:val="5327BAE1"/>
    <w:rsid w:val="532CA975"/>
    <w:rsid w:val="5331C5B1"/>
    <w:rsid w:val="533BEED5"/>
    <w:rsid w:val="533BEF4C"/>
    <w:rsid w:val="53588508"/>
    <w:rsid w:val="5359A48F"/>
    <w:rsid w:val="5359D3EF"/>
    <w:rsid w:val="535CD18F"/>
    <w:rsid w:val="53614420"/>
    <w:rsid w:val="5367D82C"/>
    <w:rsid w:val="536B52B8"/>
    <w:rsid w:val="536BDC9B"/>
    <w:rsid w:val="53735198"/>
    <w:rsid w:val="538EB631"/>
    <w:rsid w:val="539D5874"/>
    <w:rsid w:val="53A276D5"/>
    <w:rsid w:val="53A6D785"/>
    <w:rsid w:val="53BB890F"/>
    <w:rsid w:val="53C06E5C"/>
    <w:rsid w:val="53DF27CF"/>
    <w:rsid w:val="53E274B9"/>
    <w:rsid w:val="53E4E538"/>
    <w:rsid w:val="53E801CE"/>
    <w:rsid w:val="53F5D643"/>
    <w:rsid w:val="53F645B9"/>
    <w:rsid w:val="53F9748A"/>
    <w:rsid w:val="5412F59D"/>
    <w:rsid w:val="541F5BE4"/>
    <w:rsid w:val="5421D1F6"/>
    <w:rsid w:val="543654C8"/>
    <w:rsid w:val="54389239"/>
    <w:rsid w:val="5440E45B"/>
    <w:rsid w:val="54553739"/>
    <w:rsid w:val="545D853B"/>
    <w:rsid w:val="546F6232"/>
    <w:rsid w:val="547E486D"/>
    <w:rsid w:val="5485D284"/>
    <w:rsid w:val="548763FB"/>
    <w:rsid w:val="54A466A9"/>
    <w:rsid w:val="54A8C625"/>
    <w:rsid w:val="54B816E7"/>
    <w:rsid w:val="54BCC0A7"/>
    <w:rsid w:val="54BE0873"/>
    <w:rsid w:val="54C85BAE"/>
    <w:rsid w:val="54CAB0ED"/>
    <w:rsid w:val="54DB1301"/>
    <w:rsid w:val="54DF8272"/>
    <w:rsid w:val="54F2473A"/>
    <w:rsid w:val="54F429D0"/>
    <w:rsid w:val="55051E6B"/>
    <w:rsid w:val="550DE05D"/>
    <w:rsid w:val="55123AF4"/>
    <w:rsid w:val="5512C13E"/>
    <w:rsid w:val="5514D479"/>
    <w:rsid w:val="551B2757"/>
    <w:rsid w:val="551BE229"/>
    <w:rsid w:val="5534A82E"/>
    <w:rsid w:val="5538900B"/>
    <w:rsid w:val="553928D5"/>
    <w:rsid w:val="554386E4"/>
    <w:rsid w:val="55515F4A"/>
    <w:rsid w:val="5564B82B"/>
    <w:rsid w:val="556E5F94"/>
    <w:rsid w:val="55727E78"/>
    <w:rsid w:val="5579FB7C"/>
    <w:rsid w:val="5582A563"/>
    <w:rsid w:val="558D0833"/>
    <w:rsid w:val="5598FD82"/>
    <w:rsid w:val="559C109B"/>
    <w:rsid w:val="55A04074"/>
    <w:rsid w:val="55A12005"/>
    <w:rsid w:val="55A2BCF0"/>
    <w:rsid w:val="55A33DE6"/>
    <w:rsid w:val="55A6C3CE"/>
    <w:rsid w:val="55C05FC0"/>
    <w:rsid w:val="55E92570"/>
    <w:rsid w:val="55F1429A"/>
    <w:rsid w:val="55F2317F"/>
    <w:rsid w:val="55F758E5"/>
    <w:rsid w:val="55FB6FEF"/>
    <w:rsid w:val="5601304B"/>
    <w:rsid w:val="5619EFD0"/>
    <w:rsid w:val="562027A3"/>
    <w:rsid w:val="5626BBC6"/>
    <w:rsid w:val="562E100B"/>
    <w:rsid w:val="562FDC05"/>
    <w:rsid w:val="56310830"/>
    <w:rsid w:val="5636A82D"/>
    <w:rsid w:val="563BEE08"/>
    <w:rsid w:val="563FFB37"/>
    <w:rsid w:val="5645FC96"/>
    <w:rsid w:val="564A6229"/>
    <w:rsid w:val="564CFA2D"/>
    <w:rsid w:val="564D7D6F"/>
    <w:rsid w:val="565139CC"/>
    <w:rsid w:val="5654FBC3"/>
    <w:rsid w:val="565B9DC1"/>
    <w:rsid w:val="56638547"/>
    <w:rsid w:val="56676360"/>
    <w:rsid w:val="566B9889"/>
    <w:rsid w:val="5676AE9C"/>
    <w:rsid w:val="567936AE"/>
    <w:rsid w:val="567BF3BD"/>
    <w:rsid w:val="5680C4DB"/>
    <w:rsid w:val="5684BAC8"/>
    <w:rsid w:val="569E8036"/>
    <w:rsid w:val="56ADB957"/>
    <w:rsid w:val="56AE6D09"/>
    <w:rsid w:val="56C65580"/>
    <w:rsid w:val="56C8DCDF"/>
    <w:rsid w:val="56CBFC01"/>
    <w:rsid w:val="56D4606C"/>
    <w:rsid w:val="56DAD099"/>
    <w:rsid w:val="56DE4309"/>
    <w:rsid w:val="56E63242"/>
    <w:rsid w:val="56F9BB87"/>
    <w:rsid w:val="56FFD06C"/>
    <w:rsid w:val="570DABC7"/>
    <w:rsid w:val="57152737"/>
    <w:rsid w:val="571F4EAE"/>
    <w:rsid w:val="57203F48"/>
    <w:rsid w:val="5721A9DF"/>
    <w:rsid w:val="5723B25F"/>
    <w:rsid w:val="573403C7"/>
    <w:rsid w:val="5735EEE0"/>
    <w:rsid w:val="57385EE7"/>
    <w:rsid w:val="573DCAB7"/>
    <w:rsid w:val="57459F06"/>
    <w:rsid w:val="574D01AA"/>
    <w:rsid w:val="574E659D"/>
    <w:rsid w:val="57508D7E"/>
    <w:rsid w:val="575CE097"/>
    <w:rsid w:val="57601C1F"/>
    <w:rsid w:val="5761BCD0"/>
    <w:rsid w:val="5763E105"/>
    <w:rsid w:val="576AD2B8"/>
    <w:rsid w:val="576CC3E9"/>
    <w:rsid w:val="576CFB68"/>
    <w:rsid w:val="577C7CCC"/>
    <w:rsid w:val="578934D3"/>
    <w:rsid w:val="57919BDF"/>
    <w:rsid w:val="57A3D0C0"/>
    <w:rsid w:val="57A439CF"/>
    <w:rsid w:val="57A9E607"/>
    <w:rsid w:val="57BF04BD"/>
    <w:rsid w:val="57D0BD1F"/>
    <w:rsid w:val="57D238B6"/>
    <w:rsid w:val="57DDE462"/>
    <w:rsid w:val="57E5E3FB"/>
    <w:rsid w:val="57EF8FAF"/>
    <w:rsid w:val="57FA375C"/>
    <w:rsid w:val="57FCBE27"/>
    <w:rsid w:val="57FEB4AE"/>
    <w:rsid w:val="580019A0"/>
    <w:rsid w:val="581138BD"/>
    <w:rsid w:val="58136583"/>
    <w:rsid w:val="581A30B6"/>
    <w:rsid w:val="582A3732"/>
    <w:rsid w:val="582FD734"/>
    <w:rsid w:val="583050BA"/>
    <w:rsid w:val="58305F40"/>
    <w:rsid w:val="58461B51"/>
    <w:rsid w:val="58566574"/>
    <w:rsid w:val="5869605B"/>
    <w:rsid w:val="58737E99"/>
    <w:rsid w:val="587EC48C"/>
    <w:rsid w:val="588A3F1E"/>
    <w:rsid w:val="589B6C11"/>
    <w:rsid w:val="58A4E7DC"/>
    <w:rsid w:val="58AAC5C0"/>
    <w:rsid w:val="58B041B6"/>
    <w:rsid w:val="58B19C3E"/>
    <w:rsid w:val="58BD70D2"/>
    <w:rsid w:val="58C1400F"/>
    <w:rsid w:val="58C15589"/>
    <w:rsid w:val="58D6ECA0"/>
    <w:rsid w:val="58D959D4"/>
    <w:rsid w:val="58E0BCED"/>
    <w:rsid w:val="58E22C1D"/>
    <w:rsid w:val="58E3CCDE"/>
    <w:rsid w:val="58EB1842"/>
    <w:rsid w:val="58EB708B"/>
    <w:rsid w:val="58EE71DA"/>
    <w:rsid w:val="58F424AE"/>
    <w:rsid w:val="590FC0FE"/>
    <w:rsid w:val="59195D88"/>
    <w:rsid w:val="591C63CB"/>
    <w:rsid w:val="5929B797"/>
    <w:rsid w:val="5935005B"/>
    <w:rsid w:val="5935CAB3"/>
    <w:rsid w:val="5938D944"/>
    <w:rsid w:val="594547A7"/>
    <w:rsid w:val="5954126B"/>
    <w:rsid w:val="596A2EED"/>
    <w:rsid w:val="5971B944"/>
    <w:rsid w:val="5973ECB3"/>
    <w:rsid w:val="597659BF"/>
    <w:rsid w:val="59817AA1"/>
    <w:rsid w:val="59875284"/>
    <w:rsid w:val="598B827D"/>
    <w:rsid w:val="599D494D"/>
    <w:rsid w:val="59A0B19E"/>
    <w:rsid w:val="59A6BFA0"/>
    <w:rsid w:val="59AF35E4"/>
    <w:rsid w:val="59B3EDD6"/>
    <w:rsid w:val="59C60CD5"/>
    <w:rsid w:val="59CBADEB"/>
    <w:rsid w:val="59D82FF4"/>
    <w:rsid w:val="59E0F0B8"/>
    <w:rsid w:val="59E493E9"/>
    <w:rsid w:val="59E6415A"/>
    <w:rsid w:val="59E9361C"/>
    <w:rsid w:val="59F412B9"/>
    <w:rsid w:val="5A035429"/>
    <w:rsid w:val="5A0681B8"/>
    <w:rsid w:val="5A0C99F8"/>
    <w:rsid w:val="5A145D2A"/>
    <w:rsid w:val="5A2763B8"/>
    <w:rsid w:val="5A4CFE57"/>
    <w:rsid w:val="5A4FF847"/>
    <w:rsid w:val="5A52B2DF"/>
    <w:rsid w:val="5A537717"/>
    <w:rsid w:val="5A584106"/>
    <w:rsid w:val="5A5CC575"/>
    <w:rsid w:val="5A6CFF54"/>
    <w:rsid w:val="5A726CD2"/>
    <w:rsid w:val="5A74D6FD"/>
    <w:rsid w:val="5A7E66D5"/>
    <w:rsid w:val="5A81E874"/>
    <w:rsid w:val="5A8AF803"/>
    <w:rsid w:val="5A92C28E"/>
    <w:rsid w:val="5AA21863"/>
    <w:rsid w:val="5AA863FB"/>
    <w:rsid w:val="5AB7B4D7"/>
    <w:rsid w:val="5AC486CC"/>
    <w:rsid w:val="5ACDA072"/>
    <w:rsid w:val="5ACEFB76"/>
    <w:rsid w:val="5ADA62A4"/>
    <w:rsid w:val="5AE5017A"/>
    <w:rsid w:val="5AE9D3F1"/>
    <w:rsid w:val="5AEF8FD8"/>
    <w:rsid w:val="5AF3D603"/>
    <w:rsid w:val="5AF86F65"/>
    <w:rsid w:val="5AFAB28B"/>
    <w:rsid w:val="5AFD5EFD"/>
    <w:rsid w:val="5B037EF5"/>
    <w:rsid w:val="5B0A51DC"/>
    <w:rsid w:val="5B0F0E84"/>
    <w:rsid w:val="5B23CF68"/>
    <w:rsid w:val="5B23F9A3"/>
    <w:rsid w:val="5B256573"/>
    <w:rsid w:val="5B3919AE"/>
    <w:rsid w:val="5B440318"/>
    <w:rsid w:val="5B496EB7"/>
    <w:rsid w:val="5B4A0C2E"/>
    <w:rsid w:val="5B4D5DBB"/>
    <w:rsid w:val="5B4FEAE1"/>
    <w:rsid w:val="5B59D187"/>
    <w:rsid w:val="5B5C1D7E"/>
    <w:rsid w:val="5B5E01DA"/>
    <w:rsid w:val="5B5E0C30"/>
    <w:rsid w:val="5B5F6D94"/>
    <w:rsid w:val="5B5FBAB8"/>
    <w:rsid w:val="5B5FC337"/>
    <w:rsid w:val="5B646AC8"/>
    <w:rsid w:val="5B73D239"/>
    <w:rsid w:val="5B75C03E"/>
    <w:rsid w:val="5B7EDC06"/>
    <w:rsid w:val="5B7F9D37"/>
    <w:rsid w:val="5B8B08CA"/>
    <w:rsid w:val="5B9627DE"/>
    <w:rsid w:val="5B9B7556"/>
    <w:rsid w:val="5BA29712"/>
    <w:rsid w:val="5BA86A59"/>
    <w:rsid w:val="5BAAC816"/>
    <w:rsid w:val="5BADC513"/>
    <w:rsid w:val="5BB2C5C6"/>
    <w:rsid w:val="5BB3F6B8"/>
    <w:rsid w:val="5BB8698D"/>
    <w:rsid w:val="5BC4C1FE"/>
    <w:rsid w:val="5BCCBC98"/>
    <w:rsid w:val="5BDB0480"/>
    <w:rsid w:val="5BDB4A8C"/>
    <w:rsid w:val="5BDF21BF"/>
    <w:rsid w:val="5BF7B17A"/>
    <w:rsid w:val="5BF8D6C7"/>
    <w:rsid w:val="5C0071F0"/>
    <w:rsid w:val="5C033828"/>
    <w:rsid w:val="5C0D3734"/>
    <w:rsid w:val="5C10A75E"/>
    <w:rsid w:val="5C122756"/>
    <w:rsid w:val="5C13D3C0"/>
    <w:rsid w:val="5C2A6F08"/>
    <w:rsid w:val="5C3CAA00"/>
    <w:rsid w:val="5C50FF75"/>
    <w:rsid w:val="5C55C1DF"/>
    <w:rsid w:val="5C599E97"/>
    <w:rsid w:val="5C615BD5"/>
    <w:rsid w:val="5C6C5BF3"/>
    <w:rsid w:val="5C764622"/>
    <w:rsid w:val="5C789438"/>
    <w:rsid w:val="5C8628AE"/>
    <w:rsid w:val="5C86EDDD"/>
    <w:rsid w:val="5C9E3DB7"/>
    <w:rsid w:val="5CB2D3B7"/>
    <w:rsid w:val="5CC397C8"/>
    <w:rsid w:val="5CCA4D7C"/>
    <w:rsid w:val="5CCCFC89"/>
    <w:rsid w:val="5CCD412F"/>
    <w:rsid w:val="5CCF81BE"/>
    <w:rsid w:val="5CDB033C"/>
    <w:rsid w:val="5CE0960C"/>
    <w:rsid w:val="5D008D87"/>
    <w:rsid w:val="5D0A8E3D"/>
    <w:rsid w:val="5D0A974C"/>
    <w:rsid w:val="5D0B43DE"/>
    <w:rsid w:val="5D0CC034"/>
    <w:rsid w:val="5D2BF79C"/>
    <w:rsid w:val="5D302491"/>
    <w:rsid w:val="5D302A85"/>
    <w:rsid w:val="5D351B2B"/>
    <w:rsid w:val="5D39C221"/>
    <w:rsid w:val="5D443ABA"/>
    <w:rsid w:val="5D455BDC"/>
    <w:rsid w:val="5D50F61A"/>
    <w:rsid w:val="5D54B133"/>
    <w:rsid w:val="5D583FE6"/>
    <w:rsid w:val="5D59C4A2"/>
    <w:rsid w:val="5D5F375E"/>
    <w:rsid w:val="5D6842AD"/>
    <w:rsid w:val="5D6BE534"/>
    <w:rsid w:val="5D6F519C"/>
    <w:rsid w:val="5D7137A8"/>
    <w:rsid w:val="5D738A1E"/>
    <w:rsid w:val="5D73C51D"/>
    <w:rsid w:val="5D8510FE"/>
    <w:rsid w:val="5D8DB107"/>
    <w:rsid w:val="5D93856A"/>
    <w:rsid w:val="5DA40F67"/>
    <w:rsid w:val="5DCBC9FC"/>
    <w:rsid w:val="5DCD7C1D"/>
    <w:rsid w:val="5DD07DB8"/>
    <w:rsid w:val="5DE09D53"/>
    <w:rsid w:val="5DE42140"/>
    <w:rsid w:val="5DE7751D"/>
    <w:rsid w:val="5DFE2B87"/>
    <w:rsid w:val="5DFF2FBC"/>
    <w:rsid w:val="5E050115"/>
    <w:rsid w:val="5E0F79BF"/>
    <w:rsid w:val="5E2CAFF3"/>
    <w:rsid w:val="5E4BBCEA"/>
    <w:rsid w:val="5E57A5A6"/>
    <w:rsid w:val="5E72258A"/>
    <w:rsid w:val="5E81908C"/>
    <w:rsid w:val="5E8A03C2"/>
    <w:rsid w:val="5E92D854"/>
    <w:rsid w:val="5E9549A8"/>
    <w:rsid w:val="5E9D546B"/>
    <w:rsid w:val="5EA7EB2F"/>
    <w:rsid w:val="5EB2AFB3"/>
    <w:rsid w:val="5EB67CC8"/>
    <w:rsid w:val="5EBE7F32"/>
    <w:rsid w:val="5EC625AC"/>
    <w:rsid w:val="5ED407EC"/>
    <w:rsid w:val="5ED8C9BB"/>
    <w:rsid w:val="5EDA37D4"/>
    <w:rsid w:val="5EDA5594"/>
    <w:rsid w:val="5EDBA6C1"/>
    <w:rsid w:val="5EECC67B"/>
    <w:rsid w:val="5F22450F"/>
    <w:rsid w:val="5F224B84"/>
    <w:rsid w:val="5F298168"/>
    <w:rsid w:val="5F355C17"/>
    <w:rsid w:val="5F393E2E"/>
    <w:rsid w:val="5F3B8DE4"/>
    <w:rsid w:val="5F425A49"/>
    <w:rsid w:val="5F42A24F"/>
    <w:rsid w:val="5F4339FB"/>
    <w:rsid w:val="5F4DAD0B"/>
    <w:rsid w:val="5F5C14DC"/>
    <w:rsid w:val="5F6071F5"/>
    <w:rsid w:val="5F68233F"/>
    <w:rsid w:val="5F6AC8F3"/>
    <w:rsid w:val="5F75F2A3"/>
    <w:rsid w:val="5F88A4DC"/>
    <w:rsid w:val="5F9CE92E"/>
    <w:rsid w:val="5FA1C852"/>
    <w:rsid w:val="5FA87D2E"/>
    <w:rsid w:val="5FA9964B"/>
    <w:rsid w:val="5FA9F4A4"/>
    <w:rsid w:val="5FBE4440"/>
    <w:rsid w:val="5FC779F7"/>
    <w:rsid w:val="5FD37D69"/>
    <w:rsid w:val="5FDBC41A"/>
    <w:rsid w:val="5FE9BE9B"/>
    <w:rsid w:val="5FED0DB0"/>
    <w:rsid w:val="5FED4851"/>
    <w:rsid w:val="5FFD225D"/>
    <w:rsid w:val="60054F0B"/>
    <w:rsid w:val="60092DA6"/>
    <w:rsid w:val="600EB566"/>
    <w:rsid w:val="600F3129"/>
    <w:rsid w:val="600FB444"/>
    <w:rsid w:val="6014908E"/>
    <w:rsid w:val="601B3E4B"/>
    <w:rsid w:val="6020CEDE"/>
    <w:rsid w:val="6025A120"/>
    <w:rsid w:val="602FE213"/>
    <w:rsid w:val="60319779"/>
    <w:rsid w:val="603924CC"/>
    <w:rsid w:val="6040A0C6"/>
    <w:rsid w:val="604544E1"/>
    <w:rsid w:val="604B4FFB"/>
    <w:rsid w:val="604E9181"/>
    <w:rsid w:val="6051C346"/>
    <w:rsid w:val="60581DD3"/>
    <w:rsid w:val="605EE320"/>
    <w:rsid w:val="606701FA"/>
    <w:rsid w:val="606A7FCF"/>
    <w:rsid w:val="6081007A"/>
    <w:rsid w:val="609A6AE3"/>
    <w:rsid w:val="609C2269"/>
    <w:rsid w:val="609F9226"/>
    <w:rsid w:val="60AD2C4B"/>
    <w:rsid w:val="60BFB0AC"/>
    <w:rsid w:val="60DB6493"/>
    <w:rsid w:val="60DCBB7C"/>
    <w:rsid w:val="60DE72B0"/>
    <w:rsid w:val="60DF0850"/>
    <w:rsid w:val="60E13335"/>
    <w:rsid w:val="60EC3170"/>
    <w:rsid w:val="60EC63F8"/>
    <w:rsid w:val="60F1F6B1"/>
    <w:rsid w:val="6102C3BB"/>
    <w:rsid w:val="610BC011"/>
    <w:rsid w:val="61129FAB"/>
    <w:rsid w:val="6117BA53"/>
    <w:rsid w:val="612A24C1"/>
    <w:rsid w:val="612D486A"/>
    <w:rsid w:val="613284AB"/>
    <w:rsid w:val="613F1EB5"/>
    <w:rsid w:val="61494C7A"/>
    <w:rsid w:val="61567612"/>
    <w:rsid w:val="6158A78D"/>
    <w:rsid w:val="6158D74B"/>
    <w:rsid w:val="6159554D"/>
    <w:rsid w:val="615D97FD"/>
    <w:rsid w:val="616538A3"/>
    <w:rsid w:val="61762550"/>
    <w:rsid w:val="617A2C15"/>
    <w:rsid w:val="618923D4"/>
    <w:rsid w:val="618AB105"/>
    <w:rsid w:val="61908B31"/>
    <w:rsid w:val="619D5331"/>
    <w:rsid w:val="61A06DAC"/>
    <w:rsid w:val="61A85B32"/>
    <w:rsid w:val="61B19ABF"/>
    <w:rsid w:val="61B25A43"/>
    <w:rsid w:val="61B6CC72"/>
    <w:rsid w:val="61BEB3B4"/>
    <w:rsid w:val="61C2973F"/>
    <w:rsid w:val="61CC1549"/>
    <w:rsid w:val="61D47E60"/>
    <w:rsid w:val="61D4F52D"/>
    <w:rsid w:val="61D596AD"/>
    <w:rsid w:val="61D83B2D"/>
    <w:rsid w:val="61DB583A"/>
    <w:rsid w:val="61EEA7F2"/>
    <w:rsid w:val="62076F86"/>
    <w:rsid w:val="62154BF9"/>
    <w:rsid w:val="621D0697"/>
    <w:rsid w:val="622347CE"/>
    <w:rsid w:val="6224673D"/>
    <w:rsid w:val="62291D17"/>
    <w:rsid w:val="622E3E9E"/>
    <w:rsid w:val="6235E9FE"/>
    <w:rsid w:val="6239D560"/>
    <w:rsid w:val="623C5F11"/>
    <w:rsid w:val="6254F96D"/>
    <w:rsid w:val="6258B7CD"/>
    <w:rsid w:val="625959DD"/>
    <w:rsid w:val="625F7FD4"/>
    <w:rsid w:val="625FF0AD"/>
    <w:rsid w:val="6261B6B5"/>
    <w:rsid w:val="6269A382"/>
    <w:rsid w:val="626C3160"/>
    <w:rsid w:val="6274DB31"/>
    <w:rsid w:val="627C46E2"/>
    <w:rsid w:val="627FC6C3"/>
    <w:rsid w:val="6289C1C1"/>
    <w:rsid w:val="629D11A4"/>
    <w:rsid w:val="629FB78F"/>
    <w:rsid w:val="62A380B1"/>
    <w:rsid w:val="62A82ABA"/>
    <w:rsid w:val="62AE724B"/>
    <w:rsid w:val="62BAE640"/>
    <w:rsid w:val="62F24673"/>
    <w:rsid w:val="62F547A6"/>
    <w:rsid w:val="62F6240D"/>
    <w:rsid w:val="630CC57F"/>
    <w:rsid w:val="630F9C8D"/>
    <w:rsid w:val="632234D4"/>
    <w:rsid w:val="6323FF91"/>
    <w:rsid w:val="632B0336"/>
    <w:rsid w:val="632B2E93"/>
    <w:rsid w:val="63309BB3"/>
    <w:rsid w:val="6333D793"/>
    <w:rsid w:val="6334B4FC"/>
    <w:rsid w:val="6339D337"/>
    <w:rsid w:val="6342DCAC"/>
    <w:rsid w:val="6349CB94"/>
    <w:rsid w:val="634BECC9"/>
    <w:rsid w:val="634E85B9"/>
    <w:rsid w:val="634EA7D4"/>
    <w:rsid w:val="63513504"/>
    <w:rsid w:val="636116D6"/>
    <w:rsid w:val="6364EE62"/>
    <w:rsid w:val="6369383B"/>
    <w:rsid w:val="6374649E"/>
    <w:rsid w:val="6374A841"/>
    <w:rsid w:val="6378DE39"/>
    <w:rsid w:val="637ACFE6"/>
    <w:rsid w:val="637BD292"/>
    <w:rsid w:val="637F6B18"/>
    <w:rsid w:val="6380C577"/>
    <w:rsid w:val="63826098"/>
    <w:rsid w:val="638D6104"/>
    <w:rsid w:val="638FC764"/>
    <w:rsid w:val="6397A119"/>
    <w:rsid w:val="63A253E3"/>
    <w:rsid w:val="63A75606"/>
    <w:rsid w:val="63B27011"/>
    <w:rsid w:val="63C3BE35"/>
    <w:rsid w:val="63C468C4"/>
    <w:rsid w:val="63CA55E6"/>
    <w:rsid w:val="63D42FE6"/>
    <w:rsid w:val="63DCD378"/>
    <w:rsid w:val="63E018A4"/>
    <w:rsid w:val="63E4BE13"/>
    <w:rsid w:val="63E7FF51"/>
    <w:rsid w:val="63EA8C1B"/>
    <w:rsid w:val="63EBC60E"/>
    <w:rsid w:val="63EC0258"/>
    <w:rsid w:val="63ED9117"/>
    <w:rsid w:val="63F613CB"/>
    <w:rsid w:val="63F7E432"/>
    <w:rsid w:val="63F87B76"/>
    <w:rsid w:val="63F9F2A9"/>
    <w:rsid w:val="63FC68D0"/>
    <w:rsid w:val="6405CA74"/>
    <w:rsid w:val="6406BBA4"/>
    <w:rsid w:val="64257A4C"/>
    <w:rsid w:val="6428C53A"/>
    <w:rsid w:val="64300100"/>
    <w:rsid w:val="64371396"/>
    <w:rsid w:val="643A94B3"/>
    <w:rsid w:val="643D80A3"/>
    <w:rsid w:val="644FB427"/>
    <w:rsid w:val="645AF28C"/>
    <w:rsid w:val="6464BCB0"/>
    <w:rsid w:val="64671707"/>
    <w:rsid w:val="646DE52E"/>
    <w:rsid w:val="647A7414"/>
    <w:rsid w:val="647A9CE0"/>
    <w:rsid w:val="6486294E"/>
    <w:rsid w:val="648A454B"/>
    <w:rsid w:val="64A22D6A"/>
    <w:rsid w:val="64A40E0C"/>
    <w:rsid w:val="64A6E709"/>
    <w:rsid w:val="64A9D067"/>
    <w:rsid w:val="64BE0E93"/>
    <w:rsid w:val="64C852AD"/>
    <w:rsid w:val="64CB4A5D"/>
    <w:rsid w:val="64DD1967"/>
    <w:rsid w:val="64E803C7"/>
    <w:rsid w:val="64E9FB05"/>
    <w:rsid w:val="64F33CF4"/>
    <w:rsid w:val="64FDCED1"/>
    <w:rsid w:val="65094787"/>
    <w:rsid w:val="650C256F"/>
    <w:rsid w:val="650C9EE0"/>
    <w:rsid w:val="65148375"/>
    <w:rsid w:val="651755E7"/>
    <w:rsid w:val="652271B7"/>
    <w:rsid w:val="652CE07F"/>
    <w:rsid w:val="653A7516"/>
    <w:rsid w:val="65422F4D"/>
    <w:rsid w:val="6548A34B"/>
    <w:rsid w:val="654A4C2E"/>
    <w:rsid w:val="654E4698"/>
    <w:rsid w:val="654F4C9F"/>
    <w:rsid w:val="6550B0F0"/>
    <w:rsid w:val="655110AE"/>
    <w:rsid w:val="65553637"/>
    <w:rsid w:val="6556CB59"/>
    <w:rsid w:val="6561D146"/>
    <w:rsid w:val="65682949"/>
    <w:rsid w:val="65686A77"/>
    <w:rsid w:val="656B3DA1"/>
    <w:rsid w:val="65741BDC"/>
    <w:rsid w:val="6579794A"/>
    <w:rsid w:val="657BBD41"/>
    <w:rsid w:val="6582CA37"/>
    <w:rsid w:val="6589D1E9"/>
    <w:rsid w:val="6590221B"/>
    <w:rsid w:val="6594E59E"/>
    <w:rsid w:val="65952509"/>
    <w:rsid w:val="65AA32C0"/>
    <w:rsid w:val="65AA8648"/>
    <w:rsid w:val="65B12636"/>
    <w:rsid w:val="65B27973"/>
    <w:rsid w:val="65BAB798"/>
    <w:rsid w:val="65C4CE68"/>
    <w:rsid w:val="65C62F56"/>
    <w:rsid w:val="65CAB44D"/>
    <w:rsid w:val="65CC7D8B"/>
    <w:rsid w:val="65CE0EF8"/>
    <w:rsid w:val="65CF37AF"/>
    <w:rsid w:val="65D07EBA"/>
    <w:rsid w:val="65D643F3"/>
    <w:rsid w:val="65EE95C7"/>
    <w:rsid w:val="65F994CB"/>
    <w:rsid w:val="66056BDA"/>
    <w:rsid w:val="660DDA34"/>
    <w:rsid w:val="661C7E1A"/>
    <w:rsid w:val="66446CE0"/>
    <w:rsid w:val="6649A4B4"/>
    <w:rsid w:val="66534F11"/>
    <w:rsid w:val="6655599D"/>
    <w:rsid w:val="6658E52D"/>
    <w:rsid w:val="665E3153"/>
    <w:rsid w:val="665E413D"/>
    <w:rsid w:val="66696469"/>
    <w:rsid w:val="6670C454"/>
    <w:rsid w:val="6674908F"/>
    <w:rsid w:val="6678A227"/>
    <w:rsid w:val="66816E2D"/>
    <w:rsid w:val="6681FA17"/>
    <w:rsid w:val="66827BED"/>
    <w:rsid w:val="66828FFB"/>
    <w:rsid w:val="668E7261"/>
    <w:rsid w:val="6696A105"/>
    <w:rsid w:val="669AAD1C"/>
    <w:rsid w:val="66A7EACF"/>
    <w:rsid w:val="66AD8A41"/>
    <w:rsid w:val="66B49B5B"/>
    <w:rsid w:val="66C6B7B4"/>
    <w:rsid w:val="66CAD263"/>
    <w:rsid w:val="66D81C9C"/>
    <w:rsid w:val="66DC2BE0"/>
    <w:rsid w:val="66E17B1D"/>
    <w:rsid w:val="66E64E57"/>
    <w:rsid w:val="66EB1D00"/>
    <w:rsid w:val="66ED5B24"/>
    <w:rsid w:val="66EE5669"/>
    <w:rsid w:val="66F5FC96"/>
    <w:rsid w:val="66F99EDA"/>
    <w:rsid w:val="66FDF15D"/>
    <w:rsid w:val="66FF1B47"/>
    <w:rsid w:val="6703C32A"/>
    <w:rsid w:val="67064ECC"/>
    <w:rsid w:val="670ACE29"/>
    <w:rsid w:val="671F38AE"/>
    <w:rsid w:val="67265C83"/>
    <w:rsid w:val="672E43DA"/>
    <w:rsid w:val="6740770B"/>
    <w:rsid w:val="674427E1"/>
    <w:rsid w:val="674E49D4"/>
    <w:rsid w:val="674ECF91"/>
    <w:rsid w:val="6756DDA0"/>
    <w:rsid w:val="675B9B30"/>
    <w:rsid w:val="675C055C"/>
    <w:rsid w:val="67645463"/>
    <w:rsid w:val="6776C398"/>
    <w:rsid w:val="677BD311"/>
    <w:rsid w:val="677DFBCA"/>
    <w:rsid w:val="677EB41B"/>
    <w:rsid w:val="677F106A"/>
    <w:rsid w:val="678E5763"/>
    <w:rsid w:val="6791E579"/>
    <w:rsid w:val="67A4991D"/>
    <w:rsid w:val="67B0557E"/>
    <w:rsid w:val="67C67014"/>
    <w:rsid w:val="67C8AD9E"/>
    <w:rsid w:val="67D242EE"/>
    <w:rsid w:val="67DBE482"/>
    <w:rsid w:val="67FA269F"/>
    <w:rsid w:val="680CFB07"/>
    <w:rsid w:val="680F04AF"/>
    <w:rsid w:val="6818A2DA"/>
    <w:rsid w:val="681F9CBD"/>
    <w:rsid w:val="682B0E39"/>
    <w:rsid w:val="682E7D6A"/>
    <w:rsid w:val="6832320A"/>
    <w:rsid w:val="683C4529"/>
    <w:rsid w:val="683CA95E"/>
    <w:rsid w:val="684C2437"/>
    <w:rsid w:val="68579056"/>
    <w:rsid w:val="68675D53"/>
    <w:rsid w:val="686A1B26"/>
    <w:rsid w:val="686B471E"/>
    <w:rsid w:val="686BB5A2"/>
    <w:rsid w:val="687C2A19"/>
    <w:rsid w:val="689308C3"/>
    <w:rsid w:val="68A29DD2"/>
    <w:rsid w:val="68A659AD"/>
    <w:rsid w:val="68A835E1"/>
    <w:rsid w:val="68B021BC"/>
    <w:rsid w:val="68B1DD32"/>
    <w:rsid w:val="68B2DAB0"/>
    <w:rsid w:val="68B4EBB4"/>
    <w:rsid w:val="68B9A64C"/>
    <w:rsid w:val="68C7CFA3"/>
    <w:rsid w:val="68C8F421"/>
    <w:rsid w:val="68DE9B26"/>
    <w:rsid w:val="68EB2720"/>
    <w:rsid w:val="68FD2256"/>
    <w:rsid w:val="6901B98E"/>
    <w:rsid w:val="690872E4"/>
    <w:rsid w:val="6912685D"/>
    <w:rsid w:val="6917A372"/>
    <w:rsid w:val="69256605"/>
    <w:rsid w:val="692D6381"/>
    <w:rsid w:val="692F1894"/>
    <w:rsid w:val="69382088"/>
    <w:rsid w:val="69442218"/>
    <w:rsid w:val="6946182A"/>
    <w:rsid w:val="695090E9"/>
    <w:rsid w:val="6958B422"/>
    <w:rsid w:val="69668C98"/>
    <w:rsid w:val="696F5966"/>
    <w:rsid w:val="697CB9A2"/>
    <w:rsid w:val="697F3CB8"/>
    <w:rsid w:val="698BA4D6"/>
    <w:rsid w:val="698E9C54"/>
    <w:rsid w:val="69950CE2"/>
    <w:rsid w:val="6995A5FB"/>
    <w:rsid w:val="699D8C16"/>
    <w:rsid w:val="69A1E701"/>
    <w:rsid w:val="69A86516"/>
    <w:rsid w:val="69AB68E7"/>
    <w:rsid w:val="69AC3151"/>
    <w:rsid w:val="69ACB5A5"/>
    <w:rsid w:val="69B301E2"/>
    <w:rsid w:val="69C41F2B"/>
    <w:rsid w:val="69C62178"/>
    <w:rsid w:val="69DE18FF"/>
    <w:rsid w:val="69E7F498"/>
    <w:rsid w:val="69EB8C9A"/>
    <w:rsid w:val="69F4660D"/>
    <w:rsid w:val="69FEAD80"/>
    <w:rsid w:val="69FF48DF"/>
    <w:rsid w:val="6A10346F"/>
    <w:rsid w:val="6A196681"/>
    <w:rsid w:val="6A1EB1AE"/>
    <w:rsid w:val="6A272F0C"/>
    <w:rsid w:val="6A2CC0DC"/>
    <w:rsid w:val="6A346A44"/>
    <w:rsid w:val="6A34FE7C"/>
    <w:rsid w:val="6A3B36A3"/>
    <w:rsid w:val="6A430A94"/>
    <w:rsid w:val="6A4459E1"/>
    <w:rsid w:val="6A4E3AA9"/>
    <w:rsid w:val="6A4E649D"/>
    <w:rsid w:val="6A562A53"/>
    <w:rsid w:val="6A5C1880"/>
    <w:rsid w:val="6A5DFD45"/>
    <w:rsid w:val="6A692F17"/>
    <w:rsid w:val="6A8265C2"/>
    <w:rsid w:val="6A8E000A"/>
    <w:rsid w:val="6A8E2274"/>
    <w:rsid w:val="6A987B9B"/>
    <w:rsid w:val="6AA44345"/>
    <w:rsid w:val="6AAA2AA9"/>
    <w:rsid w:val="6AB86E26"/>
    <w:rsid w:val="6ABBD186"/>
    <w:rsid w:val="6ADB4C92"/>
    <w:rsid w:val="6ADDCBA9"/>
    <w:rsid w:val="6ADFED96"/>
    <w:rsid w:val="6AE98A96"/>
    <w:rsid w:val="6AFADEAF"/>
    <w:rsid w:val="6AFC9ED9"/>
    <w:rsid w:val="6AFF2958"/>
    <w:rsid w:val="6B051D49"/>
    <w:rsid w:val="6B1524BF"/>
    <w:rsid w:val="6B180281"/>
    <w:rsid w:val="6B188A03"/>
    <w:rsid w:val="6B28CC8E"/>
    <w:rsid w:val="6B2A6CB5"/>
    <w:rsid w:val="6B2B2381"/>
    <w:rsid w:val="6B36AE6D"/>
    <w:rsid w:val="6B370F35"/>
    <w:rsid w:val="6B4CA389"/>
    <w:rsid w:val="6B55A8C5"/>
    <w:rsid w:val="6B5EAA01"/>
    <w:rsid w:val="6B5EB8D0"/>
    <w:rsid w:val="6B68F9F4"/>
    <w:rsid w:val="6B7E5CD4"/>
    <w:rsid w:val="6B81AC20"/>
    <w:rsid w:val="6B83C4F9"/>
    <w:rsid w:val="6B9475ED"/>
    <w:rsid w:val="6BA97127"/>
    <w:rsid w:val="6BBB382E"/>
    <w:rsid w:val="6BBC1F84"/>
    <w:rsid w:val="6BBE8E23"/>
    <w:rsid w:val="6BC9E861"/>
    <w:rsid w:val="6BCC7172"/>
    <w:rsid w:val="6BDF0776"/>
    <w:rsid w:val="6BDF7C6B"/>
    <w:rsid w:val="6BE06A3E"/>
    <w:rsid w:val="6BF4392E"/>
    <w:rsid w:val="6BF71EEB"/>
    <w:rsid w:val="6C0F491D"/>
    <w:rsid w:val="6C0F7108"/>
    <w:rsid w:val="6C1B5527"/>
    <w:rsid w:val="6C1E5F13"/>
    <w:rsid w:val="6C204248"/>
    <w:rsid w:val="6C229C48"/>
    <w:rsid w:val="6C25DA54"/>
    <w:rsid w:val="6C33220B"/>
    <w:rsid w:val="6C3EF663"/>
    <w:rsid w:val="6C456DED"/>
    <w:rsid w:val="6C4D41D3"/>
    <w:rsid w:val="6C4FA1F0"/>
    <w:rsid w:val="6C53DCC6"/>
    <w:rsid w:val="6C5CA7D7"/>
    <w:rsid w:val="6C5D53DC"/>
    <w:rsid w:val="6C64D68F"/>
    <w:rsid w:val="6C6C8A18"/>
    <w:rsid w:val="6C6E0F23"/>
    <w:rsid w:val="6C7746C4"/>
    <w:rsid w:val="6C80C888"/>
    <w:rsid w:val="6C90DDDB"/>
    <w:rsid w:val="6C913B33"/>
    <w:rsid w:val="6CA20DE5"/>
    <w:rsid w:val="6CA40CF1"/>
    <w:rsid w:val="6CB262E2"/>
    <w:rsid w:val="6CB45A64"/>
    <w:rsid w:val="6CB87B2E"/>
    <w:rsid w:val="6CC410F8"/>
    <w:rsid w:val="6CD9034E"/>
    <w:rsid w:val="6CE9B4AB"/>
    <w:rsid w:val="6CED13C2"/>
    <w:rsid w:val="6CF4BC7D"/>
    <w:rsid w:val="6CFE75D6"/>
    <w:rsid w:val="6D0644C8"/>
    <w:rsid w:val="6D08BA81"/>
    <w:rsid w:val="6D0EBA37"/>
    <w:rsid w:val="6D101A81"/>
    <w:rsid w:val="6D1C0ACF"/>
    <w:rsid w:val="6D228B5F"/>
    <w:rsid w:val="6D2552CE"/>
    <w:rsid w:val="6D2682A6"/>
    <w:rsid w:val="6D31F962"/>
    <w:rsid w:val="6D3B3667"/>
    <w:rsid w:val="6D601B87"/>
    <w:rsid w:val="6D6652D2"/>
    <w:rsid w:val="6D70B8E2"/>
    <w:rsid w:val="6D75180F"/>
    <w:rsid w:val="6D89F654"/>
    <w:rsid w:val="6D8CC158"/>
    <w:rsid w:val="6D8E08C3"/>
    <w:rsid w:val="6D8F78F0"/>
    <w:rsid w:val="6D9A1F7C"/>
    <w:rsid w:val="6D9EC678"/>
    <w:rsid w:val="6DB3BD69"/>
    <w:rsid w:val="6DBB1DC8"/>
    <w:rsid w:val="6DBC5DA7"/>
    <w:rsid w:val="6DBE6CA9"/>
    <w:rsid w:val="6DC220B7"/>
    <w:rsid w:val="6DCA3778"/>
    <w:rsid w:val="6DD4D91C"/>
    <w:rsid w:val="6DDDAE38"/>
    <w:rsid w:val="6DEA4175"/>
    <w:rsid w:val="6DEB1495"/>
    <w:rsid w:val="6DF56025"/>
    <w:rsid w:val="6DFF82CD"/>
    <w:rsid w:val="6E06680F"/>
    <w:rsid w:val="6E0CE2CA"/>
    <w:rsid w:val="6E19C522"/>
    <w:rsid w:val="6E249324"/>
    <w:rsid w:val="6E2CE958"/>
    <w:rsid w:val="6E2E005F"/>
    <w:rsid w:val="6E42FFBB"/>
    <w:rsid w:val="6E51B8B4"/>
    <w:rsid w:val="6E51D865"/>
    <w:rsid w:val="6E52A437"/>
    <w:rsid w:val="6E537C31"/>
    <w:rsid w:val="6E548C3F"/>
    <w:rsid w:val="6E58D4A3"/>
    <w:rsid w:val="6E5A438D"/>
    <w:rsid w:val="6E6241A3"/>
    <w:rsid w:val="6E759655"/>
    <w:rsid w:val="6E7811A0"/>
    <w:rsid w:val="6E7FA274"/>
    <w:rsid w:val="6E83FE52"/>
    <w:rsid w:val="6E86ACFE"/>
    <w:rsid w:val="6E8A34E0"/>
    <w:rsid w:val="6E8F7F96"/>
    <w:rsid w:val="6EA0EDC7"/>
    <w:rsid w:val="6EB3E0F2"/>
    <w:rsid w:val="6EC4AE46"/>
    <w:rsid w:val="6ECBCAC0"/>
    <w:rsid w:val="6ED8235B"/>
    <w:rsid w:val="6EDFE5D9"/>
    <w:rsid w:val="6EE24EDD"/>
    <w:rsid w:val="6EE9C1E8"/>
    <w:rsid w:val="6EF3A327"/>
    <w:rsid w:val="6EF7FBE0"/>
    <w:rsid w:val="6EFBEBE8"/>
    <w:rsid w:val="6EFEA482"/>
    <w:rsid w:val="6F01A260"/>
    <w:rsid w:val="6F09C822"/>
    <w:rsid w:val="6F0ABD9B"/>
    <w:rsid w:val="6F16B4C7"/>
    <w:rsid w:val="6F1D7936"/>
    <w:rsid w:val="6F239080"/>
    <w:rsid w:val="6F249D5B"/>
    <w:rsid w:val="6F4A7480"/>
    <w:rsid w:val="6F539572"/>
    <w:rsid w:val="6F5CBE0B"/>
    <w:rsid w:val="6F6178D0"/>
    <w:rsid w:val="6F66A373"/>
    <w:rsid w:val="6F71BE24"/>
    <w:rsid w:val="6F736567"/>
    <w:rsid w:val="6F7B2AA8"/>
    <w:rsid w:val="6FA26BE3"/>
    <w:rsid w:val="6FA54442"/>
    <w:rsid w:val="6FD29A7B"/>
    <w:rsid w:val="6FD4A445"/>
    <w:rsid w:val="6FE1DA29"/>
    <w:rsid w:val="6FE91005"/>
    <w:rsid w:val="6FED7C7F"/>
    <w:rsid w:val="6FFFBD0E"/>
    <w:rsid w:val="701BC872"/>
    <w:rsid w:val="7022BA68"/>
    <w:rsid w:val="702412F8"/>
    <w:rsid w:val="7047EF9F"/>
    <w:rsid w:val="70504B34"/>
    <w:rsid w:val="70619EB4"/>
    <w:rsid w:val="70648F15"/>
    <w:rsid w:val="706656A0"/>
    <w:rsid w:val="7066B352"/>
    <w:rsid w:val="7073657E"/>
    <w:rsid w:val="70881C6C"/>
    <w:rsid w:val="708EFAA4"/>
    <w:rsid w:val="70986CA8"/>
    <w:rsid w:val="709BCD70"/>
    <w:rsid w:val="70B0B1D5"/>
    <w:rsid w:val="70B3FE3D"/>
    <w:rsid w:val="70BCAAA5"/>
    <w:rsid w:val="70C05E4F"/>
    <w:rsid w:val="70C85133"/>
    <w:rsid w:val="70ECD976"/>
    <w:rsid w:val="70F47E05"/>
    <w:rsid w:val="70F55BAB"/>
    <w:rsid w:val="70F93626"/>
    <w:rsid w:val="70FC8400"/>
    <w:rsid w:val="71013BFD"/>
    <w:rsid w:val="7104E22C"/>
    <w:rsid w:val="710E71FA"/>
    <w:rsid w:val="7118EA23"/>
    <w:rsid w:val="711D02C5"/>
    <w:rsid w:val="7125629C"/>
    <w:rsid w:val="7138B5B7"/>
    <w:rsid w:val="713E8B60"/>
    <w:rsid w:val="7142775D"/>
    <w:rsid w:val="714281A6"/>
    <w:rsid w:val="7143476C"/>
    <w:rsid w:val="7144279F"/>
    <w:rsid w:val="714612E6"/>
    <w:rsid w:val="714B4652"/>
    <w:rsid w:val="71512C20"/>
    <w:rsid w:val="71522684"/>
    <w:rsid w:val="7165C135"/>
    <w:rsid w:val="7169BFEC"/>
    <w:rsid w:val="716B6A66"/>
    <w:rsid w:val="716C772D"/>
    <w:rsid w:val="716E6ADC"/>
    <w:rsid w:val="71759220"/>
    <w:rsid w:val="717BA4D1"/>
    <w:rsid w:val="71852471"/>
    <w:rsid w:val="71B1223C"/>
    <w:rsid w:val="71B1E758"/>
    <w:rsid w:val="71C1535B"/>
    <w:rsid w:val="71C1D5A2"/>
    <w:rsid w:val="71D06B93"/>
    <w:rsid w:val="71E129AC"/>
    <w:rsid w:val="71E6FCBE"/>
    <w:rsid w:val="71F4BFC4"/>
    <w:rsid w:val="71F783FA"/>
    <w:rsid w:val="71F8ACD4"/>
    <w:rsid w:val="7216A5A4"/>
    <w:rsid w:val="72199EBE"/>
    <w:rsid w:val="721D3392"/>
    <w:rsid w:val="721EC16A"/>
    <w:rsid w:val="721F99D6"/>
    <w:rsid w:val="72220262"/>
    <w:rsid w:val="722F9AE5"/>
    <w:rsid w:val="723307D6"/>
    <w:rsid w:val="72377A04"/>
    <w:rsid w:val="723B8C63"/>
    <w:rsid w:val="72404A58"/>
    <w:rsid w:val="7244ED76"/>
    <w:rsid w:val="724C8236"/>
    <w:rsid w:val="7255F816"/>
    <w:rsid w:val="72574224"/>
    <w:rsid w:val="72616C50"/>
    <w:rsid w:val="7262F6B1"/>
    <w:rsid w:val="72642194"/>
    <w:rsid w:val="726ACBA7"/>
    <w:rsid w:val="726C750E"/>
    <w:rsid w:val="7271B8B7"/>
    <w:rsid w:val="72742E18"/>
    <w:rsid w:val="727D7FB2"/>
    <w:rsid w:val="728D7B5F"/>
    <w:rsid w:val="72985461"/>
    <w:rsid w:val="72A5472F"/>
    <w:rsid w:val="72A7B15A"/>
    <w:rsid w:val="72B52A11"/>
    <w:rsid w:val="72B83175"/>
    <w:rsid w:val="72BD8301"/>
    <w:rsid w:val="72BE0168"/>
    <w:rsid w:val="72C5FFD4"/>
    <w:rsid w:val="72C87D87"/>
    <w:rsid w:val="72E1D650"/>
    <w:rsid w:val="72E82183"/>
    <w:rsid w:val="72EAD046"/>
    <w:rsid w:val="72EBAF92"/>
    <w:rsid w:val="72EE216A"/>
    <w:rsid w:val="72F1C798"/>
    <w:rsid w:val="72F2A1B0"/>
    <w:rsid w:val="72FE1330"/>
    <w:rsid w:val="7300E91C"/>
    <w:rsid w:val="7302A6BB"/>
    <w:rsid w:val="7304F340"/>
    <w:rsid w:val="730737D3"/>
    <w:rsid w:val="73093798"/>
    <w:rsid w:val="730A3B3D"/>
    <w:rsid w:val="73290F58"/>
    <w:rsid w:val="732AD619"/>
    <w:rsid w:val="732EC569"/>
    <w:rsid w:val="7338FF51"/>
    <w:rsid w:val="733C66EC"/>
    <w:rsid w:val="733FAF0B"/>
    <w:rsid w:val="7343DC5D"/>
    <w:rsid w:val="734C483E"/>
    <w:rsid w:val="734F1788"/>
    <w:rsid w:val="73509E53"/>
    <w:rsid w:val="7352ED21"/>
    <w:rsid w:val="735FFE74"/>
    <w:rsid w:val="7362F712"/>
    <w:rsid w:val="736E1268"/>
    <w:rsid w:val="736F6995"/>
    <w:rsid w:val="737CAC5F"/>
    <w:rsid w:val="7383D685"/>
    <w:rsid w:val="739B6947"/>
    <w:rsid w:val="73ADD52C"/>
    <w:rsid w:val="73BACC55"/>
    <w:rsid w:val="73BF672F"/>
    <w:rsid w:val="73C15E5D"/>
    <w:rsid w:val="73C31A77"/>
    <w:rsid w:val="73C60B06"/>
    <w:rsid w:val="73D07650"/>
    <w:rsid w:val="73D95A4D"/>
    <w:rsid w:val="73ECEAA3"/>
    <w:rsid w:val="73F43F0B"/>
    <w:rsid w:val="73FCC502"/>
    <w:rsid w:val="73FE3D9B"/>
    <w:rsid w:val="74049272"/>
    <w:rsid w:val="7407B023"/>
    <w:rsid w:val="740FEC6D"/>
    <w:rsid w:val="7411F22C"/>
    <w:rsid w:val="7414821A"/>
    <w:rsid w:val="741BC196"/>
    <w:rsid w:val="741CB890"/>
    <w:rsid w:val="741CD2B6"/>
    <w:rsid w:val="7420DEFF"/>
    <w:rsid w:val="7431E321"/>
    <w:rsid w:val="74354148"/>
    <w:rsid w:val="743B2ED4"/>
    <w:rsid w:val="743B8C1D"/>
    <w:rsid w:val="74416D64"/>
    <w:rsid w:val="744B3525"/>
    <w:rsid w:val="744B7BA5"/>
    <w:rsid w:val="7454FE22"/>
    <w:rsid w:val="745F3B19"/>
    <w:rsid w:val="74644DE8"/>
    <w:rsid w:val="7468A2C4"/>
    <w:rsid w:val="7471E86E"/>
    <w:rsid w:val="747AA77D"/>
    <w:rsid w:val="7481C1CF"/>
    <w:rsid w:val="749525FA"/>
    <w:rsid w:val="749D18A1"/>
    <w:rsid w:val="749DE3BD"/>
    <w:rsid w:val="749E5E9B"/>
    <w:rsid w:val="74AAB5C0"/>
    <w:rsid w:val="74B07CE3"/>
    <w:rsid w:val="74BF1EA6"/>
    <w:rsid w:val="74D1E4D9"/>
    <w:rsid w:val="74D66B33"/>
    <w:rsid w:val="74D97DFB"/>
    <w:rsid w:val="74DA850D"/>
    <w:rsid w:val="74E03663"/>
    <w:rsid w:val="74E1871E"/>
    <w:rsid w:val="74E95045"/>
    <w:rsid w:val="74FA63C5"/>
    <w:rsid w:val="74FBA719"/>
    <w:rsid w:val="751A1777"/>
    <w:rsid w:val="751CCBE0"/>
    <w:rsid w:val="75240E95"/>
    <w:rsid w:val="7544A2A1"/>
    <w:rsid w:val="755ADCE3"/>
    <w:rsid w:val="7575D7E2"/>
    <w:rsid w:val="75831FCA"/>
    <w:rsid w:val="7586904D"/>
    <w:rsid w:val="758A0590"/>
    <w:rsid w:val="758C107E"/>
    <w:rsid w:val="7599E33D"/>
    <w:rsid w:val="759AF5DF"/>
    <w:rsid w:val="759BC256"/>
    <w:rsid w:val="75BB7B1B"/>
    <w:rsid w:val="75BFCD4C"/>
    <w:rsid w:val="75CD329C"/>
    <w:rsid w:val="75CFBED6"/>
    <w:rsid w:val="75D13A25"/>
    <w:rsid w:val="75D13C72"/>
    <w:rsid w:val="75D69E75"/>
    <w:rsid w:val="75D722F8"/>
    <w:rsid w:val="75ED7DFE"/>
    <w:rsid w:val="75F4CB52"/>
    <w:rsid w:val="75F5F488"/>
    <w:rsid w:val="75F7DD12"/>
    <w:rsid w:val="76000054"/>
    <w:rsid w:val="760AAC7F"/>
    <w:rsid w:val="760FC3CF"/>
    <w:rsid w:val="761AF3E9"/>
    <w:rsid w:val="761DF8A6"/>
    <w:rsid w:val="7629C319"/>
    <w:rsid w:val="763086DE"/>
    <w:rsid w:val="7641D741"/>
    <w:rsid w:val="76484FA8"/>
    <w:rsid w:val="76556D1F"/>
    <w:rsid w:val="765D03FB"/>
    <w:rsid w:val="76650FC9"/>
    <w:rsid w:val="766644E5"/>
    <w:rsid w:val="766F345D"/>
    <w:rsid w:val="76880750"/>
    <w:rsid w:val="7693FC8A"/>
    <w:rsid w:val="76945C32"/>
    <w:rsid w:val="76A302C2"/>
    <w:rsid w:val="76AB066E"/>
    <w:rsid w:val="76AEB2B7"/>
    <w:rsid w:val="76BF3E8E"/>
    <w:rsid w:val="76CE8AA1"/>
    <w:rsid w:val="76D22D3F"/>
    <w:rsid w:val="76D56F07"/>
    <w:rsid w:val="76E3D1D2"/>
    <w:rsid w:val="76E52284"/>
    <w:rsid w:val="76F2D9BD"/>
    <w:rsid w:val="76F6453C"/>
    <w:rsid w:val="76FB2C97"/>
    <w:rsid w:val="76FC6DBF"/>
    <w:rsid w:val="770EAE5E"/>
    <w:rsid w:val="772DAA94"/>
    <w:rsid w:val="773C354F"/>
    <w:rsid w:val="773E1561"/>
    <w:rsid w:val="7740AC17"/>
    <w:rsid w:val="7745A8BE"/>
    <w:rsid w:val="7753EF30"/>
    <w:rsid w:val="7756B4A5"/>
    <w:rsid w:val="77622274"/>
    <w:rsid w:val="776B1C8E"/>
    <w:rsid w:val="777A4358"/>
    <w:rsid w:val="777CAF87"/>
    <w:rsid w:val="777F7B97"/>
    <w:rsid w:val="77809BED"/>
    <w:rsid w:val="77820EA1"/>
    <w:rsid w:val="778A4045"/>
    <w:rsid w:val="778FB223"/>
    <w:rsid w:val="7791F6DB"/>
    <w:rsid w:val="77985742"/>
    <w:rsid w:val="77A04993"/>
    <w:rsid w:val="77ACB32B"/>
    <w:rsid w:val="77BE7B16"/>
    <w:rsid w:val="77C04162"/>
    <w:rsid w:val="77D2E0CA"/>
    <w:rsid w:val="77D8E928"/>
    <w:rsid w:val="77DC8140"/>
    <w:rsid w:val="77E1361A"/>
    <w:rsid w:val="77E2DDD7"/>
    <w:rsid w:val="77FC3056"/>
    <w:rsid w:val="7805FD11"/>
    <w:rsid w:val="780D6886"/>
    <w:rsid w:val="78171AE3"/>
    <w:rsid w:val="781EA68F"/>
    <w:rsid w:val="7828B805"/>
    <w:rsid w:val="782AA605"/>
    <w:rsid w:val="782FB3AD"/>
    <w:rsid w:val="7835A977"/>
    <w:rsid w:val="78506B18"/>
    <w:rsid w:val="7867A6CA"/>
    <w:rsid w:val="786B88B7"/>
    <w:rsid w:val="78746E82"/>
    <w:rsid w:val="787F15C3"/>
    <w:rsid w:val="7883762A"/>
    <w:rsid w:val="788D1FBA"/>
    <w:rsid w:val="788E30F5"/>
    <w:rsid w:val="78969E79"/>
    <w:rsid w:val="7898FA87"/>
    <w:rsid w:val="78A97E30"/>
    <w:rsid w:val="78B1E20D"/>
    <w:rsid w:val="78B5224E"/>
    <w:rsid w:val="78BBC7CE"/>
    <w:rsid w:val="78C71D39"/>
    <w:rsid w:val="78DCFCF2"/>
    <w:rsid w:val="78E1791F"/>
    <w:rsid w:val="78FF58CC"/>
    <w:rsid w:val="79085B16"/>
    <w:rsid w:val="79102FE1"/>
    <w:rsid w:val="79115CC8"/>
    <w:rsid w:val="791C99CA"/>
    <w:rsid w:val="792600B7"/>
    <w:rsid w:val="79279EFF"/>
    <w:rsid w:val="7935B4C2"/>
    <w:rsid w:val="79379F2C"/>
    <w:rsid w:val="79393881"/>
    <w:rsid w:val="794138B1"/>
    <w:rsid w:val="7941F918"/>
    <w:rsid w:val="79483914"/>
    <w:rsid w:val="794A948F"/>
    <w:rsid w:val="794AAE33"/>
    <w:rsid w:val="794BFC94"/>
    <w:rsid w:val="79550286"/>
    <w:rsid w:val="796023DF"/>
    <w:rsid w:val="79659D4C"/>
    <w:rsid w:val="79661ABF"/>
    <w:rsid w:val="797EEC26"/>
    <w:rsid w:val="798A3BB9"/>
    <w:rsid w:val="798E152A"/>
    <w:rsid w:val="7992935C"/>
    <w:rsid w:val="79A5013A"/>
    <w:rsid w:val="79B06884"/>
    <w:rsid w:val="79B0DBB3"/>
    <w:rsid w:val="79B387ED"/>
    <w:rsid w:val="79CFC702"/>
    <w:rsid w:val="79D29BD6"/>
    <w:rsid w:val="79D737B9"/>
    <w:rsid w:val="79DAF34A"/>
    <w:rsid w:val="79E09420"/>
    <w:rsid w:val="79EB935D"/>
    <w:rsid w:val="79F07C1E"/>
    <w:rsid w:val="79F77FB8"/>
    <w:rsid w:val="79FBED0F"/>
    <w:rsid w:val="7A024922"/>
    <w:rsid w:val="7A08C628"/>
    <w:rsid w:val="7A0C8D74"/>
    <w:rsid w:val="7A13E810"/>
    <w:rsid w:val="7A2F8881"/>
    <w:rsid w:val="7A389BD9"/>
    <w:rsid w:val="7A3A9A34"/>
    <w:rsid w:val="7A40C4B2"/>
    <w:rsid w:val="7A482AA5"/>
    <w:rsid w:val="7A4B7ED4"/>
    <w:rsid w:val="7A4E969E"/>
    <w:rsid w:val="7A63537D"/>
    <w:rsid w:val="7A73D611"/>
    <w:rsid w:val="7A76E4FB"/>
    <w:rsid w:val="7A7F9127"/>
    <w:rsid w:val="7A8B6ADF"/>
    <w:rsid w:val="7A8B6E00"/>
    <w:rsid w:val="7A8FFEE1"/>
    <w:rsid w:val="7A9D5B4B"/>
    <w:rsid w:val="7A9FFC97"/>
    <w:rsid w:val="7AA0AB4B"/>
    <w:rsid w:val="7AA42E90"/>
    <w:rsid w:val="7AB107B3"/>
    <w:rsid w:val="7ABA670F"/>
    <w:rsid w:val="7ACD2B69"/>
    <w:rsid w:val="7AD24145"/>
    <w:rsid w:val="7ADC3DE1"/>
    <w:rsid w:val="7AE09B98"/>
    <w:rsid w:val="7AE40975"/>
    <w:rsid w:val="7AF22BC8"/>
    <w:rsid w:val="7AFF2150"/>
    <w:rsid w:val="7B04F7D7"/>
    <w:rsid w:val="7B073A23"/>
    <w:rsid w:val="7B19EB7D"/>
    <w:rsid w:val="7B219080"/>
    <w:rsid w:val="7B3709E1"/>
    <w:rsid w:val="7B57E416"/>
    <w:rsid w:val="7B5E257C"/>
    <w:rsid w:val="7B679947"/>
    <w:rsid w:val="7B6D1618"/>
    <w:rsid w:val="7B712962"/>
    <w:rsid w:val="7B724D11"/>
    <w:rsid w:val="7B8C024C"/>
    <w:rsid w:val="7B8FF316"/>
    <w:rsid w:val="7BA5FEA2"/>
    <w:rsid w:val="7BB4354D"/>
    <w:rsid w:val="7BD9DC54"/>
    <w:rsid w:val="7BECC5D0"/>
    <w:rsid w:val="7BF4355D"/>
    <w:rsid w:val="7BFA3D31"/>
    <w:rsid w:val="7BFB5202"/>
    <w:rsid w:val="7BFBAB75"/>
    <w:rsid w:val="7BFD64BB"/>
    <w:rsid w:val="7BFE0696"/>
    <w:rsid w:val="7C21E93E"/>
    <w:rsid w:val="7C2B4CC8"/>
    <w:rsid w:val="7C49FAE9"/>
    <w:rsid w:val="7C4CCF0B"/>
    <w:rsid w:val="7C57742E"/>
    <w:rsid w:val="7C591227"/>
    <w:rsid w:val="7C59C1FD"/>
    <w:rsid w:val="7C67DBDA"/>
    <w:rsid w:val="7C6CC2B9"/>
    <w:rsid w:val="7C6EAF43"/>
    <w:rsid w:val="7C7BB657"/>
    <w:rsid w:val="7C81C3EA"/>
    <w:rsid w:val="7C882100"/>
    <w:rsid w:val="7C8B7B74"/>
    <w:rsid w:val="7C8F86E2"/>
    <w:rsid w:val="7C93F224"/>
    <w:rsid w:val="7CA47077"/>
    <w:rsid w:val="7CD747F3"/>
    <w:rsid w:val="7CE0133C"/>
    <w:rsid w:val="7CE7F530"/>
    <w:rsid w:val="7CE89D29"/>
    <w:rsid w:val="7CEA8C06"/>
    <w:rsid w:val="7CEDF6A8"/>
    <w:rsid w:val="7CEFB349"/>
    <w:rsid w:val="7CF78099"/>
    <w:rsid w:val="7D0C1825"/>
    <w:rsid w:val="7D193C8E"/>
    <w:rsid w:val="7D19CF07"/>
    <w:rsid w:val="7D2E79F4"/>
    <w:rsid w:val="7D2F6D27"/>
    <w:rsid w:val="7D359A42"/>
    <w:rsid w:val="7D3C3EA9"/>
    <w:rsid w:val="7D3FEE7E"/>
    <w:rsid w:val="7D42A147"/>
    <w:rsid w:val="7D44AE6B"/>
    <w:rsid w:val="7D4FC1A6"/>
    <w:rsid w:val="7D593C13"/>
    <w:rsid w:val="7D6004EA"/>
    <w:rsid w:val="7D722E50"/>
    <w:rsid w:val="7D74A434"/>
    <w:rsid w:val="7D77C6FE"/>
    <w:rsid w:val="7D78E05F"/>
    <w:rsid w:val="7D8EF42F"/>
    <w:rsid w:val="7D982547"/>
    <w:rsid w:val="7DA10A23"/>
    <w:rsid w:val="7DA51401"/>
    <w:rsid w:val="7DB3A408"/>
    <w:rsid w:val="7DB72C8F"/>
    <w:rsid w:val="7DC02FAB"/>
    <w:rsid w:val="7DCAC40A"/>
    <w:rsid w:val="7DD023D3"/>
    <w:rsid w:val="7DDCBF23"/>
    <w:rsid w:val="7DE6487A"/>
    <w:rsid w:val="7DFBFDAB"/>
    <w:rsid w:val="7E1549CD"/>
    <w:rsid w:val="7E1E9C0F"/>
    <w:rsid w:val="7E20B69C"/>
    <w:rsid w:val="7E218E91"/>
    <w:rsid w:val="7E291674"/>
    <w:rsid w:val="7E2DFCAA"/>
    <w:rsid w:val="7E2F7E8F"/>
    <w:rsid w:val="7E32CAF1"/>
    <w:rsid w:val="7E3628B3"/>
    <w:rsid w:val="7E37D7DB"/>
    <w:rsid w:val="7E450A68"/>
    <w:rsid w:val="7E4B4FFF"/>
    <w:rsid w:val="7E50779E"/>
    <w:rsid w:val="7E5D1704"/>
    <w:rsid w:val="7E675FB7"/>
    <w:rsid w:val="7E68FCAB"/>
    <w:rsid w:val="7E6A6761"/>
    <w:rsid w:val="7E83D9A7"/>
    <w:rsid w:val="7E865C67"/>
    <w:rsid w:val="7E889CFF"/>
    <w:rsid w:val="7E8BBECA"/>
    <w:rsid w:val="7E8F6211"/>
    <w:rsid w:val="7E8F84D8"/>
    <w:rsid w:val="7E993D01"/>
    <w:rsid w:val="7E9A6148"/>
    <w:rsid w:val="7E9D1E0C"/>
    <w:rsid w:val="7EA0BFAF"/>
    <w:rsid w:val="7EA60435"/>
    <w:rsid w:val="7EA7090C"/>
    <w:rsid w:val="7EAC1C64"/>
    <w:rsid w:val="7EB2DF17"/>
    <w:rsid w:val="7ECC9F0D"/>
    <w:rsid w:val="7EDB1E61"/>
    <w:rsid w:val="7EF3F94C"/>
    <w:rsid w:val="7EF4FB52"/>
    <w:rsid w:val="7EFBE912"/>
    <w:rsid w:val="7F0044EC"/>
    <w:rsid w:val="7F0B49AB"/>
    <w:rsid w:val="7F0E84EB"/>
    <w:rsid w:val="7F1C000E"/>
    <w:rsid w:val="7F1DA196"/>
    <w:rsid w:val="7F1F002D"/>
    <w:rsid w:val="7F2E44B3"/>
    <w:rsid w:val="7F2FDBEA"/>
    <w:rsid w:val="7F338147"/>
    <w:rsid w:val="7F4B49CF"/>
    <w:rsid w:val="7F5097EF"/>
    <w:rsid w:val="7F50BAA3"/>
    <w:rsid w:val="7F510598"/>
    <w:rsid w:val="7F564A01"/>
    <w:rsid w:val="7F5E44AC"/>
    <w:rsid w:val="7F65E223"/>
    <w:rsid w:val="7F6E7E4E"/>
    <w:rsid w:val="7F7986AC"/>
    <w:rsid w:val="7F7C135D"/>
    <w:rsid w:val="7F89E4CC"/>
    <w:rsid w:val="7F8C2B46"/>
    <w:rsid w:val="7F91B1BA"/>
    <w:rsid w:val="7F98F4A1"/>
    <w:rsid w:val="7F99713F"/>
    <w:rsid w:val="7F9DC972"/>
    <w:rsid w:val="7FA06539"/>
    <w:rsid w:val="7FA7008F"/>
    <w:rsid w:val="7FA86C33"/>
    <w:rsid w:val="7FAB7176"/>
    <w:rsid w:val="7FAE46BB"/>
    <w:rsid w:val="7FAFF0F8"/>
    <w:rsid w:val="7FB525C0"/>
    <w:rsid w:val="7FBB00AE"/>
    <w:rsid w:val="7FEA2434"/>
    <w:rsid w:val="7FF19D0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2C4FCE8"/>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27C"/>
    <w:pPr>
      <w:spacing w:line="240" w:lineRule="auto"/>
    </w:pPr>
    <w:rPr>
      <w:rFonts w:ascii="Calibri" w:hAnsi="Calibri"/>
    </w:rPr>
  </w:style>
  <w:style w:type="paragraph" w:styleId="Heading1">
    <w:name w:val="heading 1"/>
    <w:basedOn w:val="Normal"/>
    <w:next w:val="Normal"/>
    <w:link w:val="Heading1Char"/>
    <w:uiPriority w:val="9"/>
    <w:qFormat/>
    <w:rsid w:val="00E42B3F"/>
    <w:pPr>
      <w:numPr>
        <w:ilvl w:val="1"/>
      </w:numPr>
      <w:suppressAutoHyphens/>
      <w:spacing w:before="1320" w:after="720"/>
      <w:ind w:left="567"/>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547667"/>
    <w:pPr>
      <w:keepNext/>
      <w:keepLines/>
      <w:suppressAutoHyphens/>
      <w:spacing w:before="24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547667"/>
    <w:pPr>
      <w:keepNext/>
      <w:keepLines/>
      <w:suppressAutoHyphens/>
      <w:spacing w:before="12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547667"/>
    <w:pPr>
      <w:numPr>
        <w:numId w:val="2"/>
      </w:numPr>
      <w:spacing w:after="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5E4596"/>
    <w:rPr>
      <w:color w:val="0046FF"/>
      <w:u w:val="single"/>
    </w:rPr>
  </w:style>
  <w:style w:type="character" w:customStyle="1" w:styleId="Heading1Char">
    <w:name w:val="Heading 1 Char"/>
    <w:basedOn w:val="DefaultParagraphFont"/>
    <w:link w:val="Heading1"/>
    <w:uiPriority w:val="9"/>
    <w:rsid w:val="00E42B3F"/>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547667"/>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547667"/>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547667"/>
    <w:pPr>
      <w:numPr>
        <w:numId w:val="3"/>
      </w:numPr>
      <w:ind w:left="357" w:hanging="357"/>
    </w:pPr>
    <w:rPr>
      <w:lang w:eastAsia="zh-TW"/>
    </w:rPr>
  </w:style>
  <w:style w:type="paragraph" w:styleId="ListParagraph">
    <w:name w:val="List Paragraph"/>
    <w:basedOn w:val="Normal"/>
    <w:uiPriority w:val="34"/>
    <w:qFormat/>
    <w:rsid w:val="00B5393D"/>
    <w:pPr>
      <w:numPr>
        <w:numId w:val="4"/>
      </w:numPr>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5"/>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5"/>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567"/>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14"/>
    <w:unhideWhenUsed/>
    <w:qFormat/>
    <w:rsid w:val="00A32D82"/>
    <w:pPr>
      <w:spacing w:after="200"/>
    </w:pPr>
    <w:rPr>
      <w:i/>
      <w:iCs/>
      <w:color w:val="44546A" w:themeColor="text2"/>
      <w:sz w:val="18"/>
      <w:szCs w:val="18"/>
    </w:rPr>
  </w:style>
  <w:style w:type="paragraph" w:customStyle="1" w:styleId="paragraph">
    <w:name w:val="paragraph"/>
    <w:basedOn w:val="Normal"/>
    <w:rsid w:val="00AE6F3A"/>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E6F3A"/>
  </w:style>
  <w:style w:type="character" w:customStyle="1" w:styleId="eop">
    <w:name w:val="eop"/>
    <w:basedOn w:val="DefaultParagraphFont"/>
    <w:rsid w:val="00AE6F3A"/>
  </w:style>
  <w:style w:type="character" w:customStyle="1" w:styleId="superscript">
    <w:name w:val="superscript"/>
    <w:basedOn w:val="DefaultParagraphFont"/>
    <w:rsid w:val="00AE6F3A"/>
  </w:style>
  <w:style w:type="character" w:styleId="CommentReference">
    <w:name w:val="annotation reference"/>
    <w:basedOn w:val="DefaultParagraphFont"/>
    <w:uiPriority w:val="99"/>
    <w:semiHidden/>
    <w:unhideWhenUsed/>
    <w:rsid w:val="00CF2B75"/>
    <w:rPr>
      <w:sz w:val="16"/>
      <w:szCs w:val="16"/>
    </w:rPr>
  </w:style>
  <w:style w:type="paragraph" w:styleId="CommentText">
    <w:name w:val="annotation text"/>
    <w:basedOn w:val="Normal"/>
    <w:link w:val="CommentTextChar"/>
    <w:uiPriority w:val="99"/>
    <w:semiHidden/>
    <w:unhideWhenUsed/>
    <w:rsid w:val="00CF2B75"/>
    <w:pPr>
      <w:suppressAutoHyphens/>
      <w:spacing w:before="160" w:after="80"/>
    </w:pPr>
    <w:rPr>
      <w:rFonts w:asciiTheme="minorHAnsi" w:hAnsiTheme="minorHAnsi"/>
      <w:color w:val="000000" w:themeColor="text1"/>
      <w:sz w:val="20"/>
      <w:szCs w:val="20"/>
    </w:rPr>
  </w:style>
  <w:style w:type="character" w:customStyle="1" w:styleId="CommentTextChar">
    <w:name w:val="Comment Text Char"/>
    <w:basedOn w:val="DefaultParagraphFont"/>
    <w:link w:val="CommentText"/>
    <w:uiPriority w:val="99"/>
    <w:semiHidden/>
    <w:rsid w:val="00CF2B75"/>
    <w:rPr>
      <w:color w:val="000000" w:themeColor="text1"/>
      <w:sz w:val="20"/>
      <w:szCs w:val="20"/>
    </w:rPr>
  </w:style>
  <w:style w:type="paragraph" w:styleId="BalloonText">
    <w:name w:val="Balloon Text"/>
    <w:basedOn w:val="Normal"/>
    <w:link w:val="BalloonTextChar"/>
    <w:uiPriority w:val="99"/>
    <w:semiHidden/>
    <w:unhideWhenUsed/>
    <w:rsid w:val="00CF2B7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B75"/>
    <w:rPr>
      <w:rFonts w:ascii="Segoe UI" w:hAnsi="Segoe UI" w:cs="Segoe UI"/>
      <w:sz w:val="18"/>
      <w:szCs w:val="18"/>
    </w:rPr>
  </w:style>
  <w:style w:type="paragraph" w:customStyle="1" w:styleId="Box1Text">
    <w:name w:val="Box 1 Text"/>
    <w:basedOn w:val="Normal"/>
    <w:uiPriority w:val="23"/>
    <w:qFormat/>
    <w:rsid w:val="00EB7535"/>
    <w:pPr>
      <w:pBdr>
        <w:top w:val="single" w:sz="4" w:space="14" w:color="ED7D31" w:themeColor="accent2"/>
        <w:left w:val="single" w:sz="4" w:space="14" w:color="ED7D31" w:themeColor="accent2"/>
        <w:bottom w:val="single" w:sz="4" w:space="14" w:color="ED7D31" w:themeColor="accent2"/>
        <w:right w:val="single" w:sz="4" w:space="14" w:color="ED7D31" w:themeColor="accent2"/>
      </w:pBdr>
      <w:suppressAutoHyphens/>
      <w:spacing w:before="160" w:after="80"/>
      <w:ind w:left="284" w:right="284"/>
    </w:pPr>
    <w:rPr>
      <w:rFonts w:asciiTheme="minorHAnsi" w:hAnsiTheme="minorHAnsi"/>
      <w:color w:val="000000" w:themeColor="text1"/>
      <w:lang w:val="x-none"/>
    </w:rPr>
  </w:style>
  <w:style w:type="paragraph" w:customStyle="1" w:styleId="Bullet1">
    <w:name w:val="Bullet 1"/>
    <w:basedOn w:val="Normal"/>
    <w:uiPriority w:val="3"/>
    <w:qFormat/>
    <w:rsid w:val="00CD2038"/>
    <w:pPr>
      <w:numPr>
        <w:numId w:val="6"/>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CD2038"/>
    <w:pPr>
      <w:numPr>
        <w:ilvl w:val="1"/>
      </w:numPr>
    </w:pPr>
  </w:style>
  <w:style w:type="paragraph" w:customStyle="1" w:styleId="Bullet3">
    <w:name w:val="Bullet 3"/>
    <w:basedOn w:val="Bullet2"/>
    <w:uiPriority w:val="3"/>
    <w:rsid w:val="00CD2038"/>
    <w:pPr>
      <w:numPr>
        <w:ilvl w:val="2"/>
      </w:numPr>
    </w:pPr>
  </w:style>
  <w:style w:type="paragraph" w:customStyle="1" w:styleId="Box1Heading">
    <w:name w:val="Box 1 Heading"/>
    <w:basedOn w:val="Box1Text"/>
    <w:uiPriority w:val="23"/>
    <w:qFormat/>
    <w:rsid w:val="00CD2038"/>
    <w:rPr>
      <w:b/>
    </w:rPr>
  </w:style>
  <w:style w:type="numbering" w:customStyle="1" w:styleId="Bullets">
    <w:name w:val="Bullets"/>
    <w:uiPriority w:val="99"/>
    <w:rsid w:val="00CD2038"/>
    <w:pPr>
      <w:numPr>
        <w:numId w:val="6"/>
      </w:numPr>
    </w:pPr>
  </w:style>
  <w:style w:type="paragraph" w:customStyle="1" w:styleId="Heading1Numbered">
    <w:name w:val="Heading 1 Numbered"/>
    <w:basedOn w:val="Heading1"/>
    <w:uiPriority w:val="10"/>
    <w:rsid w:val="002179E4"/>
    <w:pPr>
      <w:keepNext/>
      <w:keepLines/>
      <w:numPr>
        <w:ilvl w:val="0"/>
        <w:numId w:val="8"/>
      </w:numPr>
      <w:tabs>
        <w:tab w:val="clear" w:pos="360"/>
      </w:tabs>
      <w:spacing w:before="480" w:after="160"/>
      <w:ind w:hanging="567"/>
      <w:contextualSpacing/>
    </w:pPr>
    <w:rPr>
      <w:rFonts w:asciiTheme="majorHAnsi" w:eastAsiaTheme="majorEastAsia" w:hAnsiTheme="majorHAnsi" w:cstheme="majorBidi"/>
      <w:b w:val="0"/>
      <w:color w:val="44546A" w:themeColor="text2"/>
      <w:kern w:val="0"/>
      <w:sz w:val="44"/>
      <w:szCs w:val="32"/>
    </w:rPr>
  </w:style>
  <w:style w:type="paragraph" w:customStyle="1" w:styleId="Heading2Numbered">
    <w:name w:val="Heading 2 Numbered"/>
    <w:basedOn w:val="Heading2"/>
    <w:uiPriority w:val="10"/>
    <w:rsid w:val="002179E4"/>
    <w:pPr>
      <w:numPr>
        <w:ilvl w:val="1"/>
        <w:numId w:val="8"/>
      </w:numPr>
    </w:pPr>
    <w:rPr>
      <w:rFonts w:asciiTheme="majorHAnsi" w:eastAsiaTheme="majorEastAsia" w:hAnsiTheme="majorHAnsi" w:cstheme="majorBidi"/>
      <w:color w:val="44546A" w:themeColor="text2"/>
      <w:kern w:val="0"/>
    </w:rPr>
  </w:style>
  <w:style w:type="paragraph" w:customStyle="1" w:styleId="Heading3Numbered">
    <w:name w:val="Heading 3 Numbered"/>
    <w:basedOn w:val="Heading3"/>
    <w:uiPriority w:val="10"/>
    <w:rsid w:val="002179E4"/>
    <w:pPr>
      <w:numPr>
        <w:ilvl w:val="2"/>
        <w:numId w:val="8"/>
      </w:numPr>
    </w:pPr>
    <w:rPr>
      <w:rFonts w:asciiTheme="majorHAnsi" w:eastAsiaTheme="majorEastAsia" w:hAnsiTheme="majorHAnsi" w:cstheme="majorBidi"/>
      <w:color w:val="BF8F00" w:themeColor="accent4" w:themeShade="BF"/>
      <w:kern w:val="0"/>
    </w:rPr>
  </w:style>
  <w:style w:type="paragraph" w:customStyle="1" w:styleId="Heading4Numbered">
    <w:name w:val="Heading 4 Numbered"/>
    <w:basedOn w:val="Heading4"/>
    <w:uiPriority w:val="10"/>
    <w:rsid w:val="002179E4"/>
    <w:pPr>
      <w:numPr>
        <w:ilvl w:val="3"/>
        <w:numId w:val="8"/>
      </w:numPr>
    </w:pPr>
    <w:rPr>
      <w:rFonts w:asciiTheme="majorHAnsi" w:eastAsiaTheme="majorEastAsia" w:hAnsiTheme="majorHAnsi" w:cstheme="majorBidi"/>
      <w:color w:val="806000" w:themeColor="accent4" w:themeShade="80"/>
      <w:kern w:val="0"/>
      <w:szCs w:val="22"/>
    </w:rPr>
  </w:style>
  <w:style w:type="paragraph" w:customStyle="1" w:styleId="Heading5Numbered">
    <w:name w:val="Heading 5 Numbered"/>
    <w:basedOn w:val="Heading5"/>
    <w:uiPriority w:val="10"/>
    <w:rsid w:val="002179E4"/>
    <w:pPr>
      <w:keepLines/>
      <w:numPr>
        <w:ilvl w:val="4"/>
        <w:numId w:val="8"/>
      </w:numPr>
      <w:suppressAutoHyphens/>
      <w:spacing w:before="240" w:after="160"/>
    </w:pPr>
    <w:rPr>
      <w:rFonts w:asciiTheme="majorHAnsi" w:eastAsiaTheme="majorEastAsia" w:hAnsiTheme="majorHAnsi" w:cstheme="majorBidi"/>
      <w:color w:val="44546A" w:themeColor="text2"/>
      <w:sz w:val="22"/>
      <w:szCs w:val="22"/>
    </w:rPr>
  </w:style>
  <w:style w:type="numbering" w:customStyle="1" w:styleId="NumberedHeadings">
    <w:name w:val="Numbered Headings"/>
    <w:uiPriority w:val="99"/>
    <w:rsid w:val="002179E4"/>
    <w:pPr>
      <w:numPr>
        <w:numId w:val="7"/>
      </w:numPr>
    </w:pPr>
  </w:style>
  <w:style w:type="paragraph" w:customStyle="1" w:styleId="Introduction">
    <w:name w:val="Introduction"/>
    <w:basedOn w:val="Normal"/>
    <w:uiPriority w:val="2"/>
    <w:qFormat/>
    <w:rsid w:val="00071A02"/>
    <w:pPr>
      <w:suppressAutoHyphens/>
      <w:spacing w:before="240" w:after="240"/>
    </w:pPr>
    <w:rPr>
      <w:rFonts w:asciiTheme="minorHAnsi" w:hAnsiTheme="minorHAnsi"/>
      <w:color w:val="377B88"/>
      <w:sz w:val="26"/>
      <w:lang w:val="x-none"/>
    </w:rPr>
  </w:style>
  <w:style w:type="paragraph" w:customStyle="1" w:styleId="AppendixHeading1">
    <w:name w:val="Appendix Heading 1"/>
    <w:basedOn w:val="Heading1"/>
    <w:uiPriority w:val="11"/>
    <w:qFormat/>
    <w:rsid w:val="00071A02"/>
    <w:pPr>
      <w:keepNext/>
      <w:keepLines/>
      <w:numPr>
        <w:ilvl w:val="0"/>
        <w:numId w:val="11"/>
      </w:numPr>
      <w:spacing w:before="480" w:after="160"/>
      <w:contextualSpacing/>
    </w:pPr>
    <w:rPr>
      <w:rFonts w:asciiTheme="majorHAnsi" w:eastAsiaTheme="majorEastAsia" w:hAnsiTheme="majorHAnsi" w:cstheme="majorBidi"/>
      <w:b w:val="0"/>
      <w:color w:val="44546A" w:themeColor="text2"/>
      <w:kern w:val="0"/>
      <w:sz w:val="44"/>
      <w:szCs w:val="32"/>
    </w:rPr>
  </w:style>
  <w:style w:type="paragraph" w:customStyle="1" w:styleId="AppendixHeading2">
    <w:name w:val="Appendix Heading 2"/>
    <w:basedOn w:val="Heading2"/>
    <w:uiPriority w:val="11"/>
    <w:rsid w:val="00071A02"/>
    <w:pPr>
      <w:numPr>
        <w:ilvl w:val="1"/>
        <w:numId w:val="11"/>
      </w:numPr>
    </w:pPr>
    <w:rPr>
      <w:rFonts w:asciiTheme="majorHAnsi" w:eastAsiaTheme="majorEastAsia" w:hAnsiTheme="majorHAnsi" w:cstheme="majorBidi"/>
      <w:color w:val="44546A" w:themeColor="text2"/>
      <w:kern w:val="0"/>
    </w:rPr>
  </w:style>
  <w:style w:type="numbering" w:customStyle="1" w:styleId="AppendixNumbers">
    <w:name w:val="Appendix Numbers"/>
    <w:uiPriority w:val="99"/>
    <w:rsid w:val="00071A02"/>
    <w:pPr>
      <w:numPr>
        <w:numId w:val="10"/>
      </w:numPr>
    </w:pPr>
  </w:style>
  <w:style w:type="paragraph" w:styleId="CommentSubject">
    <w:name w:val="annotation subject"/>
    <w:basedOn w:val="CommentText"/>
    <w:next w:val="CommentText"/>
    <w:link w:val="CommentSubjectChar"/>
    <w:uiPriority w:val="99"/>
    <w:semiHidden/>
    <w:unhideWhenUsed/>
    <w:rsid w:val="00925E34"/>
    <w:pPr>
      <w:suppressAutoHyphens w:val="0"/>
      <w:spacing w:before="0" w:after="160"/>
    </w:pPr>
    <w:rPr>
      <w:rFonts w:ascii="Calibri" w:hAnsi="Calibri"/>
      <w:b/>
      <w:bCs/>
      <w:color w:val="auto"/>
    </w:rPr>
  </w:style>
  <w:style w:type="character" w:customStyle="1" w:styleId="CommentSubjectChar">
    <w:name w:val="Comment Subject Char"/>
    <w:basedOn w:val="CommentTextChar"/>
    <w:link w:val="CommentSubject"/>
    <w:uiPriority w:val="99"/>
    <w:semiHidden/>
    <w:rsid w:val="00925E34"/>
    <w:rPr>
      <w:rFonts w:ascii="Calibri" w:hAnsi="Calibri"/>
      <w:b/>
      <w:bCs/>
      <w:color w:val="000000" w:themeColor="text1"/>
      <w:sz w:val="20"/>
      <w:szCs w:val="20"/>
    </w:rPr>
  </w:style>
  <w:style w:type="character" w:styleId="FollowedHyperlink">
    <w:name w:val="FollowedHyperlink"/>
    <w:basedOn w:val="DefaultParagraphFont"/>
    <w:uiPriority w:val="99"/>
    <w:semiHidden/>
    <w:unhideWhenUsed/>
    <w:rsid w:val="00965B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59990">
      <w:bodyDiv w:val="1"/>
      <w:marLeft w:val="0"/>
      <w:marRight w:val="0"/>
      <w:marTop w:val="0"/>
      <w:marBottom w:val="0"/>
      <w:divBdr>
        <w:top w:val="none" w:sz="0" w:space="0" w:color="auto"/>
        <w:left w:val="none" w:sz="0" w:space="0" w:color="auto"/>
        <w:bottom w:val="none" w:sz="0" w:space="0" w:color="auto"/>
        <w:right w:val="none" w:sz="0" w:space="0" w:color="auto"/>
      </w:divBdr>
    </w:div>
    <w:div w:id="741760907">
      <w:bodyDiv w:val="1"/>
      <w:marLeft w:val="0"/>
      <w:marRight w:val="0"/>
      <w:marTop w:val="0"/>
      <w:marBottom w:val="0"/>
      <w:divBdr>
        <w:top w:val="none" w:sz="0" w:space="0" w:color="auto"/>
        <w:left w:val="none" w:sz="0" w:space="0" w:color="auto"/>
        <w:bottom w:val="none" w:sz="0" w:space="0" w:color="auto"/>
        <w:right w:val="none" w:sz="0" w:space="0" w:color="auto"/>
      </w:divBdr>
      <w:divsChild>
        <w:div w:id="2079666310">
          <w:marLeft w:val="0"/>
          <w:marRight w:val="0"/>
          <w:marTop w:val="0"/>
          <w:marBottom w:val="0"/>
          <w:divBdr>
            <w:top w:val="none" w:sz="0" w:space="0" w:color="auto"/>
            <w:left w:val="none" w:sz="0" w:space="0" w:color="auto"/>
            <w:bottom w:val="none" w:sz="0" w:space="0" w:color="auto"/>
            <w:right w:val="none" w:sz="0" w:space="0" w:color="auto"/>
          </w:divBdr>
        </w:div>
        <w:div w:id="1992174662">
          <w:marLeft w:val="0"/>
          <w:marRight w:val="0"/>
          <w:marTop w:val="0"/>
          <w:marBottom w:val="0"/>
          <w:divBdr>
            <w:top w:val="none" w:sz="0" w:space="0" w:color="auto"/>
            <w:left w:val="none" w:sz="0" w:space="0" w:color="auto"/>
            <w:bottom w:val="none" w:sz="0" w:space="0" w:color="auto"/>
            <w:right w:val="none" w:sz="0" w:space="0" w:color="auto"/>
          </w:divBdr>
        </w:div>
        <w:div w:id="158619025">
          <w:marLeft w:val="0"/>
          <w:marRight w:val="0"/>
          <w:marTop w:val="0"/>
          <w:marBottom w:val="0"/>
          <w:divBdr>
            <w:top w:val="none" w:sz="0" w:space="0" w:color="auto"/>
            <w:left w:val="none" w:sz="0" w:space="0" w:color="auto"/>
            <w:bottom w:val="none" w:sz="0" w:space="0" w:color="auto"/>
            <w:right w:val="none" w:sz="0" w:space="0" w:color="auto"/>
          </w:divBdr>
        </w:div>
      </w:divsChild>
    </w:div>
    <w:div w:id="832918640">
      <w:bodyDiv w:val="1"/>
      <w:marLeft w:val="0"/>
      <w:marRight w:val="0"/>
      <w:marTop w:val="0"/>
      <w:marBottom w:val="0"/>
      <w:divBdr>
        <w:top w:val="none" w:sz="0" w:space="0" w:color="auto"/>
        <w:left w:val="none" w:sz="0" w:space="0" w:color="auto"/>
        <w:bottom w:val="none" w:sz="0" w:space="0" w:color="auto"/>
        <w:right w:val="none" w:sz="0" w:space="0" w:color="auto"/>
      </w:divBdr>
      <w:divsChild>
        <w:div w:id="769860318">
          <w:marLeft w:val="0"/>
          <w:marRight w:val="0"/>
          <w:marTop w:val="0"/>
          <w:marBottom w:val="0"/>
          <w:divBdr>
            <w:top w:val="none" w:sz="0" w:space="0" w:color="auto"/>
            <w:left w:val="none" w:sz="0" w:space="0" w:color="auto"/>
            <w:bottom w:val="none" w:sz="0" w:space="0" w:color="auto"/>
            <w:right w:val="none" w:sz="0" w:space="0" w:color="auto"/>
          </w:divBdr>
          <w:divsChild>
            <w:div w:id="625043566">
              <w:marLeft w:val="0"/>
              <w:marRight w:val="0"/>
              <w:marTop w:val="0"/>
              <w:marBottom w:val="0"/>
              <w:divBdr>
                <w:top w:val="none" w:sz="0" w:space="0" w:color="auto"/>
                <w:left w:val="none" w:sz="0" w:space="0" w:color="auto"/>
                <w:bottom w:val="none" w:sz="0" w:space="0" w:color="auto"/>
                <w:right w:val="none" w:sz="0" w:space="0" w:color="auto"/>
              </w:divBdr>
            </w:div>
            <w:div w:id="2023319915">
              <w:marLeft w:val="0"/>
              <w:marRight w:val="0"/>
              <w:marTop w:val="0"/>
              <w:marBottom w:val="0"/>
              <w:divBdr>
                <w:top w:val="none" w:sz="0" w:space="0" w:color="auto"/>
                <w:left w:val="none" w:sz="0" w:space="0" w:color="auto"/>
                <w:bottom w:val="none" w:sz="0" w:space="0" w:color="auto"/>
                <w:right w:val="none" w:sz="0" w:space="0" w:color="auto"/>
              </w:divBdr>
            </w:div>
            <w:div w:id="514617374">
              <w:marLeft w:val="0"/>
              <w:marRight w:val="0"/>
              <w:marTop w:val="0"/>
              <w:marBottom w:val="0"/>
              <w:divBdr>
                <w:top w:val="none" w:sz="0" w:space="0" w:color="auto"/>
                <w:left w:val="none" w:sz="0" w:space="0" w:color="auto"/>
                <w:bottom w:val="none" w:sz="0" w:space="0" w:color="auto"/>
                <w:right w:val="none" w:sz="0" w:space="0" w:color="auto"/>
              </w:divBdr>
            </w:div>
            <w:div w:id="1189684471">
              <w:marLeft w:val="0"/>
              <w:marRight w:val="0"/>
              <w:marTop w:val="0"/>
              <w:marBottom w:val="0"/>
              <w:divBdr>
                <w:top w:val="none" w:sz="0" w:space="0" w:color="auto"/>
                <w:left w:val="none" w:sz="0" w:space="0" w:color="auto"/>
                <w:bottom w:val="none" w:sz="0" w:space="0" w:color="auto"/>
                <w:right w:val="none" w:sz="0" w:space="0" w:color="auto"/>
              </w:divBdr>
            </w:div>
          </w:divsChild>
        </w:div>
        <w:div w:id="1838230772">
          <w:marLeft w:val="0"/>
          <w:marRight w:val="0"/>
          <w:marTop w:val="0"/>
          <w:marBottom w:val="0"/>
          <w:divBdr>
            <w:top w:val="none" w:sz="0" w:space="0" w:color="auto"/>
            <w:left w:val="none" w:sz="0" w:space="0" w:color="auto"/>
            <w:bottom w:val="none" w:sz="0" w:space="0" w:color="auto"/>
            <w:right w:val="none" w:sz="0" w:space="0" w:color="auto"/>
          </w:divBdr>
          <w:divsChild>
            <w:div w:id="198513796">
              <w:marLeft w:val="0"/>
              <w:marRight w:val="0"/>
              <w:marTop w:val="0"/>
              <w:marBottom w:val="0"/>
              <w:divBdr>
                <w:top w:val="none" w:sz="0" w:space="0" w:color="auto"/>
                <w:left w:val="none" w:sz="0" w:space="0" w:color="auto"/>
                <w:bottom w:val="none" w:sz="0" w:space="0" w:color="auto"/>
                <w:right w:val="none" w:sz="0" w:space="0" w:color="auto"/>
              </w:divBdr>
            </w:div>
            <w:div w:id="2093311558">
              <w:marLeft w:val="0"/>
              <w:marRight w:val="0"/>
              <w:marTop w:val="0"/>
              <w:marBottom w:val="0"/>
              <w:divBdr>
                <w:top w:val="none" w:sz="0" w:space="0" w:color="auto"/>
                <w:left w:val="none" w:sz="0" w:space="0" w:color="auto"/>
                <w:bottom w:val="none" w:sz="0" w:space="0" w:color="auto"/>
                <w:right w:val="none" w:sz="0" w:space="0" w:color="auto"/>
              </w:divBdr>
            </w:div>
            <w:div w:id="760181784">
              <w:marLeft w:val="0"/>
              <w:marRight w:val="0"/>
              <w:marTop w:val="0"/>
              <w:marBottom w:val="0"/>
              <w:divBdr>
                <w:top w:val="none" w:sz="0" w:space="0" w:color="auto"/>
                <w:left w:val="none" w:sz="0" w:space="0" w:color="auto"/>
                <w:bottom w:val="none" w:sz="0" w:space="0" w:color="auto"/>
                <w:right w:val="none" w:sz="0" w:space="0" w:color="auto"/>
              </w:divBdr>
            </w:div>
            <w:div w:id="1288857087">
              <w:marLeft w:val="0"/>
              <w:marRight w:val="0"/>
              <w:marTop w:val="0"/>
              <w:marBottom w:val="0"/>
              <w:divBdr>
                <w:top w:val="none" w:sz="0" w:space="0" w:color="auto"/>
                <w:left w:val="none" w:sz="0" w:space="0" w:color="auto"/>
                <w:bottom w:val="none" w:sz="0" w:space="0" w:color="auto"/>
                <w:right w:val="none" w:sz="0" w:space="0" w:color="auto"/>
              </w:divBdr>
            </w:div>
            <w:div w:id="1984889462">
              <w:marLeft w:val="0"/>
              <w:marRight w:val="0"/>
              <w:marTop w:val="0"/>
              <w:marBottom w:val="0"/>
              <w:divBdr>
                <w:top w:val="none" w:sz="0" w:space="0" w:color="auto"/>
                <w:left w:val="none" w:sz="0" w:space="0" w:color="auto"/>
                <w:bottom w:val="none" w:sz="0" w:space="0" w:color="auto"/>
                <w:right w:val="none" w:sz="0" w:space="0" w:color="auto"/>
              </w:divBdr>
            </w:div>
          </w:divsChild>
        </w:div>
        <w:div w:id="2086412157">
          <w:marLeft w:val="0"/>
          <w:marRight w:val="0"/>
          <w:marTop w:val="0"/>
          <w:marBottom w:val="0"/>
          <w:divBdr>
            <w:top w:val="none" w:sz="0" w:space="0" w:color="auto"/>
            <w:left w:val="none" w:sz="0" w:space="0" w:color="auto"/>
            <w:bottom w:val="none" w:sz="0" w:space="0" w:color="auto"/>
            <w:right w:val="none" w:sz="0" w:space="0" w:color="auto"/>
          </w:divBdr>
          <w:divsChild>
            <w:div w:id="1400639010">
              <w:marLeft w:val="0"/>
              <w:marRight w:val="0"/>
              <w:marTop w:val="0"/>
              <w:marBottom w:val="0"/>
              <w:divBdr>
                <w:top w:val="none" w:sz="0" w:space="0" w:color="auto"/>
                <w:left w:val="none" w:sz="0" w:space="0" w:color="auto"/>
                <w:bottom w:val="none" w:sz="0" w:space="0" w:color="auto"/>
                <w:right w:val="none" w:sz="0" w:space="0" w:color="auto"/>
              </w:divBdr>
            </w:div>
            <w:div w:id="1186669981">
              <w:marLeft w:val="0"/>
              <w:marRight w:val="0"/>
              <w:marTop w:val="0"/>
              <w:marBottom w:val="0"/>
              <w:divBdr>
                <w:top w:val="none" w:sz="0" w:space="0" w:color="auto"/>
                <w:left w:val="none" w:sz="0" w:space="0" w:color="auto"/>
                <w:bottom w:val="none" w:sz="0" w:space="0" w:color="auto"/>
                <w:right w:val="none" w:sz="0" w:space="0" w:color="auto"/>
              </w:divBdr>
            </w:div>
            <w:div w:id="1228959723">
              <w:marLeft w:val="0"/>
              <w:marRight w:val="0"/>
              <w:marTop w:val="0"/>
              <w:marBottom w:val="0"/>
              <w:divBdr>
                <w:top w:val="none" w:sz="0" w:space="0" w:color="auto"/>
                <w:left w:val="none" w:sz="0" w:space="0" w:color="auto"/>
                <w:bottom w:val="none" w:sz="0" w:space="0" w:color="auto"/>
                <w:right w:val="none" w:sz="0" w:space="0" w:color="auto"/>
              </w:divBdr>
            </w:div>
            <w:div w:id="1938437795">
              <w:marLeft w:val="0"/>
              <w:marRight w:val="0"/>
              <w:marTop w:val="0"/>
              <w:marBottom w:val="0"/>
              <w:divBdr>
                <w:top w:val="none" w:sz="0" w:space="0" w:color="auto"/>
                <w:left w:val="none" w:sz="0" w:space="0" w:color="auto"/>
                <w:bottom w:val="none" w:sz="0" w:space="0" w:color="auto"/>
                <w:right w:val="none" w:sz="0" w:space="0" w:color="auto"/>
              </w:divBdr>
            </w:div>
            <w:div w:id="1878346837">
              <w:marLeft w:val="0"/>
              <w:marRight w:val="0"/>
              <w:marTop w:val="0"/>
              <w:marBottom w:val="0"/>
              <w:divBdr>
                <w:top w:val="none" w:sz="0" w:space="0" w:color="auto"/>
                <w:left w:val="none" w:sz="0" w:space="0" w:color="auto"/>
                <w:bottom w:val="none" w:sz="0" w:space="0" w:color="auto"/>
                <w:right w:val="none" w:sz="0" w:space="0" w:color="auto"/>
              </w:divBdr>
            </w:div>
          </w:divsChild>
        </w:div>
        <w:div w:id="1907957022">
          <w:marLeft w:val="0"/>
          <w:marRight w:val="0"/>
          <w:marTop w:val="0"/>
          <w:marBottom w:val="0"/>
          <w:divBdr>
            <w:top w:val="none" w:sz="0" w:space="0" w:color="auto"/>
            <w:left w:val="none" w:sz="0" w:space="0" w:color="auto"/>
            <w:bottom w:val="none" w:sz="0" w:space="0" w:color="auto"/>
            <w:right w:val="none" w:sz="0" w:space="0" w:color="auto"/>
          </w:divBdr>
          <w:divsChild>
            <w:div w:id="892158230">
              <w:marLeft w:val="0"/>
              <w:marRight w:val="0"/>
              <w:marTop w:val="0"/>
              <w:marBottom w:val="0"/>
              <w:divBdr>
                <w:top w:val="none" w:sz="0" w:space="0" w:color="auto"/>
                <w:left w:val="none" w:sz="0" w:space="0" w:color="auto"/>
                <w:bottom w:val="none" w:sz="0" w:space="0" w:color="auto"/>
                <w:right w:val="none" w:sz="0" w:space="0" w:color="auto"/>
              </w:divBdr>
            </w:div>
            <w:div w:id="550768243">
              <w:marLeft w:val="0"/>
              <w:marRight w:val="0"/>
              <w:marTop w:val="0"/>
              <w:marBottom w:val="0"/>
              <w:divBdr>
                <w:top w:val="none" w:sz="0" w:space="0" w:color="auto"/>
                <w:left w:val="none" w:sz="0" w:space="0" w:color="auto"/>
                <w:bottom w:val="none" w:sz="0" w:space="0" w:color="auto"/>
                <w:right w:val="none" w:sz="0" w:space="0" w:color="auto"/>
              </w:divBdr>
            </w:div>
            <w:div w:id="1789814947">
              <w:marLeft w:val="0"/>
              <w:marRight w:val="0"/>
              <w:marTop w:val="0"/>
              <w:marBottom w:val="0"/>
              <w:divBdr>
                <w:top w:val="none" w:sz="0" w:space="0" w:color="auto"/>
                <w:left w:val="none" w:sz="0" w:space="0" w:color="auto"/>
                <w:bottom w:val="none" w:sz="0" w:space="0" w:color="auto"/>
                <w:right w:val="none" w:sz="0" w:space="0" w:color="auto"/>
              </w:divBdr>
            </w:div>
            <w:div w:id="1587225294">
              <w:marLeft w:val="0"/>
              <w:marRight w:val="0"/>
              <w:marTop w:val="0"/>
              <w:marBottom w:val="0"/>
              <w:divBdr>
                <w:top w:val="none" w:sz="0" w:space="0" w:color="auto"/>
                <w:left w:val="none" w:sz="0" w:space="0" w:color="auto"/>
                <w:bottom w:val="none" w:sz="0" w:space="0" w:color="auto"/>
                <w:right w:val="none" w:sz="0" w:space="0" w:color="auto"/>
              </w:divBdr>
            </w:div>
            <w:div w:id="1059475281">
              <w:marLeft w:val="0"/>
              <w:marRight w:val="0"/>
              <w:marTop w:val="0"/>
              <w:marBottom w:val="0"/>
              <w:divBdr>
                <w:top w:val="none" w:sz="0" w:space="0" w:color="auto"/>
                <w:left w:val="none" w:sz="0" w:space="0" w:color="auto"/>
                <w:bottom w:val="none" w:sz="0" w:space="0" w:color="auto"/>
                <w:right w:val="none" w:sz="0" w:space="0" w:color="auto"/>
              </w:divBdr>
            </w:div>
          </w:divsChild>
        </w:div>
        <w:div w:id="220867436">
          <w:marLeft w:val="0"/>
          <w:marRight w:val="0"/>
          <w:marTop w:val="0"/>
          <w:marBottom w:val="0"/>
          <w:divBdr>
            <w:top w:val="none" w:sz="0" w:space="0" w:color="auto"/>
            <w:left w:val="none" w:sz="0" w:space="0" w:color="auto"/>
            <w:bottom w:val="none" w:sz="0" w:space="0" w:color="auto"/>
            <w:right w:val="none" w:sz="0" w:space="0" w:color="auto"/>
          </w:divBdr>
        </w:div>
        <w:div w:id="1730181360">
          <w:marLeft w:val="0"/>
          <w:marRight w:val="0"/>
          <w:marTop w:val="0"/>
          <w:marBottom w:val="0"/>
          <w:divBdr>
            <w:top w:val="none" w:sz="0" w:space="0" w:color="auto"/>
            <w:left w:val="none" w:sz="0" w:space="0" w:color="auto"/>
            <w:bottom w:val="none" w:sz="0" w:space="0" w:color="auto"/>
            <w:right w:val="none" w:sz="0" w:space="0" w:color="auto"/>
          </w:divBdr>
        </w:div>
        <w:div w:id="754862406">
          <w:marLeft w:val="0"/>
          <w:marRight w:val="0"/>
          <w:marTop w:val="0"/>
          <w:marBottom w:val="0"/>
          <w:divBdr>
            <w:top w:val="none" w:sz="0" w:space="0" w:color="auto"/>
            <w:left w:val="none" w:sz="0" w:space="0" w:color="auto"/>
            <w:bottom w:val="none" w:sz="0" w:space="0" w:color="auto"/>
            <w:right w:val="none" w:sz="0" w:space="0" w:color="auto"/>
          </w:divBdr>
        </w:div>
        <w:div w:id="339546800">
          <w:marLeft w:val="0"/>
          <w:marRight w:val="0"/>
          <w:marTop w:val="0"/>
          <w:marBottom w:val="0"/>
          <w:divBdr>
            <w:top w:val="none" w:sz="0" w:space="0" w:color="auto"/>
            <w:left w:val="none" w:sz="0" w:space="0" w:color="auto"/>
            <w:bottom w:val="none" w:sz="0" w:space="0" w:color="auto"/>
            <w:right w:val="none" w:sz="0" w:space="0" w:color="auto"/>
          </w:divBdr>
        </w:div>
        <w:div w:id="1746221412">
          <w:marLeft w:val="0"/>
          <w:marRight w:val="0"/>
          <w:marTop w:val="0"/>
          <w:marBottom w:val="0"/>
          <w:divBdr>
            <w:top w:val="none" w:sz="0" w:space="0" w:color="auto"/>
            <w:left w:val="none" w:sz="0" w:space="0" w:color="auto"/>
            <w:bottom w:val="none" w:sz="0" w:space="0" w:color="auto"/>
            <w:right w:val="none" w:sz="0" w:space="0" w:color="auto"/>
          </w:divBdr>
        </w:div>
        <w:div w:id="1385442460">
          <w:marLeft w:val="0"/>
          <w:marRight w:val="0"/>
          <w:marTop w:val="0"/>
          <w:marBottom w:val="0"/>
          <w:divBdr>
            <w:top w:val="none" w:sz="0" w:space="0" w:color="auto"/>
            <w:left w:val="none" w:sz="0" w:space="0" w:color="auto"/>
            <w:bottom w:val="none" w:sz="0" w:space="0" w:color="auto"/>
            <w:right w:val="none" w:sz="0" w:space="0" w:color="auto"/>
          </w:divBdr>
        </w:div>
        <w:div w:id="1637177044">
          <w:marLeft w:val="0"/>
          <w:marRight w:val="0"/>
          <w:marTop w:val="0"/>
          <w:marBottom w:val="0"/>
          <w:divBdr>
            <w:top w:val="none" w:sz="0" w:space="0" w:color="auto"/>
            <w:left w:val="none" w:sz="0" w:space="0" w:color="auto"/>
            <w:bottom w:val="none" w:sz="0" w:space="0" w:color="auto"/>
            <w:right w:val="none" w:sz="0" w:space="0" w:color="auto"/>
          </w:divBdr>
        </w:div>
      </w:divsChild>
    </w:div>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297951756">
      <w:bodyDiv w:val="1"/>
      <w:marLeft w:val="0"/>
      <w:marRight w:val="0"/>
      <w:marTop w:val="0"/>
      <w:marBottom w:val="0"/>
      <w:divBdr>
        <w:top w:val="none" w:sz="0" w:space="0" w:color="auto"/>
        <w:left w:val="none" w:sz="0" w:space="0" w:color="auto"/>
        <w:bottom w:val="none" w:sz="0" w:space="0" w:color="auto"/>
        <w:right w:val="none" w:sz="0" w:space="0" w:color="auto"/>
      </w:divBdr>
    </w:div>
    <w:div w:id="1501047903">
      <w:bodyDiv w:val="1"/>
      <w:marLeft w:val="0"/>
      <w:marRight w:val="0"/>
      <w:marTop w:val="0"/>
      <w:marBottom w:val="0"/>
      <w:divBdr>
        <w:top w:val="none" w:sz="0" w:space="0" w:color="auto"/>
        <w:left w:val="none" w:sz="0" w:space="0" w:color="auto"/>
        <w:bottom w:val="none" w:sz="0" w:space="0" w:color="auto"/>
        <w:right w:val="none" w:sz="0" w:space="0" w:color="auto"/>
      </w:divBdr>
      <w:divsChild>
        <w:div w:id="1209612521">
          <w:marLeft w:val="0"/>
          <w:marRight w:val="0"/>
          <w:marTop w:val="0"/>
          <w:marBottom w:val="0"/>
          <w:divBdr>
            <w:top w:val="none" w:sz="0" w:space="0" w:color="auto"/>
            <w:left w:val="none" w:sz="0" w:space="0" w:color="auto"/>
            <w:bottom w:val="none" w:sz="0" w:space="0" w:color="auto"/>
            <w:right w:val="none" w:sz="0" w:space="0" w:color="auto"/>
          </w:divBdr>
          <w:divsChild>
            <w:div w:id="800880860">
              <w:marLeft w:val="0"/>
              <w:marRight w:val="0"/>
              <w:marTop w:val="0"/>
              <w:marBottom w:val="0"/>
              <w:divBdr>
                <w:top w:val="none" w:sz="0" w:space="0" w:color="auto"/>
                <w:left w:val="none" w:sz="0" w:space="0" w:color="auto"/>
                <w:bottom w:val="none" w:sz="0" w:space="0" w:color="auto"/>
                <w:right w:val="none" w:sz="0" w:space="0" w:color="auto"/>
              </w:divBdr>
            </w:div>
          </w:divsChild>
        </w:div>
        <w:div w:id="1619409929">
          <w:marLeft w:val="0"/>
          <w:marRight w:val="0"/>
          <w:marTop w:val="0"/>
          <w:marBottom w:val="0"/>
          <w:divBdr>
            <w:top w:val="none" w:sz="0" w:space="0" w:color="auto"/>
            <w:left w:val="none" w:sz="0" w:space="0" w:color="auto"/>
            <w:bottom w:val="none" w:sz="0" w:space="0" w:color="auto"/>
            <w:right w:val="none" w:sz="0" w:space="0" w:color="auto"/>
          </w:divBdr>
          <w:divsChild>
            <w:div w:id="1654022116">
              <w:marLeft w:val="0"/>
              <w:marRight w:val="0"/>
              <w:marTop w:val="0"/>
              <w:marBottom w:val="0"/>
              <w:divBdr>
                <w:top w:val="none" w:sz="0" w:space="0" w:color="auto"/>
                <w:left w:val="none" w:sz="0" w:space="0" w:color="auto"/>
                <w:bottom w:val="none" w:sz="0" w:space="0" w:color="auto"/>
                <w:right w:val="none" w:sz="0" w:space="0" w:color="auto"/>
              </w:divBdr>
            </w:div>
          </w:divsChild>
        </w:div>
        <w:div w:id="662513816">
          <w:marLeft w:val="0"/>
          <w:marRight w:val="0"/>
          <w:marTop w:val="0"/>
          <w:marBottom w:val="0"/>
          <w:divBdr>
            <w:top w:val="none" w:sz="0" w:space="0" w:color="auto"/>
            <w:left w:val="none" w:sz="0" w:space="0" w:color="auto"/>
            <w:bottom w:val="none" w:sz="0" w:space="0" w:color="auto"/>
            <w:right w:val="none" w:sz="0" w:space="0" w:color="auto"/>
          </w:divBdr>
          <w:divsChild>
            <w:div w:id="1107969644">
              <w:marLeft w:val="0"/>
              <w:marRight w:val="0"/>
              <w:marTop w:val="0"/>
              <w:marBottom w:val="0"/>
              <w:divBdr>
                <w:top w:val="none" w:sz="0" w:space="0" w:color="auto"/>
                <w:left w:val="none" w:sz="0" w:space="0" w:color="auto"/>
                <w:bottom w:val="none" w:sz="0" w:space="0" w:color="auto"/>
                <w:right w:val="none" w:sz="0" w:space="0" w:color="auto"/>
              </w:divBdr>
            </w:div>
          </w:divsChild>
        </w:div>
        <w:div w:id="607784867">
          <w:marLeft w:val="0"/>
          <w:marRight w:val="0"/>
          <w:marTop w:val="0"/>
          <w:marBottom w:val="0"/>
          <w:divBdr>
            <w:top w:val="none" w:sz="0" w:space="0" w:color="auto"/>
            <w:left w:val="none" w:sz="0" w:space="0" w:color="auto"/>
            <w:bottom w:val="none" w:sz="0" w:space="0" w:color="auto"/>
            <w:right w:val="none" w:sz="0" w:space="0" w:color="auto"/>
          </w:divBdr>
          <w:divsChild>
            <w:div w:id="1787458712">
              <w:marLeft w:val="0"/>
              <w:marRight w:val="0"/>
              <w:marTop w:val="0"/>
              <w:marBottom w:val="0"/>
              <w:divBdr>
                <w:top w:val="none" w:sz="0" w:space="0" w:color="auto"/>
                <w:left w:val="none" w:sz="0" w:space="0" w:color="auto"/>
                <w:bottom w:val="none" w:sz="0" w:space="0" w:color="auto"/>
                <w:right w:val="none" w:sz="0" w:space="0" w:color="auto"/>
              </w:divBdr>
            </w:div>
          </w:divsChild>
        </w:div>
        <w:div w:id="340745368">
          <w:marLeft w:val="0"/>
          <w:marRight w:val="0"/>
          <w:marTop w:val="0"/>
          <w:marBottom w:val="0"/>
          <w:divBdr>
            <w:top w:val="none" w:sz="0" w:space="0" w:color="auto"/>
            <w:left w:val="none" w:sz="0" w:space="0" w:color="auto"/>
            <w:bottom w:val="none" w:sz="0" w:space="0" w:color="auto"/>
            <w:right w:val="none" w:sz="0" w:space="0" w:color="auto"/>
          </w:divBdr>
          <w:divsChild>
            <w:div w:id="1869829493">
              <w:marLeft w:val="0"/>
              <w:marRight w:val="0"/>
              <w:marTop w:val="0"/>
              <w:marBottom w:val="0"/>
              <w:divBdr>
                <w:top w:val="none" w:sz="0" w:space="0" w:color="auto"/>
                <w:left w:val="none" w:sz="0" w:space="0" w:color="auto"/>
                <w:bottom w:val="none" w:sz="0" w:space="0" w:color="auto"/>
                <w:right w:val="none" w:sz="0" w:space="0" w:color="auto"/>
              </w:divBdr>
            </w:div>
          </w:divsChild>
        </w:div>
        <w:div w:id="754208310">
          <w:marLeft w:val="0"/>
          <w:marRight w:val="0"/>
          <w:marTop w:val="0"/>
          <w:marBottom w:val="0"/>
          <w:divBdr>
            <w:top w:val="none" w:sz="0" w:space="0" w:color="auto"/>
            <w:left w:val="none" w:sz="0" w:space="0" w:color="auto"/>
            <w:bottom w:val="none" w:sz="0" w:space="0" w:color="auto"/>
            <w:right w:val="none" w:sz="0" w:space="0" w:color="auto"/>
          </w:divBdr>
          <w:divsChild>
            <w:div w:id="1426457661">
              <w:marLeft w:val="0"/>
              <w:marRight w:val="0"/>
              <w:marTop w:val="0"/>
              <w:marBottom w:val="0"/>
              <w:divBdr>
                <w:top w:val="none" w:sz="0" w:space="0" w:color="auto"/>
                <w:left w:val="none" w:sz="0" w:space="0" w:color="auto"/>
                <w:bottom w:val="none" w:sz="0" w:space="0" w:color="auto"/>
                <w:right w:val="none" w:sz="0" w:space="0" w:color="auto"/>
              </w:divBdr>
            </w:div>
          </w:divsChild>
        </w:div>
        <w:div w:id="896865777">
          <w:marLeft w:val="0"/>
          <w:marRight w:val="0"/>
          <w:marTop w:val="0"/>
          <w:marBottom w:val="0"/>
          <w:divBdr>
            <w:top w:val="none" w:sz="0" w:space="0" w:color="auto"/>
            <w:left w:val="none" w:sz="0" w:space="0" w:color="auto"/>
            <w:bottom w:val="none" w:sz="0" w:space="0" w:color="auto"/>
            <w:right w:val="none" w:sz="0" w:space="0" w:color="auto"/>
          </w:divBdr>
          <w:divsChild>
            <w:div w:id="2083289335">
              <w:marLeft w:val="0"/>
              <w:marRight w:val="0"/>
              <w:marTop w:val="0"/>
              <w:marBottom w:val="0"/>
              <w:divBdr>
                <w:top w:val="none" w:sz="0" w:space="0" w:color="auto"/>
                <w:left w:val="none" w:sz="0" w:space="0" w:color="auto"/>
                <w:bottom w:val="none" w:sz="0" w:space="0" w:color="auto"/>
                <w:right w:val="none" w:sz="0" w:space="0" w:color="auto"/>
              </w:divBdr>
            </w:div>
          </w:divsChild>
        </w:div>
        <w:div w:id="481240766">
          <w:marLeft w:val="0"/>
          <w:marRight w:val="0"/>
          <w:marTop w:val="0"/>
          <w:marBottom w:val="0"/>
          <w:divBdr>
            <w:top w:val="none" w:sz="0" w:space="0" w:color="auto"/>
            <w:left w:val="none" w:sz="0" w:space="0" w:color="auto"/>
            <w:bottom w:val="none" w:sz="0" w:space="0" w:color="auto"/>
            <w:right w:val="none" w:sz="0" w:space="0" w:color="auto"/>
          </w:divBdr>
          <w:divsChild>
            <w:div w:id="1183786354">
              <w:marLeft w:val="0"/>
              <w:marRight w:val="0"/>
              <w:marTop w:val="0"/>
              <w:marBottom w:val="0"/>
              <w:divBdr>
                <w:top w:val="none" w:sz="0" w:space="0" w:color="auto"/>
                <w:left w:val="none" w:sz="0" w:space="0" w:color="auto"/>
                <w:bottom w:val="none" w:sz="0" w:space="0" w:color="auto"/>
                <w:right w:val="none" w:sz="0" w:space="0" w:color="auto"/>
              </w:divBdr>
            </w:div>
          </w:divsChild>
        </w:div>
        <w:div w:id="2062172228">
          <w:marLeft w:val="0"/>
          <w:marRight w:val="0"/>
          <w:marTop w:val="0"/>
          <w:marBottom w:val="0"/>
          <w:divBdr>
            <w:top w:val="none" w:sz="0" w:space="0" w:color="auto"/>
            <w:left w:val="none" w:sz="0" w:space="0" w:color="auto"/>
            <w:bottom w:val="none" w:sz="0" w:space="0" w:color="auto"/>
            <w:right w:val="none" w:sz="0" w:space="0" w:color="auto"/>
          </w:divBdr>
          <w:divsChild>
            <w:div w:id="1253590438">
              <w:marLeft w:val="0"/>
              <w:marRight w:val="0"/>
              <w:marTop w:val="0"/>
              <w:marBottom w:val="0"/>
              <w:divBdr>
                <w:top w:val="none" w:sz="0" w:space="0" w:color="auto"/>
                <w:left w:val="none" w:sz="0" w:space="0" w:color="auto"/>
                <w:bottom w:val="none" w:sz="0" w:space="0" w:color="auto"/>
                <w:right w:val="none" w:sz="0" w:space="0" w:color="auto"/>
              </w:divBdr>
            </w:div>
          </w:divsChild>
        </w:div>
        <w:div w:id="814103662">
          <w:marLeft w:val="0"/>
          <w:marRight w:val="0"/>
          <w:marTop w:val="0"/>
          <w:marBottom w:val="0"/>
          <w:divBdr>
            <w:top w:val="none" w:sz="0" w:space="0" w:color="auto"/>
            <w:left w:val="none" w:sz="0" w:space="0" w:color="auto"/>
            <w:bottom w:val="none" w:sz="0" w:space="0" w:color="auto"/>
            <w:right w:val="none" w:sz="0" w:space="0" w:color="auto"/>
          </w:divBdr>
          <w:divsChild>
            <w:div w:id="2073195970">
              <w:marLeft w:val="0"/>
              <w:marRight w:val="0"/>
              <w:marTop w:val="0"/>
              <w:marBottom w:val="0"/>
              <w:divBdr>
                <w:top w:val="none" w:sz="0" w:space="0" w:color="auto"/>
                <w:left w:val="none" w:sz="0" w:space="0" w:color="auto"/>
                <w:bottom w:val="none" w:sz="0" w:space="0" w:color="auto"/>
                <w:right w:val="none" w:sz="0" w:space="0" w:color="auto"/>
              </w:divBdr>
            </w:div>
          </w:divsChild>
        </w:div>
        <w:div w:id="2143309294">
          <w:marLeft w:val="0"/>
          <w:marRight w:val="0"/>
          <w:marTop w:val="0"/>
          <w:marBottom w:val="0"/>
          <w:divBdr>
            <w:top w:val="none" w:sz="0" w:space="0" w:color="auto"/>
            <w:left w:val="none" w:sz="0" w:space="0" w:color="auto"/>
            <w:bottom w:val="none" w:sz="0" w:space="0" w:color="auto"/>
            <w:right w:val="none" w:sz="0" w:space="0" w:color="auto"/>
          </w:divBdr>
          <w:divsChild>
            <w:div w:id="1557082822">
              <w:marLeft w:val="0"/>
              <w:marRight w:val="0"/>
              <w:marTop w:val="0"/>
              <w:marBottom w:val="0"/>
              <w:divBdr>
                <w:top w:val="none" w:sz="0" w:space="0" w:color="auto"/>
                <w:left w:val="none" w:sz="0" w:space="0" w:color="auto"/>
                <w:bottom w:val="none" w:sz="0" w:space="0" w:color="auto"/>
                <w:right w:val="none" w:sz="0" w:space="0" w:color="auto"/>
              </w:divBdr>
            </w:div>
          </w:divsChild>
        </w:div>
        <w:div w:id="2071881373">
          <w:marLeft w:val="0"/>
          <w:marRight w:val="0"/>
          <w:marTop w:val="0"/>
          <w:marBottom w:val="0"/>
          <w:divBdr>
            <w:top w:val="none" w:sz="0" w:space="0" w:color="auto"/>
            <w:left w:val="none" w:sz="0" w:space="0" w:color="auto"/>
            <w:bottom w:val="none" w:sz="0" w:space="0" w:color="auto"/>
            <w:right w:val="none" w:sz="0" w:space="0" w:color="auto"/>
          </w:divBdr>
          <w:divsChild>
            <w:div w:id="832835074">
              <w:marLeft w:val="0"/>
              <w:marRight w:val="0"/>
              <w:marTop w:val="0"/>
              <w:marBottom w:val="0"/>
              <w:divBdr>
                <w:top w:val="none" w:sz="0" w:space="0" w:color="auto"/>
                <w:left w:val="none" w:sz="0" w:space="0" w:color="auto"/>
                <w:bottom w:val="none" w:sz="0" w:space="0" w:color="auto"/>
                <w:right w:val="none" w:sz="0" w:space="0" w:color="auto"/>
              </w:divBdr>
            </w:div>
          </w:divsChild>
        </w:div>
        <w:div w:id="1115947656">
          <w:marLeft w:val="0"/>
          <w:marRight w:val="0"/>
          <w:marTop w:val="0"/>
          <w:marBottom w:val="0"/>
          <w:divBdr>
            <w:top w:val="none" w:sz="0" w:space="0" w:color="auto"/>
            <w:left w:val="none" w:sz="0" w:space="0" w:color="auto"/>
            <w:bottom w:val="none" w:sz="0" w:space="0" w:color="auto"/>
            <w:right w:val="none" w:sz="0" w:space="0" w:color="auto"/>
          </w:divBdr>
          <w:divsChild>
            <w:div w:id="1080327856">
              <w:marLeft w:val="0"/>
              <w:marRight w:val="0"/>
              <w:marTop w:val="0"/>
              <w:marBottom w:val="0"/>
              <w:divBdr>
                <w:top w:val="none" w:sz="0" w:space="0" w:color="auto"/>
                <w:left w:val="none" w:sz="0" w:space="0" w:color="auto"/>
                <w:bottom w:val="none" w:sz="0" w:space="0" w:color="auto"/>
                <w:right w:val="none" w:sz="0" w:space="0" w:color="auto"/>
              </w:divBdr>
            </w:div>
          </w:divsChild>
        </w:div>
        <w:div w:id="2106874839">
          <w:marLeft w:val="0"/>
          <w:marRight w:val="0"/>
          <w:marTop w:val="0"/>
          <w:marBottom w:val="0"/>
          <w:divBdr>
            <w:top w:val="none" w:sz="0" w:space="0" w:color="auto"/>
            <w:left w:val="none" w:sz="0" w:space="0" w:color="auto"/>
            <w:bottom w:val="none" w:sz="0" w:space="0" w:color="auto"/>
            <w:right w:val="none" w:sz="0" w:space="0" w:color="auto"/>
          </w:divBdr>
          <w:divsChild>
            <w:div w:id="469982531">
              <w:marLeft w:val="0"/>
              <w:marRight w:val="0"/>
              <w:marTop w:val="0"/>
              <w:marBottom w:val="0"/>
              <w:divBdr>
                <w:top w:val="none" w:sz="0" w:space="0" w:color="auto"/>
                <w:left w:val="none" w:sz="0" w:space="0" w:color="auto"/>
                <w:bottom w:val="none" w:sz="0" w:space="0" w:color="auto"/>
                <w:right w:val="none" w:sz="0" w:space="0" w:color="auto"/>
              </w:divBdr>
            </w:div>
          </w:divsChild>
        </w:div>
        <w:div w:id="252591073">
          <w:marLeft w:val="0"/>
          <w:marRight w:val="0"/>
          <w:marTop w:val="0"/>
          <w:marBottom w:val="0"/>
          <w:divBdr>
            <w:top w:val="none" w:sz="0" w:space="0" w:color="auto"/>
            <w:left w:val="none" w:sz="0" w:space="0" w:color="auto"/>
            <w:bottom w:val="none" w:sz="0" w:space="0" w:color="auto"/>
            <w:right w:val="none" w:sz="0" w:space="0" w:color="auto"/>
          </w:divBdr>
          <w:divsChild>
            <w:div w:id="1519615372">
              <w:marLeft w:val="0"/>
              <w:marRight w:val="0"/>
              <w:marTop w:val="0"/>
              <w:marBottom w:val="0"/>
              <w:divBdr>
                <w:top w:val="none" w:sz="0" w:space="0" w:color="auto"/>
                <w:left w:val="none" w:sz="0" w:space="0" w:color="auto"/>
                <w:bottom w:val="none" w:sz="0" w:space="0" w:color="auto"/>
                <w:right w:val="none" w:sz="0" w:space="0" w:color="auto"/>
              </w:divBdr>
            </w:div>
          </w:divsChild>
        </w:div>
        <w:div w:id="554240543">
          <w:marLeft w:val="0"/>
          <w:marRight w:val="0"/>
          <w:marTop w:val="0"/>
          <w:marBottom w:val="0"/>
          <w:divBdr>
            <w:top w:val="none" w:sz="0" w:space="0" w:color="auto"/>
            <w:left w:val="none" w:sz="0" w:space="0" w:color="auto"/>
            <w:bottom w:val="none" w:sz="0" w:space="0" w:color="auto"/>
            <w:right w:val="none" w:sz="0" w:space="0" w:color="auto"/>
          </w:divBdr>
          <w:divsChild>
            <w:div w:id="1355568688">
              <w:marLeft w:val="0"/>
              <w:marRight w:val="0"/>
              <w:marTop w:val="0"/>
              <w:marBottom w:val="0"/>
              <w:divBdr>
                <w:top w:val="none" w:sz="0" w:space="0" w:color="auto"/>
                <w:left w:val="none" w:sz="0" w:space="0" w:color="auto"/>
                <w:bottom w:val="none" w:sz="0" w:space="0" w:color="auto"/>
                <w:right w:val="none" w:sz="0" w:space="0" w:color="auto"/>
              </w:divBdr>
            </w:div>
          </w:divsChild>
        </w:div>
        <w:div w:id="1088118302">
          <w:marLeft w:val="0"/>
          <w:marRight w:val="0"/>
          <w:marTop w:val="0"/>
          <w:marBottom w:val="0"/>
          <w:divBdr>
            <w:top w:val="none" w:sz="0" w:space="0" w:color="auto"/>
            <w:left w:val="none" w:sz="0" w:space="0" w:color="auto"/>
            <w:bottom w:val="none" w:sz="0" w:space="0" w:color="auto"/>
            <w:right w:val="none" w:sz="0" w:space="0" w:color="auto"/>
          </w:divBdr>
          <w:divsChild>
            <w:div w:id="1119836274">
              <w:marLeft w:val="0"/>
              <w:marRight w:val="0"/>
              <w:marTop w:val="0"/>
              <w:marBottom w:val="0"/>
              <w:divBdr>
                <w:top w:val="none" w:sz="0" w:space="0" w:color="auto"/>
                <w:left w:val="none" w:sz="0" w:space="0" w:color="auto"/>
                <w:bottom w:val="none" w:sz="0" w:space="0" w:color="auto"/>
                <w:right w:val="none" w:sz="0" w:space="0" w:color="auto"/>
              </w:divBdr>
            </w:div>
          </w:divsChild>
        </w:div>
        <w:div w:id="993991267">
          <w:marLeft w:val="0"/>
          <w:marRight w:val="0"/>
          <w:marTop w:val="0"/>
          <w:marBottom w:val="0"/>
          <w:divBdr>
            <w:top w:val="none" w:sz="0" w:space="0" w:color="auto"/>
            <w:left w:val="none" w:sz="0" w:space="0" w:color="auto"/>
            <w:bottom w:val="none" w:sz="0" w:space="0" w:color="auto"/>
            <w:right w:val="none" w:sz="0" w:space="0" w:color="auto"/>
          </w:divBdr>
          <w:divsChild>
            <w:div w:id="1005747967">
              <w:marLeft w:val="0"/>
              <w:marRight w:val="0"/>
              <w:marTop w:val="0"/>
              <w:marBottom w:val="0"/>
              <w:divBdr>
                <w:top w:val="none" w:sz="0" w:space="0" w:color="auto"/>
                <w:left w:val="none" w:sz="0" w:space="0" w:color="auto"/>
                <w:bottom w:val="none" w:sz="0" w:space="0" w:color="auto"/>
                <w:right w:val="none" w:sz="0" w:space="0" w:color="auto"/>
              </w:divBdr>
            </w:div>
          </w:divsChild>
        </w:div>
        <w:div w:id="1980958416">
          <w:marLeft w:val="0"/>
          <w:marRight w:val="0"/>
          <w:marTop w:val="0"/>
          <w:marBottom w:val="0"/>
          <w:divBdr>
            <w:top w:val="none" w:sz="0" w:space="0" w:color="auto"/>
            <w:left w:val="none" w:sz="0" w:space="0" w:color="auto"/>
            <w:bottom w:val="none" w:sz="0" w:space="0" w:color="auto"/>
            <w:right w:val="none" w:sz="0" w:space="0" w:color="auto"/>
          </w:divBdr>
          <w:divsChild>
            <w:div w:id="1396126530">
              <w:marLeft w:val="0"/>
              <w:marRight w:val="0"/>
              <w:marTop w:val="0"/>
              <w:marBottom w:val="0"/>
              <w:divBdr>
                <w:top w:val="none" w:sz="0" w:space="0" w:color="auto"/>
                <w:left w:val="none" w:sz="0" w:space="0" w:color="auto"/>
                <w:bottom w:val="none" w:sz="0" w:space="0" w:color="auto"/>
                <w:right w:val="none" w:sz="0" w:space="0" w:color="auto"/>
              </w:divBdr>
            </w:div>
          </w:divsChild>
        </w:div>
        <w:div w:id="1591428783">
          <w:marLeft w:val="0"/>
          <w:marRight w:val="0"/>
          <w:marTop w:val="0"/>
          <w:marBottom w:val="0"/>
          <w:divBdr>
            <w:top w:val="none" w:sz="0" w:space="0" w:color="auto"/>
            <w:left w:val="none" w:sz="0" w:space="0" w:color="auto"/>
            <w:bottom w:val="none" w:sz="0" w:space="0" w:color="auto"/>
            <w:right w:val="none" w:sz="0" w:space="0" w:color="auto"/>
          </w:divBdr>
          <w:divsChild>
            <w:div w:id="1682589270">
              <w:marLeft w:val="0"/>
              <w:marRight w:val="0"/>
              <w:marTop w:val="0"/>
              <w:marBottom w:val="0"/>
              <w:divBdr>
                <w:top w:val="none" w:sz="0" w:space="0" w:color="auto"/>
                <w:left w:val="none" w:sz="0" w:space="0" w:color="auto"/>
                <w:bottom w:val="none" w:sz="0" w:space="0" w:color="auto"/>
                <w:right w:val="none" w:sz="0" w:space="0" w:color="auto"/>
              </w:divBdr>
            </w:div>
          </w:divsChild>
        </w:div>
        <w:div w:id="1488861472">
          <w:marLeft w:val="0"/>
          <w:marRight w:val="0"/>
          <w:marTop w:val="0"/>
          <w:marBottom w:val="0"/>
          <w:divBdr>
            <w:top w:val="none" w:sz="0" w:space="0" w:color="auto"/>
            <w:left w:val="none" w:sz="0" w:space="0" w:color="auto"/>
            <w:bottom w:val="none" w:sz="0" w:space="0" w:color="auto"/>
            <w:right w:val="none" w:sz="0" w:space="0" w:color="auto"/>
          </w:divBdr>
          <w:divsChild>
            <w:div w:id="1403406306">
              <w:marLeft w:val="0"/>
              <w:marRight w:val="0"/>
              <w:marTop w:val="0"/>
              <w:marBottom w:val="0"/>
              <w:divBdr>
                <w:top w:val="none" w:sz="0" w:space="0" w:color="auto"/>
                <w:left w:val="none" w:sz="0" w:space="0" w:color="auto"/>
                <w:bottom w:val="none" w:sz="0" w:space="0" w:color="auto"/>
                <w:right w:val="none" w:sz="0" w:space="0" w:color="auto"/>
              </w:divBdr>
            </w:div>
          </w:divsChild>
        </w:div>
        <w:div w:id="432632158">
          <w:marLeft w:val="0"/>
          <w:marRight w:val="0"/>
          <w:marTop w:val="0"/>
          <w:marBottom w:val="0"/>
          <w:divBdr>
            <w:top w:val="none" w:sz="0" w:space="0" w:color="auto"/>
            <w:left w:val="none" w:sz="0" w:space="0" w:color="auto"/>
            <w:bottom w:val="none" w:sz="0" w:space="0" w:color="auto"/>
            <w:right w:val="none" w:sz="0" w:space="0" w:color="auto"/>
          </w:divBdr>
          <w:divsChild>
            <w:div w:id="538124995">
              <w:marLeft w:val="0"/>
              <w:marRight w:val="0"/>
              <w:marTop w:val="0"/>
              <w:marBottom w:val="0"/>
              <w:divBdr>
                <w:top w:val="none" w:sz="0" w:space="0" w:color="auto"/>
                <w:left w:val="none" w:sz="0" w:space="0" w:color="auto"/>
                <w:bottom w:val="none" w:sz="0" w:space="0" w:color="auto"/>
                <w:right w:val="none" w:sz="0" w:space="0" w:color="auto"/>
              </w:divBdr>
            </w:div>
          </w:divsChild>
        </w:div>
        <w:div w:id="1199318406">
          <w:marLeft w:val="0"/>
          <w:marRight w:val="0"/>
          <w:marTop w:val="0"/>
          <w:marBottom w:val="0"/>
          <w:divBdr>
            <w:top w:val="none" w:sz="0" w:space="0" w:color="auto"/>
            <w:left w:val="none" w:sz="0" w:space="0" w:color="auto"/>
            <w:bottom w:val="none" w:sz="0" w:space="0" w:color="auto"/>
            <w:right w:val="none" w:sz="0" w:space="0" w:color="auto"/>
          </w:divBdr>
          <w:divsChild>
            <w:div w:id="1376657142">
              <w:marLeft w:val="0"/>
              <w:marRight w:val="0"/>
              <w:marTop w:val="0"/>
              <w:marBottom w:val="0"/>
              <w:divBdr>
                <w:top w:val="none" w:sz="0" w:space="0" w:color="auto"/>
                <w:left w:val="none" w:sz="0" w:space="0" w:color="auto"/>
                <w:bottom w:val="none" w:sz="0" w:space="0" w:color="auto"/>
                <w:right w:val="none" w:sz="0" w:space="0" w:color="auto"/>
              </w:divBdr>
            </w:div>
          </w:divsChild>
        </w:div>
        <w:div w:id="649553285">
          <w:marLeft w:val="0"/>
          <w:marRight w:val="0"/>
          <w:marTop w:val="0"/>
          <w:marBottom w:val="0"/>
          <w:divBdr>
            <w:top w:val="none" w:sz="0" w:space="0" w:color="auto"/>
            <w:left w:val="none" w:sz="0" w:space="0" w:color="auto"/>
            <w:bottom w:val="none" w:sz="0" w:space="0" w:color="auto"/>
            <w:right w:val="none" w:sz="0" w:space="0" w:color="auto"/>
          </w:divBdr>
          <w:divsChild>
            <w:div w:id="322321810">
              <w:marLeft w:val="0"/>
              <w:marRight w:val="0"/>
              <w:marTop w:val="0"/>
              <w:marBottom w:val="0"/>
              <w:divBdr>
                <w:top w:val="none" w:sz="0" w:space="0" w:color="auto"/>
                <w:left w:val="none" w:sz="0" w:space="0" w:color="auto"/>
                <w:bottom w:val="none" w:sz="0" w:space="0" w:color="auto"/>
                <w:right w:val="none" w:sz="0" w:space="0" w:color="auto"/>
              </w:divBdr>
            </w:div>
          </w:divsChild>
        </w:div>
        <w:div w:id="193423209">
          <w:marLeft w:val="0"/>
          <w:marRight w:val="0"/>
          <w:marTop w:val="0"/>
          <w:marBottom w:val="0"/>
          <w:divBdr>
            <w:top w:val="none" w:sz="0" w:space="0" w:color="auto"/>
            <w:left w:val="none" w:sz="0" w:space="0" w:color="auto"/>
            <w:bottom w:val="none" w:sz="0" w:space="0" w:color="auto"/>
            <w:right w:val="none" w:sz="0" w:space="0" w:color="auto"/>
          </w:divBdr>
          <w:divsChild>
            <w:div w:id="982083802">
              <w:marLeft w:val="0"/>
              <w:marRight w:val="0"/>
              <w:marTop w:val="0"/>
              <w:marBottom w:val="0"/>
              <w:divBdr>
                <w:top w:val="none" w:sz="0" w:space="0" w:color="auto"/>
                <w:left w:val="none" w:sz="0" w:space="0" w:color="auto"/>
                <w:bottom w:val="none" w:sz="0" w:space="0" w:color="auto"/>
                <w:right w:val="none" w:sz="0" w:space="0" w:color="auto"/>
              </w:divBdr>
            </w:div>
          </w:divsChild>
        </w:div>
        <w:div w:id="1761101355">
          <w:marLeft w:val="0"/>
          <w:marRight w:val="0"/>
          <w:marTop w:val="0"/>
          <w:marBottom w:val="0"/>
          <w:divBdr>
            <w:top w:val="none" w:sz="0" w:space="0" w:color="auto"/>
            <w:left w:val="none" w:sz="0" w:space="0" w:color="auto"/>
            <w:bottom w:val="none" w:sz="0" w:space="0" w:color="auto"/>
            <w:right w:val="none" w:sz="0" w:space="0" w:color="auto"/>
          </w:divBdr>
          <w:divsChild>
            <w:div w:id="1565214157">
              <w:marLeft w:val="0"/>
              <w:marRight w:val="0"/>
              <w:marTop w:val="0"/>
              <w:marBottom w:val="0"/>
              <w:divBdr>
                <w:top w:val="none" w:sz="0" w:space="0" w:color="auto"/>
                <w:left w:val="none" w:sz="0" w:space="0" w:color="auto"/>
                <w:bottom w:val="none" w:sz="0" w:space="0" w:color="auto"/>
                <w:right w:val="none" w:sz="0" w:space="0" w:color="auto"/>
              </w:divBdr>
            </w:div>
          </w:divsChild>
        </w:div>
        <w:div w:id="2108504889">
          <w:marLeft w:val="0"/>
          <w:marRight w:val="0"/>
          <w:marTop w:val="0"/>
          <w:marBottom w:val="0"/>
          <w:divBdr>
            <w:top w:val="none" w:sz="0" w:space="0" w:color="auto"/>
            <w:left w:val="none" w:sz="0" w:space="0" w:color="auto"/>
            <w:bottom w:val="none" w:sz="0" w:space="0" w:color="auto"/>
            <w:right w:val="none" w:sz="0" w:space="0" w:color="auto"/>
          </w:divBdr>
          <w:divsChild>
            <w:div w:id="2051344695">
              <w:marLeft w:val="0"/>
              <w:marRight w:val="0"/>
              <w:marTop w:val="0"/>
              <w:marBottom w:val="0"/>
              <w:divBdr>
                <w:top w:val="none" w:sz="0" w:space="0" w:color="auto"/>
                <w:left w:val="none" w:sz="0" w:space="0" w:color="auto"/>
                <w:bottom w:val="none" w:sz="0" w:space="0" w:color="auto"/>
                <w:right w:val="none" w:sz="0" w:space="0" w:color="auto"/>
              </w:divBdr>
            </w:div>
          </w:divsChild>
        </w:div>
        <w:div w:id="1975939704">
          <w:marLeft w:val="0"/>
          <w:marRight w:val="0"/>
          <w:marTop w:val="0"/>
          <w:marBottom w:val="0"/>
          <w:divBdr>
            <w:top w:val="none" w:sz="0" w:space="0" w:color="auto"/>
            <w:left w:val="none" w:sz="0" w:space="0" w:color="auto"/>
            <w:bottom w:val="none" w:sz="0" w:space="0" w:color="auto"/>
            <w:right w:val="none" w:sz="0" w:space="0" w:color="auto"/>
          </w:divBdr>
          <w:divsChild>
            <w:div w:id="469327121">
              <w:marLeft w:val="0"/>
              <w:marRight w:val="0"/>
              <w:marTop w:val="0"/>
              <w:marBottom w:val="0"/>
              <w:divBdr>
                <w:top w:val="none" w:sz="0" w:space="0" w:color="auto"/>
                <w:left w:val="none" w:sz="0" w:space="0" w:color="auto"/>
                <w:bottom w:val="none" w:sz="0" w:space="0" w:color="auto"/>
                <w:right w:val="none" w:sz="0" w:space="0" w:color="auto"/>
              </w:divBdr>
            </w:div>
          </w:divsChild>
        </w:div>
        <w:div w:id="713500882">
          <w:marLeft w:val="0"/>
          <w:marRight w:val="0"/>
          <w:marTop w:val="0"/>
          <w:marBottom w:val="0"/>
          <w:divBdr>
            <w:top w:val="none" w:sz="0" w:space="0" w:color="auto"/>
            <w:left w:val="none" w:sz="0" w:space="0" w:color="auto"/>
            <w:bottom w:val="none" w:sz="0" w:space="0" w:color="auto"/>
            <w:right w:val="none" w:sz="0" w:space="0" w:color="auto"/>
          </w:divBdr>
          <w:divsChild>
            <w:div w:id="357003139">
              <w:marLeft w:val="0"/>
              <w:marRight w:val="0"/>
              <w:marTop w:val="0"/>
              <w:marBottom w:val="0"/>
              <w:divBdr>
                <w:top w:val="none" w:sz="0" w:space="0" w:color="auto"/>
                <w:left w:val="none" w:sz="0" w:space="0" w:color="auto"/>
                <w:bottom w:val="none" w:sz="0" w:space="0" w:color="auto"/>
                <w:right w:val="none" w:sz="0" w:space="0" w:color="auto"/>
              </w:divBdr>
            </w:div>
          </w:divsChild>
        </w:div>
        <w:div w:id="228150959">
          <w:marLeft w:val="0"/>
          <w:marRight w:val="0"/>
          <w:marTop w:val="0"/>
          <w:marBottom w:val="0"/>
          <w:divBdr>
            <w:top w:val="none" w:sz="0" w:space="0" w:color="auto"/>
            <w:left w:val="none" w:sz="0" w:space="0" w:color="auto"/>
            <w:bottom w:val="none" w:sz="0" w:space="0" w:color="auto"/>
            <w:right w:val="none" w:sz="0" w:space="0" w:color="auto"/>
          </w:divBdr>
          <w:divsChild>
            <w:div w:id="111287465">
              <w:marLeft w:val="0"/>
              <w:marRight w:val="0"/>
              <w:marTop w:val="0"/>
              <w:marBottom w:val="0"/>
              <w:divBdr>
                <w:top w:val="none" w:sz="0" w:space="0" w:color="auto"/>
                <w:left w:val="none" w:sz="0" w:space="0" w:color="auto"/>
                <w:bottom w:val="none" w:sz="0" w:space="0" w:color="auto"/>
                <w:right w:val="none" w:sz="0" w:space="0" w:color="auto"/>
              </w:divBdr>
            </w:div>
          </w:divsChild>
        </w:div>
        <w:div w:id="1928422938">
          <w:marLeft w:val="0"/>
          <w:marRight w:val="0"/>
          <w:marTop w:val="0"/>
          <w:marBottom w:val="0"/>
          <w:divBdr>
            <w:top w:val="none" w:sz="0" w:space="0" w:color="auto"/>
            <w:left w:val="none" w:sz="0" w:space="0" w:color="auto"/>
            <w:bottom w:val="none" w:sz="0" w:space="0" w:color="auto"/>
            <w:right w:val="none" w:sz="0" w:space="0" w:color="auto"/>
          </w:divBdr>
          <w:divsChild>
            <w:div w:id="521627318">
              <w:marLeft w:val="0"/>
              <w:marRight w:val="0"/>
              <w:marTop w:val="0"/>
              <w:marBottom w:val="0"/>
              <w:divBdr>
                <w:top w:val="none" w:sz="0" w:space="0" w:color="auto"/>
                <w:left w:val="none" w:sz="0" w:space="0" w:color="auto"/>
                <w:bottom w:val="none" w:sz="0" w:space="0" w:color="auto"/>
                <w:right w:val="none" w:sz="0" w:space="0" w:color="auto"/>
              </w:divBdr>
            </w:div>
          </w:divsChild>
        </w:div>
        <w:div w:id="1044984378">
          <w:marLeft w:val="0"/>
          <w:marRight w:val="0"/>
          <w:marTop w:val="0"/>
          <w:marBottom w:val="0"/>
          <w:divBdr>
            <w:top w:val="none" w:sz="0" w:space="0" w:color="auto"/>
            <w:left w:val="none" w:sz="0" w:space="0" w:color="auto"/>
            <w:bottom w:val="none" w:sz="0" w:space="0" w:color="auto"/>
            <w:right w:val="none" w:sz="0" w:space="0" w:color="auto"/>
          </w:divBdr>
          <w:divsChild>
            <w:div w:id="654723923">
              <w:marLeft w:val="0"/>
              <w:marRight w:val="0"/>
              <w:marTop w:val="0"/>
              <w:marBottom w:val="0"/>
              <w:divBdr>
                <w:top w:val="none" w:sz="0" w:space="0" w:color="auto"/>
                <w:left w:val="none" w:sz="0" w:space="0" w:color="auto"/>
                <w:bottom w:val="none" w:sz="0" w:space="0" w:color="auto"/>
                <w:right w:val="none" w:sz="0" w:space="0" w:color="auto"/>
              </w:divBdr>
            </w:div>
          </w:divsChild>
        </w:div>
        <w:div w:id="418212400">
          <w:marLeft w:val="0"/>
          <w:marRight w:val="0"/>
          <w:marTop w:val="0"/>
          <w:marBottom w:val="0"/>
          <w:divBdr>
            <w:top w:val="none" w:sz="0" w:space="0" w:color="auto"/>
            <w:left w:val="none" w:sz="0" w:space="0" w:color="auto"/>
            <w:bottom w:val="none" w:sz="0" w:space="0" w:color="auto"/>
            <w:right w:val="none" w:sz="0" w:space="0" w:color="auto"/>
          </w:divBdr>
          <w:divsChild>
            <w:div w:id="1920753745">
              <w:marLeft w:val="0"/>
              <w:marRight w:val="0"/>
              <w:marTop w:val="0"/>
              <w:marBottom w:val="0"/>
              <w:divBdr>
                <w:top w:val="none" w:sz="0" w:space="0" w:color="auto"/>
                <w:left w:val="none" w:sz="0" w:space="0" w:color="auto"/>
                <w:bottom w:val="none" w:sz="0" w:space="0" w:color="auto"/>
                <w:right w:val="none" w:sz="0" w:space="0" w:color="auto"/>
              </w:divBdr>
            </w:div>
          </w:divsChild>
        </w:div>
        <w:div w:id="1296302564">
          <w:marLeft w:val="0"/>
          <w:marRight w:val="0"/>
          <w:marTop w:val="0"/>
          <w:marBottom w:val="0"/>
          <w:divBdr>
            <w:top w:val="none" w:sz="0" w:space="0" w:color="auto"/>
            <w:left w:val="none" w:sz="0" w:space="0" w:color="auto"/>
            <w:bottom w:val="none" w:sz="0" w:space="0" w:color="auto"/>
            <w:right w:val="none" w:sz="0" w:space="0" w:color="auto"/>
          </w:divBdr>
          <w:divsChild>
            <w:div w:id="1571381217">
              <w:marLeft w:val="0"/>
              <w:marRight w:val="0"/>
              <w:marTop w:val="0"/>
              <w:marBottom w:val="0"/>
              <w:divBdr>
                <w:top w:val="none" w:sz="0" w:space="0" w:color="auto"/>
                <w:left w:val="none" w:sz="0" w:space="0" w:color="auto"/>
                <w:bottom w:val="none" w:sz="0" w:space="0" w:color="auto"/>
                <w:right w:val="none" w:sz="0" w:space="0" w:color="auto"/>
              </w:divBdr>
            </w:div>
          </w:divsChild>
        </w:div>
        <w:div w:id="1409115882">
          <w:marLeft w:val="0"/>
          <w:marRight w:val="0"/>
          <w:marTop w:val="0"/>
          <w:marBottom w:val="0"/>
          <w:divBdr>
            <w:top w:val="none" w:sz="0" w:space="0" w:color="auto"/>
            <w:left w:val="none" w:sz="0" w:space="0" w:color="auto"/>
            <w:bottom w:val="none" w:sz="0" w:space="0" w:color="auto"/>
            <w:right w:val="none" w:sz="0" w:space="0" w:color="auto"/>
          </w:divBdr>
          <w:divsChild>
            <w:div w:id="253100878">
              <w:marLeft w:val="0"/>
              <w:marRight w:val="0"/>
              <w:marTop w:val="0"/>
              <w:marBottom w:val="0"/>
              <w:divBdr>
                <w:top w:val="none" w:sz="0" w:space="0" w:color="auto"/>
                <w:left w:val="none" w:sz="0" w:space="0" w:color="auto"/>
                <w:bottom w:val="none" w:sz="0" w:space="0" w:color="auto"/>
                <w:right w:val="none" w:sz="0" w:space="0" w:color="auto"/>
              </w:divBdr>
            </w:div>
          </w:divsChild>
        </w:div>
        <w:div w:id="1868325971">
          <w:marLeft w:val="0"/>
          <w:marRight w:val="0"/>
          <w:marTop w:val="0"/>
          <w:marBottom w:val="0"/>
          <w:divBdr>
            <w:top w:val="none" w:sz="0" w:space="0" w:color="auto"/>
            <w:left w:val="none" w:sz="0" w:space="0" w:color="auto"/>
            <w:bottom w:val="none" w:sz="0" w:space="0" w:color="auto"/>
            <w:right w:val="none" w:sz="0" w:space="0" w:color="auto"/>
          </w:divBdr>
          <w:divsChild>
            <w:div w:id="1362894916">
              <w:marLeft w:val="0"/>
              <w:marRight w:val="0"/>
              <w:marTop w:val="0"/>
              <w:marBottom w:val="0"/>
              <w:divBdr>
                <w:top w:val="none" w:sz="0" w:space="0" w:color="auto"/>
                <w:left w:val="none" w:sz="0" w:space="0" w:color="auto"/>
                <w:bottom w:val="none" w:sz="0" w:space="0" w:color="auto"/>
                <w:right w:val="none" w:sz="0" w:space="0" w:color="auto"/>
              </w:divBdr>
            </w:div>
          </w:divsChild>
        </w:div>
        <w:div w:id="1261138446">
          <w:marLeft w:val="0"/>
          <w:marRight w:val="0"/>
          <w:marTop w:val="0"/>
          <w:marBottom w:val="0"/>
          <w:divBdr>
            <w:top w:val="none" w:sz="0" w:space="0" w:color="auto"/>
            <w:left w:val="none" w:sz="0" w:space="0" w:color="auto"/>
            <w:bottom w:val="none" w:sz="0" w:space="0" w:color="auto"/>
            <w:right w:val="none" w:sz="0" w:space="0" w:color="auto"/>
          </w:divBdr>
          <w:divsChild>
            <w:div w:id="1758868759">
              <w:marLeft w:val="0"/>
              <w:marRight w:val="0"/>
              <w:marTop w:val="0"/>
              <w:marBottom w:val="0"/>
              <w:divBdr>
                <w:top w:val="none" w:sz="0" w:space="0" w:color="auto"/>
                <w:left w:val="none" w:sz="0" w:space="0" w:color="auto"/>
                <w:bottom w:val="none" w:sz="0" w:space="0" w:color="auto"/>
                <w:right w:val="none" w:sz="0" w:space="0" w:color="auto"/>
              </w:divBdr>
            </w:div>
          </w:divsChild>
        </w:div>
        <w:div w:id="602229538">
          <w:marLeft w:val="0"/>
          <w:marRight w:val="0"/>
          <w:marTop w:val="0"/>
          <w:marBottom w:val="0"/>
          <w:divBdr>
            <w:top w:val="none" w:sz="0" w:space="0" w:color="auto"/>
            <w:left w:val="none" w:sz="0" w:space="0" w:color="auto"/>
            <w:bottom w:val="none" w:sz="0" w:space="0" w:color="auto"/>
            <w:right w:val="none" w:sz="0" w:space="0" w:color="auto"/>
          </w:divBdr>
          <w:divsChild>
            <w:div w:id="496654803">
              <w:marLeft w:val="0"/>
              <w:marRight w:val="0"/>
              <w:marTop w:val="0"/>
              <w:marBottom w:val="0"/>
              <w:divBdr>
                <w:top w:val="none" w:sz="0" w:space="0" w:color="auto"/>
                <w:left w:val="none" w:sz="0" w:space="0" w:color="auto"/>
                <w:bottom w:val="none" w:sz="0" w:space="0" w:color="auto"/>
                <w:right w:val="none" w:sz="0" w:space="0" w:color="auto"/>
              </w:divBdr>
            </w:div>
          </w:divsChild>
        </w:div>
        <w:div w:id="1746605055">
          <w:marLeft w:val="0"/>
          <w:marRight w:val="0"/>
          <w:marTop w:val="0"/>
          <w:marBottom w:val="0"/>
          <w:divBdr>
            <w:top w:val="none" w:sz="0" w:space="0" w:color="auto"/>
            <w:left w:val="none" w:sz="0" w:space="0" w:color="auto"/>
            <w:bottom w:val="none" w:sz="0" w:space="0" w:color="auto"/>
            <w:right w:val="none" w:sz="0" w:space="0" w:color="auto"/>
          </w:divBdr>
          <w:divsChild>
            <w:div w:id="41248808">
              <w:marLeft w:val="0"/>
              <w:marRight w:val="0"/>
              <w:marTop w:val="0"/>
              <w:marBottom w:val="0"/>
              <w:divBdr>
                <w:top w:val="none" w:sz="0" w:space="0" w:color="auto"/>
                <w:left w:val="none" w:sz="0" w:space="0" w:color="auto"/>
                <w:bottom w:val="none" w:sz="0" w:space="0" w:color="auto"/>
                <w:right w:val="none" w:sz="0" w:space="0" w:color="auto"/>
              </w:divBdr>
            </w:div>
          </w:divsChild>
        </w:div>
        <w:div w:id="1549339017">
          <w:marLeft w:val="0"/>
          <w:marRight w:val="0"/>
          <w:marTop w:val="0"/>
          <w:marBottom w:val="0"/>
          <w:divBdr>
            <w:top w:val="none" w:sz="0" w:space="0" w:color="auto"/>
            <w:left w:val="none" w:sz="0" w:space="0" w:color="auto"/>
            <w:bottom w:val="none" w:sz="0" w:space="0" w:color="auto"/>
            <w:right w:val="none" w:sz="0" w:space="0" w:color="auto"/>
          </w:divBdr>
          <w:divsChild>
            <w:div w:id="465045153">
              <w:marLeft w:val="0"/>
              <w:marRight w:val="0"/>
              <w:marTop w:val="0"/>
              <w:marBottom w:val="0"/>
              <w:divBdr>
                <w:top w:val="none" w:sz="0" w:space="0" w:color="auto"/>
                <w:left w:val="none" w:sz="0" w:space="0" w:color="auto"/>
                <w:bottom w:val="none" w:sz="0" w:space="0" w:color="auto"/>
                <w:right w:val="none" w:sz="0" w:space="0" w:color="auto"/>
              </w:divBdr>
            </w:div>
          </w:divsChild>
        </w:div>
        <w:div w:id="1119228994">
          <w:marLeft w:val="0"/>
          <w:marRight w:val="0"/>
          <w:marTop w:val="0"/>
          <w:marBottom w:val="0"/>
          <w:divBdr>
            <w:top w:val="none" w:sz="0" w:space="0" w:color="auto"/>
            <w:left w:val="none" w:sz="0" w:space="0" w:color="auto"/>
            <w:bottom w:val="none" w:sz="0" w:space="0" w:color="auto"/>
            <w:right w:val="none" w:sz="0" w:space="0" w:color="auto"/>
          </w:divBdr>
          <w:divsChild>
            <w:div w:id="1460299835">
              <w:marLeft w:val="0"/>
              <w:marRight w:val="0"/>
              <w:marTop w:val="0"/>
              <w:marBottom w:val="0"/>
              <w:divBdr>
                <w:top w:val="none" w:sz="0" w:space="0" w:color="auto"/>
                <w:left w:val="none" w:sz="0" w:space="0" w:color="auto"/>
                <w:bottom w:val="none" w:sz="0" w:space="0" w:color="auto"/>
                <w:right w:val="none" w:sz="0" w:space="0" w:color="auto"/>
              </w:divBdr>
            </w:div>
          </w:divsChild>
        </w:div>
        <w:div w:id="1123888838">
          <w:marLeft w:val="0"/>
          <w:marRight w:val="0"/>
          <w:marTop w:val="0"/>
          <w:marBottom w:val="0"/>
          <w:divBdr>
            <w:top w:val="none" w:sz="0" w:space="0" w:color="auto"/>
            <w:left w:val="none" w:sz="0" w:space="0" w:color="auto"/>
            <w:bottom w:val="none" w:sz="0" w:space="0" w:color="auto"/>
            <w:right w:val="none" w:sz="0" w:space="0" w:color="auto"/>
          </w:divBdr>
          <w:divsChild>
            <w:div w:id="1026830007">
              <w:marLeft w:val="0"/>
              <w:marRight w:val="0"/>
              <w:marTop w:val="0"/>
              <w:marBottom w:val="0"/>
              <w:divBdr>
                <w:top w:val="none" w:sz="0" w:space="0" w:color="auto"/>
                <w:left w:val="none" w:sz="0" w:space="0" w:color="auto"/>
                <w:bottom w:val="none" w:sz="0" w:space="0" w:color="auto"/>
                <w:right w:val="none" w:sz="0" w:space="0" w:color="auto"/>
              </w:divBdr>
            </w:div>
          </w:divsChild>
        </w:div>
        <w:div w:id="1325552347">
          <w:marLeft w:val="0"/>
          <w:marRight w:val="0"/>
          <w:marTop w:val="0"/>
          <w:marBottom w:val="0"/>
          <w:divBdr>
            <w:top w:val="none" w:sz="0" w:space="0" w:color="auto"/>
            <w:left w:val="none" w:sz="0" w:space="0" w:color="auto"/>
            <w:bottom w:val="none" w:sz="0" w:space="0" w:color="auto"/>
            <w:right w:val="none" w:sz="0" w:space="0" w:color="auto"/>
          </w:divBdr>
          <w:divsChild>
            <w:div w:id="1772624419">
              <w:marLeft w:val="0"/>
              <w:marRight w:val="0"/>
              <w:marTop w:val="0"/>
              <w:marBottom w:val="0"/>
              <w:divBdr>
                <w:top w:val="none" w:sz="0" w:space="0" w:color="auto"/>
                <w:left w:val="none" w:sz="0" w:space="0" w:color="auto"/>
                <w:bottom w:val="none" w:sz="0" w:space="0" w:color="auto"/>
                <w:right w:val="none" w:sz="0" w:space="0" w:color="auto"/>
              </w:divBdr>
            </w:div>
          </w:divsChild>
        </w:div>
        <w:div w:id="1421216455">
          <w:marLeft w:val="0"/>
          <w:marRight w:val="0"/>
          <w:marTop w:val="0"/>
          <w:marBottom w:val="0"/>
          <w:divBdr>
            <w:top w:val="none" w:sz="0" w:space="0" w:color="auto"/>
            <w:left w:val="none" w:sz="0" w:space="0" w:color="auto"/>
            <w:bottom w:val="none" w:sz="0" w:space="0" w:color="auto"/>
            <w:right w:val="none" w:sz="0" w:space="0" w:color="auto"/>
          </w:divBdr>
          <w:divsChild>
            <w:div w:id="1085882405">
              <w:marLeft w:val="0"/>
              <w:marRight w:val="0"/>
              <w:marTop w:val="0"/>
              <w:marBottom w:val="0"/>
              <w:divBdr>
                <w:top w:val="none" w:sz="0" w:space="0" w:color="auto"/>
                <w:left w:val="none" w:sz="0" w:space="0" w:color="auto"/>
                <w:bottom w:val="none" w:sz="0" w:space="0" w:color="auto"/>
                <w:right w:val="none" w:sz="0" w:space="0" w:color="auto"/>
              </w:divBdr>
            </w:div>
          </w:divsChild>
        </w:div>
        <w:div w:id="1363172729">
          <w:marLeft w:val="0"/>
          <w:marRight w:val="0"/>
          <w:marTop w:val="0"/>
          <w:marBottom w:val="0"/>
          <w:divBdr>
            <w:top w:val="none" w:sz="0" w:space="0" w:color="auto"/>
            <w:left w:val="none" w:sz="0" w:space="0" w:color="auto"/>
            <w:bottom w:val="none" w:sz="0" w:space="0" w:color="auto"/>
            <w:right w:val="none" w:sz="0" w:space="0" w:color="auto"/>
          </w:divBdr>
          <w:divsChild>
            <w:div w:id="194006040">
              <w:marLeft w:val="0"/>
              <w:marRight w:val="0"/>
              <w:marTop w:val="0"/>
              <w:marBottom w:val="0"/>
              <w:divBdr>
                <w:top w:val="none" w:sz="0" w:space="0" w:color="auto"/>
                <w:left w:val="none" w:sz="0" w:space="0" w:color="auto"/>
                <w:bottom w:val="none" w:sz="0" w:space="0" w:color="auto"/>
                <w:right w:val="none" w:sz="0" w:space="0" w:color="auto"/>
              </w:divBdr>
            </w:div>
          </w:divsChild>
        </w:div>
        <w:div w:id="1334457430">
          <w:marLeft w:val="0"/>
          <w:marRight w:val="0"/>
          <w:marTop w:val="0"/>
          <w:marBottom w:val="0"/>
          <w:divBdr>
            <w:top w:val="none" w:sz="0" w:space="0" w:color="auto"/>
            <w:left w:val="none" w:sz="0" w:space="0" w:color="auto"/>
            <w:bottom w:val="none" w:sz="0" w:space="0" w:color="auto"/>
            <w:right w:val="none" w:sz="0" w:space="0" w:color="auto"/>
          </w:divBdr>
          <w:divsChild>
            <w:div w:id="366873976">
              <w:marLeft w:val="0"/>
              <w:marRight w:val="0"/>
              <w:marTop w:val="0"/>
              <w:marBottom w:val="0"/>
              <w:divBdr>
                <w:top w:val="none" w:sz="0" w:space="0" w:color="auto"/>
                <w:left w:val="none" w:sz="0" w:space="0" w:color="auto"/>
                <w:bottom w:val="none" w:sz="0" w:space="0" w:color="auto"/>
                <w:right w:val="none" w:sz="0" w:space="0" w:color="auto"/>
              </w:divBdr>
            </w:div>
          </w:divsChild>
        </w:div>
        <w:div w:id="207430652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0"/>
              <w:divBdr>
                <w:top w:val="none" w:sz="0" w:space="0" w:color="auto"/>
                <w:left w:val="none" w:sz="0" w:space="0" w:color="auto"/>
                <w:bottom w:val="none" w:sz="0" w:space="0" w:color="auto"/>
                <w:right w:val="none" w:sz="0" w:space="0" w:color="auto"/>
              </w:divBdr>
            </w:div>
          </w:divsChild>
        </w:div>
        <w:div w:id="1034383659">
          <w:marLeft w:val="0"/>
          <w:marRight w:val="0"/>
          <w:marTop w:val="0"/>
          <w:marBottom w:val="0"/>
          <w:divBdr>
            <w:top w:val="none" w:sz="0" w:space="0" w:color="auto"/>
            <w:left w:val="none" w:sz="0" w:space="0" w:color="auto"/>
            <w:bottom w:val="none" w:sz="0" w:space="0" w:color="auto"/>
            <w:right w:val="none" w:sz="0" w:space="0" w:color="auto"/>
          </w:divBdr>
          <w:divsChild>
            <w:div w:id="132404995">
              <w:marLeft w:val="0"/>
              <w:marRight w:val="0"/>
              <w:marTop w:val="0"/>
              <w:marBottom w:val="0"/>
              <w:divBdr>
                <w:top w:val="none" w:sz="0" w:space="0" w:color="auto"/>
                <w:left w:val="none" w:sz="0" w:space="0" w:color="auto"/>
                <w:bottom w:val="none" w:sz="0" w:space="0" w:color="auto"/>
                <w:right w:val="none" w:sz="0" w:space="0" w:color="auto"/>
              </w:divBdr>
            </w:div>
          </w:divsChild>
        </w:div>
        <w:div w:id="1641766705">
          <w:marLeft w:val="0"/>
          <w:marRight w:val="0"/>
          <w:marTop w:val="0"/>
          <w:marBottom w:val="0"/>
          <w:divBdr>
            <w:top w:val="none" w:sz="0" w:space="0" w:color="auto"/>
            <w:left w:val="none" w:sz="0" w:space="0" w:color="auto"/>
            <w:bottom w:val="none" w:sz="0" w:space="0" w:color="auto"/>
            <w:right w:val="none" w:sz="0" w:space="0" w:color="auto"/>
          </w:divBdr>
          <w:divsChild>
            <w:div w:id="386685627">
              <w:marLeft w:val="0"/>
              <w:marRight w:val="0"/>
              <w:marTop w:val="0"/>
              <w:marBottom w:val="0"/>
              <w:divBdr>
                <w:top w:val="none" w:sz="0" w:space="0" w:color="auto"/>
                <w:left w:val="none" w:sz="0" w:space="0" w:color="auto"/>
                <w:bottom w:val="none" w:sz="0" w:space="0" w:color="auto"/>
                <w:right w:val="none" w:sz="0" w:space="0" w:color="auto"/>
              </w:divBdr>
            </w:div>
          </w:divsChild>
        </w:div>
        <w:div w:id="422800364">
          <w:marLeft w:val="0"/>
          <w:marRight w:val="0"/>
          <w:marTop w:val="0"/>
          <w:marBottom w:val="0"/>
          <w:divBdr>
            <w:top w:val="none" w:sz="0" w:space="0" w:color="auto"/>
            <w:left w:val="none" w:sz="0" w:space="0" w:color="auto"/>
            <w:bottom w:val="none" w:sz="0" w:space="0" w:color="auto"/>
            <w:right w:val="none" w:sz="0" w:space="0" w:color="auto"/>
          </w:divBdr>
          <w:divsChild>
            <w:div w:id="127671605">
              <w:marLeft w:val="0"/>
              <w:marRight w:val="0"/>
              <w:marTop w:val="0"/>
              <w:marBottom w:val="0"/>
              <w:divBdr>
                <w:top w:val="none" w:sz="0" w:space="0" w:color="auto"/>
                <w:left w:val="none" w:sz="0" w:space="0" w:color="auto"/>
                <w:bottom w:val="none" w:sz="0" w:space="0" w:color="auto"/>
                <w:right w:val="none" w:sz="0" w:space="0" w:color="auto"/>
              </w:divBdr>
            </w:div>
          </w:divsChild>
        </w:div>
        <w:div w:id="91898598">
          <w:marLeft w:val="0"/>
          <w:marRight w:val="0"/>
          <w:marTop w:val="0"/>
          <w:marBottom w:val="0"/>
          <w:divBdr>
            <w:top w:val="none" w:sz="0" w:space="0" w:color="auto"/>
            <w:left w:val="none" w:sz="0" w:space="0" w:color="auto"/>
            <w:bottom w:val="none" w:sz="0" w:space="0" w:color="auto"/>
            <w:right w:val="none" w:sz="0" w:space="0" w:color="auto"/>
          </w:divBdr>
          <w:divsChild>
            <w:div w:id="1711029429">
              <w:marLeft w:val="0"/>
              <w:marRight w:val="0"/>
              <w:marTop w:val="0"/>
              <w:marBottom w:val="0"/>
              <w:divBdr>
                <w:top w:val="none" w:sz="0" w:space="0" w:color="auto"/>
                <w:left w:val="none" w:sz="0" w:space="0" w:color="auto"/>
                <w:bottom w:val="none" w:sz="0" w:space="0" w:color="auto"/>
                <w:right w:val="none" w:sz="0" w:space="0" w:color="auto"/>
              </w:divBdr>
            </w:div>
          </w:divsChild>
        </w:div>
        <w:div w:id="20670668">
          <w:marLeft w:val="0"/>
          <w:marRight w:val="0"/>
          <w:marTop w:val="0"/>
          <w:marBottom w:val="0"/>
          <w:divBdr>
            <w:top w:val="none" w:sz="0" w:space="0" w:color="auto"/>
            <w:left w:val="none" w:sz="0" w:space="0" w:color="auto"/>
            <w:bottom w:val="none" w:sz="0" w:space="0" w:color="auto"/>
            <w:right w:val="none" w:sz="0" w:space="0" w:color="auto"/>
          </w:divBdr>
          <w:divsChild>
            <w:div w:id="161707106">
              <w:marLeft w:val="0"/>
              <w:marRight w:val="0"/>
              <w:marTop w:val="0"/>
              <w:marBottom w:val="0"/>
              <w:divBdr>
                <w:top w:val="none" w:sz="0" w:space="0" w:color="auto"/>
                <w:left w:val="none" w:sz="0" w:space="0" w:color="auto"/>
                <w:bottom w:val="none" w:sz="0" w:space="0" w:color="auto"/>
                <w:right w:val="none" w:sz="0" w:space="0" w:color="auto"/>
              </w:divBdr>
            </w:div>
          </w:divsChild>
        </w:div>
        <w:div w:id="93869654">
          <w:marLeft w:val="0"/>
          <w:marRight w:val="0"/>
          <w:marTop w:val="0"/>
          <w:marBottom w:val="0"/>
          <w:divBdr>
            <w:top w:val="none" w:sz="0" w:space="0" w:color="auto"/>
            <w:left w:val="none" w:sz="0" w:space="0" w:color="auto"/>
            <w:bottom w:val="none" w:sz="0" w:space="0" w:color="auto"/>
            <w:right w:val="none" w:sz="0" w:space="0" w:color="auto"/>
          </w:divBdr>
          <w:divsChild>
            <w:div w:id="2136674128">
              <w:marLeft w:val="0"/>
              <w:marRight w:val="0"/>
              <w:marTop w:val="0"/>
              <w:marBottom w:val="0"/>
              <w:divBdr>
                <w:top w:val="none" w:sz="0" w:space="0" w:color="auto"/>
                <w:left w:val="none" w:sz="0" w:space="0" w:color="auto"/>
                <w:bottom w:val="none" w:sz="0" w:space="0" w:color="auto"/>
                <w:right w:val="none" w:sz="0" w:space="0" w:color="auto"/>
              </w:divBdr>
            </w:div>
          </w:divsChild>
        </w:div>
        <w:div w:id="953903415">
          <w:marLeft w:val="0"/>
          <w:marRight w:val="0"/>
          <w:marTop w:val="0"/>
          <w:marBottom w:val="0"/>
          <w:divBdr>
            <w:top w:val="none" w:sz="0" w:space="0" w:color="auto"/>
            <w:left w:val="none" w:sz="0" w:space="0" w:color="auto"/>
            <w:bottom w:val="none" w:sz="0" w:space="0" w:color="auto"/>
            <w:right w:val="none" w:sz="0" w:space="0" w:color="auto"/>
          </w:divBdr>
          <w:divsChild>
            <w:div w:id="925654114">
              <w:marLeft w:val="0"/>
              <w:marRight w:val="0"/>
              <w:marTop w:val="0"/>
              <w:marBottom w:val="0"/>
              <w:divBdr>
                <w:top w:val="none" w:sz="0" w:space="0" w:color="auto"/>
                <w:left w:val="none" w:sz="0" w:space="0" w:color="auto"/>
                <w:bottom w:val="none" w:sz="0" w:space="0" w:color="auto"/>
                <w:right w:val="none" w:sz="0" w:space="0" w:color="auto"/>
              </w:divBdr>
            </w:div>
          </w:divsChild>
        </w:div>
        <w:div w:id="855192595">
          <w:marLeft w:val="0"/>
          <w:marRight w:val="0"/>
          <w:marTop w:val="0"/>
          <w:marBottom w:val="0"/>
          <w:divBdr>
            <w:top w:val="none" w:sz="0" w:space="0" w:color="auto"/>
            <w:left w:val="none" w:sz="0" w:space="0" w:color="auto"/>
            <w:bottom w:val="none" w:sz="0" w:space="0" w:color="auto"/>
            <w:right w:val="none" w:sz="0" w:space="0" w:color="auto"/>
          </w:divBdr>
          <w:divsChild>
            <w:div w:id="2117362359">
              <w:marLeft w:val="0"/>
              <w:marRight w:val="0"/>
              <w:marTop w:val="0"/>
              <w:marBottom w:val="0"/>
              <w:divBdr>
                <w:top w:val="none" w:sz="0" w:space="0" w:color="auto"/>
                <w:left w:val="none" w:sz="0" w:space="0" w:color="auto"/>
                <w:bottom w:val="none" w:sz="0" w:space="0" w:color="auto"/>
                <w:right w:val="none" w:sz="0" w:space="0" w:color="auto"/>
              </w:divBdr>
            </w:div>
          </w:divsChild>
        </w:div>
        <w:div w:id="1280456777">
          <w:marLeft w:val="0"/>
          <w:marRight w:val="0"/>
          <w:marTop w:val="0"/>
          <w:marBottom w:val="0"/>
          <w:divBdr>
            <w:top w:val="none" w:sz="0" w:space="0" w:color="auto"/>
            <w:left w:val="none" w:sz="0" w:space="0" w:color="auto"/>
            <w:bottom w:val="none" w:sz="0" w:space="0" w:color="auto"/>
            <w:right w:val="none" w:sz="0" w:space="0" w:color="auto"/>
          </w:divBdr>
          <w:divsChild>
            <w:div w:id="1262297242">
              <w:marLeft w:val="0"/>
              <w:marRight w:val="0"/>
              <w:marTop w:val="0"/>
              <w:marBottom w:val="0"/>
              <w:divBdr>
                <w:top w:val="none" w:sz="0" w:space="0" w:color="auto"/>
                <w:left w:val="none" w:sz="0" w:space="0" w:color="auto"/>
                <w:bottom w:val="none" w:sz="0" w:space="0" w:color="auto"/>
                <w:right w:val="none" w:sz="0" w:space="0" w:color="auto"/>
              </w:divBdr>
            </w:div>
          </w:divsChild>
        </w:div>
        <w:div w:id="901254496">
          <w:marLeft w:val="0"/>
          <w:marRight w:val="0"/>
          <w:marTop w:val="0"/>
          <w:marBottom w:val="0"/>
          <w:divBdr>
            <w:top w:val="none" w:sz="0" w:space="0" w:color="auto"/>
            <w:left w:val="none" w:sz="0" w:space="0" w:color="auto"/>
            <w:bottom w:val="none" w:sz="0" w:space="0" w:color="auto"/>
            <w:right w:val="none" w:sz="0" w:space="0" w:color="auto"/>
          </w:divBdr>
          <w:divsChild>
            <w:div w:id="1622299011">
              <w:marLeft w:val="0"/>
              <w:marRight w:val="0"/>
              <w:marTop w:val="0"/>
              <w:marBottom w:val="0"/>
              <w:divBdr>
                <w:top w:val="none" w:sz="0" w:space="0" w:color="auto"/>
                <w:left w:val="none" w:sz="0" w:space="0" w:color="auto"/>
                <w:bottom w:val="none" w:sz="0" w:space="0" w:color="auto"/>
                <w:right w:val="none" w:sz="0" w:space="0" w:color="auto"/>
              </w:divBdr>
            </w:div>
          </w:divsChild>
        </w:div>
        <w:div w:id="71976653">
          <w:marLeft w:val="0"/>
          <w:marRight w:val="0"/>
          <w:marTop w:val="0"/>
          <w:marBottom w:val="0"/>
          <w:divBdr>
            <w:top w:val="none" w:sz="0" w:space="0" w:color="auto"/>
            <w:left w:val="none" w:sz="0" w:space="0" w:color="auto"/>
            <w:bottom w:val="none" w:sz="0" w:space="0" w:color="auto"/>
            <w:right w:val="none" w:sz="0" w:space="0" w:color="auto"/>
          </w:divBdr>
          <w:divsChild>
            <w:div w:id="576525233">
              <w:marLeft w:val="0"/>
              <w:marRight w:val="0"/>
              <w:marTop w:val="0"/>
              <w:marBottom w:val="0"/>
              <w:divBdr>
                <w:top w:val="none" w:sz="0" w:space="0" w:color="auto"/>
                <w:left w:val="none" w:sz="0" w:space="0" w:color="auto"/>
                <w:bottom w:val="none" w:sz="0" w:space="0" w:color="auto"/>
                <w:right w:val="none" w:sz="0" w:space="0" w:color="auto"/>
              </w:divBdr>
            </w:div>
          </w:divsChild>
        </w:div>
        <w:div w:id="713163520">
          <w:marLeft w:val="0"/>
          <w:marRight w:val="0"/>
          <w:marTop w:val="0"/>
          <w:marBottom w:val="0"/>
          <w:divBdr>
            <w:top w:val="none" w:sz="0" w:space="0" w:color="auto"/>
            <w:left w:val="none" w:sz="0" w:space="0" w:color="auto"/>
            <w:bottom w:val="none" w:sz="0" w:space="0" w:color="auto"/>
            <w:right w:val="none" w:sz="0" w:space="0" w:color="auto"/>
          </w:divBdr>
          <w:divsChild>
            <w:div w:id="886451935">
              <w:marLeft w:val="0"/>
              <w:marRight w:val="0"/>
              <w:marTop w:val="0"/>
              <w:marBottom w:val="0"/>
              <w:divBdr>
                <w:top w:val="none" w:sz="0" w:space="0" w:color="auto"/>
                <w:left w:val="none" w:sz="0" w:space="0" w:color="auto"/>
                <w:bottom w:val="none" w:sz="0" w:space="0" w:color="auto"/>
                <w:right w:val="none" w:sz="0" w:space="0" w:color="auto"/>
              </w:divBdr>
            </w:div>
          </w:divsChild>
        </w:div>
        <w:div w:id="2087259320">
          <w:marLeft w:val="0"/>
          <w:marRight w:val="0"/>
          <w:marTop w:val="0"/>
          <w:marBottom w:val="0"/>
          <w:divBdr>
            <w:top w:val="none" w:sz="0" w:space="0" w:color="auto"/>
            <w:left w:val="none" w:sz="0" w:space="0" w:color="auto"/>
            <w:bottom w:val="none" w:sz="0" w:space="0" w:color="auto"/>
            <w:right w:val="none" w:sz="0" w:space="0" w:color="auto"/>
          </w:divBdr>
          <w:divsChild>
            <w:div w:id="398089659">
              <w:marLeft w:val="0"/>
              <w:marRight w:val="0"/>
              <w:marTop w:val="0"/>
              <w:marBottom w:val="0"/>
              <w:divBdr>
                <w:top w:val="none" w:sz="0" w:space="0" w:color="auto"/>
                <w:left w:val="none" w:sz="0" w:space="0" w:color="auto"/>
                <w:bottom w:val="none" w:sz="0" w:space="0" w:color="auto"/>
                <w:right w:val="none" w:sz="0" w:space="0" w:color="auto"/>
              </w:divBdr>
            </w:div>
          </w:divsChild>
        </w:div>
        <w:div w:id="743338943">
          <w:marLeft w:val="0"/>
          <w:marRight w:val="0"/>
          <w:marTop w:val="0"/>
          <w:marBottom w:val="0"/>
          <w:divBdr>
            <w:top w:val="none" w:sz="0" w:space="0" w:color="auto"/>
            <w:left w:val="none" w:sz="0" w:space="0" w:color="auto"/>
            <w:bottom w:val="none" w:sz="0" w:space="0" w:color="auto"/>
            <w:right w:val="none" w:sz="0" w:space="0" w:color="auto"/>
          </w:divBdr>
          <w:divsChild>
            <w:div w:id="1895003345">
              <w:marLeft w:val="0"/>
              <w:marRight w:val="0"/>
              <w:marTop w:val="0"/>
              <w:marBottom w:val="0"/>
              <w:divBdr>
                <w:top w:val="none" w:sz="0" w:space="0" w:color="auto"/>
                <w:left w:val="none" w:sz="0" w:space="0" w:color="auto"/>
                <w:bottom w:val="none" w:sz="0" w:space="0" w:color="auto"/>
                <w:right w:val="none" w:sz="0" w:space="0" w:color="auto"/>
              </w:divBdr>
            </w:div>
          </w:divsChild>
        </w:div>
        <w:div w:id="570316184">
          <w:marLeft w:val="0"/>
          <w:marRight w:val="0"/>
          <w:marTop w:val="0"/>
          <w:marBottom w:val="0"/>
          <w:divBdr>
            <w:top w:val="none" w:sz="0" w:space="0" w:color="auto"/>
            <w:left w:val="none" w:sz="0" w:space="0" w:color="auto"/>
            <w:bottom w:val="none" w:sz="0" w:space="0" w:color="auto"/>
            <w:right w:val="none" w:sz="0" w:space="0" w:color="auto"/>
          </w:divBdr>
          <w:divsChild>
            <w:div w:id="59014777">
              <w:marLeft w:val="0"/>
              <w:marRight w:val="0"/>
              <w:marTop w:val="0"/>
              <w:marBottom w:val="0"/>
              <w:divBdr>
                <w:top w:val="none" w:sz="0" w:space="0" w:color="auto"/>
                <w:left w:val="none" w:sz="0" w:space="0" w:color="auto"/>
                <w:bottom w:val="none" w:sz="0" w:space="0" w:color="auto"/>
                <w:right w:val="none" w:sz="0" w:space="0" w:color="auto"/>
              </w:divBdr>
            </w:div>
          </w:divsChild>
        </w:div>
        <w:div w:id="1060859051">
          <w:marLeft w:val="0"/>
          <w:marRight w:val="0"/>
          <w:marTop w:val="0"/>
          <w:marBottom w:val="0"/>
          <w:divBdr>
            <w:top w:val="none" w:sz="0" w:space="0" w:color="auto"/>
            <w:left w:val="none" w:sz="0" w:space="0" w:color="auto"/>
            <w:bottom w:val="none" w:sz="0" w:space="0" w:color="auto"/>
            <w:right w:val="none" w:sz="0" w:space="0" w:color="auto"/>
          </w:divBdr>
          <w:divsChild>
            <w:div w:id="1197350278">
              <w:marLeft w:val="0"/>
              <w:marRight w:val="0"/>
              <w:marTop w:val="0"/>
              <w:marBottom w:val="0"/>
              <w:divBdr>
                <w:top w:val="none" w:sz="0" w:space="0" w:color="auto"/>
                <w:left w:val="none" w:sz="0" w:space="0" w:color="auto"/>
                <w:bottom w:val="none" w:sz="0" w:space="0" w:color="auto"/>
                <w:right w:val="none" w:sz="0" w:space="0" w:color="auto"/>
              </w:divBdr>
            </w:div>
          </w:divsChild>
        </w:div>
        <w:div w:id="1739402334">
          <w:marLeft w:val="0"/>
          <w:marRight w:val="0"/>
          <w:marTop w:val="0"/>
          <w:marBottom w:val="0"/>
          <w:divBdr>
            <w:top w:val="none" w:sz="0" w:space="0" w:color="auto"/>
            <w:left w:val="none" w:sz="0" w:space="0" w:color="auto"/>
            <w:bottom w:val="none" w:sz="0" w:space="0" w:color="auto"/>
            <w:right w:val="none" w:sz="0" w:space="0" w:color="auto"/>
          </w:divBdr>
          <w:divsChild>
            <w:div w:id="1927614634">
              <w:marLeft w:val="0"/>
              <w:marRight w:val="0"/>
              <w:marTop w:val="0"/>
              <w:marBottom w:val="0"/>
              <w:divBdr>
                <w:top w:val="none" w:sz="0" w:space="0" w:color="auto"/>
                <w:left w:val="none" w:sz="0" w:space="0" w:color="auto"/>
                <w:bottom w:val="none" w:sz="0" w:space="0" w:color="auto"/>
                <w:right w:val="none" w:sz="0" w:space="0" w:color="auto"/>
              </w:divBdr>
            </w:div>
          </w:divsChild>
        </w:div>
        <w:div w:id="326714248">
          <w:marLeft w:val="0"/>
          <w:marRight w:val="0"/>
          <w:marTop w:val="0"/>
          <w:marBottom w:val="0"/>
          <w:divBdr>
            <w:top w:val="none" w:sz="0" w:space="0" w:color="auto"/>
            <w:left w:val="none" w:sz="0" w:space="0" w:color="auto"/>
            <w:bottom w:val="none" w:sz="0" w:space="0" w:color="auto"/>
            <w:right w:val="none" w:sz="0" w:space="0" w:color="auto"/>
          </w:divBdr>
          <w:divsChild>
            <w:div w:id="530993588">
              <w:marLeft w:val="0"/>
              <w:marRight w:val="0"/>
              <w:marTop w:val="0"/>
              <w:marBottom w:val="0"/>
              <w:divBdr>
                <w:top w:val="none" w:sz="0" w:space="0" w:color="auto"/>
                <w:left w:val="none" w:sz="0" w:space="0" w:color="auto"/>
                <w:bottom w:val="none" w:sz="0" w:space="0" w:color="auto"/>
                <w:right w:val="none" w:sz="0" w:space="0" w:color="auto"/>
              </w:divBdr>
            </w:div>
          </w:divsChild>
        </w:div>
        <w:div w:id="1195115607">
          <w:marLeft w:val="0"/>
          <w:marRight w:val="0"/>
          <w:marTop w:val="0"/>
          <w:marBottom w:val="0"/>
          <w:divBdr>
            <w:top w:val="none" w:sz="0" w:space="0" w:color="auto"/>
            <w:left w:val="none" w:sz="0" w:space="0" w:color="auto"/>
            <w:bottom w:val="none" w:sz="0" w:space="0" w:color="auto"/>
            <w:right w:val="none" w:sz="0" w:space="0" w:color="auto"/>
          </w:divBdr>
          <w:divsChild>
            <w:div w:id="1400252607">
              <w:marLeft w:val="0"/>
              <w:marRight w:val="0"/>
              <w:marTop w:val="0"/>
              <w:marBottom w:val="0"/>
              <w:divBdr>
                <w:top w:val="none" w:sz="0" w:space="0" w:color="auto"/>
                <w:left w:val="none" w:sz="0" w:space="0" w:color="auto"/>
                <w:bottom w:val="none" w:sz="0" w:space="0" w:color="auto"/>
                <w:right w:val="none" w:sz="0" w:space="0" w:color="auto"/>
              </w:divBdr>
            </w:div>
          </w:divsChild>
        </w:div>
        <w:div w:id="1261179672">
          <w:marLeft w:val="0"/>
          <w:marRight w:val="0"/>
          <w:marTop w:val="0"/>
          <w:marBottom w:val="0"/>
          <w:divBdr>
            <w:top w:val="none" w:sz="0" w:space="0" w:color="auto"/>
            <w:left w:val="none" w:sz="0" w:space="0" w:color="auto"/>
            <w:bottom w:val="none" w:sz="0" w:space="0" w:color="auto"/>
            <w:right w:val="none" w:sz="0" w:space="0" w:color="auto"/>
          </w:divBdr>
          <w:divsChild>
            <w:div w:id="2000423431">
              <w:marLeft w:val="0"/>
              <w:marRight w:val="0"/>
              <w:marTop w:val="0"/>
              <w:marBottom w:val="0"/>
              <w:divBdr>
                <w:top w:val="none" w:sz="0" w:space="0" w:color="auto"/>
                <w:left w:val="none" w:sz="0" w:space="0" w:color="auto"/>
                <w:bottom w:val="none" w:sz="0" w:space="0" w:color="auto"/>
                <w:right w:val="none" w:sz="0" w:space="0" w:color="auto"/>
              </w:divBdr>
            </w:div>
          </w:divsChild>
        </w:div>
        <w:div w:id="297491615">
          <w:marLeft w:val="0"/>
          <w:marRight w:val="0"/>
          <w:marTop w:val="0"/>
          <w:marBottom w:val="0"/>
          <w:divBdr>
            <w:top w:val="none" w:sz="0" w:space="0" w:color="auto"/>
            <w:left w:val="none" w:sz="0" w:space="0" w:color="auto"/>
            <w:bottom w:val="none" w:sz="0" w:space="0" w:color="auto"/>
            <w:right w:val="none" w:sz="0" w:space="0" w:color="auto"/>
          </w:divBdr>
          <w:divsChild>
            <w:div w:id="335497658">
              <w:marLeft w:val="0"/>
              <w:marRight w:val="0"/>
              <w:marTop w:val="0"/>
              <w:marBottom w:val="0"/>
              <w:divBdr>
                <w:top w:val="none" w:sz="0" w:space="0" w:color="auto"/>
                <w:left w:val="none" w:sz="0" w:space="0" w:color="auto"/>
                <w:bottom w:val="none" w:sz="0" w:space="0" w:color="auto"/>
                <w:right w:val="none" w:sz="0" w:space="0" w:color="auto"/>
              </w:divBdr>
            </w:div>
          </w:divsChild>
        </w:div>
        <w:div w:id="401097710">
          <w:marLeft w:val="0"/>
          <w:marRight w:val="0"/>
          <w:marTop w:val="0"/>
          <w:marBottom w:val="0"/>
          <w:divBdr>
            <w:top w:val="none" w:sz="0" w:space="0" w:color="auto"/>
            <w:left w:val="none" w:sz="0" w:space="0" w:color="auto"/>
            <w:bottom w:val="none" w:sz="0" w:space="0" w:color="auto"/>
            <w:right w:val="none" w:sz="0" w:space="0" w:color="auto"/>
          </w:divBdr>
          <w:divsChild>
            <w:div w:id="1356268798">
              <w:marLeft w:val="0"/>
              <w:marRight w:val="0"/>
              <w:marTop w:val="0"/>
              <w:marBottom w:val="0"/>
              <w:divBdr>
                <w:top w:val="none" w:sz="0" w:space="0" w:color="auto"/>
                <w:left w:val="none" w:sz="0" w:space="0" w:color="auto"/>
                <w:bottom w:val="none" w:sz="0" w:space="0" w:color="auto"/>
                <w:right w:val="none" w:sz="0" w:space="0" w:color="auto"/>
              </w:divBdr>
            </w:div>
          </w:divsChild>
        </w:div>
        <w:div w:id="1354646867">
          <w:marLeft w:val="0"/>
          <w:marRight w:val="0"/>
          <w:marTop w:val="0"/>
          <w:marBottom w:val="0"/>
          <w:divBdr>
            <w:top w:val="none" w:sz="0" w:space="0" w:color="auto"/>
            <w:left w:val="none" w:sz="0" w:space="0" w:color="auto"/>
            <w:bottom w:val="none" w:sz="0" w:space="0" w:color="auto"/>
            <w:right w:val="none" w:sz="0" w:space="0" w:color="auto"/>
          </w:divBdr>
          <w:divsChild>
            <w:div w:id="379327958">
              <w:marLeft w:val="0"/>
              <w:marRight w:val="0"/>
              <w:marTop w:val="0"/>
              <w:marBottom w:val="0"/>
              <w:divBdr>
                <w:top w:val="none" w:sz="0" w:space="0" w:color="auto"/>
                <w:left w:val="none" w:sz="0" w:space="0" w:color="auto"/>
                <w:bottom w:val="none" w:sz="0" w:space="0" w:color="auto"/>
                <w:right w:val="none" w:sz="0" w:space="0" w:color="auto"/>
              </w:divBdr>
            </w:div>
          </w:divsChild>
        </w:div>
        <w:div w:id="149445616">
          <w:marLeft w:val="0"/>
          <w:marRight w:val="0"/>
          <w:marTop w:val="0"/>
          <w:marBottom w:val="0"/>
          <w:divBdr>
            <w:top w:val="none" w:sz="0" w:space="0" w:color="auto"/>
            <w:left w:val="none" w:sz="0" w:space="0" w:color="auto"/>
            <w:bottom w:val="none" w:sz="0" w:space="0" w:color="auto"/>
            <w:right w:val="none" w:sz="0" w:space="0" w:color="auto"/>
          </w:divBdr>
          <w:divsChild>
            <w:div w:id="788746219">
              <w:marLeft w:val="0"/>
              <w:marRight w:val="0"/>
              <w:marTop w:val="0"/>
              <w:marBottom w:val="0"/>
              <w:divBdr>
                <w:top w:val="none" w:sz="0" w:space="0" w:color="auto"/>
                <w:left w:val="none" w:sz="0" w:space="0" w:color="auto"/>
                <w:bottom w:val="none" w:sz="0" w:space="0" w:color="auto"/>
                <w:right w:val="none" w:sz="0" w:space="0" w:color="auto"/>
              </w:divBdr>
            </w:div>
          </w:divsChild>
        </w:div>
        <w:div w:id="1398625867">
          <w:marLeft w:val="0"/>
          <w:marRight w:val="0"/>
          <w:marTop w:val="0"/>
          <w:marBottom w:val="0"/>
          <w:divBdr>
            <w:top w:val="none" w:sz="0" w:space="0" w:color="auto"/>
            <w:left w:val="none" w:sz="0" w:space="0" w:color="auto"/>
            <w:bottom w:val="none" w:sz="0" w:space="0" w:color="auto"/>
            <w:right w:val="none" w:sz="0" w:space="0" w:color="auto"/>
          </w:divBdr>
          <w:divsChild>
            <w:div w:id="620721843">
              <w:marLeft w:val="0"/>
              <w:marRight w:val="0"/>
              <w:marTop w:val="0"/>
              <w:marBottom w:val="0"/>
              <w:divBdr>
                <w:top w:val="none" w:sz="0" w:space="0" w:color="auto"/>
                <w:left w:val="none" w:sz="0" w:space="0" w:color="auto"/>
                <w:bottom w:val="none" w:sz="0" w:space="0" w:color="auto"/>
                <w:right w:val="none" w:sz="0" w:space="0" w:color="auto"/>
              </w:divBdr>
            </w:div>
          </w:divsChild>
        </w:div>
        <w:div w:id="1907179228">
          <w:marLeft w:val="0"/>
          <w:marRight w:val="0"/>
          <w:marTop w:val="0"/>
          <w:marBottom w:val="0"/>
          <w:divBdr>
            <w:top w:val="none" w:sz="0" w:space="0" w:color="auto"/>
            <w:left w:val="none" w:sz="0" w:space="0" w:color="auto"/>
            <w:bottom w:val="none" w:sz="0" w:space="0" w:color="auto"/>
            <w:right w:val="none" w:sz="0" w:space="0" w:color="auto"/>
          </w:divBdr>
          <w:divsChild>
            <w:div w:id="690421890">
              <w:marLeft w:val="0"/>
              <w:marRight w:val="0"/>
              <w:marTop w:val="0"/>
              <w:marBottom w:val="0"/>
              <w:divBdr>
                <w:top w:val="none" w:sz="0" w:space="0" w:color="auto"/>
                <w:left w:val="none" w:sz="0" w:space="0" w:color="auto"/>
                <w:bottom w:val="none" w:sz="0" w:space="0" w:color="auto"/>
                <w:right w:val="none" w:sz="0" w:space="0" w:color="auto"/>
              </w:divBdr>
            </w:div>
          </w:divsChild>
        </w:div>
        <w:div w:id="1472136075">
          <w:marLeft w:val="0"/>
          <w:marRight w:val="0"/>
          <w:marTop w:val="0"/>
          <w:marBottom w:val="0"/>
          <w:divBdr>
            <w:top w:val="none" w:sz="0" w:space="0" w:color="auto"/>
            <w:left w:val="none" w:sz="0" w:space="0" w:color="auto"/>
            <w:bottom w:val="none" w:sz="0" w:space="0" w:color="auto"/>
            <w:right w:val="none" w:sz="0" w:space="0" w:color="auto"/>
          </w:divBdr>
          <w:divsChild>
            <w:div w:id="210508587">
              <w:marLeft w:val="0"/>
              <w:marRight w:val="0"/>
              <w:marTop w:val="0"/>
              <w:marBottom w:val="0"/>
              <w:divBdr>
                <w:top w:val="none" w:sz="0" w:space="0" w:color="auto"/>
                <w:left w:val="none" w:sz="0" w:space="0" w:color="auto"/>
                <w:bottom w:val="none" w:sz="0" w:space="0" w:color="auto"/>
                <w:right w:val="none" w:sz="0" w:space="0" w:color="auto"/>
              </w:divBdr>
            </w:div>
          </w:divsChild>
        </w:div>
        <w:div w:id="1582107779">
          <w:marLeft w:val="0"/>
          <w:marRight w:val="0"/>
          <w:marTop w:val="0"/>
          <w:marBottom w:val="0"/>
          <w:divBdr>
            <w:top w:val="none" w:sz="0" w:space="0" w:color="auto"/>
            <w:left w:val="none" w:sz="0" w:space="0" w:color="auto"/>
            <w:bottom w:val="none" w:sz="0" w:space="0" w:color="auto"/>
            <w:right w:val="none" w:sz="0" w:space="0" w:color="auto"/>
          </w:divBdr>
          <w:divsChild>
            <w:div w:id="2040931810">
              <w:marLeft w:val="0"/>
              <w:marRight w:val="0"/>
              <w:marTop w:val="0"/>
              <w:marBottom w:val="0"/>
              <w:divBdr>
                <w:top w:val="none" w:sz="0" w:space="0" w:color="auto"/>
                <w:left w:val="none" w:sz="0" w:space="0" w:color="auto"/>
                <w:bottom w:val="none" w:sz="0" w:space="0" w:color="auto"/>
                <w:right w:val="none" w:sz="0" w:space="0" w:color="auto"/>
              </w:divBdr>
            </w:div>
          </w:divsChild>
        </w:div>
        <w:div w:id="9114494">
          <w:marLeft w:val="0"/>
          <w:marRight w:val="0"/>
          <w:marTop w:val="0"/>
          <w:marBottom w:val="0"/>
          <w:divBdr>
            <w:top w:val="none" w:sz="0" w:space="0" w:color="auto"/>
            <w:left w:val="none" w:sz="0" w:space="0" w:color="auto"/>
            <w:bottom w:val="none" w:sz="0" w:space="0" w:color="auto"/>
            <w:right w:val="none" w:sz="0" w:space="0" w:color="auto"/>
          </w:divBdr>
          <w:divsChild>
            <w:div w:id="2133740512">
              <w:marLeft w:val="0"/>
              <w:marRight w:val="0"/>
              <w:marTop w:val="0"/>
              <w:marBottom w:val="0"/>
              <w:divBdr>
                <w:top w:val="none" w:sz="0" w:space="0" w:color="auto"/>
                <w:left w:val="none" w:sz="0" w:space="0" w:color="auto"/>
                <w:bottom w:val="none" w:sz="0" w:space="0" w:color="auto"/>
                <w:right w:val="none" w:sz="0" w:space="0" w:color="auto"/>
              </w:divBdr>
            </w:div>
          </w:divsChild>
        </w:div>
        <w:div w:id="729888519">
          <w:marLeft w:val="0"/>
          <w:marRight w:val="0"/>
          <w:marTop w:val="0"/>
          <w:marBottom w:val="0"/>
          <w:divBdr>
            <w:top w:val="none" w:sz="0" w:space="0" w:color="auto"/>
            <w:left w:val="none" w:sz="0" w:space="0" w:color="auto"/>
            <w:bottom w:val="none" w:sz="0" w:space="0" w:color="auto"/>
            <w:right w:val="none" w:sz="0" w:space="0" w:color="auto"/>
          </w:divBdr>
          <w:divsChild>
            <w:div w:id="1523476161">
              <w:marLeft w:val="0"/>
              <w:marRight w:val="0"/>
              <w:marTop w:val="0"/>
              <w:marBottom w:val="0"/>
              <w:divBdr>
                <w:top w:val="none" w:sz="0" w:space="0" w:color="auto"/>
                <w:left w:val="none" w:sz="0" w:space="0" w:color="auto"/>
                <w:bottom w:val="none" w:sz="0" w:space="0" w:color="auto"/>
                <w:right w:val="none" w:sz="0" w:space="0" w:color="auto"/>
              </w:divBdr>
            </w:div>
          </w:divsChild>
        </w:div>
        <w:div w:id="1778401078">
          <w:marLeft w:val="0"/>
          <w:marRight w:val="0"/>
          <w:marTop w:val="0"/>
          <w:marBottom w:val="0"/>
          <w:divBdr>
            <w:top w:val="none" w:sz="0" w:space="0" w:color="auto"/>
            <w:left w:val="none" w:sz="0" w:space="0" w:color="auto"/>
            <w:bottom w:val="none" w:sz="0" w:space="0" w:color="auto"/>
            <w:right w:val="none" w:sz="0" w:space="0" w:color="auto"/>
          </w:divBdr>
          <w:divsChild>
            <w:div w:id="236676276">
              <w:marLeft w:val="0"/>
              <w:marRight w:val="0"/>
              <w:marTop w:val="0"/>
              <w:marBottom w:val="0"/>
              <w:divBdr>
                <w:top w:val="none" w:sz="0" w:space="0" w:color="auto"/>
                <w:left w:val="none" w:sz="0" w:space="0" w:color="auto"/>
                <w:bottom w:val="none" w:sz="0" w:space="0" w:color="auto"/>
                <w:right w:val="none" w:sz="0" w:space="0" w:color="auto"/>
              </w:divBdr>
            </w:div>
          </w:divsChild>
        </w:div>
        <w:div w:id="1249001143">
          <w:marLeft w:val="0"/>
          <w:marRight w:val="0"/>
          <w:marTop w:val="0"/>
          <w:marBottom w:val="0"/>
          <w:divBdr>
            <w:top w:val="none" w:sz="0" w:space="0" w:color="auto"/>
            <w:left w:val="none" w:sz="0" w:space="0" w:color="auto"/>
            <w:bottom w:val="none" w:sz="0" w:space="0" w:color="auto"/>
            <w:right w:val="none" w:sz="0" w:space="0" w:color="auto"/>
          </w:divBdr>
          <w:divsChild>
            <w:div w:id="60299715">
              <w:marLeft w:val="0"/>
              <w:marRight w:val="0"/>
              <w:marTop w:val="0"/>
              <w:marBottom w:val="0"/>
              <w:divBdr>
                <w:top w:val="none" w:sz="0" w:space="0" w:color="auto"/>
                <w:left w:val="none" w:sz="0" w:space="0" w:color="auto"/>
                <w:bottom w:val="none" w:sz="0" w:space="0" w:color="auto"/>
                <w:right w:val="none" w:sz="0" w:space="0" w:color="auto"/>
              </w:divBdr>
            </w:div>
          </w:divsChild>
        </w:div>
        <w:div w:id="718670274">
          <w:marLeft w:val="0"/>
          <w:marRight w:val="0"/>
          <w:marTop w:val="0"/>
          <w:marBottom w:val="0"/>
          <w:divBdr>
            <w:top w:val="none" w:sz="0" w:space="0" w:color="auto"/>
            <w:left w:val="none" w:sz="0" w:space="0" w:color="auto"/>
            <w:bottom w:val="none" w:sz="0" w:space="0" w:color="auto"/>
            <w:right w:val="none" w:sz="0" w:space="0" w:color="auto"/>
          </w:divBdr>
          <w:divsChild>
            <w:div w:id="4677827">
              <w:marLeft w:val="0"/>
              <w:marRight w:val="0"/>
              <w:marTop w:val="0"/>
              <w:marBottom w:val="0"/>
              <w:divBdr>
                <w:top w:val="none" w:sz="0" w:space="0" w:color="auto"/>
                <w:left w:val="none" w:sz="0" w:space="0" w:color="auto"/>
                <w:bottom w:val="none" w:sz="0" w:space="0" w:color="auto"/>
                <w:right w:val="none" w:sz="0" w:space="0" w:color="auto"/>
              </w:divBdr>
            </w:div>
          </w:divsChild>
        </w:div>
        <w:div w:id="2119524114">
          <w:marLeft w:val="0"/>
          <w:marRight w:val="0"/>
          <w:marTop w:val="0"/>
          <w:marBottom w:val="0"/>
          <w:divBdr>
            <w:top w:val="none" w:sz="0" w:space="0" w:color="auto"/>
            <w:left w:val="none" w:sz="0" w:space="0" w:color="auto"/>
            <w:bottom w:val="none" w:sz="0" w:space="0" w:color="auto"/>
            <w:right w:val="none" w:sz="0" w:space="0" w:color="auto"/>
          </w:divBdr>
          <w:divsChild>
            <w:div w:id="1559782020">
              <w:marLeft w:val="0"/>
              <w:marRight w:val="0"/>
              <w:marTop w:val="0"/>
              <w:marBottom w:val="0"/>
              <w:divBdr>
                <w:top w:val="none" w:sz="0" w:space="0" w:color="auto"/>
                <w:left w:val="none" w:sz="0" w:space="0" w:color="auto"/>
                <w:bottom w:val="none" w:sz="0" w:space="0" w:color="auto"/>
                <w:right w:val="none" w:sz="0" w:space="0" w:color="auto"/>
              </w:divBdr>
            </w:div>
          </w:divsChild>
        </w:div>
        <w:div w:id="644361985">
          <w:marLeft w:val="0"/>
          <w:marRight w:val="0"/>
          <w:marTop w:val="0"/>
          <w:marBottom w:val="0"/>
          <w:divBdr>
            <w:top w:val="none" w:sz="0" w:space="0" w:color="auto"/>
            <w:left w:val="none" w:sz="0" w:space="0" w:color="auto"/>
            <w:bottom w:val="none" w:sz="0" w:space="0" w:color="auto"/>
            <w:right w:val="none" w:sz="0" w:space="0" w:color="auto"/>
          </w:divBdr>
          <w:divsChild>
            <w:div w:id="1653674133">
              <w:marLeft w:val="0"/>
              <w:marRight w:val="0"/>
              <w:marTop w:val="0"/>
              <w:marBottom w:val="0"/>
              <w:divBdr>
                <w:top w:val="none" w:sz="0" w:space="0" w:color="auto"/>
                <w:left w:val="none" w:sz="0" w:space="0" w:color="auto"/>
                <w:bottom w:val="none" w:sz="0" w:space="0" w:color="auto"/>
                <w:right w:val="none" w:sz="0" w:space="0" w:color="auto"/>
              </w:divBdr>
            </w:div>
          </w:divsChild>
        </w:div>
        <w:div w:id="1617175169">
          <w:marLeft w:val="0"/>
          <w:marRight w:val="0"/>
          <w:marTop w:val="0"/>
          <w:marBottom w:val="0"/>
          <w:divBdr>
            <w:top w:val="none" w:sz="0" w:space="0" w:color="auto"/>
            <w:left w:val="none" w:sz="0" w:space="0" w:color="auto"/>
            <w:bottom w:val="none" w:sz="0" w:space="0" w:color="auto"/>
            <w:right w:val="none" w:sz="0" w:space="0" w:color="auto"/>
          </w:divBdr>
          <w:divsChild>
            <w:div w:id="1228222146">
              <w:marLeft w:val="0"/>
              <w:marRight w:val="0"/>
              <w:marTop w:val="0"/>
              <w:marBottom w:val="0"/>
              <w:divBdr>
                <w:top w:val="none" w:sz="0" w:space="0" w:color="auto"/>
                <w:left w:val="none" w:sz="0" w:space="0" w:color="auto"/>
                <w:bottom w:val="none" w:sz="0" w:space="0" w:color="auto"/>
                <w:right w:val="none" w:sz="0" w:space="0" w:color="auto"/>
              </w:divBdr>
            </w:div>
          </w:divsChild>
        </w:div>
        <w:div w:id="1279337426">
          <w:marLeft w:val="0"/>
          <w:marRight w:val="0"/>
          <w:marTop w:val="0"/>
          <w:marBottom w:val="0"/>
          <w:divBdr>
            <w:top w:val="none" w:sz="0" w:space="0" w:color="auto"/>
            <w:left w:val="none" w:sz="0" w:space="0" w:color="auto"/>
            <w:bottom w:val="none" w:sz="0" w:space="0" w:color="auto"/>
            <w:right w:val="none" w:sz="0" w:space="0" w:color="auto"/>
          </w:divBdr>
          <w:divsChild>
            <w:div w:id="133453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infrastructure.gov.au/" TargetMode="External"/><Relationship Id="rId26" Type="http://schemas.openxmlformats.org/officeDocument/2006/relationships/hyperlink" Target="https://www.oecd.org/g20/summits/osaka/G20-Compendium-of-Good-Practices-in-Infrastructure-Development.pd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publishing@infrastructure.gov.au" TargetMode="External"/><Relationship Id="rId25" Type="http://schemas.openxmlformats.org/officeDocument/2006/relationships/image" Target="media/image4.png"/><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mc.gov.au/" TargetMode="External"/><Relationship Id="rId20" Type="http://schemas.openxmlformats.org/officeDocument/2006/relationships/header" Target="header3.xml"/><Relationship Id="rId29" Type="http://schemas.openxmlformats.org/officeDocument/2006/relationships/hyperlink" Target="https://www.gov.uk/government/publications/infrastructure-and-projects-authority-annual-report-20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3.png"/><Relationship Id="rId32" Type="http://schemas.openxmlformats.org/officeDocument/2006/relationships/hyperlink" Target="https://treasury.gov.au/icao" TargetMode="External"/><Relationship Id="rId37"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creativecommons.org/licenses/by/3.0/au/" TargetMode="External"/><Relationship Id="rId23" Type="http://schemas.openxmlformats.org/officeDocument/2006/relationships/hyperlink" Target="https://www.infrastructureaustralia.gov.au/publications/national-infrastructure-priorities-infrastructure-economically-socially-and-environmentally-sustainable-future" TargetMode="External"/><Relationship Id="rId28" Type="http://schemas.openxmlformats.org/officeDocument/2006/relationships/hyperlink" Target="https://www.infrastructure.nsw.gov.au/news/2021/december/22/release-of-2021-progress-report-against-the-10-point-commitment/" TargetMode="Externa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gov.uk/government/publications/improving-infrastructure-delivery-project-initiation-routemap" TargetMode="External"/><Relationship Id="rId44"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4.xml"/><Relationship Id="rId27" Type="http://schemas.openxmlformats.org/officeDocument/2006/relationships/hyperlink" Target="https://www.infrastructure.sa.gov.au/our-work/capital-intentions" TargetMode="External"/><Relationship Id="rId30" Type="http://schemas.openxmlformats.org/officeDocument/2006/relationships/hyperlink" Target="https://www.gov.uk/government/publications/transforming-infrastructure-performance-roadmap-to-2030/transforming-infrastructure-performance-roadmap-to-2030" TargetMode="External"/><Relationship Id="rId35" Type="http://schemas.openxmlformats.org/officeDocument/2006/relationships/footer" Target="footer5.xml"/><Relationship Id="R5fd143d9766f4c92"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infrastructure.gov.au/have-your-say/independent-review-infrastructure-australia" TargetMode="External"/><Relationship Id="rId7" Type="http://schemas.openxmlformats.org/officeDocument/2006/relationships/hyperlink" Target="https://www.gov.uk/government/publications/infrastructure-and-projects-authority-annual-report-2022" TargetMode="External"/><Relationship Id="rId2" Type="http://schemas.openxmlformats.org/officeDocument/2006/relationships/hyperlink" Target="https://minister.infrastructure.gov.au/c-king/media-release/independent-review-rejuvenate-infrastructure-australia?_ga=2.267237516.367687371.1664343508-268827646.1655440709" TargetMode="External"/><Relationship Id="rId1" Type="http://schemas.openxmlformats.org/officeDocument/2006/relationships/hyperlink" Target="https://minister.infrastructure.gov.au/c-king/media-release/independent-review-rejuvenate-infrastructure-australia?_ga=2.263567630.367687371.1664343508-268827646.1655440709" TargetMode="External"/><Relationship Id="rId6" Type="http://schemas.openxmlformats.org/officeDocument/2006/relationships/hyperlink" Target="https://www.gov.uk/government/publications/infrastructure-and-projects-authority-annual-report-2022" TargetMode="External"/><Relationship Id="rId5" Type="http://schemas.openxmlformats.org/officeDocument/2006/relationships/hyperlink" Target="https://www.infrastructureaustralia.gov.au/publications/national-infrastructure-priorities-infrastructure-economically-socially-and-environmentally-sustainable-future" TargetMode="External"/><Relationship Id="rId4" Type="http://schemas.openxmlformats.org/officeDocument/2006/relationships/hyperlink" Target="https://www.infrastructure.gov.au/sites/default/files/documents/independent-review-of-infrastructure-australia-guiding-ques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406D0AB0BD3D4D9CED7FAC999A6938" ma:contentTypeVersion="5" ma:contentTypeDescription="Create a new document." ma:contentTypeScope="" ma:versionID="bbb6e6d749760d434e40fed9e1aa60bc">
  <xsd:schema xmlns:xsd="http://www.w3.org/2001/XMLSchema" xmlns:xs="http://www.w3.org/2001/XMLSchema" xmlns:p="http://schemas.microsoft.com/office/2006/metadata/properties" xmlns:ns2="6d0eea88-4ad5-4a7e-b274-c0ea1bacdfcb" targetNamespace="http://schemas.microsoft.com/office/2006/metadata/properties" ma:root="true" ma:fieldsID="024bb0dc0106ca25fc884973300b10c9" ns2:_="">
    <xsd:import namespace="6d0eea88-4ad5-4a7e-b274-c0ea1bacdfcb"/>
    <xsd:element name="properties">
      <xsd:complexType>
        <xsd:sequence>
          <xsd:element name="documentManagement">
            <xsd:complexType>
              <xsd:all>
                <xsd:element ref="ns2:RecordNumber" minOccurs="0"/>
                <xsd:element ref="ns2:ccb2f713dc3d4a0cb0443623e2b6fa4c" minOccurs="0"/>
                <xsd:element ref="ns2:TaxCatchAll" minOccurs="0"/>
                <xsd:element ref="ns2:TaxCatchAllLabel" minOccurs="0"/>
                <xsd:element ref="ns2:fe13321ea3ad4c7b9c5c1255ab6116b6"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eea88-4ad5-4a7e-b274-c0ea1bacdfcb"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ccb2f713dc3d4a0cb0443623e2b6fa4c" ma:index="9" ma:taxonomy="true" ma:internalName="ccb2f713dc3d4a0cb0443623e2b6fa4c" ma:taxonomyFieldName="Security_x0020_Classification" ma:displayName="Security Classification" ma:readOnly="false" ma:default="1;#OFFICIAL|66ee57a8-59d0-46bc-a5fc-78440ee0cf81" ma:fieldId="{ccb2f713-dc3d-4a0c-b044-3623e2b6fa4c}" ma:sspId="0483e4a5-f0f6-4ded-b0bb-00a90fd4cf8b" ma:termSetId="d697d180-c653-44a1-a6e2-69709aabde2a"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01aa8db0-89c7-41f5-a435-5614a9fea621}" ma:internalName="TaxCatchAll" ma:showField="CatchAllData" ma:web="6d0eea88-4ad5-4a7e-b274-c0ea1bacdfc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1aa8db0-89c7-41f5-a435-5614a9fea621}" ma:internalName="TaxCatchAllLabel" ma:readOnly="true" ma:showField="CatchAllDataLabel" ma:web="6d0eea88-4ad5-4a7e-b274-c0ea1bacdfcb">
      <xsd:complexType>
        <xsd:complexContent>
          <xsd:extension base="dms:MultiChoiceLookup">
            <xsd:sequence>
              <xsd:element name="Value" type="dms:Lookup" maxOccurs="unbounded" minOccurs="0" nillable="true"/>
            </xsd:sequence>
          </xsd:extension>
        </xsd:complexContent>
      </xsd:complexType>
    </xsd:element>
    <xsd:element name="fe13321ea3ad4c7b9c5c1255ab6116b6" ma:index="13" nillable="true" ma:taxonomy="true" ma:internalName="fe13321ea3ad4c7b9c5c1255ab6116b6" ma:taxonomyFieldName="Information_x0020_Management_x0020_Marker" ma:displayName="Information Management Marker" ma:default="" ma:fieldId="{fe13321e-a3ad-4c7b-9c5c-1255ab6116b6}" ma:sspId="0483e4a5-f0f6-4ded-b0bb-00a90fd4cf8b" ma:termSetId="44e0cffd-acf4-44de-87a1-d4e578541bbf" ma:anchorId="00000000-0000-0000-0000-000000000000" ma:open="tru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2d5756c-43b4-4d37-a58d-0f10667ae07d" xsi:nil="true"/>
    <lcf76f155ced4ddcb4097134ff3c332f xmlns="0e750956-b1ca-40bc-b60d-bf136da853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7C4C4-800F-458A-A00A-539F24BA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eea88-4ad5-4a7e-b274-c0ea1bacd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9D9853-8D7F-4DF2-8172-2D465A33C33B}">
  <ds:schemaRefs>
    <ds:schemaRef ds:uri="0e750956-b1ca-40bc-b60d-bf136da853a2"/>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72d5756c-43b4-4d37-a58d-0f10667ae07d"/>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F8291D38-BD53-4EED-9100-9211E9107FEF}">
  <ds:schemaRefs>
    <ds:schemaRef ds:uri="http://schemas.microsoft.com/sharepoint/v3/contenttype/forms"/>
  </ds:schemaRefs>
</ds:datastoreItem>
</file>

<file path=customXml/itemProps4.xml><?xml version="1.0" encoding="utf-8"?>
<ds:datastoreItem xmlns:ds="http://schemas.openxmlformats.org/officeDocument/2006/customXml" ds:itemID="{21921832-71B9-497B-8D43-0133B981D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21158</Words>
  <Characters>117641</Characters>
  <Application>Microsoft Office Word</Application>
  <DocSecurity>4</DocSecurity>
  <Lines>2063</Lines>
  <Paragraphs>1374</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Communications and the Arts</Company>
  <LinksUpToDate>false</LinksUpToDate>
  <CharactersWithSpaces>137425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review of Infrastructure Australia</dc:title>
  <dc:subject/>
  <dc:creator>Department of Infrastructure, Transport, Regional Development, Communications and the Arts</dc:creator>
  <cp:keywords/>
  <dc:description>27 September 2022</dc:description>
  <cp:lastModifiedBy>HALL Theresa</cp:lastModifiedBy>
  <cp:revision>2</cp:revision>
  <cp:lastPrinted>2022-11-23T23:10:00Z</cp:lastPrinted>
  <dcterms:created xsi:type="dcterms:W3CDTF">2023-01-16T06:47:00Z</dcterms:created>
  <dcterms:modified xsi:type="dcterms:W3CDTF">2023-01-16T06:47:00Z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0x010100D1406D0AB0BD3D4D9CED7FAC999A6938</vt:lpwstr>
  </property>
  <property fmtid="{D5CDD505-2E9C-101B-9397-08002B2CF9AE}" pid="3" name="MediaServiceImageTags">
    <vt:lpwstr/>
  </property>
</Properties>
</file>