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005957" w14:textId="77777777" w:rsidR="003768DA" w:rsidRDefault="003768DA" w:rsidP="00822DBF">
      <w:pPr>
        <w:spacing w:after="0"/>
        <w:ind w:left="-1418"/>
      </w:pPr>
      <w:r>
        <w:rPr>
          <w:noProof/>
          <w:lang w:eastAsia="en-AU"/>
        </w:rPr>
        <w:drawing>
          <wp:inline distT="0" distB="0" distL="0" distR="0" wp14:anchorId="45E9C3A7" wp14:editId="3403BB8E">
            <wp:extent cx="7549233" cy="1263650"/>
            <wp:effectExtent l="0" t="0" r="0" b="0"/>
            <wp:docPr id="6" name="Picture 6" descr="Logo: Australian Government, Department of Infrastructure, Transport, Regional Development and Communications.&#10;&#10;&#10;&#10;www.infrastructure.gov.au&#10;www.communications.gov.au &#10;www.arts.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TRDC Word Header_Crest_A4 portrai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2128" cy="1265808"/>
                    </a:xfrm>
                    <a:prstGeom prst="rect">
                      <a:avLst/>
                    </a:prstGeom>
                  </pic:spPr>
                </pic:pic>
              </a:graphicData>
            </a:graphic>
          </wp:inline>
        </w:drawing>
      </w:r>
    </w:p>
    <w:p w14:paraId="54701F6B" w14:textId="77777777" w:rsidR="003768DA" w:rsidRDefault="003768DA" w:rsidP="00BB7495">
      <w:pPr>
        <w:spacing w:after="0"/>
      </w:pPr>
    </w:p>
    <w:p w14:paraId="6C722A47" w14:textId="77777777" w:rsidR="003768DA" w:rsidRDefault="003768DA" w:rsidP="00822DBF">
      <w:pPr>
        <w:spacing w:after="0"/>
        <w:ind w:left="-1418"/>
        <w:sectPr w:rsidR="003768DA" w:rsidSect="003D71C5">
          <w:footerReference w:type="default" r:id="rId12"/>
          <w:pgSz w:w="11906" w:h="16838"/>
          <w:pgMar w:top="0" w:right="991" w:bottom="1440" w:left="1440" w:header="0" w:footer="397" w:gutter="0"/>
          <w:cols w:space="708"/>
          <w:docGrid w:linePitch="360"/>
        </w:sectPr>
      </w:pPr>
    </w:p>
    <w:p w14:paraId="72CCE0E6" w14:textId="77777777" w:rsidR="00772C27" w:rsidRPr="002A5AB5" w:rsidRDefault="00BF78EB" w:rsidP="002A5AB5">
      <w:pPr>
        <w:pStyle w:val="Heading1"/>
      </w:pPr>
      <w:bookmarkStart w:id="0" w:name="_GoBack"/>
      <w:r>
        <w:t>Improving the telecommunications powers and immunities framework</w:t>
      </w:r>
    </w:p>
    <w:bookmarkEnd w:id="0"/>
    <w:p w14:paraId="38DCC22E" w14:textId="0CA9001C" w:rsidR="00772C27" w:rsidRPr="005204FB" w:rsidRDefault="000D706B" w:rsidP="00772C27">
      <w:pPr>
        <w:shd w:val="clear" w:color="auto" w:fill="002D72"/>
        <w:spacing w:after="120"/>
        <w:rPr>
          <w:rFonts w:ascii="Segoe UI Semibold" w:hAnsi="Segoe UI Semibold" w:cs="Segoe UI Semibold"/>
          <w:color w:val="FFFFFF" w:themeColor="background1"/>
        </w:rPr>
      </w:pPr>
      <w:r>
        <w:rPr>
          <w:rFonts w:ascii="Segoe UI Semibold" w:hAnsi="Segoe UI Semibold" w:cs="Segoe UI Semibold"/>
          <w:color w:val="FFFFFF" w:themeColor="background1"/>
        </w:rPr>
        <w:t>September</w:t>
      </w:r>
      <w:r w:rsidR="00772C27" w:rsidRPr="005204FB">
        <w:rPr>
          <w:rFonts w:ascii="Segoe UI Semibold" w:hAnsi="Segoe UI Semibold" w:cs="Segoe UI Semibold"/>
          <w:color w:val="FFFFFF" w:themeColor="background1"/>
        </w:rPr>
        <w:t xml:space="preserve"> </w:t>
      </w:r>
      <w:r w:rsidR="00BF78EB">
        <w:rPr>
          <w:rFonts w:ascii="Segoe UI Semibold" w:hAnsi="Segoe UI Semibold" w:cs="Segoe UI Semibold"/>
          <w:color w:val="FFFFFF" w:themeColor="background1"/>
        </w:rPr>
        <w:t>2020</w:t>
      </w:r>
    </w:p>
    <w:p w14:paraId="7F098802" w14:textId="77777777" w:rsidR="00E7227D" w:rsidRDefault="00E7227D">
      <w:pPr>
        <w:spacing w:line="259" w:lineRule="auto"/>
      </w:pPr>
      <w:r>
        <w:br w:type="page"/>
      </w:r>
    </w:p>
    <w:p w14:paraId="2BB3BDEC" w14:textId="2D4EBD12" w:rsidR="00E7227D" w:rsidRDefault="00E7227D" w:rsidP="002F1A23">
      <w:pPr>
        <w:spacing w:after="120" w:line="259" w:lineRule="auto"/>
      </w:pPr>
      <w:r>
        <w:lastRenderedPageBreak/>
        <w:t>© Commonwealth of Australia 2020</w:t>
      </w:r>
      <w:r>
        <w:br/>
      </w:r>
      <w:r w:rsidR="00DB7FE7">
        <w:t>August</w:t>
      </w:r>
      <w:r>
        <w:t xml:space="preserve"> 2020 / INFRASTRUCTURE</w:t>
      </w:r>
    </w:p>
    <w:p w14:paraId="2989D0B1" w14:textId="77777777" w:rsidR="00E7227D" w:rsidRDefault="00E7227D" w:rsidP="00E7227D">
      <w:pPr>
        <w:pStyle w:val="Heading2notshowing"/>
      </w:pPr>
      <w:r>
        <w:t>Ownership of intellectual property rights in this publication</w:t>
      </w:r>
    </w:p>
    <w:p w14:paraId="2717D47E" w14:textId="77777777" w:rsidR="00E7227D" w:rsidRPr="00E7227D" w:rsidRDefault="00E7227D" w:rsidP="00E7227D">
      <w:pPr>
        <w:pStyle w:val="Normaldisclaimerpage"/>
      </w:pPr>
      <w:r w:rsidRPr="00E7227D">
        <w:t>Unless otherwise noted, copyright (and any other intellectual property rights, if any) in this publication is owned by the Commonwealth of Australia (referred to below as the Commonwealth).</w:t>
      </w:r>
    </w:p>
    <w:p w14:paraId="583FB678" w14:textId="77777777" w:rsidR="00E7227D" w:rsidRDefault="00E7227D" w:rsidP="00E7227D">
      <w:pPr>
        <w:pStyle w:val="Heading2notshowing"/>
      </w:pPr>
      <w:r>
        <w:t>Disclaimer</w:t>
      </w:r>
    </w:p>
    <w:p w14:paraId="1F480B7D" w14:textId="77777777" w:rsidR="00E7227D" w:rsidRDefault="00E7227D" w:rsidP="00E7227D">
      <w:pPr>
        <w:pStyle w:val="Normaldisclaimerpage"/>
      </w:pPr>
      <w:r>
        <w:t>The material contained in this publication is made available on the understanding that the Commonwealth is not providing professional advice, and that users exercise their own skill and care with respect to its use, and seek independent advice if necessary.</w:t>
      </w:r>
    </w:p>
    <w:p w14:paraId="29ED717C" w14:textId="77777777" w:rsidR="00E7227D" w:rsidRDefault="00E7227D" w:rsidP="00E7227D">
      <w:pPr>
        <w:pStyle w:val="Normaldisclaimerpage"/>
      </w:pPr>
      <w:r>
        <w:t>The Commonwealth makes no representations or warranties as to the contents or accuracy of the information contained in this publication. To the extent permitted by law, the Commonwealth disclaims liability to any person or organisation in respect of anything done, or omitted to be done, in reliance upon information contained in this publication.</w:t>
      </w:r>
    </w:p>
    <w:p w14:paraId="152768EF" w14:textId="77777777" w:rsidR="00E7227D" w:rsidRDefault="00E7227D" w:rsidP="00E7227D">
      <w:pPr>
        <w:pStyle w:val="Heading2notshowing"/>
      </w:pPr>
      <w:proofErr w:type="gramStart"/>
      <w:r>
        <w:lastRenderedPageBreak/>
        <w:t>Creative Commons</w:t>
      </w:r>
      <w:proofErr w:type="gramEnd"/>
      <w:r>
        <w:t xml:space="preserve"> licence</w:t>
      </w:r>
    </w:p>
    <w:p w14:paraId="23F145DC" w14:textId="3D8B96A1" w:rsidR="00E7227D" w:rsidRDefault="00E7227D" w:rsidP="00E7227D">
      <w:pPr>
        <w:pStyle w:val="Normaldisclaimerpage"/>
      </w:pPr>
      <w:r>
        <w:t>With the exception of (a) the Coat of Arms; (b) the Department of Infrastructure, Transport, Regional Development and Communications photos and graphics; copyright in this publication is licensed under a Creative Commons Attribution 4.0 Australia Licence.</w:t>
      </w:r>
    </w:p>
    <w:p w14:paraId="7A11C2C3" w14:textId="77777777" w:rsidR="00E7227D" w:rsidRDefault="00E7227D" w:rsidP="00E7227D">
      <w:pPr>
        <w:pStyle w:val="Normaldisclaimerpage"/>
      </w:pPr>
      <w:r>
        <w:t>Creative Commons Attribution 4.0 Australia Licence is a standard form licence agreement that allows you to copy, communicate and adapt this publication provided that you attribute the work to the Commonwealth and abide by the other licence terms.</w:t>
      </w:r>
    </w:p>
    <w:p w14:paraId="1669BBBD" w14:textId="77777777" w:rsidR="00E7227D" w:rsidRDefault="00E7227D" w:rsidP="00E7227D">
      <w:pPr>
        <w:pStyle w:val="Normaldisclaimerpage"/>
      </w:pPr>
      <w:r>
        <w:t xml:space="preserve">Further information on the licence terms is available from </w:t>
      </w:r>
      <w:hyperlink r:id="rId13" w:history="1">
        <w:r w:rsidR="002F1A23" w:rsidRPr="00AB127C">
          <w:rPr>
            <w:rStyle w:val="Hyperlink"/>
          </w:rPr>
          <w:t>https://creativecommons.org/licenses/by/4.0/</w:t>
        </w:r>
      </w:hyperlink>
      <w:r w:rsidR="002F1A23">
        <w:t>.</w:t>
      </w:r>
      <w:r w:rsidR="002F1A23">
        <w:br/>
      </w:r>
      <w:r>
        <w:t xml:space="preserve">This publication should be attributed in the following way: © Commonwealth of Australia </w:t>
      </w:r>
      <w:r w:rsidR="002F1A23">
        <w:t>2020</w:t>
      </w:r>
      <w:r>
        <w:t>.</w:t>
      </w:r>
    </w:p>
    <w:p w14:paraId="7153EFBD" w14:textId="77777777" w:rsidR="00E7227D" w:rsidRDefault="00E7227D" w:rsidP="00E7227D">
      <w:pPr>
        <w:pStyle w:val="Heading2notshowing"/>
      </w:pPr>
      <w:r>
        <w:t>Use of the Coat of Arms</w:t>
      </w:r>
    </w:p>
    <w:p w14:paraId="3C211AB3" w14:textId="196CA418" w:rsidR="00E7227D" w:rsidRDefault="00E7227D" w:rsidP="00E7227D">
      <w:pPr>
        <w:pStyle w:val="Normaldisclaimerpage"/>
      </w:pPr>
      <w:r>
        <w:t>The Department of the Prime Minister and Cabinet sets the terms under which the Coat of Arms is used. Please refer to the Commonwealth Coat of Arms</w:t>
      </w:r>
      <w:r w:rsidR="00611A2C">
        <w:t>—</w:t>
      </w:r>
      <w:r>
        <w:t xml:space="preserve">Information and Guidelines publication available at </w:t>
      </w:r>
      <w:hyperlink r:id="rId14" w:history="1">
        <w:r w:rsidRPr="00AB127C">
          <w:rPr>
            <w:rStyle w:val="Hyperlink"/>
          </w:rPr>
          <w:t>www.pmc.gov.au</w:t>
        </w:r>
      </w:hyperlink>
      <w:r>
        <w:t>.</w:t>
      </w:r>
    </w:p>
    <w:p w14:paraId="5D0A1460" w14:textId="77777777" w:rsidR="00E7227D" w:rsidRDefault="00E7227D" w:rsidP="00E7227D">
      <w:pPr>
        <w:pStyle w:val="Heading2notshowing"/>
      </w:pPr>
      <w:r>
        <w:lastRenderedPageBreak/>
        <w:t>Contact us</w:t>
      </w:r>
    </w:p>
    <w:p w14:paraId="66BC8E6D" w14:textId="77777777" w:rsidR="00E7227D" w:rsidRDefault="00E7227D" w:rsidP="00E7227D">
      <w:pPr>
        <w:pStyle w:val="Normaldisclaimerpage"/>
      </w:pPr>
      <w:r>
        <w:t xml:space="preserve">This publication is available in hard copy or PDF format. All other rights are reserved, including in relation to any Departmental logos or </w:t>
      </w:r>
      <w:proofErr w:type="spellStart"/>
      <w:r>
        <w:t>trade marks</w:t>
      </w:r>
      <w:proofErr w:type="spellEnd"/>
      <w:r>
        <w:t xml:space="preserve"> which may exist. For enquiries regarding the licence and any use of this publication, please contact:</w:t>
      </w:r>
    </w:p>
    <w:p w14:paraId="6AB0C67C" w14:textId="77777777" w:rsidR="00E7227D" w:rsidRDefault="00E7227D" w:rsidP="00E7227D">
      <w:pPr>
        <w:pStyle w:val="Normaldisclaimerpage"/>
        <w:ind w:left="567"/>
      </w:pPr>
      <w:r>
        <w:t>Director—Publishing and Communications</w:t>
      </w:r>
      <w:r>
        <w:br/>
        <w:t>Communication Branch</w:t>
      </w:r>
      <w:r>
        <w:br/>
        <w:t>Department of Infrastructure, Transport, Regional Development and Communications</w:t>
      </w:r>
      <w:r>
        <w:br/>
        <w:t>GPO Box 594</w:t>
      </w:r>
      <w:r w:rsidR="002F1A23">
        <w:br/>
      </w:r>
      <w:r>
        <w:t>Canberra ACT 2601</w:t>
      </w:r>
      <w:r>
        <w:br/>
        <w:t>Australia</w:t>
      </w:r>
    </w:p>
    <w:p w14:paraId="1ABB698D" w14:textId="562975E0" w:rsidR="00E7227D" w:rsidRDefault="00E7227D" w:rsidP="00E7227D">
      <w:pPr>
        <w:pStyle w:val="Normaldisclaimerpage"/>
        <w:ind w:left="567"/>
      </w:pPr>
      <w:r>
        <w:t xml:space="preserve">Email: </w:t>
      </w:r>
      <w:hyperlink r:id="rId15" w:history="1">
        <w:r w:rsidRPr="00AB127C">
          <w:rPr>
            <w:rStyle w:val="Hyperlink"/>
          </w:rPr>
          <w:t>publishing@communications.gov.au</w:t>
        </w:r>
      </w:hyperlink>
    </w:p>
    <w:p w14:paraId="22CD0C48" w14:textId="77777777" w:rsidR="00A82DAF" w:rsidRDefault="00E7227D" w:rsidP="002F1A23">
      <w:pPr>
        <w:pStyle w:val="Normaldisclaimerpage"/>
        <w:ind w:left="567"/>
      </w:pPr>
      <w:r>
        <w:t>Websites:</w:t>
      </w:r>
      <w:r w:rsidR="00323710">
        <w:t xml:space="preserve"> </w:t>
      </w:r>
      <w:hyperlink r:id="rId16" w:history="1">
        <w:r w:rsidRPr="00AB127C">
          <w:rPr>
            <w:rStyle w:val="Hyperlink"/>
          </w:rPr>
          <w:t>www.infrastructure.gov.au</w:t>
        </w:r>
      </w:hyperlink>
      <w:r>
        <w:t xml:space="preserve"> | </w:t>
      </w:r>
      <w:hyperlink r:id="rId17" w:history="1">
        <w:r w:rsidRPr="00AB127C">
          <w:rPr>
            <w:rStyle w:val="Hyperlink"/>
          </w:rPr>
          <w:t>www.communications.gov.au</w:t>
        </w:r>
      </w:hyperlink>
      <w:r w:rsidR="003768DA">
        <w:t xml:space="preserve"> | </w:t>
      </w:r>
      <w:hyperlink r:id="rId18" w:history="1">
        <w:r w:rsidR="003768DA" w:rsidRPr="00AB127C">
          <w:rPr>
            <w:rStyle w:val="Hyperlink"/>
          </w:rPr>
          <w:t>www.arts.gov.au</w:t>
        </w:r>
      </w:hyperlink>
      <w:r w:rsidR="002F1A23">
        <w:t>.</w:t>
      </w:r>
      <w:r w:rsidR="00A82DAF">
        <w:br w:type="page"/>
      </w:r>
    </w:p>
    <w:p w14:paraId="1487681C" w14:textId="77777777" w:rsidR="00611A2C" w:rsidRPr="006903D3" w:rsidRDefault="00611A2C" w:rsidP="00611A2C">
      <w:pPr>
        <w:pStyle w:val="Heading2notshowing"/>
      </w:pPr>
      <w:r w:rsidRPr="006903D3">
        <w:lastRenderedPageBreak/>
        <w:t>Contents</w:t>
      </w:r>
    </w:p>
    <w:p w14:paraId="5CDE6243" w14:textId="04FB1ED2" w:rsidR="00D34D70" w:rsidRDefault="006C6C4A">
      <w:pPr>
        <w:pStyle w:val="TOC1"/>
        <w:rPr>
          <w:rFonts w:asciiTheme="minorHAnsi" w:eastAsiaTheme="minorEastAsia" w:hAnsiTheme="minorHAnsi"/>
          <w:b w:val="0"/>
          <w:noProof/>
          <w:color w:val="auto"/>
          <w:sz w:val="22"/>
          <w:lang w:eastAsia="en-AU"/>
        </w:rPr>
      </w:pPr>
      <w:r>
        <w:rPr>
          <w:rFonts w:ascii="Calibri" w:eastAsia="PMingLiU" w:hAnsi="Calibri" w:cs="Mangal"/>
          <w:color w:val="0F293A"/>
          <w:sz w:val="24"/>
        </w:rPr>
        <w:fldChar w:fldCharType="begin"/>
      </w:r>
      <w:r>
        <w:rPr>
          <w:rFonts w:ascii="Calibri" w:eastAsia="PMingLiU" w:hAnsi="Calibri" w:cs="Mangal"/>
          <w:color w:val="0F293A"/>
          <w:sz w:val="24"/>
        </w:rPr>
        <w:instrText xml:space="preserve"> TOC \h \z \t "Heading 2,1,Heading 3,2,Heading 4,3" </w:instrText>
      </w:r>
      <w:r>
        <w:rPr>
          <w:rFonts w:ascii="Calibri" w:eastAsia="PMingLiU" w:hAnsi="Calibri" w:cs="Mangal"/>
          <w:color w:val="0F293A"/>
          <w:sz w:val="24"/>
        </w:rPr>
        <w:fldChar w:fldCharType="separate"/>
      </w:r>
      <w:hyperlink w:anchor="_Toc51084817" w:history="1">
        <w:r w:rsidR="00D34D70" w:rsidRPr="00EB2053">
          <w:rPr>
            <w:rStyle w:val="Hyperlink"/>
            <w:noProof/>
          </w:rPr>
          <w:t>Introduction</w:t>
        </w:r>
        <w:r w:rsidR="00D34D70">
          <w:rPr>
            <w:noProof/>
            <w:webHidden/>
          </w:rPr>
          <w:tab/>
        </w:r>
        <w:r w:rsidR="00D34D70">
          <w:rPr>
            <w:noProof/>
            <w:webHidden/>
          </w:rPr>
          <w:fldChar w:fldCharType="begin"/>
        </w:r>
        <w:r w:rsidR="00D34D70">
          <w:rPr>
            <w:noProof/>
            <w:webHidden/>
          </w:rPr>
          <w:instrText xml:space="preserve"> PAGEREF _Toc51084817 \h </w:instrText>
        </w:r>
        <w:r w:rsidR="00D34D70">
          <w:rPr>
            <w:noProof/>
            <w:webHidden/>
          </w:rPr>
        </w:r>
        <w:r w:rsidR="00D34D70">
          <w:rPr>
            <w:noProof/>
            <w:webHidden/>
          </w:rPr>
          <w:fldChar w:fldCharType="separate"/>
        </w:r>
        <w:r w:rsidR="00D34D70">
          <w:rPr>
            <w:noProof/>
            <w:webHidden/>
          </w:rPr>
          <w:t>5</w:t>
        </w:r>
        <w:r w:rsidR="00D34D70">
          <w:rPr>
            <w:noProof/>
            <w:webHidden/>
          </w:rPr>
          <w:fldChar w:fldCharType="end"/>
        </w:r>
      </w:hyperlink>
    </w:p>
    <w:p w14:paraId="5A6C80CD" w14:textId="37F2A7CD" w:rsidR="00D34D70" w:rsidRDefault="00D34D70">
      <w:pPr>
        <w:pStyle w:val="TOC2"/>
        <w:rPr>
          <w:rFonts w:asciiTheme="minorHAnsi" w:eastAsiaTheme="minorEastAsia" w:hAnsiTheme="minorHAnsi"/>
          <w:noProof/>
          <w:sz w:val="22"/>
          <w:lang w:eastAsia="en-AU"/>
        </w:rPr>
      </w:pPr>
      <w:hyperlink w:anchor="_Toc51084818" w:history="1">
        <w:r w:rsidRPr="00EB2053">
          <w:rPr>
            <w:rStyle w:val="Hyperlink"/>
            <w:noProof/>
          </w:rPr>
          <w:t>The need to improve the powers and immunities framework</w:t>
        </w:r>
        <w:r>
          <w:rPr>
            <w:noProof/>
            <w:webHidden/>
          </w:rPr>
          <w:tab/>
        </w:r>
        <w:r>
          <w:rPr>
            <w:noProof/>
            <w:webHidden/>
          </w:rPr>
          <w:fldChar w:fldCharType="begin"/>
        </w:r>
        <w:r>
          <w:rPr>
            <w:noProof/>
            <w:webHidden/>
          </w:rPr>
          <w:instrText xml:space="preserve"> PAGEREF _Toc51084818 \h </w:instrText>
        </w:r>
        <w:r>
          <w:rPr>
            <w:noProof/>
            <w:webHidden/>
          </w:rPr>
        </w:r>
        <w:r>
          <w:rPr>
            <w:noProof/>
            <w:webHidden/>
          </w:rPr>
          <w:fldChar w:fldCharType="separate"/>
        </w:r>
        <w:r>
          <w:rPr>
            <w:noProof/>
            <w:webHidden/>
          </w:rPr>
          <w:t>6</w:t>
        </w:r>
        <w:r>
          <w:rPr>
            <w:noProof/>
            <w:webHidden/>
          </w:rPr>
          <w:fldChar w:fldCharType="end"/>
        </w:r>
      </w:hyperlink>
    </w:p>
    <w:p w14:paraId="0F9617DC" w14:textId="1D8E3B37" w:rsidR="00D34D70" w:rsidRDefault="00D34D70">
      <w:pPr>
        <w:pStyle w:val="TOC2"/>
        <w:rPr>
          <w:rFonts w:asciiTheme="minorHAnsi" w:eastAsiaTheme="minorEastAsia" w:hAnsiTheme="minorHAnsi"/>
          <w:noProof/>
          <w:sz w:val="22"/>
          <w:lang w:eastAsia="en-AU"/>
        </w:rPr>
      </w:pPr>
      <w:hyperlink w:anchor="_Toc51084819" w:history="1">
        <w:r w:rsidRPr="00EB2053">
          <w:rPr>
            <w:rStyle w:val="Hyperlink"/>
            <w:noProof/>
          </w:rPr>
          <w:t>Ideas presented in this paper</w:t>
        </w:r>
        <w:r>
          <w:rPr>
            <w:noProof/>
            <w:webHidden/>
          </w:rPr>
          <w:tab/>
        </w:r>
        <w:r>
          <w:rPr>
            <w:noProof/>
            <w:webHidden/>
          </w:rPr>
          <w:fldChar w:fldCharType="begin"/>
        </w:r>
        <w:r>
          <w:rPr>
            <w:noProof/>
            <w:webHidden/>
          </w:rPr>
          <w:instrText xml:space="preserve"> PAGEREF _Toc51084819 \h </w:instrText>
        </w:r>
        <w:r>
          <w:rPr>
            <w:noProof/>
            <w:webHidden/>
          </w:rPr>
        </w:r>
        <w:r>
          <w:rPr>
            <w:noProof/>
            <w:webHidden/>
          </w:rPr>
          <w:fldChar w:fldCharType="separate"/>
        </w:r>
        <w:r>
          <w:rPr>
            <w:noProof/>
            <w:webHidden/>
          </w:rPr>
          <w:t>7</w:t>
        </w:r>
        <w:r>
          <w:rPr>
            <w:noProof/>
            <w:webHidden/>
          </w:rPr>
          <w:fldChar w:fldCharType="end"/>
        </w:r>
      </w:hyperlink>
    </w:p>
    <w:p w14:paraId="0C1E0F2B" w14:textId="3B8D5E4A" w:rsidR="00D34D70" w:rsidRDefault="00D34D70">
      <w:pPr>
        <w:pStyle w:val="TOC1"/>
        <w:rPr>
          <w:rFonts w:asciiTheme="minorHAnsi" w:eastAsiaTheme="minorEastAsia" w:hAnsiTheme="minorHAnsi"/>
          <w:b w:val="0"/>
          <w:noProof/>
          <w:color w:val="auto"/>
          <w:sz w:val="22"/>
          <w:lang w:eastAsia="en-AU"/>
        </w:rPr>
      </w:pPr>
      <w:hyperlink w:anchor="_Toc51084820" w:history="1">
        <w:r w:rsidRPr="00EB2053">
          <w:rPr>
            <w:rStyle w:val="Hyperlink"/>
            <w:noProof/>
          </w:rPr>
          <w:t>Themes discussed in this paper</w:t>
        </w:r>
        <w:r>
          <w:rPr>
            <w:noProof/>
            <w:webHidden/>
          </w:rPr>
          <w:tab/>
        </w:r>
        <w:r>
          <w:rPr>
            <w:noProof/>
            <w:webHidden/>
          </w:rPr>
          <w:fldChar w:fldCharType="begin"/>
        </w:r>
        <w:r>
          <w:rPr>
            <w:noProof/>
            <w:webHidden/>
          </w:rPr>
          <w:instrText xml:space="preserve"> PAGEREF _Toc51084820 \h </w:instrText>
        </w:r>
        <w:r>
          <w:rPr>
            <w:noProof/>
            <w:webHidden/>
          </w:rPr>
        </w:r>
        <w:r>
          <w:rPr>
            <w:noProof/>
            <w:webHidden/>
          </w:rPr>
          <w:fldChar w:fldCharType="separate"/>
        </w:r>
        <w:r>
          <w:rPr>
            <w:noProof/>
            <w:webHidden/>
          </w:rPr>
          <w:t>8</w:t>
        </w:r>
        <w:r>
          <w:rPr>
            <w:noProof/>
            <w:webHidden/>
          </w:rPr>
          <w:fldChar w:fldCharType="end"/>
        </w:r>
      </w:hyperlink>
    </w:p>
    <w:p w14:paraId="78389998" w14:textId="3895DC11" w:rsidR="00D34D70" w:rsidRDefault="00D34D70">
      <w:pPr>
        <w:pStyle w:val="TOC2"/>
        <w:rPr>
          <w:rFonts w:asciiTheme="minorHAnsi" w:eastAsiaTheme="minorEastAsia" w:hAnsiTheme="minorHAnsi"/>
          <w:noProof/>
          <w:sz w:val="22"/>
          <w:lang w:eastAsia="en-AU"/>
        </w:rPr>
      </w:pPr>
      <w:hyperlink w:anchor="_Toc51084821" w:history="1">
        <w:r w:rsidRPr="00EB2053">
          <w:rPr>
            <w:rStyle w:val="Hyperlink"/>
            <w:noProof/>
          </w:rPr>
          <w:t>Safety and notification</w:t>
        </w:r>
        <w:r>
          <w:rPr>
            <w:noProof/>
            <w:webHidden/>
          </w:rPr>
          <w:tab/>
        </w:r>
        <w:r>
          <w:rPr>
            <w:noProof/>
            <w:webHidden/>
          </w:rPr>
          <w:fldChar w:fldCharType="begin"/>
        </w:r>
        <w:r>
          <w:rPr>
            <w:noProof/>
            <w:webHidden/>
          </w:rPr>
          <w:instrText xml:space="preserve"> PAGEREF _Toc51084821 \h </w:instrText>
        </w:r>
        <w:r>
          <w:rPr>
            <w:noProof/>
            <w:webHidden/>
          </w:rPr>
        </w:r>
        <w:r>
          <w:rPr>
            <w:noProof/>
            <w:webHidden/>
          </w:rPr>
          <w:fldChar w:fldCharType="separate"/>
        </w:r>
        <w:r>
          <w:rPr>
            <w:noProof/>
            <w:webHidden/>
          </w:rPr>
          <w:t>8</w:t>
        </w:r>
        <w:r>
          <w:rPr>
            <w:noProof/>
            <w:webHidden/>
          </w:rPr>
          <w:fldChar w:fldCharType="end"/>
        </w:r>
      </w:hyperlink>
    </w:p>
    <w:p w14:paraId="2E69462B" w14:textId="17050D5B" w:rsidR="00D34D70" w:rsidRDefault="00D34D70">
      <w:pPr>
        <w:pStyle w:val="TOC2"/>
        <w:rPr>
          <w:rFonts w:asciiTheme="minorHAnsi" w:eastAsiaTheme="minorEastAsia" w:hAnsiTheme="minorHAnsi"/>
          <w:noProof/>
          <w:sz w:val="22"/>
          <w:lang w:eastAsia="en-AU"/>
        </w:rPr>
      </w:pPr>
      <w:hyperlink w:anchor="_Toc51084822" w:history="1">
        <w:r w:rsidRPr="00EB2053">
          <w:rPr>
            <w:rStyle w:val="Hyperlink"/>
            <w:noProof/>
          </w:rPr>
          <w:t>Objections and protections</w:t>
        </w:r>
        <w:r>
          <w:rPr>
            <w:noProof/>
            <w:webHidden/>
          </w:rPr>
          <w:tab/>
        </w:r>
        <w:r>
          <w:rPr>
            <w:noProof/>
            <w:webHidden/>
          </w:rPr>
          <w:fldChar w:fldCharType="begin"/>
        </w:r>
        <w:r>
          <w:rPr>
            <w:noProof/>
            <w:webHidden/>
          </w:rPr>
          <w:instrText xml:space="preserve"> PAGEREF _Toc51084822 \h </w:instrText>
        </w:r>
        <w:r>
          <w:rPr>
            <w:noProof/>
            <w:webHidden/>
          </w:rPr>
        </w:r>
        <w:r>
          <w:rPr>
            <w:noProof/>
            <w:webHidden/>
          </w:rPr>
          <w:fldChar w:fldCharType="separate"/>
        </w:r>
        <w:r>
          <w:rPr>
            <w:noProof/>
            <w:webHidden/>
          </w:rPr>
          <w:t>8</w:t>
        </w:r>
        <w:r>
          <w:rPr>
            <w:noProof/>
            <w:webHidden/>
          </w:rPr>
          <w:fldChar w:fldCharType="end"/>
        </w:r>
      </w:hyperlink>
    </w:p>
    <w:p w14:paraId="17B5B378" w14:textId="177166D2" w:rsidR="00D34D70" w:rsidRDefault="00D34D70">
      <w:pPr>
        <w:pStyle w:val="TOC2"/>
        <w:rPr>
          <w:rFonts w:asciiTheme="minorHAnsi" w:eastAsiaTheme="minorEastAsia" w:hAnsiTheme="minorHAnsi"/>
          <w:noProof/>
          <w:sz w:val="22"/>
          <w:lang w:eastAsia="en-AU"/>
        </w:rPr>
      </w:pPr>
      <w:hyperlink w:anchor="_Toc51084823" w:history="1">
        <w:r w:rsidRPr="00EB2053">
          <w:rPr>
            <w:rStyle w:val="Hyperlink"/>
            <w:noProof/>
          </w:rPr>
          <w:t>Facilitating services in line with community expectations and to support economic growth</w:t>
        </w:r>
        <w:r>
          <w:rPr>
            <w:noProof/>
            <w:webHidden/>
          </w:rPr>
          <w:tab/>
        </w:r>
        <w:r>
          <w:rPr>
            <w:noProof/>
            <w:webHidden/>
          </w:rPr>
          <w:fldChar w:fldCharType="begin"/>
        </w:r>
        <w:r>
          <w:rPr>
            <w:noProof/>
            <w:webHidden/>
          </w:rPr>
          <w:instrText xml:space="preserve"> PAGEREF _Toc51084823 \h </w:instrText>
        </w:r>
        <w:r>
          <w:rPr>
            <w:noProof/>
            <w:webHidden/>
          </w:rPr>
        </w:r>
        <w:r>
          <w:rPr>
            <w:noProof/>
            <w:webHidden/>
          </w:rPr>
          <w:fldChar w:fldCharType="separate"/>
        </w:r>
        <w:r>
          <w:rPr>
            <w:noProof/>
            <w:webHidden/>
          </w:rPr>
          <w:t>8</w:t>
        </w:r>
        <w:r>
          <w:rPr>
            <w:noProof/>
            <w:webHidden/>
          </w:rPr>
          <w:fldChar w:fldCharType="end"/>
        </w:r>
      </w:hyperlink>
    </w:p>
    <w:p w14:paraId="30B2BFE3" w14:textId="66F4B561" w:rsidR="00D34D70" w:rsidRDefault="00D34D70">
      <w:pPr>
        <w:pStyle w:val="TOC2"/>
        <w:rPr>
          <w:rFonts w:asciiTheme="minorHAnsi" w:eastAsiaTheme="minorEastAsia" w:hAnsiTheme="minorHAnsi"/>
          <w:noProof/>
          <w:sz w:val="22"/>
          <w:lang w:eastAsia="en-AU"/>
        </w:rPr>
      </w:pPr>
      <w:hyperlink w:anchor="_Toc51084824" w:history="1">
        <w:r w:rsidRPr="00EB2053">
          <w:rPr>
            <w:rStyle w:val="Hyperlink"/>
            <w:noProof/>
          </w:rPr>
          <w:t>The consultation process</w:t>
        </w:r>
        <w:r>
          <w:rPr>
            <w:noProof/>
            <w:webHidden/>
          </w:rPr>
          <w:tab/>
        </w:r>
        <w:r>
          <w:rPr>
            <w:noProof/>
            <w:webHidden/>
          </w:rPr>
          <w:fldChar w:fldCharType="begin"/>
        </w:r>
        <w:r>
          <w:rPr>
            <w:noProof/>
            <w:webHidden/>
          </w:rPr>
          <w:instrText xml:space="preserve"> PAGEREF _Toc51084824 \h </w:instrText>
        </w:r>
        <w:r>
          <w:rPr>
            <w:noProof/>
            <w:webHidden/>
          </w:rPr>
        </w:r>
        <w:r>
          <w:rPr>
            <w:noProof/>
            <w:webHidden/>
          </w:rPr>
          <w:fldChar w:fldCharType="separate"/>
        </w:r>
        <w:r>
          <w:rPr>
            <w:noProof/>
            <w:webHidden/>
          </w:rPr>
          <w:t>9</w:t>
        </w:r>
        <w:r>
          <w:rPr>
            <w:noProof/>
            <w:webHidden/>
          </w:rPr>
          <w:fldChar w:fldCharType="end"/>
        </w:r>
      </w:hyperlink>
    </w:p>
    <w:p w14:paraId="54783145" w14:textId="21059E6B" w:rsidR="00D34D70" w:rsidRDefault="00D34D70">
      <w:pPr>
        <w:pStyle w:val="TOC1"/>
        <w:rPr>
          <w:rFonts w:asciiTheme="minorHAnsi" w:eastAsiaTheme="minorEastAsia" w:hAnsiTheme="minorHAnsi"/>
          <w:b w:val="0"/>
          <w:noProof/>
          <w:color w:val="auto"/>
          <w:sz w:val="22"/>
          <w:lang w:eastAsia="en-AU"/>
        </w:rPr>
      </w:pPr>
      <w:hyperlink w:anchor="_Toc51084825" w:history="1">
        <w:r w:rsidRPr="00EB2053">
          <w:rPr>
            <w:rStyle w:val="Hyperlink"/>
            <w:noProof/>
          </w:rPr>
          <w:t>1.</w:t>
        </w:r>
        <w:r>
          <w:rPr>
            <w:rFonts w:asciiTheme="minorHAnsi" w:eastAsiaTheme="minorEastAsia" w:hAnsiTheme="minorHAnsi"/>
            <w:b w:val="0"/>
            <w:noProof/>
            <w:color w:val="auto"/>
            <w:sz w:val="22"/>
            <w:lang w:eastAsia="en-AU"/>
          </w:rPr>
          <w:tab/>
        </w:r>
        <w:r w:rsidRPr="00EB2053">
          <w:rPr>
            <w:rStyle w:val="Hyperlink"/>
            <w:noProof/>
          </w:rPr>
          <w:t>Safety and notification</w:t>
        </w:r>
        <w:r>
          <w:rPr>
            <w:noProof/>
            <w:webHidden/>
          </w:rPr>
          <w:tab/>
        </w:r>
        <w:r>
          <w:rPr>
            <w:noProof/>
            <w:webHidden/>
          </w:rPr>
          <w:fldChar w:fldCharType="begin"/>
        </w:r>
        <w:r>
          <w:rPr>
            <w:noProof/>
            <w:webHidden/>
          </w:rPr>
          <w:instrText xml:space="preserve"> PAGEREF _Toc51084825 \h </w:instrText>
        </w:r>
        <w:r>
          <w:rPr>
            <w:noProof/>
            <w:webHidden/>
          </w:rPr>
        </w:r>
        <w:r>
          <w:rPr>
            <w:noProof/>
            <w:webHidden/>
          </w:rPr>
          <w:fldChar w:fldCharType="separate"/>
        </w:r>
        <w:r>
          <w:rPr>
            <w:noProof/>
            <w:webHidden/>
          </w:rPr>
          <w:t>10</w:t>
        </w:r>
        <w:r>
          <w:rPr>
            <w:noProof/>
            <w:webHidden/>
          </w:rPr>
          <w:fldChar w:fldCharType="end"/>
        </w:r>
      </w:hyperlink>
    </w:p>
    <w:p w14:paraId="2206FAB0" w14:textId="0CA57B81" w:rsidR="00D34D70" w:rsidRDefault="00D34D70">
      <w:pPr>
        <w:pStyle w:val="TOC2"/>
        <w:tabs>
          <w:tab w:val="left" w:pos="1134"/>
        </w:tabs>
        <w:rPr>
          <w:rFonts w:asciiTheme="minorHAnsi" w:eastAsiaTheme="minorEastAsia" w:hAnsiTheme="minorHAnsi"/>
          <w:noProof/>
          <w:sz w:val="22"/>
          <w:lang w:eastAsia="en-AU"/>
        </w:rPr>
      </w:pPr>
      <w:hyperlink w:anchor="_Toc51084826" w:history="1">
        <w:r w:rsidRPr="00EB2053">
          <w:rPr>
            <w:rStyle w:val="Hyperlink"/>
            <w:noProof/>
          </w:rPr>
          <w:t>A.</w:t>
        </w:r>
        <w:r>
          <w:rPr>
            <w:rFonts w:asciiTheme="minorHAnsi" w:eastAsiaTheme="minorEastAsia" w:hAnsiTheme="minorHAnsi"/>
            <w:noProof/>
            <w:sz w:val="22"/>
            <w:lang w:eastAsia="en-AU"/>
          </w:rPr>
          <w:tab/>
        </w:r>
        <w:r w:rsidRPr="00EB2053">
          <w:rPr>
            <w:rStyle w:val="Hyperlink"/>
            <w:noProof/>
          </w:rPr>
          <w:t>Creation of a primary safety condition</w:t>
        </w:r>
        <w:r>
          <w:rPr>
            <w:noProof/>
            <w:webHidden/>
          </w:rPr>
          <w:tab/>
        </w:r>
        <w:r>
          <w:rPr>
            <w:noProof/>
            <w:webHidden/>
          </w:rPr>
          <w:fldChar w:fldCharType="begin"/>
        </w:r>
        <w:r>
          <w:rPr>
            <w:noProof/>
            <w:webHidden/>
          </w:rPr>
          <w:instrText xml:space="preserve"> PAGEREF _Toc51084826 \h </w:instrText>
        </w:r>
        <w:r>
          <w:rPr>
            <w:noProof/>
            <w:webHidden/>
          </w:rPr>
        </w:r>
        <w:r>
          <w:rPr>
            <w:noProof/>
            <w:webHidden/>
          </w:rPr>
          <w:fldChar w:fldCharType="separate"/>
        </w:r>
        <w:r>
          <w:rPr>
            <w:noProof/>
            <w:webHidden/>
          </w:rPr>
          <w:t>10</w:t>
        </w:r>
        <w:r>
          <w:rPr>
            <w:noProof/>
            <w:webHidden/>
          </w:rPr>
          <w:fldChar w:fldCharType="end"/>
        </w:r>
      </w:hyperlink>
    </w:p>
    <w:p w14:paraId="00CBE485" w14:textId="4A9DA53A" w:rsidR="00D34D70" w:rsidRDefault="00D34D70">
      <w:pPr>
        <w:pStyle w:val="TOC3"/>
        <w:rPr>
          <w:rFonts w:asciiTheme="minorHAnsi" w:eastAsiaTheme="minorEastAsia" w:hAnsiTheme="minorHAnsi"/>
          <w:sz w:val="22"/>
          <w:lang w:eastAsia="en-AU"/>
        </w:rPr>
      </w:pPr>
      <w:hyperlink w:anchor="_Toc51084827" w:history="1">
        <w:r w:rsidRPr="00EB2053">
          <w:rPr>
            <w:rStyle w:val="Hyperlink"/>
          </w:rPr>
          <w:t>Issue</w:t>
        </w:r>
        <w:r>
          <w:rPr>
            <w:webHidden/>
          </w:rPr>
          <w:tab/>
        </w:r>
        <w:r>
          <w:rPr>
            <w:webHidden/>
          </w:rPr>
          <w:fldChar w:fldCharType="begin"/>
        </w:r>
        <w:r>
          <w:rPr>
            <w:webHidden/>
          </w:rPr>
          <w:instrText xml:space="preserve"> PAGEREF _Toc51084827 \h </w:instrText>
        </w:r>
        <w:r>
          <w:rPr>
            <w:webHidden/>
          </w:rPr>
        </w:r>
        <w:r>
          <w:rPr>
            <w:webHidden/>
          </w:rPr>
          <w:fldChar w:fldCharType="separate"/>
        </w:r>
        <w:r>
          <w:rPr>
            <w:webHidden/>
          </w:rPr>
          <w:t>10</w:t>
        </w:r>
        <w:r>
          <w:rPr>
            <w:webHidden/>
          </w:rPr>
          <w:fldChar w:fldCharType="end"/>
        </w:r>
      </w:hyperlink>
    </w:p>
    <w:p w14:paraId="290A66BC" w14:textId="4CF16B06" w:rsidR="00D34D70" w:rsidRDefault="00D34D70">
      <w:pPr>
        <w:pStyle w:val="TOC3"/>
        <w:rPr>
          <w:rFonts w:asciiTheme="minorHAnsi" w:eastAsiaTheme="minorEastAsia" w:hAnsiTheme="minorHAnsi"/>
          <w:sz w:val="22"/>
          <w:lang w:eastAsia="en-AU"/>
        </w:rPr>
      </w:pPr>
      <w:hyperlink w:anchor="_Toc51084828" w:history="1">
        <w:r w:rsidRPr="00EB2053">
          <w:rPr>
            <w:rStyle w:val="Hyperlink"/>
          </w:rPr>
          <w:t>Proposal</w:t>
        </w:r>
        <w:r>
          <w:rPr>
            <w:webHidden/>
          </w:rPr>
          <w:tab/>
        </w:r>
        <w:r>
          <w:rPr>
            <w:webHidden/>
          </w:rPr>
          <w:fldChar w:fldCharType="begin"/>
        </w:r>
        <w:r>
          <w:rPr>
            <w:webHidden/>
          </w:rPr>
          <w:instrText xml:space="preserve"> PAGEREF _Toc51084828 \h </w:instrText>
        </w:r>
        <w:r>
          <w:rPr>
            <w:webHidden/>
          </w:rPr>
        </w:r>
        <w:r>
          <w:rPr>
            <w:webHidden/>
          </w:rPr>
          <w:fldChar w:fldCharType="separate"/>
        </w:r>
        <w:r>
          <w:rPr>
            <w:webHidden/>
          </w:rPr>
          <w:t>11</w:t>
        </w:r>
        <w:r>
          <w:rPr>
            <w:webHidden/>
          </w:rPr>
          <w:fldChar w:fldCharType="end"/>
        </w:r>
      </w:hyperlink>
    </w:p>
    <w:p w14:paraId="0F13F86B" w14:textId="2A2D35F9" w:rsidR="00D34D70" w:rsidRDefault="00D34D70">
      <w:pPr>
        <w:pStyle w:val="TOC3"/>
        <w:rPr>
          <w:rFonts w:asciiTheme="minorHAnsi" w:eastAsiaTheme="minorEastAsia" w:hAnsiTheme="minorHAnsi"/>
          <w:sz w:val="22"/>
          <w:lang w:eastAsia="en-AU"/>
        </w:rPr>
      </w:pPr>
      <w:hyperlink w:anchor="_Toc51084829" w:history="1">
        <w:r w:rsidRPr="00EB2053">
          <w:rPr>
            <w:rStyle w:val="Hyperlink"/>
          </w:rPr>
          <w:t>Prompt questions</w:t>
        </w:r>
        <w:r>
          <w:rPr>
            <w:webHidden/>
          </w:rPr>
          <w:tab/>
        </w:r>
        <w:r>
          <w:rPr>
            <w:webHidden/>
          </w:rPr>
          <w:fldChar w:fldCharType="begin"/>
        </w:r>
        <w:r>
          <w:rPr>
            <w:webHidden/>
          </w:rPr>
          <w:instrText xml:space="preserve"> PAGEREF _Toc51084829 \h </w:instrText>
        </w:r>
        <w:r>
          <w:rPr>
            <w:webHidden/>
          </w:rPr>
        </w:r>
        <w:r>
          <w:rPr>
            <w:webHidden/>
          </w:rPr>
          <w:fldChar w:fldCharType="separate"/>
        </w:r>
        <w:r>
          <w:rPr>
            <w:webHidden/>
          </w:rPr>
          <w:t>11</w:t>
        </w:r>
        <w:r>
          <w:rPr>
            <w:webHidden/>
          </w:rPr>
          <w:fldChar w:fldCharType="end"/>
        </w:r>
      </w:hyperlink>
    </w:p>
    <w:p w14:paraId="0C2DCFBE" w14:textId="1D22C5BC" w:rsidR="00D34D70" w:rsidRDefault="00D34D70">
      <w:pPr>
        <w:pStyle w:val="TOC2"/>
        <w:tabs>
          <w:tab w:val="left" w:pos="1134"/>
        </w:tabs>
        <w:rPr>
          <w:rFonts w:asciiTheme="minorHAnsi" w:eastAsiaTheme="minorEastAsia" w:hAnsiTheme="minorHAnsi"/>
          <w:noProof/>
          <w:sz w:val="22"/>
          <w:lang w:eastAsia="en-AU"/>
        </w:rPr>
      </w:pPr>
      <w:hyperlink w:anchor="_Toc51084830" w:history="1">
        <w:r w:rsidRPr="00EB2053">
          <w:rPr>
            <w:rStyle w:val="Hyperlink"/>
            <w:noProof/>
          </w:rPr>
          <w:t>B.</w:t>
        </w:r>
        <w:r>
          <w:rPr>
            <w:rFonts w:asciiTheme="minorHAnsi" w:eastAsiaTheme="minorEastAsia" w:hAnsiTheme="minorHAnsi"/>
            <w:noProof/>
            <w:sz w:val="22"/>
            <w:lang w:eastAsia="en-AU"/>
          </w:rPr>
          <w:tab/>
        </w:r>
        <w:r w:rsidRPr="00EB2053">
          <w:rPr>
            <w:rStyle w:val="Hyperlink"/>
            <w:noProof/>
          </w:rPr>
          <w:t>Standard notifications across industry</w:t>
        </w:r>
        <w:r>
          <w:rPr>
            <w:noProof/>
            <w:webHidden/>
          </w:rPr>
          <w:tab/>
        </w:r>
        <w:r>
          <w:rPr>
            <w:noProof/>
            <w:webHidden/>
          </w:rPr>
          <w:fldChar w:fldCharType="begin"/>
        </w:r>
        <w:r>
          <w:rPr>
            <w:noProof/>
            <w:webHidden/>
          </w:rPr>
          <w:instrText xml:space="preserve"> PAGEREF _Toc51084830 \h </w:instrText>
        </w:r>
        <w:r>
          <w:rPr>
            <w:noProof/>
            <w:webHidden/>
          </w:rPr>
        </w:r>
        <w:r>
          <w:rPr>
            <w:noProof/>
            <w:webHidden/>
          </w:rPr>
          <w:fldChar w:fldCharType="separate"/>
        </w:r>
        <w:r>
          <w:rPr>
            <w:noProof/>
            <w:webHidden/>
          </w:rPr>
          <w:t>11</w:t>
        </w:r>
        <w:r>
          <w:rPr>
            <w:noProof/>
            <w:webHidden/>
          </w:rPr>
          <w:fldChar w:fldCharType="end"/>
        </w:r>
      </w:hyperlink>
    </w:p>
    <w:p w14:paraId="548763F5" w14:textId="2B5A9FD3" w:rsidR="00D34D70" w:rsidRDefault="00D34D70">
      <w:pPr>
        <w:pStyle w:val="TOC3"/>
        <w:rPr>
          <w:rFonts w:asciiTheme="minorHAnsi" w:eastAsiaTheme="minorEastAsia" w:hAnsiTheme="minorHAnsi"/>
          <w:sz w:val="22"/>
          <w:lang w:eastAsia="en-AU"/>
        </w:rPr>
      </w:pPr>
      <w:hyperlink w:anchor="_Toc51084831" w:history="1">
        <w:r w:rsidRPr="00EB2053">
          <w:rPr>
            <w:rStyle w:val="Hyperlink"/>
          </w:rPr>
          <w:t>Issue</w:t>
        </w:r>
        <w:r>
          <w:rPr>
            <w:webHidden/>
          </w:rPr>
          <w:tab/>
        </w:r>
        <w:r>
          <w:rPr>
            <w:webHidden/>
          </w:rPr>
          <w:fldChar w:fldCharType="begin"/>
        </w:r>
        <w:r>
          <w:rPr>
            <w:webHidden/>
          </w:rPr>
          <w:instrText xml:space="preserve"> PAGEREF _Toc51084831 \h </w:instrText>
        </w:r>
        <w:r>
          <w:rPr>
            <w:webHidden/>
          </w:rPr>
        </w:r>
        <w:r>
          <w:rPr>
            <w:webHidden/>
          </w:rPr>
          <w:fldChar w:fldCharType="separate"/>
        </w:r>
        <w:r>
          <w:rPr>
            <w:webHidden/>
          </w:rPr>
          <w:t>11</w:t>
        </w:r>
        <w:r>
          <w:rPr>
            <w:webHidden/>
          </w:rPr>
          <w:fldChar w:fldCharType="end"/>
        </w:r>
      </w:hyperlink>
    </w:p>
    <w:p w14:paraId="69128B7A" w14:textId="1F4771EA" w:rsidR="00D34D70" w:rsidRDefault="00D34D70">
      <w:pPr>
        <w:pStyle w:val="TOC3"/>
        <w:rPr>
          <w:rFonts w:asciiTheme="minorHAnsi" w:eastAsiaTheme="minorEastAsia" w:hAnsiTheme="minorHAnsi"/>
          <w:sz w:val="22"/>
          <w:lang w:eastAsia="en-AU"/>
        </w:rPr>
      </w:pPr>
      <w:hyperlink w:anchor="_Toc51084832" w:history="1">
        <w:r w:rsidRPr="00EB2053">
          <w:rPr>
            <w:rStyle w:val="Hyperlink"/>
          </w:rPr>
          <w:t>Proposal</w:t>
        </w:r>
        <w:r>
          <w:rPr>
            <w:webHidden/>
          </w:rPr>
          <w:tab/>
        </w:r>
        <w:r>
          <w:rPr>
            <w:webHidden/>
          </w:rPr>
          <w:fldChar w:fldCharType="begin"/>
        </w:r>
        <w:r>
          <w:rPr>
            <w:webHidden/>
          </w:rPr>
          <w:instrText xml:space="preserve"> PAGEREF _Toc51084832 \h </w:instrText>
        </w:r>
        <w:r>
          <w:rPr>
            <w:webHidden/>
          </w:rPr>
        </w:r>
        <w:r>
          <w:rPr>
            <w:webHidden/>
          </w:rPr>
          <w:fldChar w:fldCharType="separate"/>
        </w:r>
        <w:r>
          <w:rPr>
            <w:webHidden/>
          </w:rPr>
          <w:t>12</w:t>
        </w:r>
        <w:r>
          <w:rPr>
            <w:webHidden/>
          </w:rPr>
          <w:fldChar w:fldCharType="end"/>
        </w:r>
      </w:hyperlink>
    </w:p>
    <w:p w14:paraId="077DA4D6" w14:textId="7A9DA39B" w:rsidR="00D34D70" w:rsidRDefault="00D34D70">
      <w:pPr>
        <w:pStyle w:val="TOC3"/>
        <w:rPr>
          <w:rFonts w:asciiTheme="minorHAnsi" w:eastAsiaTheme="minorEastAsia" w:hAnsiTheme="minorHAnsi"/>
          <w:sz w:val="22"/>
          <w:lang w:eastAsia="en-AU"/>
        </w:rPr>
      </w:pPr>
      <w:hyperlink w:anchor="_Toc51084833" w:history="1">
        <w:r w:rsidRPr="00EB2053">
          <w:rPr>
            <w:rStyle w:val="Hyperlink"/>
          </w:rPr>
          <w:t>Prompt questions</w:t>
        </w:r>
        <w:r>
          <w:rPr>
            <w:webHidden/>
          </w:rPr>
          <w:tab/>
        </w:r>
        <w:r>
          <w:rPr>
            <w:webHidden/>
          </w:rPr>
          <w:fldChar w:fldCharType="begin"/>
        </w:r>
        <w:r>
          <w:rPr>
            <w:webHidden/>
          </w:rPr>
          <w:instrText xml:space="preserve"> PAGEREF _Toc51084833 \h </w:instrText>
        </w:r>
        <w:r>
          <w:rPr>
            <w:webHidden/>
          </w:rPr>
        </w:r>
        <w:r>
          <w:rPr>
            <w:webHidden/>
          </w:rPr>
          <w:fldChar w:fldCharType="separate"/>
        </w:r>
        <w:r>
          <w:rPr>
            <w:webHidden/>
          </w:rPr>
          <w:t>13</w:t>
        </w:r>
        <w:r>
          <w:rPr>
            <w:webHidden/>
          </w:rPr>
          <w:fldChar w:fldCharType="end"/>
        </w:r>
      </w:hyperlink>
    </w:p>
    <w:p w14:paraId="7A294D3A" w14:textId="2AF282DB" w:rsidR="00D34D70" w:rsidRDefault="00D34D70">
      <w:pPr>
        <w:pStyle w:val="TOC2"/>
        <w:tabs>
          <w:tab w:val="left" w:pos="1134"/>
        </w:tabs>
        <w:rPr>
          <w:rFonts w:asciiTheme="minorHAnsi" w:eastAsiaTheme="minorEastAsia" w:hAnsiTheme="minorHAnsi"/>
          <w:noProof/>
          <w:sz w:val="22"/>
          <w:lang w:eastAsia="en-AU"/>
        </w:rPr>
      </w:pPr>
      <w:hyperlink w:anchor="_Toc51084834" w:history="1">
        <w:r w:rsidRPr="00EB2053">
          <w:rPr>
            <w:rStyle w:val="Hyperlink"/>
            <w:noProof/>
          </w:rPr>
          <w:t>C.</w:t>
        </w:r>
        <w:r>
          <w:rPr>
            <w:rFonts w:asciiTheme="minorHAnsi" w:eastAsiaTheme="minorEastAsia" w:hAnsiTheme="minorHAnsi"/>
            <w:noProof/>
            <w:sz w:val="22"/>
            <w:lang w:eastAsia="en-AU"/>
          </w:rPr>
          <w:tab/>
        </w:r>
        <w:r w:rsidRPr="00EB2053">
          <w:rPr>
            <w:rStyle w:val="Hyperlink"/>
            <w:noProof/>
          </w:rPr>
          <w:t>Withdrawal of notifications</w:t>
        </w:r>
        <w:r>
          <w:rPr>
            <w:noProof/>
            <w:webHidden/>
          </w:rPr>
          <w:tab/>
        </w:r>
        <w:r>
          <w:rPr>
            <w:noProof/>
            <w:webHidden/>
          </w:rPr>
          <w:fldChar w:fldCharType="begin"/>
        </w:r>
        <w:r>
          <w:rPr>
            <w:noProof/>
            <w:webHidden/>
          </w:rPr>
          <w:instrText xml:space="preserve"> PAGEREF _Toc51084834 \h </w:instrText>
        </w:r>
        <w:r>
          <w:rPr>
            <w:noProof/>
            <w:webHidden/>
          </w:rPr>
        </w:r>
        <w:r>
          <w:rPr>
            <w:noProof/>
            <w:webHidden/>
          </w:rPr>
          <w:fldChar w:fldCharType="separate"/>
        </w:r>
        <w:r>
          <w:rPr>
            <w:noProof/>
            <w:webHidden/>
          </w:rPr>
          <w:t>13</w:t>
        </w:r>
        <w:r>
          <w:rPr>
            <w:noProof/>
            <w:webHidden/>
          </w:rPr>
          <w:fldChar w:fldCharType="end"/>
        </w:r>
      </w:hyperlink>
    </w:p>
    <w:p w14:paraId="1D849FB6" w14:textId="79498B1B" w:rsidR="00D34D70" w:rsidRDefault="00D34D70">
      <w:pPr>
        <w:pStyle w:val="TOC3"/>
        <w:rPr>
          <w:rFonts w:asciiTheme="minorHAnsi" w:eastAsiaTheme="minorEastAsia" w:hAnsiTheme="minorHAnsi"/>
          <w:sz w:val="22"/>
          <w:lang w:eastAsia="en-AU"/>
        </w:rPr>
      </w:pPr>
      <w:hyperlink w:anchor="_Toc51084835" w:history="1">
        <w:r w:rsidRPr="00EB2053">
          <w:rPr>
            <w:rStyle w:val="Hyperlink"/>
          </w:rPr>
          <w:t>Issue</w:t>
        </w:r>
        <w:r>
          <w:rPr>
            <w:webHidden/>
          </w:rPr>
          <w:tab/>
        </w:r>
        <w:r>
          <w:rPr>
            <w:webHidden/>
          </w:rPr>
          <w:fldChar w:fldCharType="begin"/>
        </w:r>
        <w:r>
          <w:rPr>
            <w:webHidden/>
          </w:rPr>
          <w:instrText xml:space="preserve"> PAGEREF _Toc51084835 \h </w:instrText>
        </w:r>
        <w:r>
          <w:rPr>
            <w:webHidden/>
          </w:rPr>
        </w:r>
        <w:r>
          <w:rPr>
            <w:webHidden/>
          </w:rPr>
          <w:fldChar w:fldCharType="separate"/>
        </w:r>
        <w:r>
          <w:rPr>
            <w:webHidden/>
          </w:rPr>
          <w:t>13</w:t>
        </w:r>
        <w:r>
          <w:rPr>
            <w:webHidden/>
          </w:rPr>
          <w:fldChar w:fldCharType="end"/>
        </w:r>
      </w:hyperlink>
    </w:p>
    <w:p w14:paraId="03EFC37E" w14:textId="0692F2E4" w:rsidR="00D34D70" w:rsidRDefault="00D34D70">
      <w:pPr>
        <w:pStyle w:val="TOC3"/>
        <w:rPr>
          <w:rFonts w:asciiTheme="minorHAnsi" w:eastAsiaTheme="minorEastAsia" w:hAnsiTheme="minorHAnsi"/>
          <w:sz w:val="22"/>
          <w:lang w:eastAsia="en-AU"/>
        </w:rPr>
      </w:pPr>
      <w:hyperlink w:anchor="_Toc51084836" w:history="1">
        <w:r w:rsidRPr="00EB2053">
          <w:rPr>
            <w:rStyle w:val="Hyperlink"/>
          </w:rPr>
          <w:t>Proposal</w:t>
        </w:r>
        <w:r>
          <w:rPr>
            <w:webHidden/>
          </w:rPr>
          <w:tab/>
        </w:r>
        <w:r>
          <w:rPr>
            <w:webHidden/>
          </w:rPr>
          <w:fldChar w:fldCharType="begin"/>
        </w:r>
        <w:r>
          <w:rPr>
            <w:webHidden/>
          </w:rPr>
          <w:instrText xml:space="preserve"> PAGEREF _Toc51084836 \h </w:instrText>
        </w:r>
        <w:r>
          <w:rPr>
            <w:webHidden/>
          </w:rPr>
        </w:r>
        <w:r>
          <w:rPr>
            <w:webHidden/>
          </w:rPr>
          <w:fldChar w:fldCharType="separate"/>
        </w:r>
        <w:r>
          <w:rPr>
            <w:webHidden/>
          </w:rPr>
          <w:t>13</w:t>
        </w:r>
        <w:r>
          <w:rPr>
            <w:webHidden/>
          </w:rPr>
          <w:fldChar w:fldCharType="end"/>
        </w:r>
      </w:hyperlink>
    </w:p>
    <w:p w14:paraId="202B58FF" w14:textId="089F693D" w:rsidR="00D34D70" w:rsidRDefault="00D34D70">
      <w:pPr>
        <w:pStyle w:val="TOC3"/>
        <w:rPr>
          <w:rFonts w:asciiTheme="minorHAnsi" w:eastAsiaTheme="minorEastAsia" w:hAnsiTheme="minorHAnsi"/>
          <w:sz w:val="22"/>
          <w:lang w:eastAsia="en-AU"/>
        </w:rPr>
      </w:pPr>
      <w:hyperlink w:anchor="_Toc51084837" w:history="1">
        <w:r w:rsidRPr="00EB2053">
          <w:rPr>
            <w:rStyle w:val="Hyperlink"/>
          </w:rPr>
          <w:t>Prompt questions</w:t>
        </w:r>
        <w:r>
          <w:rPr>
            <w:webHidden/>
          </w:rPr>
          <w:tab/>
        </w:r>
        <w:r>
          <w:rPr>
            <w:webHidden/>
          </w:rPr>
          <w:fldChar w:fldCharType="begin"/>
        </w:r>
        <w:r>
          <w:rPr>
            <w:webHidden/>
          </w:rPr>
          <w:instrText xml:space="preserve"> PAGEREF _Toc51084837 \h </w:instrText>
        </w:r>
        <w:r>
          <w:rPr>
            <w:webHidden/>
          </w:rPr>
        </w:r>
        <w:r>
          <w:rPr>
            <w:webHidden/>
          </w:rPr>
          <w:fldChar w:fldCharType="separate"/>
        </w:r>
        <w:r>
          <w:rPr>
            <w:webHidden/>
          </w:rPr>
          <w:t>14</w:t>
        </w:r>
        <w:r>
          <w:rPr>
            <w:webHidden/>
          </w:rPr>
          <w:fldChar w:fldCharType="end"/>
        </w:r>
      </w:hyperlink>
    </w:p>
    <w:p w14:paraId="3A01E629" w14:textId="286F9E40" w:rsidR="00D34D70" w:rsidRDefault="00D34D70">
      <w:pPr>
        <w:pStyle w:val="TOC2"/>
        <w:tabs>
          <w:tab w:val="left" w:pos="1134"/>
        </w:tabs>
        <w:rPr>
          <w:rFonts w:asciiTheme="minorHAnsi" w:eastAsiaTheme="minorEastAsia" w:hAnsiTheme="minorHAnsi"/>
          <w:noProof/>
          <w:sz w:val="22"/>
          <w:lang w:eastAsia="en-AU"/>
        </w:rPr>
      </w:pPr>
      <w:hyperlink w:anchor="_Toc51084838" w:history="1">
        <w:r w:rsidRPr="00EB2053">
          <w:rPr>
            <w:rStyle w:val="Hyperlink"/>
            <w:noProof/>
          </w:rPr>
          <w:t>D.</w:t>
        </w:r>
        <w:r>
          <w:rPr>
            <w:rFonts w:asciiTheme="minorHAnsi" w:eastAsiaTheme="minorEastAsia" w:hAnsiTheme="minorHAnsi"/>
            <w:noProof/>
            <w:sz w:val="22"/>
            <w:lang w:eastAsia="en-AU"/>
          </w:rPr>
          <w:tab/>
        </w:r>
        <w:r w:rsidRPr="00EB2053">
          <w:rPr>
            <w:rStyle w:val="Hyperlink"/>
            <w:noProof/>
          </w:rPr>
          <w:t>Requirement to provide engineering certification</w:t>
        </w:r>
        <w:r>
          <w:rPr>
            <w:noProof/>
            <w:webHidden/>
          </w:rPr>
          <w:tab/>
        </w:r>
        <w:r>
          <w:rPr>
            <w:noProof/>
            <w:webHidden/>
          </w:rPr>
          <w:fldChar w:fldCharType="begin"/>
        </w:r>
        <w:r>
          <w:rPr>
            <w:noProof/>
            <w:webHidden/>
          </w:rPr>
          <w:instrText xml:space="preserve"> PAGEREF _Toc51084838 \h </w:instrText>
        </w:r>
        <w:r>
          <w:rPr>
            <w:noProof/>
            <w:webHidden/>
          </w:rPr>
        </w:r>
        <w:r>
          <w:rPr>
            <w:noProof/>
            <w:webHidden/>
          </w:rPr>
          <w:fldChar w:fldCharType="separate"/>
        </w:r>
        <w:r>
          <w:rPr>
            <w:noProof/>
            <w:webHidden/>
          </w:rPr>
          <w:t>14</w:t>
        </w:r>
        <w:r>
          <w:rPr>
            <w:noProof/>
            <w:webHidden/>
          </w:rPr>
          <w:fldChar w:fldCharType="end"/>
        </w:r>
      </w:hyperlink>
    </w:p>
    <w:p w14:paraId="75E77D38" w14:textId="18648937" w:rsidR="00D34D70" w:rsidRDefault="00D34D70">
      <w:pPr>
        <w:pStyle w:val="TOC3"/>
        <w:rPr>
          <w:rFonts w:asciiTheme="minorHAnsi" w:eastAsiaTheme="minorEastAsia" w:hAnsiTheme="minorHAnsi"/>
          <w:sz w:val="22"/>
          <w:lang w:eastAsia="en-AU"/>
        </w:rPr>
      </w:pPr>
      <w:hyperlink w:anchor="_Toc51084839" w:history="1">
        <w:r w:rsidRPr="00EB2053">
          <w:rPr>
            <w:rStyle w:val="Hyperlink"/>
          </w:rPr>
          <w:t>Issue</w:t>
        </w:r>
        <w:r>
          <w:rPr>
            <w:webHidden/>
          </w:rPr>
          <w:tab/>
        </w:r>
        <w:r>
          <w:rPr>
            <w:webHidden/>
          </w:rPr>
          <w:fldChar w:fldCharType="begin"/>
        </w:r>
        <w:r>
          <w:rPr>
            <w:webHidden/>
          </w:rPr>
          <w:instrText xml:space="preserve"> PAGEREF _Toc51084839 \h </w:instrText>
        </w:r>
        <w:r>
          <w:rPr>
            <w:webHidden/>
          </w:rPr>
        </w:r>
        <w:r>
          <w:rPr>
            <w:webHidden/>
          </w:rPr>
          <w:fldChar w:fldCharType="separate"/>
        </w:r>
        <w:r>
          <w:rPr>
            <w:webHidden/>
          </w:rPr>
          <w:t>14</w:t>
        </w:r>
        <w:r>
          <w:rPr>
            <w:webHidden/>
          </w:rPr>
          <w:fldChar w:fldCharType="end"/>
        </w:r>
      </w:hyperlink>
    </w:p>
    <w:p w14:paraId="4CBBD4BD" w14:textId="0754A17E" w:rsidR="00D34D70" w:rsidRDefault="00D34D70">
      <w:pPr>
        <w:pStyle w:val="TOC3"/>
        <w:rPr>
          <w:rFonts w:asciiTheme="minorHAnsi" w:eastAsiaTheme="minorEastAsia" w:hAnsiTheme="minorHAnsi"/>
          <w:sz w:val="22"/>
          <w:lang w:eastAsia="en-AU"/>
        </w:rPr>
      </w:pPr>
      <w:hyperlink w:anchor="_Toc51084840" w:history="1">
        <w:r w:rsidRPr="00EB2053">
          <w:rPr>
            <w:rStyle w:val="Hyperlink"/>
          </w:rPr>
          <w:t>Proposal</w:t>
        </w:r>
        <w:r>
          <w:rPr>
            <w:webHidden/>
          </w:rPr>
          <w:tab/>
        </w:r>
        <w:r>
          <w:rPr>
            <w:webHidden/>
          </w:rPr>
          <w:fldChar w:fldCharType="begin"/>
        </w:r>
        <w:r>
          <w:rPr>
            <w:webHidden/>
          </w:rPr>
          <w:instrText xml:space="preserve"> PAGEREF _Toc51084840 \h </w:instrText>
        </w:r>
        <w:r>
          <w:rPr>
            <w:webHidden/>
          </w:rPr>
        </w:r>
        <w:r>
          <w:rPr>
            <w:webHidden/>
          </w:rPr>
          <w:fldChar w:fldCharType="separate"/>
        </w:r>
        <w:r>
          <w:rPr>
            <w:webHidden/>
          </w:rPr>
          <w:t>15</w:t>
        </w:r>
        <w:r>
          <w:rPr>
            <w:webHidden/>
          </w:rPr>
          <w:fldChar w:fldCharType="end"/>
        </w:r>
      </w:hyperlink>
    </w:p>
    <w:p w14:paraId="5CDD3930" w14:textId="00AACF99" w:rsidR="00D34D70" w:rsidRDefault="00D34D70">
      <w:pPr>
        <w:pStyle w:val="TOC3"/>
        <w:rPr>
          <w:rFonts w:asciiTheme="minorHAnsi" w:eastAsiaTheme="minorEastAsia" w:hAnsiTheme="minorHAnsi"/>
          <w:sz w:val="22"/>
          <w:lang w:eastAsia="en-AU"/>
        </w:rPr>
      </w:pPr>
      <w:hyperlink w:anchor="_Toc51084841" w:history="1">
        <w:r w:rsidRPr="00EB2053">
          <w:rPr>
            <w:rStyle w:val="Hyperlink"/>
          </w:rPr>
          <w:t>Prompt questions</w:t>
        </w:r>
        <w:r>
          <w:rPr>
            <w:webHidden/>
          </w:rPr>
          <w:tab/>
        </w:r>
        <w:r>
          <w:rPr>
            <w:webHidden/>
          </w:rPr>
          <w:fldChar w:fldCharType="begin"/>
        </w:r>
        <w:r>
          <w:rPr>
            <w:webHidden/>
          </w:rPr>
          <w:instrText xml:space="preserve"> PAGEREF _Toc51084841 \h </w:instrText>
        </w:r>
        <w:r>
          <w:rPr>
            <w:webHidden/>
          </w:rPr>
        </w:r>
        <w:r>
          <w:rPr>
            <w:webHidden/>
          </w:rPr>
          <w:fldChar w:fldCharType="separate"/>
        </w:r>
        <w:r>
          <w:rPr>
            <w:webHidden/>
          </w:rPr>
          <w:t>15</w:t>
        </w:r>
        <w:r>
          <w:rPr>
            <w:webHidden/>
          </w:rPr>
          <w:fldChar w:fldCharType="end"/>
        </w:r>
      </w:hyperlink>
    </w:p>
    <w:p w14:paraId="2DE7E12C" w14:textId="64AEAA9E" w:rsidR="00D34D70" w:rsidRDefault="00D34D70">
      <w:pPr>
        <w:pStyle w:val="TOC2"/>
        <w:tabs>
          <w:tab w:val="left" w:pos="1134"/>
        </w:tabs>
        <w:rPr>
          <w:rFonts w:asciiTheme="minorHAnsi" w:eastAsiaTheme="minorEastAsia" w:hAnsiTheme="minorHAnsi"/>
          <w:noProof/>
          <w:sz w:val="22"/>
          <w:lang w:eastAsia="en-AU"/>
        </w:rPr>
      </w:pPr>
      <w:hyperlink w:anchor="_Toc51084842" w:history="1">
        <w:r w:rsidRPr="00EB2053">
          <w:rPr>
            <w:rStyle w:val="Hyperlink"/>
            <w:noProof/>
          </w:rPr>
          <w:t>E.</w:t>
        </w:r>
        <w:r>
          <w:rPr>
            <w:rFonts w:asciiTheme="minorHAnsi" w:eastAsiaTheme="minorEastAsia" w:hAnsiTheme="minorHAnsi"/>
            <w:noProof/>
            <w:sz w:val="22"/>
            <w:lang w:eastAsia="en-AU"/>
          </w:rPr>
          <w:tab/>
        </w:r>
        <w:r w:rsidRPr="00EB2053">
          <w:rPr>
            <w:rStyle w:val="Hyperlink"/>
            <w:noProof/>
          </w:rPr>
          <w:t>Extending notification timeframes</w:t>
        </w:r>
        <w:r>
          <w:rPr>
            <w:noProof/>
            <w:webHidden/>
          </w:rPr>
          <w:tab/>
        </w:r>
        <w:r>
          <w:rPr>
            <w:noProof/>
            <w:webHidden/>
          </w:rPr>
          <w:fldChar w:fldCharType="begin"/>
        </w:r>
        <w:r>
          <w:rPr>
            <w:noProof/>
            <w:webHidden/>
          </w:rPr>
          <w:instrText xml:space="preserve"> PAGEREF _Toc51084842 \h </w:instrText>
        </w:r>
        <w:r>
          <w:rPr>
            <w:noProof/>
            <w:webHidden/>
          </w:rPr>
        </w:r>
        <w:r>
          <w:rPr>
            <w:noProof/>
            <w:webHidden/>
          </w:rPr>
          <w:fldChar w:fldCharType="separate"/>
        </w:r>
        <w:r>
          <w:rPr>
            <w:noProof/>
            <w:webHidden/>
          </w:rPr>
          <w:t>15</w:t>
        </w:r>
        <w:r>
          <w:rPr>
            <w:noProof/>
            <w:webHidden/>
          </w:rPr>
          <w:fldChar w:fldCharType="end"/>
        </w:r>
      </w:hyperlink>
    </w:p>
    <w:p w14:paraId="33B61CB1" w14:textId="2B4EA63A" w:rsidR="00D34D70" w:rsidRDefault="00D34D70">
      <w:pPr>
        <w:pStyle w:val="TOC3"/>
        <w:rPr>
          <w:rFonts w:asciiTheme="minorHAnsi" w:eastAsiaTheme="minorEastAsia" w:hAnsiTheme="minorHAnsi"/>
          <w:sz w:val="22"/>
          <w:lang w:eastAsia="en-AU"/>
        </w:rPr>
      </w:pPr>
      <w:hyperlink w:anchor="_Toc51084843" w:history="1">
        <w:r w:rsidRPr="00EB2053">
          <w:rPr>
            <w:rStyle w:val="Hyperlink"/>
          </w:rPr>
          <w:t>Issue</w:t>
        </w:r>
        <w:r>
          <w:rPr>
            <w:webHidden/>
          </w:rPr>
          <w:tab/>
        </w:r>
        <w:r>
          <w:rPr>
            <w:webHidden/>
          </w:rPr>
          <w:fldChar w:fldCharType="begin"/>
        </w:r>
        <w:r>
          <w:rPr>
            <w:webHidden/>
          </w:rPr>
          <w:instrText xml:space="preserve"> PAGEREF _Toc51084843 \h </w:instrText>
        </w:r>
        <w:r>
          <w:rPr>
            <w:webHidden/>
          </w:rPr>
        </w:r>
        <w:r>
          <w:rPr>
            <w:webHidden/>
          </w:rPr>
          <w:fldChar w:fldCharType="separate"/>
        </w:r>
        <w:r>
          <w:rPr>
            <w:webHidden/>
          </w:rPr>
          <w:t>15</w:t>
        </w:r>
        <w:r>
          <w:rPr>
            <w:webHidden/>
          </w:rPr>
          <w:fldChar w:fldCharType="end"/>
        </w:r>
      </w:hyperlink>
    </w:p>
    <w:p w14:paraId="6C77859E" w14:textId="41B7056A" w:rsidR="00D34D70" w:rsidRDefault="00D34D70">
      <w:pPr>
        <w:pStyle w:val="TOC3"/>
        <w:rPr>
          <w:rFonts w:asciiTheme="minorHAnsi" w:eastAsiaTheme="minorEastAsia" w:hAnsiTheme="minorHAnsi"/>
          <w:sz w:val="22"/>
          <w:lang w:eastAsia="en-AU"/>
        </w:rPr>
      </w:pPr>
      <w:hyperlink w:anchor="_Toc51084844" w:history="1">
        <w:r w:rsidRPr="00EB2053">
          <w:rPr>
            <w:rStyle w:val="Hyperlink"/>
          </w:rPr>
          <w:t>Proposal</w:t>
        </w:r>
        <w:r>
          <w:rPr>
            <w:webHidden/>
          </w:rPr>
          <w:tab/>
        </w:r>
        <w:r>
          <w:rPr>
            <w:webHidden/>
          </w:rPr>
          <w:fldChar w:fldCharType="begin"/>
        </w:r>
        <w:r>
          <w:rPr>
            <w:webHidden/>
          </w:rPr>
          <w:instrText xml:space="preserve"> PAGEREF _Toc51084844 \h </w:instrText>
        </w:r>
        <w:r>
          <w:rPr>
            <w:webHidden/>
          </w:rPr>
        </w:r>
        <w:r>
          <w:rPr>
            <w:webHidden/>
          </w:rPr>
          <w:fldChar w:fldCharType="separate"/>
        </w:r>
        <w:r>
          <w:rPr>
            <w:webHidden/>
          </w:rPr>
          <w:t>16</w:t>
        </w:r>
        <w:r>
          <w:rPr>
            <w:webHidden/>
          </w:rPr>
          <w:fldChar w:fldCharType="end"/>
        </w:r>
      </w:hyperlink>
    </w:p>
    <w:p w14:paraId="404DFE00" w14:textId="0EFE5EB8" w:rsidR="00D34D70" w:rsidRDefault="00D34D70">
      <w:pPr>
        <w:pStyle w:val="TOC3"/>
        <w:rPr>
          <w:rFonts w:asciiTheme="minorHAnsi" w:eastAsiaTheme="minorEastAsia" w:hAnsiTheme="minorHAnsi"/>
          <w:sz w:val="22"/>
          <w:lang w:eastAsia="en-AU"/>
        </w:rPr>
      </w:pPr>
      <w:hyperlink w:anchor="_Toc51084845" w:history="1">
        <w:r w:rsidRPr="00EB2053">
          <w:rPr>
            <w:rStyle w:val="Hyperlink"/>
          </w:rPr>
          <w:t>Prompt questions</w:t>
        </w:r>
        <w:r>
          <w:rPr>
            <w:webHidden/>
          </w:rPr>
          <w:tab/>
        </w:r>
        <w:r>
          <w:rPr>
            <w:webHidden/>
          </w:rPr>
          <w:fldChar w:fldCharType="begin"/>
        </w:r>
        <w:r>
          <w:rPr>
            <w:webHidden/>
          </w:rPr>
          <w:instrText xml:space="preserve"> PAGEREF _Toc51084845 \h </w:instrText>
        </w:r>
        <w:r>
          <w:rPr>
            <w:webHidden/>
          </w:rPr>
        </w:r>
        <w:r>
          <w:rPr>
            <w:webHidden/>
          </w:rPr>
          <w:fldChar w:fldCharType="separate"/>
        </w:r>
        <w:r>
          <w:rPr>
            <w:webHidden/>
          </w:rPr>
          <w:t>16</w:t>
        </w:r>
        <w:r>
          <w:rPr>
            <w:webHidden/>
          </w:rPr>
          <w:fldChar w:fldCharType="end"/>
        </w:r>
      </w:hyperlink>
    </w:p>
    <w:p w14:paraId="0B162CBB" w14:textId="46E9D093" w:rsidR="00D34D70" w:rsidRDefault="00D34D70">
      <w:pPr>
        <w:pStyle w:val="TOC1"/>
        <w:rPr>
          <w:rFonts w:asciiTheme="minorHAnsi" w:eastAsiaTheme="minorEastAsia" w:hAnsiTheme="minorHAnsi"/>
          <w:b w:val="0"/>
          <w:noProof/>
          <w:color w:val="auto"/>
          <w:sz w:val="22"/>
          <w:lang w:eastAsia="en-AU"/>
        </w:rPr>
      </w:pPr>
      <w:hyperlink w:anchor="_Toc51084846" w:history="1">
        <w:r w:rsidRPr="00EB2053">
          <w:rPr>
            <w:rStyle w:val="Hyperlink"/>
            <w:noProof/>
          </w:rPr>
          <w:t>2.</w:t>
        </w:r>
        <w:r>
          <w:rPr>
            <w:rFonts w:asciiTheme="minorHAnsi" w:eastAsiaTheme="minorEastAsia" w:hAnsiTheme="minorHAnsi"/>
            <w:b w:val="0"/>
            <w:noProof/>
            <w:color w:val="auto"/>
            <w:sz w:val="22"/>
            <w:lang w:eastAsia="en-AU"/>
          </w:rPr>
          <w:tab/>
        </w:r>
        <w:r w:rsidRPr="00EB2053">
          <w:rPr>
            <w:rStyle w:val="Hyperlink"/>
            <w:noProof/>
          </w:rPr>
          <w:t>Objections and protections</w:t>
        </w:r>
        <w:r>
          <w:rPr>
            <w:noProof/>
            <w:webHidden/>
          </w:rPr>
          <w:tab/>
        </w:r>
        <w:r>
          <w:rPr>
            <w:noProof/>
            <w:webHidden/>
          </w:rPr>
          <w:fldChar w:fldCharType="begin"/>
        </w:r>
        <w:r>
          <w:rPr>
            <w:noProof/>
            <w:webHidden/>
          </w:rPr>
          <w:instrText xml:space="preserve"> PAGEREF _Toc51084846 \h </w:instrText>
        </w:r>
        <w:r>
          <w:rPr>
            <w:noProof/>
            <w:webHidden/>
          </w:rPr>
        </w:r>
        <w:r>
          <w:rPr>
            <w:noProof/>
            <w:webHidden/>
          </w:rPr>
          <w:fldChar w:fldCharType="separate"/>
        </w:r>
        <w:r>
          <w:rPr>
            <w:noProof/>
            <w:webHidden/>
          </w:rPr>
          <w:t>17</w:t>
        </w:r>
        <w:r>
          <w:rPr>
            <w:noProof/>
            <w:webHidden/>
          </w:rPr>
          <w:fldChar w:fldCharType="end"/>
        </w:r>
      </w:hyperlink>
    </w:p>
    <w:p w14:paraId="6CBEB688" w14:textId="46EA4F5B" w:rsidR="00D34D70" w:rsidRDefault="00D34D70">
      <w:pPr>
        <w:pStyle w:val="TOC2"/>
        <w:tabs>
          <w:tab w:val="left" w:pos="1134"/>
        </w:tabs>
        <w:rPr>
          <w:rFonts w:asciiTheme="minorHAnsi" w:eastAsiaTheme="minorEastAsia" w:hAnsiTheme="minorHAnsi"/>
          <w:noProof/>
          <w:sz w:val="22"/>
          <w:lang w:eastAsia="en-AU"/>
        </w:rPr>
      </w:pPr>
      <w:hyperlink w:anchor="_Toc51084847" w:history="1">
        <w:r w:rsidRPr="00EB2053">
          <w:rPr>
            <w:rStyle w:val="Hyperlink"/>
            <w:noProof/>
          </w:rPr>
          <w:t>A.</w:t>
        </w:r>
        <w:r>
          <w:rPr>
            <w:rFonts w:asciiTheme="minorHAnsi" w:eastAsiaTheme="minorEastAsia" w:hAnsiTheme="minorHAnsi"/>
            <w:noProof/>
            <w:sz w:val="22"/>
            <w:lang w:eastAsia="en-AU"/>
          </w:rPr>
          <w:tab/>
        </w:r>
        <w:r w:rsidRPr="00EB2053">
          <w:rPr>
            <w:rStyle w:val="Hyperlink"/>
            <w:noProof/>
          </w:rPr>
          <w:t>Clarifying the objections process for landowners</w:t>
        </w:r>
        <w:r>
          <w:rPr>
            <w:noProof/>
            <w:webHidden/>
          </w:rPr>
          <w:tab/>
        </w:r>
        <w:r>
          <w:rPr>
            <w:noProof/>
            <w:webHidden/>
          </w:rPr>
          <w:fldChar w:fldCharType="begin"/>
        </w:r>
        <w:r>
          <w:rPr>
            <w:noProof/>
            <w:webHidden/>
          </w:rPr>
          <w:instrText xml:space="preserve"> PAGEREF _Toc51084847 \h </w:instrText>
        </w:r>
        <w:r>
          <w:rPr>
            <w:noProof/>
            <w:webHidden/>
          </w:rPr>
        </w:r>
        <w:r>
          <w:rPr>
            <w:noProof/>
            <w:webHidden/>
          </w:rPr>
          <w:fldChar w:fldCharType="separate"/>
        </w:r>
        <w:r>
          <w:rPr>
            <w:noProof/>
            <w:webHidden/>
          </w:rPr>
          <w:t>17</w:t>
        </w:r>
        <w:r>
          <w:rPr>
            <w:noProof/>
            <w:webHidden/>
          </w:rPr>
          <w:fldChar w:fldCharType="end"/>
        </w:r>
      </w:hyperlink>
    </w:p>
    <w:p w14:paraId="6B6D6CE0" w14:textId="7DC33C16" w:rsidR="00D34D70" w:rsidRDefault="00D34D70">
      <w:pPr>
        <w:pStyle w:val="TOC3"/>
        <w:rPr>
          <w:rFonts w:asciiTheme="minorHAnsi" w:eastAsiaTheme="minorEastAsia" w:hAnsiTheme="minorHAnsi"/>
          <w:sz w:val="22"/>
          <w:lang w:eastAsia="en-AU"/>
        </w:rPr>
      </w:pPr>
      <w:hyperlink w:anchor="_Toc51084848" w:history="1">
        <w:r w:rsidRPr="00EB2053">
          <w:rPr>
            <w:rStyle w:val="Hyperlink"/>
          </w:rPr>
          <w:t>Issue</w:t>
        </w:r>
        <w:r>
          <w:rPr>
            <w:webHidden/>
          </w:rPr>
          <w:tab/>
        </w:r>
        <w:r>
          <w:rPr>
            <w:webHidden/>
          </w:rPr>
          <w:fldChar w:fldCharType="begin"/>
        </w:r>
        <w:r>
          <w:rPr>
            <w:webHidden/>
          </w:rPr>
          <w:instrText xml:space="preserve"> PAGEREF _Toc51084848 \h </w:instrText>
        </w:r>
        <w:r>
          <w:rPr>
            <w:webHidden/>
          </w:rPr>
        </w:r>
        <w:r>
          <w:rPr>
            <w:webHidden/>
          </w:rPr>
          <w:fldChar w:fldCharType="separate"/>
        </w:r>
        <w:r>
          <w:rPr>
            <w:webHidden/>
          </w:rPr>
          <w:t>17</w:t>
        </w:r>
        <w:r>
          <w:rPr>
            <w:webHidden/>
          </w:rPr>
          <w:fldChar w:fldCharType="end"/>
        </w:r>
      </w:hyperlink>
    </w:p>
    <w:p w14:paraId="5FF6B5C0" w14:textId="2C51022C" w:rsidR="00D34D70" w:rsidRDefault="00D34D70">
      <w:pPr>
        <w:pStyle w:val="TOC3"/>
        <w:rPr>
          <w:rFonts w:asciiTheme="minorHAnsi" w:eastAsiaTheme="minorEastAsia" w:hAnsiTheme="minorHAnsi"/>
          <w:sz w:val="22"/>
          <w:lang w:eastAsia="en-AU"/>
        </w:rPr>
      </w:pPr>
      <w:hyperlink w:anchor="_Toc51084849" w:history="1">
        <w:r w:rsidRPr="00EB2053">
          <w:rPr>
            <w:rStyle w:val="Hyperlink"/>
          </w:rPr>
          <w:t>Proposal</w:t>
        </w:r>
        <w:r>
          <w:rPr>
            <w:webHidden/>
          </w:rPr>
          <w:tab/>
        </w:r>
        <w:r>
          <w:rPr>
            <w:webHidden/>
          </w:rPr>
          <w:fldChar w:fldCharType="begin"/>
        </w:r>
        <w:r>
          <w:rPr>
            <w:webHidden/>
          </w:rPr>
          <w:instrText xml:space="preserve"> PAGEREF _Toc51084849 \h </w:instrText>
        </w:r>
        <w:r>
          <w:rPr>
            <w:webHidden/>
          </w:rPr>
        </w:r>
        <w:r>
          <w:rPr>
            <w:webHidden/>
          </w:rPr>
          <w:fldChar w:fldCharType="separate"/>
        </w:r>
        <w:r>
          <w:rPr>
            <w:webHidden/>
          </w:rPr>
          <w:t>17</w:t>
        </w:r>
        <w:r>
          <w:rPr>
            <w:webHidden/>
          </w:rPr>
          <w:fldChar w:fldCharType="end"/>
        </w:r>
      </w:hyperlink>
    </w:p>
    <w:p w14:paraId="16A761A4" w14:textId="09C756B6" w:rsidR="00D34D70" w:rsidRDefault="00D34D70">
      <w:pPr>
        <w:pStyle w:val="TOC3"/>
        <w:rPr>
          <w:rFonts w:asciiTheme="minorHAnsi" w:eastAsiaTheme="minorEastAsia" w:hAnsiTheme="minorHAnsi"/>
          <w:sz w:val="22"/>
          <w:lang w:eastAsia="en-AU"/>
        </w:rPr>
      </w:pPr>
      <w:hyperlink w:anchor="_Toc51084850" w:history="1">
        <w:r w:rsidRPr="00EB2053">
          <w:rPr>
            <w:rStyle w:val="Hyperlink"/>
          </w:rPr>
          <w:t>Prompt questions</w:t>
        </w:r>
        <w:r>
          <w:rPr>
            <w:webHidden/>
          </w:rPr>
          <w:tab/>
        </w:r>
        <w:r>
          <w:rPr>
            <w:webHidden/>
          </w:rPr>
          <w:fldChar w:fldCharType="begin"/>
        </w:r>
        <w:r>
          <w:rPr>
            <w:webHidden/>
          </w:rPr>
          <w:instrText xml:space="preserve"> PAGEREF _Toc51084850 \h </w:instrText>
        </w:r>
        <w:r>
          <w:rPr>
            <w:webHidden/>
          </w:rPr>
        </w:r>
        <w:r>
          <w:rPr>
            <w:webHidden/>
          </w:rPr>
          <w:fldChar w:fldCharType="separate"/>
        </w:r>
        <w:r>
          <w:rPr>
            <w:webHidden/>
          </w:rPr>
          <w:t>17</w:t>
        </w:r>
        <w:r>
          <w:rPr>
            <w:webHidden/>
          </w:rPr>
          <w:fldChar w:fldCharType="end"/>
        </w:r>
      </w:hyperlink>
    </w:p>
    <w:p w14:paraId="2E5990B8" w14:textId="3B71D6D2" w:rsidR="00D34D70" w:rsidRDefault="00D34D70">
      <w:pPr>
        <w:pStyle w:val="TOC2"/>
        <w:tabs>
          <w:tab w:val="left" w:pos="1134"/>
        </w:tabs>
        <w:rPr>
          <w:rFonts w:asciiTheme="minorHAnsi" w:eastAsiaTheme="minorEastAsia" w:hAnsiTheme="minorHAnsi"/>
          <w:noProof/>
          <w:sz w:val="22"/>
          <w:lang w:eastAsia="en-AU"/>
        </w:rPr>
      </w:pPr>
      <w:hyperlink w:anchor="_Toc51084851" w:history="1">
        <w:r w:rsidRPr="00EB2053">
          <w:rPr>
            <w:rStyle w:val="Hyperlink"/>
            <w:noProof/>
          </w:rPr>
          <w:t>B.</w:t>
        </w:r>
        <w:r>
          <w:rPr>
            <w:rFonts w:asciiTheme="minorHAnsi" w:eastAsiaTheme="minorEastAsia" w:hAnsiTheme="minorHAnsi"/>
            <w:noProof/>
            <w:sz w:val="22"/>
            <w:lang w:eastAsia="en-AU"/>
          </w:rPr>
          <w:tab/>
        </w:r>
        <w:r w:rsidRPr="00EB2053">
          <w:rPr>
            <w:rStyle w:val="Hyperlink"/>
            <w:noProof/>
          </w:rPr>
          <w:t>Allowing carriers to refer objections to the TIO</w:t>
        </w:r>
        <w:r>
          <w:rPr>
            <w:noProof/>
            <w:webHidden/>
          </w:rPr>
          <w:tab/>
        </w:r>
        <w:r>
          <w:rPr>
            <w:noProof/>
            <w:webHidden/>
          </w:rPr>
          <w:fldChar w:fldCharType="begin"/>
        </w:r>
        <w:r>
          <w:rPr>
            <w:noProof/>
            <w:webHidden/>
          </w:rPr>
          <w:instrText xml:space="preserve"> PAGEREF _Toc51084851 \h </w:instrText>
        </w:r>
        <w:r>
          <w:rPr>
            <w:noProof/>
            <w:webHidden/>
          </w:rPr>
        </w:r>
        <w:r>
          <w:rPr>
            <w:noProof/>
            <w:webHidden/>
          </w:rPr>
          <w:fldChar w:fldCharType="separate"/>
        </w:r>
        <w:r>
          <w:rPr>
            <w:noProof/>
            <w:webHidden/>
          </w:rPr>
          <w:t>17</w:t>
        </w:r>
        <w:r>
          <w:rPr>
            <w:noProof/>
            <w:webHidden/>
          </w:rPr>
          <w:fldChar w:fldCharType="end"/>
        </w:r>
      </w:hyperlink>
    </w:p>
    <w:p w14:paraId="3D11A8E7" w14:textId="331CB872" w:rsidR="00D34D70" w:rsidRDefault="00D34D70">
      <w:pPr>
        <w:pStyle w:val="TOC3"/>
        <w:rPr>
          <w:rFonts w:asciiTheme="minorHAnsi" w:eastAsiaTheme="minorEastAsia" w:hAnsiTheme="minorHAnsi"/>
          <w:sz w:val="22"/>
          <w:lang w:eastAsia="en-AU"/>
        </w:rPr>
      </w:pPr>
      <w:hyperlink w:anchor="_Toc51084852" w:history="1">
        <w:r w:rsidRPr="00EB2053">
          <w:rPr>
            <w:rStyle w:val="Hyperlink"/>
          </w:rPr>
          <w:t>Issue</w:t>
        </w:r>
        <w:r>
          <w:rPr>
            <w:webHidden/>
          </w:rPr>
          <w:tab/>
        </w:r>
        <w:r>
          <w:rPr>
            <w:webHidden/>
          </w:rPr>
          <w:fldChar w:fldCharType="begin"/>
        </w:r>
        <w:r>
          <w:rPr>
            <w:webHidden/>
          </w:rPr>
          <w:instrText xml:space="preserve"> PAGEREF _Toc51084852 \h </w:instrText>
        </w:r>
        <w:r>
          <w:rPr>
            <w:webHidden/>
          </w:rPr>
        </w:r>
        <w:r>
          <w:rPr>
            <w:webHidden/>
          </w:rPr>
          <w:fldChar w:fldCharType="separate"/>
        </w:r>
        <w:r>
          <w:rPr>
            <w:webHidden/>
          </w:rPr>
          <w:t>17</w:t>
        </w:r>
        <w:r>
          <w:rPr>
            <w:webHidden/>
          </w:rPr>
          <w:fldChar w:fldCharType="end"/>
        </w:r>
      </w:hyperlink>
    </w:p>
    <w:p w14:paraId="69897963" w14:textId="3FB795BE" w:rsidR="00D34D70" w:rsidRDefault="00D34D70">
      <w:pPr>
        <w:pStyle w:val="TOC3"/>
        <w:rPr>
          <w:rFonts w:asciiTheme="minorHAnsi" w:eastAsiaTheme="minorEastAsia" w:hAnsiTheme="minorHAnsi"/>
          <w:sz w:val="22"/>
          <w:lang w:eastAsia="en-AU"/>
        </w:rPr>
      </w:pPr>
      <w:hyperlink w:anchor="_Toc51084853" w:history="1">
        <w:r w:rsidRPr="00EB2053">
          <w:rPr>
            <w:rStyle w:val="Hyperlink"/>
          </w:rPr>
          <w:t>Proposal</w:t>
        </w:r>
        <w:r>
          <w:rPr>
            <w:webHidden/>
          </w:rPr>
          <w:tab/>
        </w:r>
        <w:r>
          <w:rPr>
            <w:webHidden/>
          </w:rPr>
          <w:fldChar w:fldCharType="begin"/>
        </w:r>
        <w:r>
          <w:rPr>
            <w:webHidden/>
          </w:rPr>
          <w:instrText xml:space="preserve"> PAGEREF _Toc51084853 \h </w:instrText>
        </w:r>
        <w:r>
          <w:rPr>
            <w:webHidden/>
          </w:rPr>
        </w:r>
        <w:r>
          <w:rPr>
            <w:webHidden/>
          </w:rPr>
          <w:fldChar w:fldCharType="separate"/>
        </w:r>
        <w:r>
          <w:rPr>
            <w:webHidden/>
          </w:rPr>
          <w:t>18</w:t>
        </w:r>
        <w:r>
          <w:rPr>
            <w:webHidden/>
          </w:rPr>
          <w:fldChar w:fldCharType="end"/>
        </w:r>
      </w:hyperlink>
    </w:p>
    <w:p w14:paraId="5A02B224" w14:textId="1080F85D" w:rsidR="00D34D70" w:rsidRDefault="00D34D70">
      <w:pPr>
        <w:pStyle w:val="TOC3"/>
        <w:rPr>
          <w:rFonts w:asciiTheme="minorHAnsi" w:eastAsiaTheme="minorEastAsia" w:hAnsiTheme="minorHAnsi"/>
          <w:sz w:val="22"/>
          <w:lang w:eastAsia="en-AU"/>
        </w:rPr>
      </w:pPr>
      <w:hyperlink w:anchor="_Toc51084854" w:history="1">
        <w:r w:rsidRPr="00EB2053">
          <w:rPr>
            <w:rStyle w:val="Hyperlink"/>
          </w:rPr>
          <w:t>Prompt questions</w:t>
        </w:r>
        <w:r>
          <w:rPr>
            <w:webHidden/>
          </w:rPr>
          <w:tab/>
        </w:r>
        <w:r>
          <w:rPr>
            <w:webHidden/>
          </w:rPr>
          <w:fldChar w:fldCharType="begin"/>
        </w:r>
        <w:r>
          <w:rPr>
            <w:webHidden/>
          </w:rPr>
          <w:instrText xml:space="preserve"> PAGEREF _Toc51084854 \h </w:instrText>
        </w:r>
        <w:r>
          <w:rPr>
            <w:webHidden/>
          </w:rPr>
        </w:r>
        <w:r>
          <w:rPr>
            <w:webHidden/>
          </w:rPr>
          <w:fldChar w:fldCharType="separate"/>
        </w:r>
        <w:r>
          <w:rPr>
            <w:webHidden/>
          </w:rPr>
          <w:t>18</w:t>
        </w:r>
        <w:r>
          <w:rPr>
            <w:webHidden/>
          </w:rPr>
          <w:fldChar w:fldCharType="end"/>
        </w:r>
      </w:hyperlink>
    </w:p>
    <w:p w14:paraId="3478ED7D" w14:textId="788FB874" w:rsidR="00D34D70" w:rsidRDefault="00D34D70">
      <w:pPr>
        <w:pStyle w:val="TOC2"/>
        <w:tabs>
          <w:tab w:val="left" w:pos="1134"/>
        </w:tabs>
        <w:rPr>
          <w:rFonts w:asciiTheme="minorHAnsi" w:eastAsiaTheme="minorEastAsia" w:hAnsiTheme="minorHAnsi"/>
          <w:noProof/>
          <w:sz w:val="22"/>
          <w:lang w:eastAsia="en-AU"/>
        </w:rPr>
      </w:pPr>
      <w:hyperlink w:anchor="_Toc51084855" w:history="1">
        <w:r w:rsidRPr="00EB2053">
          <w:rPr>
            <w:rStyle w:val="Hyperlink"/>
            <w:noProof/>
          </w:rPr>
          <w:t>C.</w:t>
        </w:r>
        <w:r>
          <w:rPr>
            <w:rFonts w:asciiTheme="minorHAnsi" w:eastAsiaTheme="minorEastAsia" w:hAnsiTheme="minorHAnsi"/>
            <w:noProof/>
            <w:sz w:val="22"/>
            <w:lang w:eastAsia="en-AU"/>
          </w:rPr>
          <w:tab/>
        </w:r>
        <w:r w:rsidRPr="00EB2053">
          <w:rPr>
            <w:rStyle w:val="Hyperlink"/>
            <w:noProof/>
          </w:rPr>
          <w:t>Removal of redundant equipment</w:t>
        </w:r>
        <w:r>
          <w:rPr>
            <w:noProof/>
            <w:webHidden/>
          </w:rPr>
          <w:tab/>
        </w:r>
        <w:r>
          <w:rPr>
            <w:noProof/>
            <w:webHidden/>
          </w:rPr>
          <w:fldChar w:fldCharType="begin"/>
        </w:r>
        <w:r>
          <w:rPr>
            <w:noProof/>
            <w:webHidden/>
          </w:rPr>
          <w:instrText xml:space="preserve"> PAGEREF _Toc51084855 \h </w:instrText>
        </w:r>
        <w:r>
          <w:rPr>
            <w:noProof/>
            <w:webHidden/>
          </w:rPr>
        </w:r>
        <w:r>
          <w:rPr>
            <w:noProof/>
            <w:webHidden/>
          </w:rPr>
          <w:fldChar w:fldCharType="separate"/>
        </w:r>
        <w:r>
          <w:rPr>
            <w:noProof/>
            <w:webHidden/>
          </w:rPr>
          <w:t>18</w:t>
        </w:r>
        <w:r>
          <w:rPr>
            <w:noProof/>
            <w:webHidden/>
          </w:rPr>
          <w:fldChar w:fldCharType="end"/>
        </w:r>
      </w:hyperlink>
    </w:p>
    <w:p w14:paraId="1E3BA928" w14:textId="487EB286" w:rsidR="00D34D70" w:rsidRDefault="00D34D70">
      <w:pPr>
        <w:pStyle w:val="TOC3"/>
        <w:rPr>
          <w:rFonts w:asciiTheme="minorHAnsi" w:eastAsiaTheme="minorEastAsia" w:hAnsiTheme="minorHAnsi"/>
          <w:sz w:val="22"/>
          <w:lang w:eastAsia="en-AU"/>
        </w:rPr>
      </w:pPr>
      <w:hyperlink w:anchor="_Toc51084856" w:history="1">
        <w:r w:rsidRPr="00EB2053">
          <w:rPr>
            <w:rStyle w:val="Hyperlink"/>
          </w:rPr>
          <w:t>Issue</w:t>
        </w:r>
        <w:r>
          <w:rPr>
            <w:webHidden/>
          </w:rPr>
          <w:tab/>
        </w:r>
        <w:r>
          <w:rPr>
            <w:webHidden/>
          </w:rPr>
          <w:fldChar w:fldCharType="begin"/>
        </w:r>
        <w:r>
          <w:rPr>
            <w:webHidden/>
          </w:rPr>
          <w:instrText xml:space="preserve"> PAGEREF _Toc51084856 \h </w:instrText>
        </w:r>
        <w:r>
          <w:rPr>
            <w:webHidden/>
          </w:rPr>
        </w:r>
        <w:r>
          <w:rPr>
            <w:webHidden/>
          </w:rPr>
          <w:fldChar w:fldCharType="separate"/>
        </w:r>
        <w:r>
          <w:rPr>
            <w:webHidden/>
          </w:rPr>
          <w:t>18</w:t>
        </w:r>
        <w:r>
          <w:rPr>
            <w:webHidden/>
          </w:rPr>
          <w:fldChar w:fldCharType="end"/>
        </w:r>
      </w:hyperlink>
    </w:p>
    <w:p w14:paraId="71D527B7" w14:textId="07A9147C" w:rsidR="00D34D70" w:rsidRDefault="00D34D70">
      <w:pPr>
        <w:pStyle w:val="TOC3"/>
        <w:rPr>
          <w:rFonts w:asciiTheme="minorHAnsi" w:eastAsiaTheme="minorEastAsia" w:hAnsiTheme="minorHAnsi"/>
          <w:sz w:val="22"/>
          <w:lang w:eastAsia="en-AU"/>
        </w:rPr>
      </w:pPr>
      <w:hyperlink w:anchor="_Toc51084857" w:history="1">
        <w:r w:rsidRPr="00EB2053">
          <w:rPr>
            <w:rStyle w:val="Hyperlink"/>
          </w:rPr>
          <w:t>Proposal</w:t>
        </w:r>
        <w:r>
          <w:rPr>
            <w:webHidden/>
          </w:rPr>
          <w:tab/>
        </w:r>
        <w:r>
          <w:rPr>
            <w:webHidden/>
          </w:rPr>
          <w:fldChar w:fldCharType="begin"/>
        </w:r>
        <w:r>
          <w:rPr>
            <w:webHidden/>
          </w:rPr>
          <w:instrText xml:space="preserve"> PAGEREF _Toc51084857 \h </w:instrText>
        </w:r>
        <w:r>
          <w:rPr>
            <w:webHidden/>
          </w:rPr>
        </w:r>
        <w:r>
          <w:rPr>
            <w:webHidden/>
          </w:rPr>
          <w:fldChar w:fldCharType="separate"/>
        </w:r>
        <w:r>
          <w:rPr>
            <w:webHidden/>
          </w:rPr>
          <w:t>19</w:t>
        </w:r>
        <w:r>
          <w:rPr>
            <w:webHidden/>
          </w:rPr>
          <w:fldChar w:fldCharType="end"/>
        </w:r>
      </w:hyperlink>
    </w:p>
    <w:p w14:paraId="19617C90" w14:textId="54C4706D" w:rsidR="00D34D70" w:rsidRDefault="00D34D70">
      <w:pPr>
        <w:pStyle w:val="TOC3"/>
        <w:rPr>
          <w:rFonts w:asciiTheme="minorHAnsi" w:eastAsiaTheme="minorEastAsia" w:hAnsiTheme="minorHAnsi"/>
          <w:sz w:val="22"/>
          <w:lang w:eastAsia="en-AU"/>
        </w:rPr>
      </w:pPr>
      <w:hyperlink w:anchor="_Toc51084858" w:history="1">
        <w:r w:rsidRPr="00EB2053">
          <w:rPr>
            <w:rStyle w:val="Hyperlink"/>
          </w:rPr>
          <w:t>Prompt questions</w:t>
        </w:r>
        <w:r>
          <w:rPr>
            <w:webHidden/>
          </w:rPr>
          <w:tab/>
        </w:r>
        <w:r>
          <w:rPr>
            <w:webHidden/>
          </w:rPr>
          <w:fldChar w:fldCharType="begin"/>
        </w:r>
        <w:r>
          <w:rPr>
            <w:webHidden/>
          </w:rPr>
          <w:instrText xml:space="preserve"> PAGEREF _Toc51084858 \h </w:instrText>
        </w:r>
        <w:r>
          <w:rPr>
            <w:webHidden/>
          </w:rPr>
        </w:r>
        <w:r>
          <w:rPr>
            <w:webHidden/>
          </w:rPr>
          <w:fldChar w:fldCharType="separate"/>
        </w:r>
        <w:r>
          <w:rPr>
            <w:webHidden/>
          </w:rPr>
          <w:t>20</w:t>
        </w:r>
        <w:r>
          <w:rPr>
            <w:webHidden/>
          </w:rPr>
          <w:fldChar w:fldCharType="end"/>
        </w:r>
      </w:hyperlink>
    </w:p>
    <w:p w14:paraId="4BF45523" w14:textId="7CB8F1C3" w:rsidR="00D34D70" w:rsidRDefault="00D34D70">
      <w:pPr>
        <w:pStyle w:val="TOC1"/>
        <w:rPr>
          <w:rFonts w:asciiTheme="minorHAnsi" w:eastAsiaTheme="minorEastAsia" w:hAnsiTheme="minorHAnsi"/>
          <w:b w:val="0"/>
          <w:noProof/>
          <w:color w:val="auto"/>
          <w:sz w:val="22"/>
          <w:lang w:eastAsia="en-AU"/>
        </w:rPr>
      </w:pPr>
      <w:hyperlink w:anchor="_Toc51084859" w:history="1">
        <w:r w:rsidRPr="00EB2053">
          <w:rPr>
            <w:rStyle w:val="Hyperlink"/>
            <w:noProof/>
          </w:rPr>
          <w:t>3.</w:t>
        </w:r>
        <w:r>
          <w:rPr>
            <w:rFonts w:asciiTheme="minorHAnsi" w:eastAsiaTheme="minorEastAsia" w:hAnsiTheme="minorHAnsi"/>
            <w:b w:val="0"/>
            <w:noProof/>
            <w:color w:val="auto"/>
            <w:sz w:val="22"/>
            <w:lang w:eastAsia="en-AU"/>
          </w:rPr>
          <w:tab/>
        </w:r>
        <w:r w:rsidRPr="00EB2053">
          <w:rPr>
            <w:rStyle w:val="Hyperlink"/>
            <w:noProof/>
          </w:rPr>
          <w:t>Facilitating services in line with community expectations and to support economic growth</w:t>
        </w:r>
        <w:r>
          <w:rPr>
            <w:noProof/>
            <w:webHidden/>
          </w:rPr>
          <w:tab/>
        </w:r>
        <w:r>
          <w:rPr>
            <w:noProof/>
            <w:webHidden/>
          </w:rPr>
          <w:fldChar w:fldCharType="begin"/>
        </w:r>
        <w:r>
          <w:rPr>
            <w:noProof/>
            <w:webHidden/>
          </w:rPr>
          <w:instrText xml:space="preserve"> PAGEREF _Toc51084859 \h </w:instrText>
        </w:r>
        <w:r>
          <w:rPr>
            <w:noProof/>
            <w:webHidden/>
          </w:rPr>
        </w:r>
        <w:r>
          <w:rPr>
            <w:noProof/>
            <w:webHidden/>
          </w:rPr>
          <w:fldChar w:fldCharType="separate"/>
        </w:r>
        <w:r>
          <w:rPr>
            <w:noProof/>
            <w:webHidden/>
          </w:rPr>
          <w:t>21</w:t>
        </w:r>
        <w:r>
          <w:rPr>
            <w:noProof/>
            <w:webHidden/>
          </w:rPr>
          <w:fldChar w:fldCharType="end"/>
        </w:r>
      </w:hyperlink>
    </w:p>
    <w:p w14:paraId="7772FBB9" w14:textId="67AB722A" w:rsidR="00D34D70" w:rsidRDefault="00D34D70">
      <w:pPr>
        <w:pStyle w:val="TOC2"/>
        <w:tabs>
          <w:tab w:val="left" w:pos="1134"/>
        </w:tabs>
        <w:rPr>
          <w:rFonts w:asciiTheme="minorHAnsi" w:eastAsiaTheme="minorEastAsia" w:hAnsiTheme="minorHAnsi"/>
          <w:noProof/>
          <w:sz w:val="22"/>
          <w:lang w:eastAsia="en-AU"/>
        </w:rPr>
      </w:pPr>
      <w:hyperlink w:anchor="_Toc51084860" w:history="1">
        <w:r w:rsidRPr="00EB2053">
          <w:rPr>
            <w:rStyle w:val="Hyperlink"/>
            <w:noProof/>
          </w:rPr>
          <w:t>A.</w:t>
        </w:r>
        <w:r>
          <w:rPr>
            <w:rFonts w:asciiTheme="minorHAnsi" w:eastAsiaTheme="minorEastAsia" w:hAnsiTheme="minorHAnsi"/>
            <w:noProof/>
            <w:sz w:val="22"/>
            <w:lang w:eastAsia="en-AU"/>
          </w:rPr>
          <w:tab/>
        </w:r>
        <w:r w:rsidRPr="00EB2053">
          <w:rPr>
            <w:rStyle w:val="Hyperlink"/>
            <w:noProof/>
          </w:rPr>
          <w:t>Improve coverage outcomes through better infrastructure, where safe</w:t>
        </w:r>
        <w:r>
          <w:rPr>
            <w:noProof/>
            <w:webHidden/>
          </w:rPr>
          <w:tab/>
        </w:r>
        <w:r>
          <w:rPr>
            <w:noProof/>
            <w:webHidden/>
          </w:rPr>
          <w:fldChar w:fldCharType="begin"/>
        </w:r>
        <w:r>
          <w:rPr>
            <w:noProof/>
            <w:webHidden/>
          </w:rPr>
          <w:instrText xml:space="preserve"> PAGEREF _Toc51084860 \h </w:instrText>
        </w:r>
        <w:r>
          <w:rPr>
            <w:noProof/>
            <w:webHidden/>
          </w:rPr>
        </w:r>
        <w:r>
          <w:rPr>
            <w:noProof/>
            <w:webHidden/>
          </w:rPr>
          <w:fldChar w:fldCharType="separate"/>
        </w:r>
        <w:r>
          <w:rPr>
            <w:noProof/>
            <w:webHidden/>
          </w:rPr>
          <w:t>21</w:t>
        </w:r>
        <w:r>
          <w:rPr>
            <w:noProof/>
            <w:webHidden/>
          </w:rPr>
          <w:fldChar w:fldCharType="end"/>
        </w:r>
      </w:hyperlink>
    </w:p>
    <w:p w14:paraId="112FEA83" w14:textId="7AFA9B89" w:rsidR="00D34D70" w:rsidRDefault="00D34D70">
      <w:pPr>
        <w:pStyle w:val="TOC3"/>
        <w:rPr>
          <w:rFonts w:asciiTheme="minorHAnsi" w:eastAsiaTheme="minorEastAsia" w:hAnsiTheme="minorHAnsi"/>
          <w:sz w:val="22"/>
          <w:lang w:eastAsia="en-AU"/>
        </w:rPr>
      </w:pPr>
      <w:hyperlink w:anchor="_Toc51084861" w:history="1">
        <w:r w:rsidRPr="00EB2053">
          <w:rPr>
            <w:rStyle w:val="Hyperlink"/>
          </w:rPr>
          <w:t>Issue</w:t>
        </w:r>
        <w:r>
          <w:rPr>
            <w:webHidden/>
          </w:rPr>
          <w:tab/>
        </w:r>
        <w:r>
          <w:rPr>
            <w:webHidden/>
          </w:rPr>
          <w:fldChar w:fldCharType="begin"/>
        </w:r>
        <w:r>
          <w:rPr>
            <w:webHidden/>
          </w:rPr>
          <w:instrText xml:space="preserve"> PAGEREF _Toc51084861 \h </w:instrText>
        </w:r>
        <w:r>
          <w:rPr>
            <w:webHidden/>
          </w:rPr>
        </w:r>
        <w:r>
          <w:rPr>
            <w:webHidden/>
          </w:rPr>
          <w:fldChar w:fldCharType="separate"/>
        </w:r>
        <w:r>
          <w:rPr>
            <w:webHidden/>
          </w:rPr>
          <w:t>21</w:t>
        </w:r>
        <w:r>
          <w:rPr>
            <w:webHidden/>
          </w:rPr>
          <w:fldChar w:fldCharType="end"/>
        </w:r>
      </w:hyperlink>
    </w:p>
    <w:p w14:paraId="76445244" w14:textId="7D83DF83" w:rsidR="00D34D70" w:rsidRDefault="00D34D70">
      <w:pPr>
        <w:pStyle w:val="TOC3"/>
        <w:rPr>
          <w:rFonts w:asciiTheme="minorHAnsi" w:eastAsiaTheme="minorEastAsia" w:hAnsiTheme="minorHAnsi"/>
          <w:sz w:val="22"/>
          <w:lang w:eastAsia="en-AU"/>
        </w:rPr>
      </w:pPr>
      <w:hyperlink w:anchor="_Toc51084862" w:history="1">
        <w:r w:rsidRPr="00EB2053">
          <w:rPr>
            <w:rStyle w:val="Hyperlink"/>
          </w:rPr>
          <w:t>Proposal</w:t>
        </w:r>
        <w:r>
          <w:rPr>
            <w:webHidden/>
          </w:rPr>
          <w:tab/>
        </w:r>
        <w:r>
          <w:rPr>
            <w:webHidden/>
          </w:rPr>
          <w:fldChar w:fldCharType="begin"/>
        </w:r>
        <w:r>
          <w:rPr>
            <w:webHidden/>
          </w:rPr>
          <w:instrText xml:space="preserve"> PAGEREF _Toc51084862 \h </w:instrText>
        </w:r>
        <w:r>
          <w:rPr>
            <w:webHidden/>
          </w:rPr>
        </w:r>
        <w:r>
          <w:rPr>
            <w:webHidden/>
          </w:rPr>
          <w:fldChar w:fldCharType="separate"/>
        </w:r>
        <w:r>
          <w:rPr>
            <w:webHidden/>
          </w:rPr>
          <w:t>21</w:t>
        </w:r>
        <w:r>
          <w:rPr>
            <w:webHidden/>
          </w:rPr>
          <w:fldChar w:fldCharType="end"/>
        </w:r>
      </w:hyperlink>
    </w:p>
    <w:p w14:paraId="36150120" w14:textId="006E93D6" w:rsidR="00D34D70" w:rsidRDefault="00D34D70">
      <w:pPr>
        <w:pStyle w:val="TOC3"/>
        <w:rPr>
          <w:rFonts w:asciiTheme="minorHAnsi" w:eastAsiaTheme="minorEastAsia" w:hAnsiTheme="minorHAnsi"/>
          <w:sz w:val="22"/>
          <w:lang w:eastAsia="en-AU"/>
        </w:rPr>
      </w:pPr>
      <w:hyperlink w:anchor="_Toc51084863" w:history="1">
        <w:r w:rsidRPr="00EB2053">
          <w:rPr>
            <w:rStyle w:val="Hyperlink"/>
          </w:rPr>
          <w:t>Prompt questions</w:t>
        </w:r>
        <w:r>
          <w:rPr>
            <w:webHidden/>
          </w:rPr>
          <w:tab/>
        </w:r>
        <w:r>
          <w:rPr>
            <w:webHidden/>
          </w:rPr>
          <w:fldChar w:fldCharType="begin"/>
        </w:r>
        <w:r>
          <w:rPr>
            <w:webHidden/>
          </w:rPr>
          <w:instrText xml:space="preserve"> PAGEREF _Toc51084863 \h </w:instrText>
        </w:r>
        <w:r>
          <w:rPr>
            <w:webHidden/>
          </w:rPr>
        </w:r>
        <w:r>
          <w:rPr>
            <w:webHidden/>
          </w:rPr>
          <w:fldChar w:fldCharType="separate"/>
        </w:r>
        <w:r>
          <w:rPr>
            <w:webHidden/>
          </w:rPr>
          <w:t>23</w:t>
        </w:r>
        <w:r>
          <w:rPr>
            <w:webHidden/>
          </w:rPr>
          <w:fldChar w:fldCharType="end"/>
        </w:r>
      </w:hyperlink>
    </w:p>
    <w:p w14:paraId="5ED8FD5E" w14:textId="0FB968AB" w:rsidR="00D34D70" w:rsidRDefault="00D34D70">
      <w:pPr>
        <w:pStyle w:val="TOC2"/>
        <w:tabs>
          <w:tab w:val="left" w:pos="1134"/>
        </w:tabs>
        <w:rPr>
          <w:rFonts w:asciiTheme="minorHAnsi" w:eastAsiaTheme="minorEastAsia" w:hAnsiTheme="minorHAnsi"/>
          <w:noProof/>
          <w:sz w:val="22"/>
          <w:lang w:eastAsia="en-AU"/>
        </w:rPr>
      </w:pPr>
      <w:hyperlink w:anchor="_Toc51084864" w:history="1">
        <w:r w:rsidRPr="00EB2053">
          <w:rPr>
            <w:rStyle w:val="Hyperlink"/>
            <w:noProof/>
          </w:rPr>
          <w:t>B.</w:t>
        </w:r>
        <w:r>
          <w:rPr>
            <w:rFonts w:asciiTheme="minorHAnsi" w:eastAsiaTheme="minorEastAsia" w:hAnsiTheme="minorHAnsi"/>
            <w:noProof/>
            <w:sz w:val="22"/>
            <w:lang w:eastAsia="en-AU"/>
          </w:rPr>
          <w:tab/>
        </w:r>
        <w:r w:rsidRPr="00EB2053">
          <w:rPr>
            <w:rStyle w:val="Hyperlink"/>
            <w:noProof/>
          </w:rPr>
          <w:t>Improve coverage outcomes through tower extensions</w:t>
        </w:r>
        <w:r>
          <w:rPr>
            <w:noProof/>
            <w:webHidden/>
          </w:rPr>
          <w:tab/>
        </w:r>
        <w:r>
          <w:rPr>
            <w:noProof/>
            <w:webHidden/>
          </w:rPr>
          <w:fldChar w:fldCharType="begin"/>
        </w:r>
        <w:r>
          <w:rPr>
            <w:noProof/>
            <w:webHidden/>
          </w:rPr>
          <w:instrText xml:space="preserve"> PAGEREF _Toc51084864 \h </w:instrText>
        </w:r>
        <w:r>
          <w:rPr>
            <w:noProof/>
            <w:webHidden/>
          </w:rPr>
        </w:r>
        <w:r>
          <w:rPr>
            <w:noProof/>
            <w:webHidden/>
          </w:rPr>
          <w:fldChar w:fldCharType="separate"/>
        </w:r>
        <w:r>
          <w:rPr>
            <w:noProof/>
            <w:webHidden/>
          </w:rPr>
          <w:t>23</w:t>
        </w:r>
        <w:r>
          <w:rPr>
            <w:noProof/>
            <w:webHidden/>
          </w:rPr>
          <w:fldChar w:fldCharType="end"/>
        </w:r>
      </w:hyperlink>
    </w:p>
    <w:p w14:paraId="457CE9B2" w14:textId="1012F431" w:rsidR="00D34D70" w:rsidRDefault="00D34D70">
      <w:pPr>
        <w:pStyle w:val="TOC3"/>
        <w:rPr>
          <w:rFonts w:asciiTheme="minorHAnsi" w:eastAsiaTheme="minorEastAsia" w:hAnsiTheme="minorHAnsi"/>
          <w:sz w:val="22"/>
          <w:lang w:eastAsia="en-AU"/>
        </w:rPr>
      </w:pPr>
      <w:hyperlink w:anchor="_Toc51084865" w:history="1">
        <w:r w:rsidRPr="00EB2053">
          <w:rPr>
            <w:rStyle w:val="Hyperlink"/>
          </w:rPr>
          <w:t>Issue</w:t>
        </w:r>
        <w:r>
          <w:rPr>
            <w:webHidden/>
          </w:rPr>
          <w:tab/>
        </w:r>
        <w:r>
          <w:rPr>
            <w:webHidden/>
          </w:rPr>
          <w:fldChar w:fldCharType="begin"/>
        </w:r>
        <w:r>
          <w:rPr>
            <w:webHidden/>
          </w:rPr>
          <w:instrText xml:space="preserve"> PAGEREF _Toc51084865 \h </w:instrText>
        </w:r>
        <w:r>
          <w:rPr>
            <w:webHidden/>
          </w:rPr>
        </w:r>
        <w:r>
          <w:rPr>
            <w:webHidden/>
          </w:rPr>
          <w:fldChar w:fldCharType="separate"/>
        </w:r>
        <w:r>
          <w:rPr>
            <w:webHidden/>
          </w:rPr>
          <w:t>23</w:t>
        </w:r>
        <w:r>
          <w:rPr>
            <w:webHidden/>
          </w:rPr>
          <w:fldChar w:fldCharType="end"/>
        </w:r>
      </w:hyperlink>
    </w:p>
    <w:p w14:paraId="641E36BE" w14:textId="09F20463" w:rsidR="00D34D70" w:rsidRDefault="00D34D70">
      <w:pPr>
        <w:pStyle w:val="TOC3"/>
        <w:rPr>
          <w:rFonts w:asciiTheme="minorHAnsi" w:eastAsiaTheme="minorEastAsia" w:hAnsiTheme="minorHAnsi"/>
          <w:sz w:val="22"/>
          <w:lang w:eastAsia="en-AU"/>
        </w:rPr>
      </w:pPr>
      <w:hyperlink w:anchor="_Toc51084866" w:history="1">
        <w:r w:rsidRPr="00EB2053">
          <w:rPr>
            <w:rStyle w:val="Hyperlink"/>
          </w:rPr>
          <w:t>Proposal</w:t>
        </w:r>
        <w:r>
          <w:rPr>
            <w:webHidden/>
          </w:rPr>
          <w:tab/>
        </w:r>
        <w:r>
          <w:rPr>
            <w:webHidden/>
          </w:rPr>
          <w:fldChar w:fldCharType="begin"/>
        </w:r>
        <w:r>
          <w:rPr>
            <w:webHidden/>
          </w:rPr>
          <w:instrText xml:space="preserve"> PAGEREF _Toc51084866 \h </w:instrText>
        </w:r>
        <w:r>
          <w:rPr>
            <w:webHidden/>
          </w:rPr>
        </w:r>
        <w:r>
          <w:rPr>
            <w:webHidden/>
          </w:rPr>
          <w:fldChar w:fldCharType="separate"/>
        </w:r>
        <w:r>
          <w:rPr>
            <w:webHidden/>
          </w:rPr>
          <w:t>24</w:t>
        </w:r>
        <w:r>
          <w:rPr>
            <w:webHidden/>
          </w:rPr>
          <w:fldChar w:fldCharType="end"/>
        </w:r>
      </w:hyperlink>
    </w:p>
    <w:p w14:paraId="7626F222" w14:textId="3441504B" w:rsidR="00D34D70" w:rsidRDefault="00D34D70">
      <w:pPr>
        <w:pStyle w:val="TOC3"/>
        <w:rPr>
          <w:rFonts w:asciiTheme="minorHAnsi" w:eastAsiaTheme="minorEastAsia" w:hAnsiTheme="minorHAnsi"/>
          <w:sz w:val="22"/>
          <w:lang w:eastAsia="en-AU"/>
        </w:rPr>
      </w:pPr>
      <w:hyperlink w:anchor="_Toc51084867" w:history="1">
        <w:r w:rsidRPr="00EB2053">
          <w:rPr>
            <w:rStyle w:val="Hyperlink"/>
          </w:rPr>
          <w:t>Prompt questions</w:t>
        </w:r>
        <w:r>
          <w:rPr>
            <w:webHidden/>
          </w:rPr>
          <w:tab/>
        </w:r>
        <w:r>
          <w:rPr>
            <w:webHidden/>
          </w:rPr>
          <w:fldChar w:fldCharType="begin"/>
        </w:r>
        <w:r>
          <w:rPr>
            <w:webHidden/>
          </w:rPr>
          <w:instrText xml:space="preserve"> PAGEREF _Toc51084867 \h </w:instrText>
        </w:r>
        <w:r>
          <w:rPr>
            <w:webHidden/>
          </w:rPr>
        </w:r>
        <w:r>
          <w:rPr>
            <w:webHidden/>
          </w:rPr>
          <w:fldChar w:fldCharType="separate"/>
        </w:r>
        <w:r>
          <w:rPr>
            <w:webHidden/>
          </w:rPr>
          <w:t>24</w:t>
        </w:r>
        <w:r>
          <w:rPr>
            <w:webHidden/>
          </w:rPr>
          <w:fldChar w:fldCharType="end"/>
        </w:r>
      </w:hyperlink>
    </w:p>
    <w:p w14:paraId="4F23FDC2" w14:textId="3AE66893" w:rsidR="00D34D70" w:rsidRDefault="00D34D70">
      <w:pPr>
        <w:pStyle w:val="TOC2"/>
        <w:tabs>
          <w:tab w:val="left" w:pos="1134"/>
        </w:tabs>
        <w:rPr>
          <w:rFonts w:asciiTheme="minorHAnsi" w:eastAsiaTheme="minorEastAsia" w:hAnsiTheme="minorHAnsi"/>
          <w:noProof/>
          <w:sz w:val="22"/>
          <w:lang w:eastAsia="en-AU"/>
        </w:rPr>
      </w:pPr>
      <w:hyperlink w:anchor="_Toc51084868" w:history="1">
        <w:r w:rsidRPr="00EB2053">
          <w:rPr>
            <w:rStyle w:val="Hyperlink"/>
            <w:noProof/>
          </w:rPr>
          <w:t>C.</w:t>
        </w:r>
        <w:r>
          <w:rPr>
            <w:rFonts w:asciiTheme="minorHAnsi" w:eastAsiaTheme="minorEastAsia" w:hAnsiTheme="minorHAnsi"/>
            <w:noProof/>
            <w:sz w:val="22"/>
            <w:lang w:eastAsia="en-AU"/>
          </w:rPr>
          <w:tab/>
        </w:r>
        <w:r w:rsidRPr="00EB2053">
          <w:rPr>
            <w:rStyle w:val="Hyperlink"/>
            <w:noProof/>
          </w:rPr>
          <w:t>Allowing deployment on poles rather than on utilities</w:t>
        </w:r>
        <w:r>
          <w:rPr>
            <w:noProof/>
            <w:webHidden/>
          </w:rPr>
          <w:tab/>
        </w:r>
        <w:r>
          <w:rPr>
            <w:noProof/>
            <w:webHidden/>
          </w:rPr>
          <w:fldChar w:fldCharType="begin"/>
        </w:r>
        <w:r>
          <w:rPr>
            <w:noProof/>
            <w:webHidden/>
          </w:rPr>
          <w:instrText xml:space="preserve"> PAGEREF _Toc51084868 \h </w:instrText>
        </w:r>
        <w:r>
          <w:rPr>
            <w:noProof/>
            <w:webHidden/>
          </w:rPr>
        </w:r>
        <w:r>
          <w:rPr>
            <w:noProof/>
            <w:webHidden/>
          </w:rPr>
          <w:fldChar w:fldCharType="separate"/>
        </w:r>
        <w:r>
          <w:rPr>
            <w:noProof/>
            <w:webHidden/>
          </w:rPr>
          <w:t>24</w:t>
        </w:r>
        <w:r>
          <w:rPr>
            <w:noProof/>
            <w:webHidden/>
          </w:rPr>
          <w:fldChar w:fldCharType="end"/>
        </w:r>
      </w:hyperlink>
    </w:p>
    <w:p w14:paraId="32CADB9C" w14:textId="12F0DD00" w:rsidR="00D34D70" w:rsidRDefault="00D34D70">
      <w:pPr>
        <w:pStyle w:val="TOC3"/>
        <w:rPr>
          <w:rFonts w:asciiTheme="minorHAnsi" w:eastAsiaTheme="minorEastAsia" w:hAnsiTheme="minorHAnsi"/>
          <w:sz w:val="22"/>
          <w:lang w:eastAsia="en-AU"/>
        </w:rPr>
      </w:pPr>
      <w:hyperlink w:anchor="_Toc51084869" w:history="1">
        <w:r w:rsidRPr="00EB2053">
          <w:rPr>
            <w:rStyle w:val="Hyperlink"/>
          </w:rPr>
          <w:t>Issue</w:t>
        </w:r>
        <w:r>
          <w:rPr>
            <w:webHidden/>
          </w:rPr>
          <w:tab/>
        </w:r>
        <w:r>
          <w:rPr>
            <w:webHidden/>
          </w:rPr>
          <w:fldChar w:fldCharType="begin"/>
        </w:r>
        <w:r>
          <w:rPr>
            <w:webHidden/>
          </w:rPr>
          <w:instrText xml:space="preserve"> PAGEREF _Toc51084869 \h </w:instrText>
        </w:r>
        <w:r>
          <w:rPr>
            <w:webHidden/>
          </w:rPr>
        </w:r>
        <w:r>
          <w:rPr>
            <w:webHidden/>
          </w:rPr>
          <w:fldChar w:fldCharType="separate"/>
        </w:r>
        <w:r>
          <w:rPr>
            <w:webHidden/>
          </w:rPr>
          <w:t>24</w:t>
        </w:r>
        <w:r>
          <w:rPr>
            <w:webHidden/>
          </w:rPr>
          <w:fldChar w:fldCharType="end"/>
        </w:r>
      </w:hyperlink>
    </w:p>
    <w:p w14:paraId="2B57CB3C" w14:textId="72DE22D5" w:rsidR="00D34D70" w:rsidRDefault="00D34D70">
      <w:pPr>
        <w:pStyle w:val="TOC3"/>
        <w:rPr>
          <w:rFonts w:asciiTheme="minorHAnsi" w:eastAsiaTheme="minorEastAsia" w:hAnsiTheme="minorHAnsi"/>
          <w:sz w:val="22"/>
          <w:lang w:eastAsia="en-AU"/>
        </w:rPr>
      </w:pPr>
      <w:hyperlink w:anchor="_Toc51084870" w:history="1">
        <w:r w:rsidRPr="00EB2053">
          <w:rPr>
            <w:rStyle w:val="Hyperlink"/>
          </w:rPr>
          <w:t>Proposal</w:t>
        </w:r>
        <w:r>
          <w:rPr>
            <w:webHidden/>
          </w:rPr>
          <w:tab/>
        </w:r>
        <w:r>
          <w:rPr>
            <w:webHidden/>
          </w:rPr>
          <w:fldChar w:fldCharType="begin"/>
        </w:r>
        <w:r>
          <w:rPr>
            <w:webHidden/>
          </w:rPr>
          <w:instrText xml:space="preserve"> PAGEREF _Toc51084870 \h </w:instrText>
        </w:r>
        <w:r>
          <w:rPr>
            <w:webHidden/>
          </w:rPr>
        </w:r>
        <w:r>
          <w:rPr>
            <w:webHidden/>
          </w:rPr>
          <w:fldChar w:fldCharType="separate"/>
        </w:r>
        <w:r>
          <w:rPr>
            <w:webHidden/>
          </w:rPr>
          <w:t>25</w:t>
        </w:r>
        <w:r>
          <w:rPr>
            <w:webHidden/>
          </w:rPr>
          <w:fldChar w:fldCharType="end"/>
        </w:r>
      </w:hyperlink>
    </w:p>
    <w:p w14:paraId="621C9549" w14:textId="255F5795" w:rsidR="00D34D70" w:rsidRDefault="00D34D70">
      <w:pPr>
        <w:pStyle w:val="TOC3"/>
        <w:rPr>
          <w:rFonts w:asciiTheme="minorHAnsi" w:eastAsiaTheme="minorEastAsia" w:hAnsiTheme="minorHAnsi"/>
          <w:sz w:val="22"/>
          <w:lang w:eastAsia="en-AU"/>
        </w:rPr>
      </w:pPr>
      <w:hyperlink w:anchor="_Toc51084871" w:history="1">
        <w:r w:rsidRPr="00EB2053">
          <w:rPr>
            <w:rStyle w:val="Hyperlink"/>
          </w:rPr>
          <w:t>Prompt questions</w:t>
        </w:r>
        <w:r>
          <w:rPr>
            <w:webHidden/>
          </w:rPr>
          <w:tab/>
        </w:r>
        <w:r>
          <w:rPr>
            <w:webHidden/>
          </w:rPr>
          <w:fldChar w:fldCharType="begin"/>
        </w:r>
        <w:r>
          <w:rPr>
            <w:webHidden/>
          </w:rPr>
          <w:instrText xml:space="preserve"> PAGEREF _Toc51084871 \h </w:instrText>
        </w:r>
        <w:r>
          <w:rPr>
            <w:webHidden/>
          </w:rPr>
        </w:r>
        <w:r>
          <w:rPr>
            <w:webHidden/>
          </w:rPr>
          <w:fldChar w:fldCharType="separate"/>
        </w:r>
        <w:r>
          <w:rPr>
            <w:webHidden/>
          </w:rPr>
          <w:t>26</w:t>
        </w:r>
        <w:r>
          <w:rPr>
            <w:webHidden/>
          </w:rPr>
          <w:fldChar w:fldCharType="end"/>
        </w:r>
      </w:hyperlink>
    </w:p>
    <w:p w14:paraId="7D97FF36" w14:textId="6116BE7D" w:rsidR="00D34D70" w:rsidRDefault="00D34D70">
      <w:pPr>
        <w:pStyle w:val="TOC2"/>
        <w:tabs>
          <w:tab w:val="left" w:pos="1134"/>
        </w:tabs>
        <w:rPr>
          <w:rFonts w:asciiTheme="minorHAnsi" w:eastAsiaTheme="minorEastAsia" w:hAnsiTheme="minorHAnsi"/>
          <w:noProof/>
          <w:sz w:val="22"/>
          <w:lang w:eastAsia="en-AU"/>
        </w:rPr>
      </w:pPr>
      <w:hyperlink w:anchor="_Toc51084872" w:history="1">
        <w:r w:rsidRPr="00EB2053">
          <w:rPr>
            <w:rStyle w:val="Hyperlink"/>
            <w:noProof/>
          </w:rPr>
          <w:t>D.</w:t>
        </w:r>
        <w:r>
          <w:rPr>
            <w:rFonts w:asciiTheme="minorHAnsi" w:eastAsiaTheme="minorEastAsia" w:hAnsiTheme="minorHAnsi"/>
            <w:noProof/>
            <w:sz w:val="22"/>
            <w:lang w:eastAsia="en-AU"/>
          </w:rPr>
          <w:tab/>
        </w:r>
        <w:r w:rsidRPr="00EB2053">
          <w:rPr>
            <w:rStyle w:val="Hyperlink"/>
            <w:noProof/>
          </w:rPr>
          <w:t>Encourage the co-location of facilities</w:t>
        </w:r>
        <w:r>
          <w:rPr>
            <w:noProof/>
            <w:webHidden/>
          </w:rPr>
          <w:tab/>
        </w:r>
        <w:r>
          <w:rPr>
            <w:noProof/>
            <w:webHidden/>
          </w:rPr>
          <w:fldChar w:fldCharType="begin"/>
        </w:r>
        <w:r>
          <w:rPr>
            <w:noProof/>
            <w:webHidden/>
          </w:rPr>
          <w:instrText xml:space="preserve"> PAGEREF _Toc51084872 \h </w:instrText>
        </w:r>
        <w:r>
          <w:rPr>
            <w:noProof/>
            <w:webHidden/>
          </w:rPr>
        </w:r>
        <w:r>
          <w:rPr>
            <w:noProof/>
            <w:webHidden/>
          </w:rPr>
          <w:fldChar w:fldCharType="separate"/>
        </w:r>
        <w:r>
          <w:rPr>
            <w:noProof/>
            <w:webHidden/>
          </w:rPr>
          <w:t>26</w:t>
        </w:r>
        <w:r>
          <w:rPr>
            <w:noProof/>
            <w:webHidden/>
          </w:rPr>
          <w:fldChar w:fldCharType="end"/>
        </w:r>
      </w:hyperlink>
    </w:p>
    <w:p w14:paraId="4B26B7D2" w14:textId="460130F5" w:rsidR="00D34D70" w:rsidRDefault="00D34D70">
      <w:pPr>
        <w:pStyle w:val="TOC3"/>
        <w:rPr>
          <w:rFonts w:asciiTheme="minorHAnsi" w:eastAsiaTheme="minorEastAsia" w:hAnsiTheme="minorHAnsi"/>
          <w:sz w:val="22"/>
          <w:lang w:eastAsia="en-AU"/>
        </w:rPr>
      </w:pPr>
      <w:hyperlink w:anchor="_Toc51084873" w:history="1">
        <w:r w:rsidRPr="00EB2053">
          <w:rPr>
            <w:rStyle w:val="Hyperlink"/>
          </w:rPr>
          <w:t>Issue</w:t>
        </w:r>
        <w:r>
          <w:rPr>
            <w:webHidden/>
          </w:rPr>
          <w:tab/>
        </w:r>
        <w:r>
          <w:rPr>
            <w:webHidden/>
          </w:rPr>
          <w:fldChar w:fldCharType="begin"/>
        </w:r>
        <w:r>
          <w:rPr>
            <w:webHidden/>
          </w:rPr>
          <w:instrText xml:space="preserve"> PAGEREF _Toc51084873 \h </w:instrText>
        </w:r>
        <w:r>
          <w:rPr>
            <w:webHidden/>
          </w:rPr>
        </w:r>
        <w:r>
          <w:rPr>
            <w:webHidden/>
          </w:rPr>
          <w:fldChar w:fldCharType="separate"/>
        </w:r>
        <w:r>
          <w:rPr>
            <w:webHidden/>
          </w:rPr>
          <w:t>26</w:t>
        </w:r>
        <w:r>
          <w:rPr>
            <w:webHidden/>
          </w:rPr>
          <w:fldChar w:fldCharType="end"/>
        </w:r>
      </w:hyperlink>
    </w:p>
    <w:p w14:paraId="2766E136" w14:textId="527E6D35" w:rsidR="00D34D70" w:rsidRDefault="00D34D70">
      <w:pPr>
        <w:pStyle w:val="TOC3"/>
        <w:rPr>
          <w:rFonts w:asciiTheme="minorHAnsi" w:eastAsiaTheme="minorEastAsia" w:hAnsiTheme="minorHAnsi"/>
          <w:sz w:val="22"/>
          <w:lang w:eastAsia="en-AU"/>
        </w:rPr>
      </w:pPr>
      <w:hyperlink w:anchor="_Toc51084874" w:history="1">
        <w:r w:rsidRPr="00EB2053">
          <w:rPr>
            <w:rStyle w:val="Hyperlink"/>
          </w:rPr>
          <w:t>Proposal</w:t>
        </w:r>
        <w:r>
          <w:rPr>
            <w:webHidden/>
          </w:rPr>
          <w:tab/>
        </w:r>
        <w:r>
          <w:rPr>
            <w:webHidden/>
          </w:rPr>
          <w:fldChar w:fldCharType="begin"/>
        </w:r>
        <w:r>
          <w:rPr>
            <w:webHidden/>
          </w:rPr>
          <w:instrText xml:space="preserve"> PAGEREF _Toc51084874 \h </w:instrText>
        </w:r>
        <w:r>
          <w:rPr>
            <w:webHidden/>
          </w:rPr>
        </w:r>
        <w:r>
          <w:rPr>
            <w:webHidden/>
          </w:rPr>
          <w:fldChar w:fldCharType="separate"/>
        </w:r>
        <w:r>
          <w:rPr>
            <w:webHidden/>
          </w:rPr>
          <w:t>27</w:t>
        </w:r>
        <w:r>
          <w:rPr>
            <w:webHidden/>
          </w:rPr>
          <w:fldChar w:fldCharType="end"/>
        </w:r>
      </w:hyperlink>
    </w:p>
    <w:p w14:paraId="30DA9A01" w14:textId="2DD445DE" w:rsidR="00D34D70" w:rsidRDefault="00D34D70">
      <w:pPr>
        <w:pStyle w:val="TOC3"/>
        <w:rPr>
          <w:rFonts w:asciiTheme="minorHAnsi" w:eastAsiaTheme="minorEastAsia" w:hAnsiTheme="minorHAnsi"/>
          <w:sz w:val="22"/>
          <w:lang w:eastAsia="en-AU"/>
        </w:rPr>
      </w:pPr>
      <w:hyperlink w:anchor="_Toc51084875" w:history="1">
        <w:r w:rsidRPr="00EB2053">
          <w:rPr>
            <w:rStyle w:val="Hyperlink"/>
          </w:rPr>
          <w:t>Prompt questions</w:t>
        </w:r>
        <w:r>
          <w:rPr>
            <w:webHidden/>
          </w:rPr>
          <w:tab/>
        </w:r>
        <w:r>
          <w:rPr>
            <w:webHidden/>
          </w:rPr>
          <w:fldChar w:fldCharType="begin"/>
        </w:r>
        <w:r>
          <w:rPr>
            <w:webHidden/>
          </w:rPr>
          <w:instrText xml:space="preserve"> PAGEREF _Toc51084875 \h </w:instrText>
        </w:r>
        <w:r>
          <w:rPr>
            <w:webHidden/>
          </w:rPr>
        </w:r>
        <w:r>
          <w:rPr>
            <w:webHidden/>
          </w:rPr>
          <w:fldChar w:fldCharType="separate"/>
        </w:r>
        <w:r>
          <w:rPr>
            <w:webHidden/>
          </w:rPr>
          <w:t>28</w:t>
        </w:r>
        <w:r>
          <w:rPr>
            <w:webHidden/>
          </w:rPr>
          <w:fldChar w:fldCharType="end"/>
        </w:r>
      </w:hyperlink>
    </w:p>
    <w:p w14:paraId="4D52D37B" w14:textId="6FC19B1B" w:rsidR="00D34D70" w:rsidRDefault="00D34D70">
      <w:pPr>
        <w:pStyle w:val="TOC1"/>
        <w:rPr>
          <w:rFonts w:asciiTheme="minorHAnsi" w:eastAsiaTheme="minorEastAsia" w:hAnsiTheme="minorHAnsi"/>
          <w:b w:val="0"/>
          <w:noProof/>
          <w:color w:val="auto"/>
          <w:sz w:val="22"/>
          <w:lang w:eastAsia="en-AU"/>
        </w:rPr>
      </w:pPr>
      <w:hyperlink w:anchor="_Toc51084876" w:history="1">
        <w:r w:rsidRPr="00EB2053">
          <w:rPr>
            <w:rStyle w:val="Hyperlink"/>
            <w:noProof/>
          </w:rPr>
          <w:t>Next steps and conclusion</w:t>
        </w:r>
        <w:r>
          <w:rPr>
            <w:noProof/>
            <w:webHidden/>
          </w:rPr>
          <w:tab/>
        </w:r>
        <w:r>
          <w:rPr>
            <w:noProof/>
            <w:webHidden/>
          </w:rPr>
          <w:fldChar w:fldCharType="begin"/>
        </w:r>
        <w:r>
          <w:rPr>
            <w:noProof/>
            <w:webHidden/>
          </w:rPr>
          <w:instrText xml:space="preserve"> PAGEREF _Toc51084876 \h </w:instrText>
        </w:r>
        <w:r>
          <w:rPr>
            <w:noProof/>
            <w:webHidden/>
          </w:rPr>
        </w:r>
        <w:r>
          <w:rPr>
            <w:noProof/>
            <w:webHidden/>
          </w:rPr>
          <w:fldChar w:fldCharType="separate"/>
        </w:r>
        <w:r>
          <w:rPr>
            <w:noProof/>
            <w:webHidden/>
          </w:rPr>
          <w:t>29</w:t>
        </w:r>
        <w:r>
          <w:rPr>
            <w:noProof/>
            <w:webHidden/>
          </w:rPr>
          <w:fldChar w:fldCharType="end"/>
        </w:r>
      </w:hyperlink>
    </w:p>
    <w:p w14:paraId="7D87FB95" w14:textId="4925210F" w:rsidR="00D34D70" w:rsidRDefault="00D34D70">
      <w:pPr>
        <w:pStyle w:val="TOC1"/>
        <w:rPr>
          <w:rFonts w:asciiTheme="minorHAnsi" w:eastAsiaTheme="minorEastAsia" w:hAnsiTheme="minorHAnsi"/>
          <w:b w:val="0"/>
          <w:noProof/>
          <w:color w:val="auto"/>
          <w:sz w:val="22"/>
          <w:lang w:eastAsia="en-AU"/>
        </w:rPr>
      </w:pPr>
      <w:hyperlink w:anchor="_Toc51084877" w:history="1">
        <w:r w:rsidRPr="00EB2053">
          <w:rPr>
            <w:rStyle w:val="Hyperlink"/>
            <w:noProof/>
          </w:rPr>
          <w:t>Glossary</w:t>
        </w:r>
        <w:r>
          <w:rPr>
            <w:noProof/>
            <w:webHidden/>
          </w:rPr>
          <w:tab/>
        </w:r>
        <w:r>
          <w:rPr>
            <w:noProof/>
            <w:webHidden/>
          </w:rPr>
          <w:fldChar w:fldCharType="begin"/>
        </w:r>
        <w:r>
          <w:rPr>
            <w:noProof/>
            <w:webHidden/>
          </w:rPr>
          <w:instrText xml:space="preserve"> PAGEREF _Toc51084877 \h </w:instrText>
        </w:r>
        <w:r>
          <w:rPr>
            <w:noProof/>
            <w:webHidden/>
          </w:rPr>
        </w:r>
        <w:r>
          <w:rPr>
            <w:noProof/>
            <w:webHidden/>
          </w:rPr>
          <w:fldChar w:fldCharType="separate"/>
        </w:r>
        <w:r>
          <w:rPr>
            <w:noProof/>
            <w:webHidden/>
          </w:rPr>
          <w:t>30</w:t>
        </w:r>
        <w:r>
          <w:rPr>
            <w:noProof/>
            <w:webHidden/>
          </w:rPr>
          <w:fldChar w:fldCharType="end"/>
        </w:r>
      </w:hyperlink>
    </w:p>
    <w:p w14:paraId="64CB8487" w14:textId="31257F35" w:rsidR="00D34D70" w:rsidRDefault="00D34D70">
      <w:pPr>
        <w:pStyle w:val="TOC1"/>
        <w:rPr>
          <w:rFonts w:asciiTheme="minorHAnsi" w:eastAsiaTheme="minorEastAsia" w:hAnsiTheme="minorHAnsi"/>
          <w:b w:val="0"/>
          <w:noProof/>
          <w:color w:val="auto"/>
          <w:sz w:val="22"/>
          <w:lang w:eastAsia="en-AU"/>
        </w:rPr>
      </w:pPr>
      <w:hyperlink w:anchor="_Toc51084878" w:history="1">
        <w:r w:rsidRPr="00EB2053">
          <w:rPr>
            <w:rStyle w:val="Hyperlink"/>
            <w:noProof/>
          </w:rPr>
          <w:t>Attachment A: Outline of the powers and immunities framework</w:t>
        </w:r>
        <w:r>
          <w:rPr>
            <w:noProof/>
            <w:webHidden/>
          </w:rPr>
          <w:tab/>
        </w:r>
        <w:r>
          <w:rPr>
            <w:noProof/>
            <w:webHidden/>
          </w:rPr>
          <w:fldChar w:fldCharType="begin"/>
        </w:r>
        <w:r>
          <w:rPr>
            <w:noProof/>
            <w:webHidden/>
          </w:rPr>
          <w:instrText xml:space="preserve"> PAGEREF _Toc51084878 \h </w:instrText>
        </w:r>
        <w:r>
          <w:rPr>
            <w:noProof/>
            <w:webHidden/>
          </w:rPr>
        </w:r>
        <w:r>
          <w:rPr>
            <w:noProof/>
            <w:webHidden/>
          </w:rPr>
          <w:fldChar w:fldCharType="separate"/>
        </w:r>
        <w:r>
          <w:rPr>
            <w:noProof/>
            <w:webHidden/>
          </w:rPr>
          <w:t>31</w:t>
        </w:r>
        <w:r>
          <w:rPr>
            <w:noProof/>
            <w:webHidden/>
          </w:rPr>
          <w:fldChar w:fldCharType="end"/>
        </w:r>
      </w:hyperlink>
    </w:p>
    <w:p w14:paraId="6EA8238E" w14:textId="4A72024D" w:rsidR="00D34D70" w:rsidRDefault="00D34D70">
      <w:pPr>
        <w:pStyle w:val="TOC2"/>
        <w:rPr>
          <w:rFonts w:asciiTheme="minorHAnsi" w:eastAsiaTheme="minorEastAsia" w:hAnsiTheme="minorHAnsi"/>
          <w:noProof/>
          <w:sz w:val="22"/>
          <w:lang w:eastAsia="en-AU"/>
        </w:rPr>
      </w:pPr>
      <w:hyperlink w:anchor="_Toc51084879" w:history="1">
        <w:r w:rsidRPr="00EB2053">
          <w:rPr>
            <w:rStyle w:val="Hyperlink"/>
            <w:noProof/>
          </w:rPr>
          <w:t>Schedule 3 to the Telecommunications Act 1997 (the Act)</w:t>
        </w:r>
        <w:r>
          <w:rPr>
            <w:noProof/>
            <w:webHidden/>
          </w:rPr>
          <w:tab/>
        </w:r>
        <w:r>
          <w:rPr>
            <w:noProof/>
            <w:webHidden/>
          </w:rPr>
          <w:fldChar w:fldCharType="begin"/>
        </w:r>
        <w:r>
          <w:rPr>
            <w:noProof/>
            <w:webHidden/>
          </w:rPr>
          <w:instrText xml:space="preserve"> PAGEREF _Toc51084879 \h </w:instrText>
        </w:r>
        <w:r>
          <w:rPr>
            <w:noProof/>
            <w:webHidden/>
          </w:rPr>
        </w:r>
        <w:r>
          <w:rPr>
            <w:noProof/>
            <w:webHidden/>
          </w:rPr>
          <w:fldChar w:fldCharType="separate"/>
        </w:r>
        <w:r>
          <w:rPr>
            <w:noProof/>
            <w:webHidden/>
          </w:rPr>
          <w:t>31</w:t>
        </w:r>
        <w:r>
          <w:rPr>
            <w:noProof/>
            <w:webHidden/>
          </w:rPr>
          <w:fldChar w:fldCharType="end"/>
        </w:r>
      </w:hyperlink>
    </w:p>
    <w:p w14:paraId="4368E9BC" w14:textId="646533D0" w:rsidR="00D34D70" w:rsidRDefault="00D34D70">
      <w:pPr>
        <w:pStyle w:val="TOC2"/>
        <w:rPr>
          <w:rFonts w:asciiTheme="minorHAnsi" w:eastAsiaTheme="minorEastAsia" w:hAnsiTheme="minorHAnsi"/>
          <w:noProof/>
          <w:sz w:val="22"/>
          <w:lang w:eastAsia="en-AU"/>
        </w:rPr>
      </w:pPr>
      <w:hyperlink w:anchor="_Toc51084880" w:history="1">
        <w:r w:rsidRPr="00EB2053">
          <w:rPr>
            <w:rStyle w:val="Hyperlink"/>
            <w:noProof/>
          </w:rPr>
          <w:t>The Telecommunications Code of Practice 2018 (the Code of Practice)</w:t>
        </w:r>
        <w:r>
          <w:rPr>
            <w:noProof/>
            <w:webHidden/>
          </w:rPr>
          <w:tab/>
        </w:r>
        <w:r>
          <w:rPr>
            <w:noProof/>
            <w:webHidden/>
          </w:rPr>
          <w:fldChar w:fldCharType="begin"/>
        </w:r>
        <w:r>
          <w:rPr>
            <w:noProof/>
            <w:webHidden/>
          </w:rPr>
          <w:instrText xml:space="preserve"> PAGEREF _Toc51084880 \h </w:instrText>
        </w:r>
        <w:r>
          <w:rPr>
            <w:noProof/>
            <w:webHidden/>
          </w:rPr>
        </w:r>
        <w:r>
          <w:rPr>
            <w:noProof/>
            <w:webHidden/>
          </w:rPr>
          <w:fldChar w:fldCharType="separate"/>
        </w:r>
        <w:r>
          <w:rPr>
            <w:noProof/>
            <w:webHidden/>
          </w:rPr>
          <w:t>31</w:t>
        </w:r>
        <w:r>
          <w:rPr>
            <w:noProof/>
            <w:webHidden/>
          </w:rPr>
          <w:fldChar w:fldCharType="end"/>
        </w:r>
      </w:hyperlink>
    </w:p>
    <w:p w14:paraId="2ADBA18C" w14:textId="45EEA4D6" w:rsidR="00D34D70" w:rsidRDefault="00D34D70">
      <w:pPr>
        <w:pStyle w:val="TOC2"/>
        <w:rPr>
          <w:rFonts w:asciiTheme="minorHAnsi" w:eastAsiaTheme="minorEastAsia" w:hAnsiTheme="minorHAnsi"/>
          <w:noProof/>
          <w:sz w:val="22"/>
          <w:lang w:eastAsia="en-AU"/>
        </w:rPr>
      </w:pPr>
      <w:hyperlink w:anchor="_Toc51084881" w:history="1">
        <w:r w:rsidRPr="00EB2053">
          <w:rPr>
            <w:rStyle w:val="Hyperlink"/>
            <w:noProof/>
          </w:rPr>
          <w:t>The Telecommunications (Low-impact Facilities) Determination 2018 (LIFD)</w:t>
        </w:r>
        <w:r>
          <w:rPr>
            <w:noProof/>
            <w:webHidden/>
          </w:rPr>
          <w:tab/>
        </w:r>
        <w:r>
          <w:rPr>
            <w:noProof/>
            <w:webHidden/>
          </w:rPr>
          <w:fldChar w:fldCharType="begin"/>
        </w:r>
        <w:r>
          <w:rPr>
            <w:noProof/>
            <w:webHidden/>
          </w:rPr>
          <w:instrText xml:space="preserve"> PAGEREF _Toc51084881 \h </w:instrText>
        </w:r>
        <w:r>
          <w:rPr>
            <w:noProof/>
            <w:webHidden/>
          </w:rPr>
        </w:r>
        <w:r>
          <w:rPr>
            <w:noProof/>
            <w:webHidden/>
          </w:rPr>
          <w:fldChar w:fldCharType="separate"/>
        </w:r>
        <w:r>
          <w:rPr>
            <w:noProof/>
            <w:webHidden/>
          </w:rPr>
          <w:t>31</w:t>
        </w:r>
        <w:r>
          <w:rPr>
            <w:noProof/>
            <w:webHidden/>
          </w:rPr>
          <w:fldChar w:fldCharType="end"/>
        </w:r>
      </w:hyperlink>
    </w:p>
    <w:p w14:paraId="46D13FF1" w14:textId="16B95252" w:rsidR="00D34D70" w:rsidRDefault="00D34D70">
      <w:pPr>
        <w:pStyle w:val="TOC2"/>
        <w:rPr>
          <w:rFonts w:asciiTheme="minorHAnsi" w:eastAsiaTheme="minorEastAsia" w:hAnsiTheme="minorHAnsi"/>
          <w:noProof/>
          <w:sz w:val="22"/>
          <w:lang w:eastAsia="en-AU"/>
        </w:rPr>
      </w:pPr>
      <w:hyperlink w:anchor="_Toc51084882" w:history="1">
        <w:r w:rsidRPr="00EB2053">
          <w:rPr>
            <w:rStyle w:val="Hyperlink"/>
            <w:noProof/>
          </w:rPr>
          <w:t>The Mobile Base Station Deployment Code C564:2018 (the Deployment Code)</w:t>
        </w:r>
        <w:r>
          <w:rPr>
            <w:noProof/>
            <w:webHidden/>
          </w:rPr>
          <w:tab/>
        </w:r>
        <w:r>
          <w:rPr>
            <w:noProof/>
            <w:webHidden/>
          </w:rPr>
          <w:fldChar w:fldCharType="begin"/>
        </w:r>
        <w:r>
          <w:rPr>
            <w:noProof/>
            <w:webHidden/>
          </w:rPr>
          <w:instrText xml:space="preserve"> PAGEREF _Toc51084882 \h </w:instrText>
        </w:r>
        <w:r>
          <w:rPr>
            <w:noProof/>
            <w:webHidden/>
          </w:rPr>
        </w:r>
        <w:r>
          <w:rPr>
            <w:noProof/>
            <w:webHidden/>
          </w:rPr>
          <w:fldChar w:fldCharType="separate"/>
        </w:r>
        <w:r>
          <w:rPr>
            <w:noProof/>
            <w:webHidden/>
          </w:rPr>
          <w:t>31</w:t>
        </w:r>
        <w:r>
          <w:rPr>
            <w:noProof/>
            <w:webHidden/>
          </w:rPr>
          <w:fldChar w:fldCharType="end"/>
        </w:r>
      </w:hyperlink>
    </w:p>
    <w:p w14:paraId="6B9AF669" w14:textId="12D051CA" w:rsidR="00A82DAF" w:rsidRDefault="006C6C4A" w:rsidP="00A82DAF">
      <w:r>
        <w:rPr>
          <w:rFonts w:ascii="Calibri" w:eastAsia="PMingLiU" w:hAnsi="Calibri" w:cs="Mangal"/>
          <w:b/>
          <w:color w:val="0F293A"/>
          <w:sz w:val="24"/>
        </w:rPr>
        <w:fldChar w:fldCharType="end"/>
      </w:r>
    </w:p>
    <w:p w14:paraId="32EC0E82" w14:textId="77777777" w:rsidR="00A82DAF" w:rsidRPr="005113AA" w:rsidRDefault="00A82DAF" w:rsidP="00A82DAF">
      <w:pPr>
        <w:pStyle w:val="Heading2notshowing"/>
      </w:pPr>
      <w:r w:rsidRPr="005113AA">
        <w:t>Tables / images</w:t>
      </w:r>
    </w:p>
    <w:p w14:paraId="76376536" w14:textId="44B54863" w:rsidR="00D34D70" w:rsidRDefault="00A82DAF">
      <w:pPr>
        <w:pStyle w:val="TOC4"/>
        <w:rPr>
          <w:rFonts w:asciiTheme="minorHAnsi" w:eastAsiaTheme="minorEastAsia" w:hAnsiTheme="minorHAnsi"/>
          <w:noProof/>
          <w:sz w:val="22"/>
          <w:lang w:eastAsia="en-AU"/>
        </w:rPr>
      </w:pPr>
      <w:r w:rsidRPr="005113AA">
        <w:rPr>
          <w:rFonts w:ascii="Calibri" w:eastAsia="PMingLiU" w:hAnsi="Calibri" w:cs="Mangal"/>
        </w:rPr>
        <w:fldChar w:fldCharType="begin"/>
      </w:r>
      <w:r w:rsidRPr="005113AA">
        <w:rPr>
          <w:rFonts w:ascii="Calibri" w:eastAsia="PMingLiU" w:hAnsi="Calibri" w:cs="Mangal"/>
        </w:rPr>
        <w:instrText xml:space="preserve"> TOC \h \z \t "Table/figure heading,4,Table heading,4" </w:instrText>
      </w:r>
      <w:r w:rsidRPr="005113AA">
        <w:rPr>
          <w:rFonts w:ascii="Calibri" w:eastAsia="PMingLiU" w:hAnsi="Calibri" w:cs="Mangal"/>
        </w:rPr>
        <w:fldChar w:fldCharType="separate"/>
      </w:r>
      <w:hyperlink w:anchor="_Toc51084883" w:history="1">
        <w:r w:rsidR="00D34D70" w:rsidRPr="008068E7">
          <w:rPr>
            <w:rStyle w:val="Hyperlink"/>
            <w:noProof/>
          </w:rPr>
          <w:t>Table: Summary of proposals presented in this paper, arranged by discussion theme</w:t>
        </w:r>
        <w:r w:rsidR="00D34D70">
          <w:rPr>
            <w:noProof/>
            <w:webHidden/>
          </w:rPr>
          <w:tab/>
        </w:r>
        <w:r w:rsidR="00D34D70">
          <w:rPr>
            <w:noProof/>
            <w:webHidden/>
          </w:rPr>
          <w:fldChar w:fldCharType="begin"/>
        </w:r>
        <w:r w:rsidR="00D34D70">
          <w:rPr>
            <w:noProof/>
            <w:webHidden/>
          </w:rPr>
          <w:instrText xml:space="preserve"> PAGEREF _Toc51084883 \h </w:instrText>
        </w:r>
        <w:r w:rsidR="00D34D70">
          <w:rPr>
            <w:noProof/>
            <w:webHidden/>
          </w:rPr>
        </w:r>
        <w:r w:rsidR="00D34D70">
          <w:rPr>
            <w:noProof/>
            <w:webHidden/>
          </w:rPr>
          <w:fldChar w:fldCharType="separate"/>
        </w:r>
        <w:r w:rsidR="00D34D70">
          <w:rPr>
            <w:noProof/>
            <w:webHidden/>
          </w:rPr>
          <w:t>8</w:t>
        </w:r>
        <w:r w:rsidR="00D34D70">
          <w:rPr>
            <w:noProof/>
            <w:webHidden/>
          </w:rPr>
          <w:fldChar w:fldCharType="end"/>
        </w:r>
      </w:hyperlink>
    </w:p>
    <w:p w14:paraId="4632CB24" w14:textId="58A01E92" w:rsidR="00D34D70" w:rsidRDefault="00D34D70">
      <w:pPr>
        <w:pStyle w:val="TOC4"/>
        <w:rPr>
          <w:rFonts w:asciiTheme="minorHAnsi" w:eastAsiaTheme="minorEastAsia" w:hAnsiTheme="minorHAnsi"/>
          <w:noProof/>
          <w:sz w:val="22"/>
          <w:lang w:eastAsia="en-AU"/>
        </w:rPr>
      </w:pPr>
      <w:hyperlink w:anchor="_Toc51084884" w:history="1">
        <w:r w:rsidRPr="008068E7">
          <w:rPr>
            <w:rStyle w:val="Hyperlink"/>
            <w:noProof/>
          </w:rPr>
          <w:t>Figure 1: Antenna protrusion</w:t>
        </w:r>
        <w:r>
          <w:rPr>
            <w:noProof/>
            <w:webHidden/>
          </w:rPr>
          <w:tab/>
        </w:r>
        <w:r>
          <w:rPr>
            <w:noProof/>
            <w:webHidden/>
          </w:rPr>
          <w:fldChar w:fldCharType="begin"/>
        </w:r>
        <w:r>
          <w:rPr>
            <w:noProof/>
            <w:webHidden/>
          </w:rPr>
          <w:instrText xml:space="preserve"> PAGEREF _Toc51084884 \h </w:instrText>
        </w:r>
        <w:r>
          <w:rPr>
            <w:noProof/>
            <w:webHidden/>
          </w:rPr>
        </w:r>
        <w:r>
          <w:rPr>
            <w:noProof/>
            <w:webHidden/>
          </w:rPr>
          <w:fldChar w:fldCharType="separate"/>
        </w:r>
        <w:r>
          <w:rPr>
            <w:noProof/>
            <w:webHidden/>
          </w:rPr>
          <w:t>22</w:t>
        </w:r>
        <w:r>
          <w:rPr>
            <w:noProof/>
            <w:webHidden/>
          </w:rPr>
          <w:fldChar w:fldCharType="end"/>
        </w:r>
      </w:hyperlink>
    </w:p>
    <w:p w14:paraId="25A80E1B" w14:textId="4588E915" w:rsidR="00D34D70" w:rsidRDefault="00D34D70">
      <w:pPr>
        <w:pStyle w:val="TOC4"/>
        <w:rPr>
          <w:rFonts w:asciiTheme="minorHAnsi" w:eastAsiaTheme="minorEastAsia" w:hAnsiTheme="minorHAnsi"/>
          <w:noProof/>
          <w:sz w:val="22"/>
          <w:lang w:eastAsia="en-AU"/>
        </w:rPr>
      </w:pPr>
      <w:hyperlink w:anchor="_Toc51084885" w:history="1">
        <w:r w:rsidRPr="008068E7">
          <w:rPr>
            <w:rStyle w:val="Hyperlink"/>
            <w:noProof/>
          </w:rPr>
          <w:t>Figure 2: Satellite dish in rural area</w:t>
        </w:r>
        <w:r>
          <w:rPr>
            <w:noProof/>
            <w:webHidden/>
          </w:rPr>
          <w:tab/>
        </w:r>
        <w:r>
          <w:rPr>
            <w:noProof/>
            <w:webHidden/>
          </w:rPr>
          <w:fldChar w:fldCharType="begin"/>
        </w:r>
        <w:r>
          <w:rPr>
            <w:noProof/>
            <w:webHidden/>
          </w:rPr>
          <w:instrText xml:space="preserve"> PAGEREF _Toc51084885 \h </w:instrText>
        </w:r>
        <w:r>
          <w:rPr>
            <w:noProof/>
            <w:webHidden/>
          </w:rPr>
        </w:r>
        <w:r>
          <w:rPr>
            <w:noProof/>
            <w:webHidden/>
          </w:rPr>
          <w:fldChar w:fldCharType="separate"/>
        </w:r>
        <w:r>
          <w:rPr>
            <w:noProof/>
            <w:webHidden/>
          </w:rPr>
          <w:t>22</w:t>
        </w:r>
        <w:r>
          <w:rPr>
            <w:noProof/>
            <w:webHidden/>
          </w:rPr>
          <w:fldChar w:fldCharType="end"/>
        </w:r>
      </w:hyperlink>
    </w:p>
    <w:p w14:paraId="3B31D61C" w14:textId="14BED433" w:rsidR="00D34D70" w:rsidRDefault="00D34D70">
      <w:pPr>
        <w:pStyle w:val="TOC4"/>
        <w:rPr>
          <w:rFonts w:asciiTheme="minorHAnsi" w:eastAsiaTheme="minorEastAsia" w:hAnsiTheme="minorHAnsi"/>
          <w:noProof/>
          <w:sz w:val="22"/>
          <w:lang w:eastAsia="en-AU"/>
        </w:rPr>
      </w:pPr>
      <w:hyperlink w:anchor="_Toc51084886" w:history="1">
        <w:r w:rsidRPr="008068E7">
          <w:rPr>
            <w:rStyle w:val="Hyperlink"/>
            <w:noProof/>
          </w:rPr>
          <w:t>Figure 3: Radiocommunications lens antenna</w:t>
        </w:r>
        <w:r>
          <w:rPr>
            <w:noProof/>
            <w:webHidden/>
          </w:rPr>
          <w:tab/>
        </w:r>
        <w:r>
          <w:rPr>
            <w:noProof/>
            <w:webHidden/>
          </w:rPr>
          <w:fldChar w:fldCharType="begin"/>
        </w:r>
        <w:r>
          <w:rPr>
            <w:noProof/>
            <w:webHidden/>
          </w:rPr>
          <w:instrText xml:space="preserve"> PAGEREF _Toc51084886 \h </w:instrText>
        </w:r>
        <w:r>
          <w:rPr>
            <w:noProof/>
            <w:webHidden/>
          </w:rPr>
        </w:r>
        <w:r>
          <w:rPr>
            <w:noProof/>
            <w:webHidden/>
          </w:rPr>
          <w:fldChar w:fldCharType="separate"/>
        </w:r>
        <w:r>
          <w:rPr>
            <w:noProof/>
            <w:webHidden/>
          </w:rPr>
          <w:t>23</w:t>
        </w:r>
        <w:r>
          <w:rPr>
            <w:noProof/>
            <w:webHidden/>
          </w:rPr>
          <w:fldChar w:fldCharType="end"/>
        </w:r>
      </w:hyperlink>
    </w:p>
    <w:p w14:paraId="01EFC1C6" w14:textId="1DD00354" w:rsidR="00D34D70" w:rsidRDefault="00D34D70">
      <w:pPr>
        <w:pStyle w:val="TOC4"/>
        <w:rPr>
          <w:rFonts w:asciiTheme="minorHAnsi" w:eastAsiaTheme="minorEastAsia" w:hAnsiTheme="minorHAnsi"/>
          <w:noProof/>
          <w:sz w:val="22"/>
          <w:lang w:eastAsia="en-AU"/>
        </w:rPr>
      </w:pPr>
      <w:hyperlink w:anchor="_Toc51084887" w:history="1">
        <w:r w:rsidRPr="008068E7">
          <w:rPr>
            <w:rStyle w:val="Hyperlink"/>
            <w:noProof/>
          </w:rPr>
          <w:t>Figure 4: Slim line pole in Sydney Botanic Gardens, Australia</w:t>
        </w:r>
        <w:r>
          <w:rPr>
            <w:noProof/>
            <w:webHidden/>
          </w:rPr>
          <w:tab/>
        </w:r>
        <w:r>
          <w:rPr>
            <w:noProof/>
            <w:webHidden/>
          </w:rPr>
          <w:fldChar w:fldCharType="begin"/>
        </w:r>
        <w:r>
          <w:rPr>
            <w:noProof/>
            <w:webHidden/>
          </w:rPr>
          <w:instrText xml:space="preserve"> PAGEREF _Toc51084887 \h </w:instrText>
        </w:r>
        <w:r>
          <w:rPr>
            <w:noProof/>
            <w:webHidden/>
          </w:rPr>
        </w:r>
        <w:r>
          <w:rPr>
            <w:noProof/>
            <w:webHidden/>
          </w:rPr>
          <w:fldChar w:fldCharType="separate"/>
        </w:r>
        <w:r>
          <w:rPr>
            <w:noProof/>
            <w:webHidden/>
          </w:rPr>
          <w:t>25</w:t>
        </w:r>
        <w:r>
          <w:rPr>
            <w:noProof/>
            <w:webHidden/>
          </w:rPr>
          <w:fldChar w:fldCharType="end"/>
        </w:r>
      </w:hyperlink>
    </w:p>
    <w:p w14:paraId="65E974FC" w14:textId="773B1A07" w:rsidR="00D34D70" w:rsidRDefault="00D34D70">
      <w:pPr>
        <w:pStyle w:val="TOC4"/>
        <w:rPr>
          <w:rFonts w:asciiTheme="minorHAnsi" w:eastAsiaTheme="minorEastAsia" w:hAnsiTheme="minorHAnsi"/>
          <w:noProof/>
          <w:sz w:val="22"/>
          <w:lang w:eastAsia="en-AU"/>
        </w:rPr>
      </w:pPr>
      <w:hyperlink w:anchor="_Toc51084888" w:history="1">
        <w:r w:rsidRPr="008068E7">
          <w:rPr>
            <w:rStyle w:val="Hyperlink"/>
            <w:noProof/>
          </w:rPr>
          <w:t>Figure 5: Example of co-located facilities</w:t>
        </w:r>
        <w:r>
          <w:rPr>
            <w:noProof/>
            <w:webHidden/>
          </w:rPr>
          <w:tab/>
        </w:r>
        <w:r>
          <w:rPr>
            <w:noProof/>
            <w:webHidden/>
          </w:rPr>
          <w:fldChar w:fldCharType="begin"/>
        </w:r>
        <w:r>
          <w:rPr>
            <w:noProof/>
            <w:webHidden/>
          </w:rPr>
          <w:instrText xml:space="preserve"> PAGEREF _Toc51084888 \h </w:instrText>
        </w:r>
        <w:r>
          <w:rPr>
            <w:noProof/>
            <w:webHidden/>
          </w:rPr>
        </w:r>
        <w:r>
          <w:rPr>
            <w:noProof/>
            <w:webHidden/>
          </w:rPr>
          <w:fldChar w:fldCharType="separate"/>
        </w:r>
        <w:r>
          <w:rPr>
            <w:noProof/>
            <w:webHidden/>
          </w:rPr>
          <w:t>26</w:t>
        </w:r>
        <w:r>
          <w:rPr>
            <w:noProof/>
            <w:webHidden/>
          </w:rPr>
          <w:fldChar w:fldCharType="end"/>
        </w:r>
      </w:hyperlink>
    </w:p>
    <w:p w14:paraId="4839E042" w14:textId="5D9EC973" w:rsidR="00D34D70" w:rsidRDefault="00D34D70">
      <w:pPr>
        <w:pStyle w:val="TOC4"/>
        <w:rPr>
          <w:rFonts w:asciiTheme="minorHAnsi" w:eastAsiaTheme="minorEastAsia" w:hAnsiTheme="minorHAnsi"/>
          <w:noProof/>
          <w:sz w:val="22"/>
          <w:lang w:eastAsia="en-AU"/>
        </w:rPr>
      </w:pPr>
      <w:hyperlink w:anchor="_Toc51084889" w:history="1">
        <w:r w:rsidRPr="008068E7">
          <w:rPr>
            <w:rStyle w:val="Hyperlink"/>
            <w:noProof/>
          </w:rPr>
          <w:t>Glossary of terms</w:t>
        </w:r>
        <w:r>
          <w:rPr>
            <w:noProof/>
            <w:webHidden/>
          </w:rPr>
          <w:tab/>
        </w:r>
        <w:r>
          <w:rPr>
            <w:noProof/>
            <w:webHidden/>
          </w:rPr>
          <w:fldChar w:fldCharType="begin"/>
        </w:r>
        <w:r>
          <w:rPr>
            <w:noProof/>
            <w:webHidden/>
          </w:rPr>
          <w:instrText xml:space="preserve"> PAGEREF _Toc51084889 \h </w:instrText>
        </w:r>
        <w:r>
          <w:rPr>
            <w:noProof/>
            <w:webHidden/>
          </w:rPr>
        </w:r>
        <w:r>
          <w:rPr>
            <w:noProof/>
            <w:webHidden/>
          </w:rPr>
          <w:fldChar w:fldCharType="separate"/>
        </w:r>
        <w:r>
          <w:rPr>
            <w:noProof/>
            <w:webHidden/>
          </w:rPr>
          <w:t>30</w:t>
        </w:r>
        <w:r>
          <w:rPr>
            <w:noProof/>
            <w:webHidden/>
          </w:rPr>
          <w:fldChar w:fldCharType="end"/>
        </w:r>
      </w:hyperlink>
    </w:p>
    <w:p w14:paraId="3E4E216C" w14:textId="54590591" w:rsidR="00A82DAF" w:rsidRDefault="00A82DAF" w:rsidP="00A82DAF">
      <w:r w:rsidRPr="005113AA">
        <w:fldChar w:fldCharType="end"/>
      </w:r>
    </w:p>
    <w:p w14:paraId="5664FF7B" w14:textId="77777777" w:rsidR="002F1A23" w:rsidRDefault="002F1A23" w:rsidP="00E7227D">
      <w:pPr>
        <w:pStyle w:val="Normaldisclaimerpage"/>
        <w:ind w:left="567"/>
        <w:sectPr w:rsidR="002F1A23" w:rsidSect="002F1A23">
          <w:headerReference w:type="even" r:id="rId19"/>
          <w:headerReference w:type="default" r:id="rId20"/>
          <w:headerReference w:type="first" r:id="rId21"/>
          <w:type w:val="continuous"/>
          <w:pgSz w:w="11906" w:h="16838"/>
          <w:pgMar w:top="2268" w:right="991" w:bottom="1276" w:left="1440" w:header="0" w:footer="397" w:gutter="0"/>
          <w:cols w:space="708"/>
          <w:docGrid w:linePitch="360"/>
        </w:sectPr>
      </w:pPr>
    </w:p>
    <w:p w14:paraId="7BA9E3F4" w14:textId="77777777" w:rsidR="00BF78EB" w:rsidRDefault="00BF78EB" w:rsidP="00BF78EB">
      <w:pPr>
        <w:pStyle w:val="Heading2"/>
      </w:pPr>
      <w:bookmarkStart w:id="1" w:name="_Toc45545581"/>
      <w:bookmarkStart w:id="2" w:name="_Toc45642079"/>
      <w:bookmarkStart w:id="3" w:name="_Toc45649095"/>
      <w:bookmarkStart w:id="4" w:name="_Toc45713961"/>
      <w:bookmarkStart w:id="5" w:name="_Toc47090195"/>
      <w:bookmarkStart w:id="6" w:name="_Toc51084817"/>
      <w:r>
        <w:lastRenderedPageBreak/>
        <w:t>Introduction</w:t>
      </w:r>
      <w:bookmarkEnd w:id="1"/>
      <w:bookmarkEnd w:id="2"/>
      <w:bookmarkEnd w:id="3"/>
      <w:bookmarkEnd w:id="4"/>
      <w:bookmarkEnd w:id="5"/>
      <w:bookmarkEnd w:id="6"/>
    </w:p>
    <w:p w14:paraId="3F9AF26A" w14:textId="2841F5A8" w:rsidR="005F6830" w:rsidRDefault="005F6830" w:rsidP="008676BC">
      <w:r w:rsidRPr="00B43EC0">
        <w:t>Telecommunications services play an important and expanding role in how people in the community go about their daily lives and how businesses operate. The Government is committed to Australians having ready access to high-quality, reliable and affordable telecommunications services.</w:t>
      </w:r>
    </w:p>
    <w:p w14:paraId="680C2A29" w14:textId="559A8597" w:rsidR="00A05E58" w:rsidRPr="00B43EC0" w:rsidRDefault="002930A6" w:rsidP="00A05E58">
      <w:r w:rsidRPr="002930A6">
        <w:t xml:space="preserve">Digital connectivity is a key enabler of Australia’s social and economic activity. The mobile and fixed telecommunications networks that provide this connectivity are critical to our lives. Mobile services have long outnumbered fixed services, although fixed services carry greater volumes of data. </w:t>
      </w:r>
      <w:r w:rsidR="00A05E58">
        <w:t>In June 2019, there were 7.82 million fixed-line phone services in operation and approximately 16.4 million Australians had a smartphone.</w:t>
      </w:r>
      <w:r w:rsidR="00AB2610">
        <w:rPr>
          <w:rStyle w:val="FootnoteReference"/>
        </w:rPr>
        <w:footnoteReference w:id="2"/>
      </w:r>
    </w:p>
    <w:p w14:paraId="0579EA6D" w14:textId="4C8C8387" w:rsidR="002930A6" w:rsidRDefault="002930A6" w:rsidP="00A05E58">
      <w:r w:rsidRPr="002930A6">
        <w:lastRenderedPageBreak/>
        <w:t>The direct contribution from the technology sector in Australia is around $69 billion while the broader total contribution from the technology sector is around $122 billion (including both direct and indirect contributions).</w:t>
      </w:r>
      <w:r>
        <w:rPr>
          <w:rStyle w:val="FootnoteReference"/>
        </w:rPr>
        <w:footnoteReference w:id="3"/>
      </w:r>
    </w:p>
    <w:p w14:paraId="23DD9A9E" w14:textId="0D37B5D6" w:rsidR="004D2BEE" w:rsidRDefault="004D2BEE" w:rsidP="004754CB">
      <w:r w:rsidRPr="004D2BEE">
        <w:t>In April 2018, the Department’s Bureau of Communications and Arts Research (BCAR) examined publicly available sources on the likely costs and benefits of 5G in order to model the impact of the technology on productivity and economic growth. Based on this evidence, the BCAR estimated 5G could provide an additional $1,300 to $2,000 in gross domestic product per person after the first decade of the rollout.</w:t>
      </w:r>
      <w:r>
        <w:rPr>
          <w:rStyle w:val="FootnoteReference"/>
        </w:rPr>
        <w:footnoteReference w:id="4"/>
      </w:r>
      <w:r w:rsidR="00C102B1">
        <w:t xml:space="preserve"> </w:t>
      </w:r>
      <w:r w:rsidRPr="004D2BEE">
        <w:t>The sooner 5G networks are deployed, the sooner these economic opportuni</w:t>
      </w:r>
      <w:r w:rsidR="00C102B1">
        <w:t>ties are likely to be realised.</w:t>
      </w:r>
    </w:p>
    <w:p w14:paraId="210B9C9B" w14:textId="77777777" w:rsidR="00533ED6" w:rsidRDefault="004D2BEE" w:rsidP="004D2BEE">
      <w:r>
        <w:lastRenderedPageBreak/>
        <w:t>5G represents a step change in mobile communications, with several characteristics that differentiate it from 4G. In particular, 5G will offer significantly greater capacity and faster data speeds, significantly lower signal latency or delay, and will support much larger numbers of devices in a given area</w:t>
      </w:r>
      <w:r w:rsidR="00533ED6">
        <w:t>.</w:t>
      </w:r>
    </w:p>
    <w:p w14:paraId="759FDE7D" w14:textId="5FFA513E" w:rsidR="004D2BEE" w:rsidRDefault="004D2BEE" w:rsidP="004D2BEE">
      <w:r>
        <w:t>5G also promises better outcomes in terms of spectrum efficiency, energy usage (both in the network and in devices), mobility</w:t>
      </w:r>
      <w:r w:rsidR="00C102B1">
        <w:t xml:space="preserve"> at high speed and reliability.</w:t>
      </w:r>
    </w:p>
    <w:p w14:paraId="5EA39C9D" w14:textId="7A579FF8" w:rsidR="004D2BEE" w:rsidRDefault="004D2BEE" w:rsidP="004754CB">
      <w:r>
        <w:t>It has been designed to deliver greater capabilities to support improved and new applications, not only for the mass market, but also industrial and enterprise users. As such 5G is seen as a general purpose technology that can underpin a range of industrial, agricultural and other commercial applications.</w:t>
      </w:r>
    </w:p>
    <w:p w14:paraId="2D9660C0" w14:textId="0B7CB91C" w:rsidR="00A82BB5" w:rsidRDefault="004754CB" w:rsidP="004754CB">
      <w:r>
        <w:t>The rollout of 5G requires a new wave of infrastructure investment</w:t>
      </w:r>
      <w:r w:rsidR="000C5532">
        <w:t>, the costs of</w:t>
      </w:r>
      <w:r>
        <w:t xml:space="preserve"> which will largely be absorbed by telecommunications carriers. </w:t>
      </w:r>
      <w:r w:rsidR="000C5532" w:rsidRPr="000C5532">
        <w:t>This infrastructure investment will be different to the previous wide scale rollouts of mobile communications and will use a much more diverse r</w:t>
      </w:r>
      <w:r w:rsidR="00C102B1">
        <w:t>ange of technology solutions.</w:t>
      </w:r>
    </w:p>
    <w:p w14:paraId="72ACD5DF" w14:textId="624595AF" w:rsidR="00A82BB5" w:rsidRDefault="003B258E" w:rsidP="00C102B1">
      <w:pPr>
        <w:keepNext/>
        <w:spacing w:after="120"/>
      </w:pPr>
      <w:r>
        <w:lastRenderedPageBreak/>
        <w:t xml:space="preserve">5G </w:t>
      </w:r>
      <w:r w:rsidR="00C1406E">
        <w:t xml:space="preserve">services </w:t>
      </w:r>
      <w:r>
        <w:t>will use</w:t>
      </w:r>
      <w:r w:rsidR="004754CB">
        <w:t xml:space="preserve"> </w:t>
      </w:r>
      <w:r w:rsidR="000C5532">
        <w:t xml:space="preserve">a mix of different frequency bands that include </w:t>
      </w:r>
      <w:r w:rsidR="004754CB">
        <w:t xml:space="preserve">higher frequency bands </w:t>
      </w:r>
      <w:r w:rsidR="000C5532">
        <w:t>with different properties</w:t>
      </w:r>
      <w:r w:rsidR="00A82BB5">
        <w:t>, and different deployment models.</w:t>
      </w:r>
    </w:p>
    <w:p w14:paraId="734FA310" w14:textId="144B16D6" w:rsidR="00A82BB5" w:rsidRDefault="000C5532" w:rsidP="00D242A8">
      <w:pPr>
        <w:pStyle w:val="Listparagraphbullets"/>
      </w:pPr>
      <w:r>
        <w:t>Where high</w:t>
      </w:r>
      <w:r w:rsidRPr="000C5532">
        <w:t xml:space="preserve"> frequency </w:t>
      </w:r>
      <w:r>
        <w:t>bands</w:t>
      </w:r>
      <w:r w:rsidRPr="000C5532">
        <w:t xml:space="preserve"> are used there may be a need to deploy a relatively dense network of equipment to account for its inability to propagate over longer distances. </w:t>
      </w:r>
      <w:r>
        <w:t>Where these frequency bands are used there may be</w:t>
      </w:r>
      <w:r w:rsidR="004754CB">
        <w:t xml:space="preserve"> a greater number of small cells </w:t>
      </w:r>
      <w:r w:rsidR="00A05E58">
        <w:t xml:space="preserve">that </w:t>
      </w:r>
      <w:r w:rsidR="004754CB">
        <w:t>will be deployed in closer proximity to one another in high traffic areas, such as metropolitan areas and CBDs.</w:t>
      </w:r>
    </w:p>
    <w:p w14:paraId="1BC81116" w14:textId="0ECBB55E" w:rsidR="00A82BB5" w:rsidRDefault="000C5532" w:rsidP="00D242A8">
      <w:pPr>
        <w:pStyle w:val="Listparagraphbullets"/>
      </w:pPr>
      <w:r w:rsidRPr="000C5532">
        <w:t xml:space="preserve">Where mid-band spectrum is used there may be deployments more similar to previous generations of mobile networks. </w:t>
      </w:r>
      <w:r>
        <w:t>5G</w:t>
      </w:r>
      <w:r w:rsidR="004754CB">
        <w:t xml:space="preserve"> infrastructure will </w:t>
      </w:r>
      <w:r>
        <w:t xml:space="preserve">work in conjunction with </w:t>
      </w:r>
      <w:r w:rsidR="004754CB">
        <w:t xml:space="preserve">the existing telecommunications network </w:t>
      </w:r>
      <w:r>
        <w:t xml:space="preserve">that already uses </w:t>
      </w:r>
      <w:r w:rsidR="004754CB">
        <w:t xml:space="preserve">a mix of macro cell towers and small cell technologies. </w:t>
      </w:r>
      <w:r w:rsidRPr="000C5532">
        <w:t xml:space="preserve">The design of 5G networks will respond to the demand for telecommunications services as well as the suitability of network architecture for the environment in which it is deployed. </w:t>
      </w:r>
      <w:r>
        <w:t>In</w:t>
      </w:r>
      <w:r w:rsidR="004754CB">
        <w:t xml:space="preserve"> regional areas 5G small cells may be deployed in town centres, but will be supported by </w:t>
      </w:r>
      <w:r w:rsidR="00535636">
        <w:t>macro towers</w:t>
      </w:r>
      <w:r w:rsidR="004754CB">
        <w:t xml:space="preserve"> to make sure sufficient coverage is provided over larger distances. Alternatively, 5G services in metropolitan or suburban areas </w:t>
      </w:r>
      <w:r w:rsidR="00535636">
        <w:t>can use</w:t>
      </w:r>
      <w:r w:rsidR="004754CB">
        <w:t xml:space="preserve"> small cell</w:t>
      </w:r>
      <w:r w:rsidR="00535636">
        <w:t>s</w:t>
      </w:r>
      <w:r w:rsidR="004754CB">
        <w:t xml:space="preserve"> deployed on public infrastructure</w:t>
      </w:r>
      <w:r w:rsidR="00A00F7B">
        <w:t xml:space="preserve"> in a way that reduces vis</w:t>
      </w:r>
      <w:r w:rsidR="00535636">
        <w:t>ual impact</w:t>
      </w:r>
      <w:r w:rsidR="004754CB">
        <w:t>, such as light poles, supp</w:t>
      </w:r>
      <w:r w:rsidR="00D242A8">
        <w:t>orted by 4G and 5G macro cells.</w:t>
      </w:r>
    </w:p>
    <w:p w14:paraId="3287E603" w14:textId="4E218040" w:rsidR="004754CB" w:rsidRDefault="004754CB" w:rsidP="00EE2DD1">
      <w:r>
        <w:lastRenderedPageBreak/>
        <w:t>Backhaul needs will also differ depending on the location of the rollout. For rollouts in metropolitan or suburban areas, backhaul could be provided by fibre networks. However, in regional areas, backhaul could be provided by microwave radiocommunications links making a number of hops before connecting to a fibre network backbone</w:t>
      </w:r>
      <w:r w:rsidR="00535636">
        <w:t xml:space="preserve"> or via satellite</w:t>
      </w:r>
      <w:r>
        <w:t>.</w:t>
      </w:r>
      <w:r w:rsidR="00C25EF4">
        <w:t xml:space="preserve"> </w:t>
      </w:r>
      <w:r w:rsidR="00535636" w:rsidRPr="00535636">
        <w:t>The design of 5G networks has a new range of trade-offs compared to previous generations of mobile technology that will need to be taken into account in network design and configuration.</w:t>
      </w:r>
    </w:p>
    <w:p w14:paraId="215F0317" w14:textId="453FCF72" w:rsidR="00D66491" w:rsidRDefault="007E59C8" w:rsidP="00EE2DD1">
      <w:pPr>
        <w:pStyle w:val="Heading3"/>
      </w:pPr>
      <w:bookmarkStart w:id="7" w:name="_Toc45642080"/>
      <w:bookmarkStart w:id="8" w:name="_Toc45649096"/>
      <w:bookmarkStart w:id="9" w:name="_Toc45713962"/>
      <w:bookmarkStart w:id="10" w:name="_Toc47090196"/>
      <w:bookmarkStart w:id="11" w:name="_Toc51084818"/>
      <w:r>
        <w:t>The</w:t>
      </w:r>
      <w:r w:rsidR="00D66491">
        <w:t xml:space="preserve"> need to </w:t>
      </w:r>
      <w:r>
        <w:t xml:space="preserve">improve </w:t>
      </w:r>
      <w:r w:rsidR="00D66491">
        <w:t>the powers and immunities framework</w:t>
      </w:r>
      <w:bookmarkEnd w:id="7"/>
      <w:bookmarkEnd w:id="8"/>
      <w:bookmarkEnd w:id="9"/>
      <w:bookmarkEnd w:id="10"/>
      <w:bookmarkEnd w:id="11"/>
    </w:p>
    <w:p w14:paraId="146E9FC4" w14:textId="307425FC" w:rsidR="00152C67" w:rsidRDefault="005F6830" w:rsidP="00AA0EBA">
      <w:r w:rsidRPr="00B43EC0">
        <w:t>Since 1997, laws at the Commonwealth level</w:t>
      </w:r>
      <w:r w:rsidRPr="00B43EC0">
        <w:rPr>
          <w:vertAlign w:val="superscript"/>
        </w:rPr>
        <w:footnoteReference w:id="5"/>
      </w:r>
      <w:r w:rsidRPr="00B43EC0">
        <w:t xml:space="preserve"> have allowed carriers to deploy equipment classified as ‘low-impact’ in a nationally consistent way across Australia. These laws are known as the ‘powers and immunities framework’</w:t>
      </w:r>
      <w:r w:rsidR="00C102B1">
        <w:t>.</w:t>
      </w:r>
    </w:p>
    <w:p w14:paraId="1AE5B76D" w14:textId="3A866DC7" w:rsidR="00A05E58" w:rsidRDefault="00084E36" w:rsidP="00084E36">
      <w:r w:rsidRPr="00674864">
        <w:lastRenderedPageBreak/>
        <w:t xml:space="preserve">Powers and immunities are important as they provide a nationally consistent framework for the deployment of </w:t>
      </w:r>
      <w:r>
        <w:t>telecommunications</w:t>
      </w:r>
      <w:r w:rsidRPr="00674864">
        <w:t xml:space="preserve"> facilities that </w:t>
      </w:r>
      <w:r>
        <w:t xml:space="preserve">both reduces cost for carriers and ensures </w:t>
      </w:r>
      <w:r w:rsidR="00A05E58">
        <w:t>carrier powers are used appropriately and lan</w:t>
      </w:r>
      <w:r w:rsidR="00C102B1">
        <w:t>downer interests are protected.</w:t>
      </w:r>
    </w:p>
    <w:p w14:paraId="45277049" w14:textId="651A16FF" w:rsidR="00A05E58" w:rsidRDefault="00A05E58" w:rsidP="00A05E58">
      <w:r>
        <w:t>When rolling out low-impact facilities, carriers have to act in accordance with good engineering practices and interfere as little as practicable with the landowner’s use of the land. Carriers are required to notify landowners and land occupiers if they are planning to undertake upcoming works. This includes telling landowners and occupiers about plans to install telecommunications infrastructure. A notice should be sent at least 10 business days before the carrier starts any activity on the land. Landowners can use the 10 business days to raise concerns with the carrie</w:t>
      </w:r>
      <w:r w:rsidR="00C102B1">
        <w:t>r.</w:t>
      </w:r>
    </w:p>
    <w:p w14:paraId="3A52F0A9" w14:textId="0704A165" w:rsidR="00A05E58" w:rsidRDefault="00A05E58" w:rsidP="00EC0D96">
      <w:pPr>
        <w:keepNext/>
        <w:spacing w:after="120"/>
      </w:pPr>
      <w:r>
        <w:t>Carriers have to advise landholders of</w:t>
      </w:r>
      <w:r w:rsidR="009C0149">
        <w:t>:</w:t>
      </w:r>
    </w:p>
    <w:p w14:paraId="1AE76088" w14:textId="7545F896" w:rsidR="00A05E58" w:rsidRPr="00C102B1" w:rsidRDefault="00A05E58" w:rsidP="00EC0D96">
      <w:pPr>
        <w:pStyle w:val="Listparagraphbullets"/>
        <w:keepNext/>
      </w:pPr>
      <w:r w:rsidRPr="00C102B1">
        <w:t>their right to object</w:t>
      </w:r>
    </w:p>
    <w:p w14:paraId="396F12C7" w14:textId="0C325136" w:rsidR="00A05E58" w:rsidRPr="00C102B1" w:rsidRDefault="00A05E58" w:rsidP="00EC0D96">
      <w:pPr>
        <w:pStyle w:val="Listparagraphbullets"/>
        <w:keepNext/>
      </w:pPr>
      <w:r w:rsidRPr="00C102B1">
        <w:t>the available grounds for objection (for example, the use of the land or the location of the facility on the land)</w:t>
      </w:r>
    </w:p>
    <w:p w14:paraId="7530402B" w14:textId="352CFAF2" w:rsidR="00A05E58" w:rsidRPr="00C102B1" w:rsidRDefault="00A05E58" w:rsidP="00822D4A">
      <w:pPr>
        <w:pStyle w:val="Listparagraphbullets"/>
        <w:keepNext/>
        <w:keepLines/>
      </w:pPr>
      <w:r w:rsidRPr="00C102B1">
        <w:t>the right to have a decision reviewed by the Telecommunication</w:t>
      </w:r>
      <w:r w:rsidR="00822D4A">
        <w:t>s Industry Ombudsman (TIO), and</w:t>
      </w:r>
    </w:p>
    <w:p w14:paraId="5686B24C" w14:textId="2FB1AE58" w:rsidR="00084E36" w:rsidRPr="00C102B1" w:rsidRDefault="00A05E58" w:rsidP="00D242A8">
      <w:pPr>
        <w:pStyle w:val="Listparagraphbullets"/>
      </w:pPr>
      <w:proofErr w:type="gramStart"/>
      <w:r w:rsidRPr="00C102B1">
        <w:t>tim</w:t>
      </w:r>
      <w:r w:rsidR="00822D4A">
        <w:t>eframes</w:t>
      </w:r>
      <w:proofErr w:type="gramEnd"/>
      <w:r w:rsidR="00822D4A">
        <w:t xml:space="preserve"> for lodging objections.</w:t>
      </w:r>
    </w:p>
    <w:p w14:paraId="152993E8" w14:textId="770DB397" w:rsidR="00202C4C" w:rsidRDefault="00202C4C" w:rsidP="00202C4C">
      <w:r>
        <w:lastRenderedPageBreak/>
        <w:t>The powers and immunities framework reduces the costs for carriers, which in the competitive market are passed on to consumers in the form of lower prices and improved services. Equally important, the framework means that carriers are more readily able to provide services in regional and rural Australia, where the costs to provide services would otherwise be prohibitive.</w:t>
      </w:r>
    </w:p>
    <w:p w14:paraId="63AF8C68" w14:textId="5F426872" w:rsidR="00AB2610" w:rsidRDefault="00AB2610" w:rsidP="00202C4C">
      <w:r w:rsidRPr="00AB2610">
        <w:t>Telecommunications are often regarded as a vital input to essential services</w:t>
      </w:r>
      <w:r w:rsidR="00EC0D96">
        <w:t>—</w:t>
      </w:r>
      <w:r w:rsidRPr="00AB2610">
        <w:t>for example, water, electricity and transport. The utilities sector has a long history of using telecommunications to deliver cheaper and more reliable services to the communities they serve.</w:t>
      </w:r>
    </w:p>
    <w:p w14:paraId="34E0637E" w14:textId="77777777" w:rsidR="00533ED6" w:rsidRDefault="007A4696" w:rsidP="00AA0EBA">
      <w:r>
        <w:t>The upcoming scale and level of investment in</w:t>
      </w:r>
      <w:r w:rsidR="004A1BCA">
        <w:t xml:space="preserve"> 5G networks</w:t>
      </w:r>
      <w:r>
        <w:t xml:space="preserve"> requires a review of </w:t>
      </w:r>
      <w:r w:rsidR="00EA2F6B">
        <w:t xml:space="preserve">the </w:t>
      </w:r>
      <w:r w:rsidR="004A1BCA">
        <w:t xml:space="preserve">framework </w:t>
      </w:r>
      <w:r>
        <w:t xml:space="preserve">to ensure it </w:t>
      </w:r>
      <w:r w:rsidR="004A1BCA">
        <w:t xml:space="preserve">is efficient and effective </w:t>
      </w:r>
      <w:r>
        <w:t>in today’s</w:t>
      </w:r>
      <w:r w:rsidR="004A1BCA">
        <w:t xml:space="preserve"> operating environment. </w:t>
      </w:r>
      <w:r w:rsidR="00EA2F6B">
        <w:t>This paper seeks stakeholder feedback on how to balance both deployment and landowner needs</w:t>
      </w:r>
      <w:r w:rsidR="00533ED6">
        <w:t>.</w:t>
      </w:r>
    </w:p>
    <w:p w14:paraId="45EFA4D5" w14:textId="55839B0F" w:rsidR="00152C67" w:rsidRDefault="0043483C" w:rsidP="00AA0EBA">
      <w:r>
        <w:t xml:space="preserve">In 2017, the Government consulted on 24 proposed reforms to the powers and immunities framework requested by mobile carriers and NBN Co. </w:t>
      </w:r>
      <w:r w:rsidR="00152C67">
        <w:t>The reforms sought to:</w:t>
      </w:r>
    </w:p>
    <w:p w14:paraId="734CA44A" w14:textId="3F6398B5" w:rsidR="00152C67" w:rsidRPr="00C102B1" w:rsidRDefault="00152C67" w:rsidP="00D242A8">
      <w:pPr>
        <w:pStyle w:val="Listparagraphbullets"/>
      </w:pPr>
      <w:r w:rsidRPr="00C102B1">
        <w:t>allow some new types of facilities</w:t>
      </w:r>
      <w:r w:rsidR="003855F1" w:rsidRPr="00C102B1">
        <w:t xml:space="preserve"> to be specified as low-impact facilities</w:t>
      </w:r>
      <w:r w:rsidRPr="00C102B1">
        <w:t>,</w:t>
      </w:r>
    </w:p>
    <w:p w14:paraId="790A6D52" w14:textId="4FDADD54" w:rsidR="00152C67" w:rsidRPr="00C102B1" w:rsidRDefault="00152C67" w:rsidP="00D242A8">
      <w:pPr>
        <w:pStyle w:val="Listparagraphbullets"/>
      </w:pPr>
      <w:r w:rsidRPr="00C102B1">
        <w:t>make changes to some existing facility types</w:t>
      </w:r>
      <w:r w:rsidR="003855F1" w:rsidRPr="00C102B1">
        <w:t xml:space="preserve"> subject to the framework</w:t>
      </w:r>
      <w:r w:rsidR="00533ED6">
        <w:t>, and</w:t>
      </w:r>
    </w:p>
    <w:p w14:paraId="5957C42C" w14:textId="2AB3F3CB" w:rsidR="003855F1" w:rsidRPr="00C102B1" w:rsidRDefault="00152C67" w:rsidP="00D242A8">
      <w:pPr>
        <w:pStyle w:val="Listparagraphbullets"/>
      </w:pPr>
      <w:proofErr w:type="gramStart"/>
      <w:r w:rsidRPr="00C102B1">
        <w:t>streamline</w:t>
      </w:r>
      <w:proofErr w:type="gramEnd"/>
      <w:r w:rsidRPr="00C102B1">
        <w:t xml:space="preserve"> land owner no</w:t>
      </w:r>
      <w:r w:rsidR="00533ED6">
        <w:t>tification and objection rules.</w:t>
      </w:r>
    </w:p>
    <w:p w14:paraId="4588476A" w14:textId="1D05B562" w:rsidR="0043483C" w:rsidRDefault="0043483C">
      <w:r>
        <w:lastRenderedPageBreak/>
        <w:t>Of the 24 proposals, the Government at the time implemented 10 reforms in 2018 and agreed to consult further on the remain</w:t>
      </w:r>
      <w:r w:rsidR="00822D4A">
        <w:t>ing reform proposals.</w:t>
      </w:r>
    </w:p>
    <w:p w14:paraId="36A097F9" w14:textId="77777777" w:rsidR="00533ED6" w:rsidRDefault="0043483C">
      <w:r>
        <w:t>To improve the operation of the existing powers and immunities framework, the Department established the Powers and Immunities Reference Group (PIRG), comprised of carriers and property owner stakeholder groups including the Property Council of Australia, the Australian Local Government Association, rail and road authorities, and water and energy utilities</w:t>
      </w:r>
      <w:r w:rsidR="00533ED6">
        <w:t>.</w:t>
      </w:r>
    </w:p>
    <w:p w14:paraId="1D9BA5C2" w14:textId="1F55B8D5" w:rsidR="0043483C" w:rsidRDefault="0043483C">
      <w:r>
        <w:t xml:space="preserve">The Powers and Immunities Reference Group has met eight times since its formation in 2018 and has recommended </w:t>
      </w:r>
      <w:r w:rsidRPr="0069512C">
        <w:t>six</w:t>
      </w:r>
      <w:r>
        <w:t xml:space="preserve"> reforms to the powers and immunities framework</w:t>
      </w:r>
      <w:r w:rsidR="00D66491">
        <w:t xml:space="preserve"> that are included in this paper</w:t>
      </w:r>
      <w:r>
        <w:t>.</w:t>
      </w:r>
    </w:p>
    <w:p w14:paraId="61E56D23" w14:textId="4F6BD39E" w:rsidR="00D66491" w:rsidRDefault="004A1BCA" w:rsidP="00D66491">
      <w:r>
        <w:t xml:space="preserve">In 2019, workshops were held with carriers on proposed improvements to the powers and immunities framework </w:t>
      </w:r>
      <w:r w:rsidR="00D66491">
        <w:t>and resulted in</w:t>
      </w:r>
      <w:r>
        <w:t xml:space="preserve"> </w:t>
      </w:r>
      <w:r w:rsidR="00F7458F">
        <w:t>four</w:t>
      </w:r>
      <w:r>
        <w:t xml:space="preserve"> proposals </w:t>
      </w:r>
      <w:r w:rsidR="00D66491">
        <w:t xml:space="preserve">being nominated </w:t>
      </w:r>
      <w:r>
        <w:t xml:space="preserve">that would benefit network deployments. </w:t>
      </w:r>
      <w:r w:rsidR="00D66491">
        <w:t>These proposals are also included in this paper</w:t>
      </w:r>
      <w:r w:rsidR="00EA2F6B">
        <w:t xml:space="preserve"> for consideration.</w:t>
      </w:r>
    </w:p>
    <w:p w14:paraId="3E92A8CA" w14:textId="54E563E5" w:rsidR="00202C4C" w:rsidRDefault="00202C4C" w:rsidP="00202C4C">
      <w:pPr>
        <w:pStyle w:val="Heading3"/>
      </w:pPr>
      <w:bookmarkStart w:id="12" w:name="_Toc45642081"/>
      <w:bookmarkStart w:id="13" w:name="_Toc45649097"/>
      <w:bookmarkStart w:id="14" w:name="_Toc45713963"/>
      <w:bookmarkStart w:id="15" w:name="_Toc47090197"/>
      <w:bookmarkStart w:id="16" w:name="_Toc51084819"/>
      <w:r>
        <w:t>Ideas presented in this paper</w:t>
      </w:r>
      <w:bookmarkEnd w:id="12"/>
      <w:bookmarkEnd w:id="13"/>
      <w:bookmarkEnd w:id="14"/>
      <w:bookmarkEnd w:id="15"/>
      <w:bookmarkEnd w:id="16"/>
    </w:p>
    <w:p w14:paraId="50237BA9" w14:textId="5CDC497B" w:rsidR="00C25EF4" w:rsidRDefault="00825D9E" w:rsidP="00C25EF4">
      <w:r>
        <w:t>The ideas in this paper have been drawn from the</w:t>
      </w:r>
      <w:r w:rsidR="00C25EF4">
        <w:t xml:space="preserve"> public</w:t>
      </w:r>
      <w:r>
        <w:t xml:space="preserve"> submissions </w:t>
      </w:r>
      <w:r w:rsidR="00C25EF4">
        <w:t>to</w:t>
      </w:r>
      <w:r>
        <w:t xml:space="preserve"> the 2017 consultation process, discussions held at the Powers and Immunities Reference Group and carrier workshops.</w:t>
      </w:r>
    </w:p>
    <w:p w14:paraId="1C45147F" w14:textId="4C56FFDE" w:rsidR="00C25EF4" w:rsidRDefault="00C25EF4" w:rsidP="00C25EF4">
      <w:r>
        <w:lastRenderedPageBreak/>
        <w:t>This paper outlines each reform area</w:t>
      </w:r>
      <w:r w:rsidR="00621B1D">
        <w:t>,</w:t>
      </w:r>
      <w:r>
        <w:t xml:space="preserve"> key issues for consideration and possible implementation approaches. Many of the proposals could be implemented in a variety of ways; ranging from non-regulatory intervention through to legislative change. Your feedback on these reforms is important </w:t>
      </w:r>
      <w:r w:rsidR="009229F0">
        <w:t xml:space="preserve">to </w:t>
      </w:r>
      <w:r>
        <w:t xml:space="preserve">assist Government </w:t>
      </w:r>
      <w:r w:rsidR="009229F0">
        <w:t>in</w:t>
      </w:r>
      <w:r>
        <w:t xml:space="preserve"> consider</w:t>
      </w:r>
      <w:r w:rsidR="009229F0">
        <w:t>ing</w:t>
      </w:r>
      <w:r>
        <w:t xml:space="preserve"> what reforms are required </w:t>
      </w:r>
      <w:r w:rsidR="002749B6">
        <w:t>to achieve</w:t>
      </w:r>
      <w:r>
        <w:t xml:space="preserve"> a powers and immunities framework that meets the need</w:t>
      </w:r>
      <w:r w:rsidR="00621B1D">
        <w:t>s</w:t>
      </w:r>
      <w:r w:rsidR="00822D4A">
        <w:t xml:space="preserve"> of modern Australia.</w:t>
      </w:r>
    </w:p>
    <w:p w14:paraId="07DED44E" w14:textId="6F9CD922" w:rsidR="00535636" w:rsidRDefault="00535636" w:rsidP="00C25EF4">
      <w:r w:rsidRPr="00535636">
        <w:t xml:space="preserve">The Department welcomes your views on these proposals. Each proposal is accompanied by a series of prompt questions to help guide your response. These are not definitive questions and </w:t>
      </w:r>
      <w:r w:rsidR="00A82BB5">
        <w:t>we</w:t>
      </w:r>
      <w:r w:rsidRPr="00535636">
        <w:t xml:space="preserve"> welcome</w:t>
      </w:r>
      <w:r w:rsidR="00A82BB5">
        <w:t xml:space="preserve"> </w:t>
      </w:r>
      <w:r w:rsidRPr="00535636">
        <w:t>views on all aspects you consider relevant to the proposals.</w:t>
      </w:r>
    </w:p>
    <w:p w14:paraId="08592852" w14:textId="332A2824" w:rsidR="00825D9E" w:rsidRDefault="000C5532" w:rsidP="004754CB">
      <w:r>
        <w:t xml:space="preserve">The </w:t>
      </w:r>
      <w:r w:rsidR="00825D9E">
        <w:t>proposals</w:t>
      </w:r>
      <w:r w:rsidR="00C25EF4">
        <w:t xml:space="preserve"> are</w:t>
      </w:r>
      <w:r w:rsidR="00825D9E">
        <w:t xml:space="preserve"> categorised into three themes.</w:t>
      </w:r>
    </w:p>
    <w:p w14:paraId="2AD482EE" w14:textId="2D3BFF4A" w:rsidR="005F6830" w:rsidRDefault="00202C4C" w:rsidP="00C102B1">
      <w:pPr>
        <w:pStyle w:val="Heading2"/>
      </w:pPr>
      <w:bookmarkStart w:id="17" w:name="_Toc47090198"/>
      <w:bookmarkStart w:id="18" w:name="_Toc51084820"/>
      <w:r>
        <w:lastRenderedPageBreak/>
        <w:t>T</w:t>
      </w:r>
      <w:r w:rsidR="00152C67">
        <w:t xml:space="preserve">hemes </w:t>
      </w:r>
      <w:r>
        <w:t>discussed</w:t>
      </w:r>
      <w:r w:rsidR="00152C67">
        <w:t xml:space="preserve"> in </w:t>
      </w:r>
      <w:r w:rsidR="008676BC">
        <w:t>this paper</w:t>
      </w:r>
      <w:bookmarkEnd w:id="17"/>
      <w:bookmarkEnd w:id="18"/>
    </w:p>
    <w:p w14:paraId="35AFAAAB" w14:textId="77777777" w:rsidR="008676BC" w:rsidRDefault="008676BC" w:rsidP="00C102B1">
      <w:pPr>
        <w:pStyle w:val="Heading3"/>
      </w:pPr>
      <w:bookmarkStart w:id="19" w:name="_Toc47090199"/>
      <w:bookmarkStart w:id="20" w:name="_Toc51084821"/>
      <w:r>
        <w:t>Safety and notification</w:t>
      </w:r>
      <w:bookmarkEnd w:id="19"/>
      <w:bookmarkEnd w:id="20"/>
    </w:p>
    <w:p w14:paraId="2F334387" w14:textId="493CA876" w:rsidR="008676BC" w:rsidRDefault="008676BC" w:rsidP="00D242A8">
      <w:pPr>
        <w:pStyle w:val="Listparagraphbullets"/>
      </w:pPr>
      <w:r w:rsidRPr="00C102B1">
        <w:t xml:space="preserve">It is paramount that facilities are installed safely and operate in accordance with best </w:t>
      </w:r>
      <w:r w:rsidR="00697211" w:rsidRPr="00C102B1">
        <w:t xml:space="preserve">safety </w:t>
      </w:r>
      <w:r w:rsidR="00621B1D" w:rsidRPr="00C102B1">
        <w:t>an</w:t>
      </w:r>
      <w:r w:rsidR="002749B6" w:rsidRPr="00C102B1">
        <w:t>d</w:t>
      </w:r>
      <w:r w:rsidR="00621B1D">
        <w:t xml:space="preserve"> engineering </w:t>
      </w:r>
      <w:r>
        <w:t>practice</w:t>
      </w:r>
      <w:r w:rsidR="00621B1D">
        <w:t>s</w:t>
      </w:r>
      <w:r>
        <w:t>.</w:t>
      </w:r>
      <w:r w:rsidR="00C102B1">
        <w:t xml:space="preserve"> </w:t>
      </w:r>
      <w:r w:rsidR="00697211">
        <w:t>Clear notification processes assist in decision making for landowners, the community and carriers. The paper seeks views on how safety and notification processes can be strengthened.</w:t>
      </w:r>
    </w:p>
    <w:p w14:paraId="5CB270FA" w14:textId="77777777" w:rsidR="008676BC" w:rsidRDefault="008676BC" w:rsidP="00C102B1">
      <w:pPr>
        <w:pStyle w:val="Heading3"/>
      </w:pPr>
      <w:bookmarkStart w:id="21" w:name="_Toc47090200"/>
      <w:bookmarkStart w:id="22" w:name="_Toc51084822"/>
      <w:r>
        <w:t>Objections and protections</w:t>
      </w:r>
      <w:bookmarkEnd w:id="21"/>
      <w:bookmarkEnd w:id="22"/>
    </w:p>
    <w:p w14:paraId="0B896180" w14:textId="77777777" w:rsidR="00533ED6" w:rsidRDefault="00697211" w:rsidP="00D242A8">
      <w:pPr>
        <w:pStyle w:val="Listparagraphbullets"/>
      </w:pPr>
      <w:r>
        <w:t xml:space="preserve">The existing framework includes processes for objections and protections. The paper seeks feedback on whether these </w:t>
      </w:r>
      <w:r w:rsidR="008676BC">
        <w:t xml:space="preserve">safeguards </w:t>
      </w:r>
      <w:r>
        <w:t xml:space="preserve">provide the correct balance between </w:t>
      </w:r>
      <w:r w:rsidR="00155DD7">
        <w:t xml:space="preserve">addressing </w:t>
      </w:r>
      <w:r>
        <w:t>community concern</w:t>
      </w:r>
      <w:r w:rsidR="00155DD7">
        <w:t>s</w:t>
      </w:r>
      <w:r>
        <w:t xml:space="preserve"> and </w:t>
      </w:r>
      <w:r w:rsidR="00155DD7">
        <w:t xml:space="preserve">meeting </w:t>
      </w:r>
      <w:r>
        <w:t>deployment needs</w:t>
      </w:r>
      <w:r w:rsidR="00533ED6">
        <w:t>.</w:t>
      </w:r>
    </w:p>
    <w:p w14:paraId="09E33BE3" w14:textId="49F30811" w:rsidR="008676BC" w:rsidRPr="00EE2DD1" w:rsidRDefault="008676BC" w:rsidP="00C102B1">
      <w:pPr>
        <w:pStyle w:val="Heading3"/>
      </w:pPr>
      <w:bookmarkStart w:id="23" w:name="_Toc47090201"/>
      <w:bookmarkStart w:id="24" w:name="_Toc51084823"/>
      <w:r w:rsidRPr="00C102B1">
        <w:rPr>
          <w:rStyle w:val="Heading3Char"/>
        </w:rPr>
        <w:lastRenderedPageBreak/>
        <w:t>Facilitating services in line with community expectations</w:t>
      </w:r>
      <w:r w:rsidR="00F46C9A" w:rsidRPr="00C102B1">
        <w:rPr>
          <w:rStyle w:val="Heading3Char"/>
        </w:rPr>
        <w:t xml:space="preserve"> and to support economic</w:t>
      </w:r>
      <w:r w:rsidR="00F46C9A">
        <w:t xml:space="preserve"> growth</w:t>
      </w:r>
      <w:bookmarkEnd w:id="23"/>
      <w:bookmarkEnd w:id="24"/>
    </w:p>
    <w:p w14:paraId="475EDCDF" w14:textId="5DEC3C56" w:rsidR="00825D9E" w:rsidRDefault="002749B6" w:rsidP="00D242A8">
      <w:pPr>
        <w:pStyle w:val="Listparagraphbullets"/>
      </w:pPr>
      <w:r>
        <w:t>T</w:t>
      </w:r>
      <w:r w:rsidR="00EB5284">
        <w:t xml:space="preserve">elecommunications </w:t>
      </w:r>
      <w:r>
        <w:t xml:space="preserve">services are increasingly critical to </w:t>
      </w:r>
      <w:r w:rsidR="00EB5284">
        <w:t xml:space="preserve">both economic and social </w:t>
      </w:r>
      <w:r w:rsidR="00EB5284" w:rsidRPr="002749B6">
        <w:t>activity.</w:t>
      </w:r>
      <w:r w:rsidR="00FD1A06" w:rsidRPr="002749B6">
        <w:t xml:space="preserve"> </w:t>
      </w:r>
      <w:r w:rsidR="00F46C9A" w:rsidRPr="002749B6">
        <w:t xml:space="preserve">For example, telecommunications services </w:t>
      </w:r>
      <w:r w:rsidR="0019580D">
        <w:t xml:space="preserve">have </w:t>
      </w:r>
      <w:r w:rsidR="00F46C9A" w:rsidRPr="002749B6">
        <w:t>played a</w:t>
      </w:r>
      <w:r>
        <w:t>n important</w:t>
      </w:r>
      <w:r w:rsidR="00F46C9A" w:rsidRPr="002749B6">
        <w:t xml:space="preserve"> role during the COVID-19 pandemic to enable the continued functioning of Australia’s economy with many people working, studying and operating businesses remotely. </w:t>
      </w:r>
      <w:r w:rsidR="00621B1D" w:rsidRPr="002749B6">
        <w:t xml:space="preserve">The paper seeks feedback on proposals to improve coverage and backhaul outcomes to </w:t>
      </w:r>
      <w:r w:rsidR="009229F0" w:rsidRPr="002749B6">
        <w:t>continue providing</w:t>
      </w:r>
      <w:r w:rsidR="009229F0">
        <w:t xml:space="preserve"> the</w:t>
      </w:r>
      <w:r w:rsidR="00621B1D" w:rsidRPr="00EE2DD1">
        <w:t xml:space="preserve"> modern telecommunications services</w:t>
      </w:r>
      <w:r w:rsidR="009229F0">
        <w:t xml:space="preserve"> </w:t>
      </w:r>
      <w:r w:rsidR="00427688">
        <w:t xml:space="preserve">on which </w:t>
      </w:r>
      <w:r w:rsidR="009229F0">
        <w:t>the community relies</w:t>
      </w:r>
      <w:r w:rsidR="00621B1D" w:rsidRPr="00EE2DD1">
        <w:t>.</w:t>
      </w:r>
    </w:p>
    <w:p w14:paraId="4FD0A9ED" w14:textId="5B18133E" w:rsidR="00BA7060" w:rsidRDefault="00E80469" w:rsidP="007E2922">
      <w:pPr>
        <w:pStyle w:val="Tablefigureheading"/>
      </w:pPr>
      <w:bookmarkStart w:id="25" w:name="_Toc45545571"/>
      <w:bookmarkStart w:id="26" w:name="_Toc51084883"/>
      <w:r>
        <w:t xml:space="preserve">Table: </w:t>
      </w:r>
      <w:r w:rsidR="007A2ACA">
        <w:t xml:space="preserve">Summary of </w:t>
      </w:r>
      <w:r w:rsidR="007E59C8">
        <w:t xml:space="preserve">proposals </w:t>
      </w:r>
      <w:r w:rsidR="007A2ACA">
        <w:t xml:space="preserve">presented in this paper, arranged by </w:t>
      </w:r>
      <w:bookmarkEnd w:id="25"/>
      <w:r w:rsidR="007E59C8">
        <w:t>discussion theme</w:t>
      </w:r>
      <w:bookmarkEnd w:id="26"/>
    </w:p>
    <w:tbl>
      <w:tblPr>
        <w:tblStyle w:val="PlainTable1"/>
        <w:tblW w:w="9493" w:type="dxa"/>
        <w:tblLook w:val="04A0" w:firstRow="1" w:lastRow="0" w:firstColumn="1" w:lastColumn="0" w:noHBand="0" w:noVBand="1"/>
        <w:tblDescription w:val="Summary of proposals presented in the paper arranged by discussion theme."/>
      </w:tblPr>
      <w:tblGrid>
        <w:gridCol w:w="3164"/>
        <w:gridCol w:w="3164"/>
        <w:gridCol w:w="3165"/>
      </w:tblGrid>
      <w:tr w:rsidR="00BA7060" w:rsidRPr="00B54D18" w14:paraId="2E8EEB9E" w14:textId="77777777" w:rsidTr="002F4F2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164" w:type="dxa"/>
            <w:shd w:val="clear" w:color="auto" w:fill="D5DCE4"/>
          </w:tcPr>
          <w:p w14:paraId="1313CF3A" w14:textId="77777777" w:rsidR="00BA7060" w:rsidRPr="00217C11" w:rsidRDefault="00BA7060" w:rsidP="002F4F20">
            <w:pPr>
              <w:pStyle w:val="Tablerowcolumnheading"/>
              <w:rPr>
                <w:b/>
              </w:rPr>
            </w:pPr>
            <w:r>
              <w:rPr>
                <w:b/>
              </w:rPr>
              <w:t>Safety and notification</w:t>
            </w:r>
          </w:p>
        </w:tc>
        <w:tc>
          <w:tcPr>
            <w:tcW w:w="3164" w:type="dxa"/>
            <w:shd w:val="clear" w:color="auto" w:fill="D5DCE4"/>
          </w:tcPr>
          <w:p w14:paraId="7A01ADA6" w14:textId="77777777" w:rsidR="00BA7060" w:rsidRPr="00217C11" w:rsidRDefault="00BA7060" w:rsidP="002F4F20">
            <w:pPr>
              <w:pStyle w:val="Tablerowcolumnheading"/>
              <w:cnfStyle w:val="100000000000" w:firstRow="1" w:lastRow="0" w:firstColumn="0" w:lastColumn="0" w:oddVBand="0" w:evenVBand="0" w:oddHBand="0" w:evenHBand="0" w:firstRowFirstColumn="0" w:firstRowLastColumn="0" w:lastRowFirstColumn="0" w:lastRowLastColumn="0"/>
              <w:rPr>
                <w:b/>
              </w:rPr>
            </w:pPr>
            <w:r>
              <w:rPr>
                <w:b/>
              </w:rPr>
              <w:t>Objections and protections</w:t>
            </w:r>
          </w:p>
        </w:tc>
        <w:tc>
          <w:tcPr>
            <w:tcW w:w="3165" w:type="dxa"/>
            <w:shd w:val="clear" w:color="auto" w:fill="D5DCE4"/>
          </w:tcPr>
          <w:p w14:paraId="2D6FA162" w14:textId="77777777" w:rsidR="00BA7060" w:rsidRPr="00217C11" w:rsidRDefault="00BA7060" w:rsidP="002F4F20">
            <w:pPr>
              <w:pStyle w:val="Tablerowcolumnheadingcentred"/>
              <w:jc w:val="left"/>
              <w:cnfStyle w:val="100000000000" w:firstRow="1" w:lastRow="0" w:firstColumn="0" w:lastColumn="0" w:oddVBand="0" w:evenVBand="0" w:oddHBand="0" w:evenHBand="0" w:firstRowFirstColumn="0" w:firstRowLastColumn="0" w:lastRowFirstColumn="0" w:lastRowLastColumn="0"/>
              <w:rPr>
                <w:b/>
              </w:rPr>
            </w:pPr>
            <w:r>
              <w:rPr>
                <w:b/>
              </w:rPr>
              <w:t>Services in line with community expectations</w:t>
            </w:r>
          </w:p>
        </w:tc>
      </w:tr>
      <w:tr w:rsidR="00BA7060" w:rsidRPr="00B54D18" w14:paraId="0862D9DB" w14:textId="77777777" w:rsidTr="002F4F2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4" w:type="dxa"/>
          </w:tcPr>
          <w:p w14:paraId="3BF1DD06" w14:textId="77777777" w:rsidR="00BA7060" w:rsidRPr="00217C11" w:rsidRDefault="00BA7060" w:rsidP="002F4F20">
            <w:pPr>
              <w:pStyle w:val="Tabletext"/>
              <w:rPr>
                <w:b w:val="0"/>
              </w:rPr>
            </w:pPr>
            <w:r>
              <w:rPr>
                <w:b w:val="0"/>
              </w:rPr>
              <w:t>Creation of a primary safety condition</w:t>
            </w:r>
          </w:p>
        </w:tc>
        <w:tc>
          <w:tcPr>
            <w:tcW w:w="3164" w:type="dxa"/>
          </w:tcPr>
          <w:p w14:paraId="48B8F3BD" w14:textId="77777777" w:rsidR="00BA7060" w:rsidRPr="00BA7060" w:rsidRDefault="00BA7060" w:rsidP="002F4F20">
            <w:pPr>
              <w:pStyle w:val="Tabletext"/>
              <w:cnfStyle w:val="000000100000" w:firstRow="0" w:lastRow="0" w:firstColumn="0" w:lastColumn="0" w:oddVBand="0" w:evenVBand="0" w:oddHBand="1" w:evenHBand="0" w:firstRowFirstColumn="0" w:firstRowLastColumn="0" w:lastRowFirstColumn="0" w:lastRowLastColumn="0"/>
            </w:pPr>
            <w:r w:rsidRPr="00BA7060">
              <w:t>Clarifying objections processes for landowners</w:t>
            </w:r>
          </w:p>
        </w:tc>
        <w:tc>
          <w:tcPr>
            <w:tcW w:w="3165" w:type="dxa"/>
          </w:tcPr>
          <w:p w14:paraId="7A6B7B37" w14:textId="77777777" w:rsidR="00BA7060" w:rsidRPr="00BA7060" w:rsidRDefault="00BA7060" w:rsidP="002F4F20">
            <w:pPr>
              <w:pStyle w:val="Tabletext"/>
              <w:cnfStyle w:val="000000100000" w:firstRow="0" w:lastRow="0" w:firstColumn="0" w:lastColumn="0" w:oddVBand="0" w:evenVBand="0" w:oddHBand="1" w:evenHBand="0" w:firstRowFirstColumn="0" w:firstRowLastColumn="0" w:lastRowFirstColumn="0" w:lastRowLastColumn="0"/>
            </w:pPr>
            <w:r w:rsidRPr="00BA7060">
              <w:t>Improving coverage through better facilities, where safe</w:t>
            </w:r>
          </w:p>
        </w:tc>
      </w:tr>
      <w:tr w:rsidR="00BA7060" w:rsidRPr="00B54D18" w14:paraId="41191E12" w14:textId="77777777" w:rsidTr="002F4F20">
        <w:trPr>
          <w:cantSplit/>
        </w:trPr>
        <w:tc>
          <w:tcPr>
            <w:cnfStyle w:val="001000000000" w:firstRow="0" w:lastRow="0" w:firstColumn="1" w:lastColumn="0" w:oddVBand="0" w:evenVBand="0" w:oddHBand="0" w:evenHBand="0" w:firstRowFirstColumn="0" w:firstRowLastColumn="0" w:lastRowFirstColumn="0" w:lastRowLastColumn="0"/>
            <w:tcW w:w="3164" w:type="dxa"/>
          </w:tcPr>
          <w:p w14:paraId="534C5730" w14:textId="77777777" w:rsidR="00BA7060" w:rsidRPr="00217C11" w:rsidRDefault="00BA7060" w:rsidP="002F4F20">
            <w:pPr>
              <w:pStyle w:val="Tabletext"/>
              <w:rPr>
                <w:b w:val="0"/>
              </w:rPr>
            </w:pPr>
            <w:r>
              <w:rPr>
                <w:b w:val="0"/>
              </w:rPr>
              <w:t>Standard notifications across industry</w:t>
            </w:r>
          </w:p>
        </w:tc>
        <w:tc>
          <w:tcPr>
            <w:tcW w:w="3164" w:type="dxa"/>
          </w:tcPr>
          <w:p w14:paraId="32B9A1DB" w14:textId="77777777" w:rsidR="00BA7060" w:rsidRPr="00BA7060" w:rsidRDefault="00BA7060" w:rsidP="002F4F20">
            <w:pPr>
              <w:pStyle w:val="Tabletext"/>
              <w:cnfStyle w:val="000000000000" w:firstRow="0" w:lastRow="0" w:firstColumn="0" w:lastColumn="0" w:oddVBand="0" w:evenVBand="0" w:oddHBand="0" w:evenHBand="0" w:firstRowFirstColumn="0" w:firstRowLastColumn="0" w:lastRowFirstColumn="0" w:lastRowLastColumn="0"/>
            </w:pPr>
            <w:r w:rsidRPr="00BA7060">
              <w:t>Allowing carriers to refer objections to the TIO</w:t>
            </w:r>
          </w:p>
        </w:tc>
        <w:tc>
          <w:tcPr>
            <w:tcW w:w="3165" w:type="dxa"/>
          </w:tcPr>
          <w:p w14:paraId="16832B19" w14:textId="77777777" w:rsidR="00BA7060" w:rsidRPr="00BA7060" w:rsidRDefault="00BA7060" w:rsidP="002F4F20">
            <w:pPr>
              <w:pStyle w:val="Tabletext"/>
              <w:cnfStyle w:val="000000000000" w:firstRow="0" w:lastRow="0" w:firstColumn="0" w:lastColumn="0" w:oddVBand="0" w:evenVBand="0" w:oddHBand="0" w:evenHBand="0" w:firstRowFirstColumn="0" w:firstRowLastColumn="0" w:lastRowFirstColumn="0" w:lastRowLastColumn="0"/>
            </w:pPr>
            <w:r w:rsidRPr="00BA7060">
              <w:t>Improving coverage through tower extensions</w:t>
            </w:r>
          </w:p>
        </w:tc>
      </w:tr>
      <w:tr w:rsidR="0069512C" w:rsidRPr="00B54D18" w14:paraId="1028AC12" w14:textId="77777777" w:rsidTr="002F4F2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4" w:type="dxa"/>
          </w:tcPr>
          <w:p w14:paraId="7BA37705" w14:textId="77777777" w:rsidR="0069512C" w:rsidRDefault="0069512C" w:rsidP="0069512C">
            <w:pPr>
              <w:pStyle w:val="Tabletext"/>
              <w:rPr>
                <w:b w:val="0"/>
              </w:rPr>
            </w:pPr>
            <w:r>
              <w:rPr>
                <w:b w:val="0"/>
              </w:rPr>
              <w:t>Withdrawal of notifications</w:t>
            </w:r>
          </w:p>
        </w:tc>
        <w:tc>
          <w:tcPr>
            <w:tcW w:w="3164" w:type="dxa"/>
          </w:tcPr>
          <w:p w14:paraId="4919FCE4" w14:textId="77777777" w:rsidR="0069512C" w:rsidRPr="00BA7060" w:rsidRDefault="0069512C" w:rsidP="0069512C">
            <w:pPr>
              <w:pStyle w:val="Tabletext"/>
              <w:cnfStyle w:val="000000100000" w:firstRow="0" w:lastRow="0" w:firstColumn="0" w:lastColumn="0" w:oddVBand="0" w:evenVBand="0" w:oddHBand="1" w:evenHBand="0" w:firstRowFirstColumn="0" w:firstRowLastColumn="0" w:lastRowFirstColumn="0" w:lastRowLastColumn="0"/>
            </w:pPr>
            <w:r w:rsidRPr="00BA7060">
              <w:t>Removal of redundant equipment</w:t>
            </w:r>
          </w:p>
        </w:tc>
        <w:tc>
          <w:tcPr>
            <w:tcW w:w="3165" w:type="dxa"/>
          </w:tcPr>
          <w:p w14:paraId="05079D42" w14:textId="3BBACEC1" w:rsidR="0069512C" w:rsidRPr="00BA7060" w:rsidRDefault="0069512C" w:rsidP="0069512C">
            <w:pPr>
              <w:pStyle w:val="Tabletext"/>
              <w:cnfStyle w:val="000000100000" w:firstRow="0" w:lastRow="0" w:firstColumn="0" w:lastColumn="0" w:oddVBand="0" w:evenVBand="0" w:oddHBand="1" w:evenHBand="0" w:firstRowFirstColumn="0" w:firstRowLastColumn="0" w:lastRowFirstColumn="0" w:lastRowLastColumn="0"/>
            </w:pPr>
            <w:r w:rsidRPr="00BA7060">
              <w:t>Allow small cell deployments on poles rather than on utilities</w:t>
            </w:r>
          </w:p>
        </w:tc>
      </w:tr>
      <w:tr w:rsidR="0069512C" w:rsidRPr="00B54D18" w14:paraId="55F05F98" w14:textId="77777777" w:rsidTr="002F4F20">
        <w:trPr>
          <w:cantSplit/>
        </w:trPr>
        <w:tc>
          <w:tcPr>
            <w:cnfStyle w:val="001000000000" w:firstRow="0" w:lastRow="0" w:firstColumn="1" w:lastColumn="0" w:oddVBand="0" w:evenVBand="0" w:oddHBand="0" w:evenHBand="0" w:firstRowFirstColumn="0" w:firstRowLastColumn="0" w:lastRowFirstColumn="0" w:lastRowLastColumn="0"/>
            <w:tcW w:w="3164" w:type="dxa"/>
          </w:tcPr>
          <w:p w14:paraId="035DDFC5" w14:textId="77777777" w:rsidR="0069512C" w:rsidRDefault="0069512C" w:rsidP="0069512C">
            <w:pPr>
              <w:pStyle w:val="Tabletext"/>
              <w:rPr>
                <w:b w:val="0"/>
              </w:rPr>
            </w:pPr>
            <w:r>
              <w:rPr>
                <w:b w:val="0"/>
              </w:rPr>
              <w:t>Requirement for engineering certification</w:t>
            </w:r>
          </w:p>
        </w:tc>
        <w:tc>
          <w:tcPr>
            <w:tcW w:w="3164" w:type="dxa"/>
          </w:tcPr>
          <w:p w14:paraId="435E4901" w14:textId="4909E8A8" w:rsidR="0069512C" w:rsidRPr="00BA7060" w:rsidRDefault="0069512C" w:rsidP="0069512C">
            <w:pPr>
              <w:pStyle w:val="Tabletext"/>
              <w:cnfStyle w:val="000000000000" w:firstRow="0" w:lastRow="0" w:firstColumn="0" w:lastColumn="0" w:oddVBand="0" w:evenVBand="0" w:oddHBand="0" w:evenHBand="0" w:firstRowFirstColumn="0" w:firstRowLastColumn="0" w:lastRowFirstColumn="0" w:lastRowLastColumn="0"/>
            </w:pPr>
          </w:p>
        </w:tc>
        <w:tc>
          <w:tcPr>
            <w:tcW w:w="3165" w:type="dxa"/>
          </w:tcPr>
          <w:p w14:paraId="13238D4C" w14:textId="089A9DE7" w:rsidR="0069512C" w:rsidRPr="00BA7060" w:rsidRDefault="0069512C" w:rsidP="0069512C">
            <w:pPr>
              <w:pStyle w:val="Tabletext"/>
              <w:cnfStyle w:val="000000000000" w:firstRow="0" w:lastRow="0" w:firstColumn="0" w:lastColumn="0" w:oddVBand="0" w:evenVBand="0" w:oddHBand="0" w:evenHBand="0" w:firstRowFirstColumn="0" w:firstRowLastColumn="0" w:lastRowFirstColumn="0" w:lastRowLastColumn="0"/>
            </w:pPr>
            <w:r w:rsidRPr="00BA7060">
              <w:t>Encourage co-location of facilities</w:t>
            </w:r>
          </w:p>
        </w:tc>
      </w:tr>
      <w:tr w:rsidR="0069512C" w:rsidRPr="00B54D18" w14:paraId="738CBB8A" w14:textId="77777777" w:rsidTr="002F4F2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164" w:type="dxa"/>
          </w:tcPr>
          <w:p w14:paraId="019032E6" w14:textId="77777777" w:rsidR="0069512C" w:rsidRDefault="0069512C" w:rsidP="0069512C">
            <w:pPr>
              <w:pStyle w:val="Tabletext"/>
              <w:rPr>
                <w:b w:val="0"/>
              </w:rPr>
            </w:pPr>
            <w:r>
              <w:rPr>
                <w:b w:val="0"/>
              </w:rPr>
              <w:lastRenderedPageBreak/>
              <w:t>Extension of notification timeframes</w:t>
            </w:r>
          </w:p>
        </w:tc>
        <w:tc>
          <w:tcPr>
            <w:tcW w:w="3164" w:type="dxa"/>
          </w:tcPr>
          <w:p w14:paraId="13FD4B84" w14:textId="77777777" w:rsidR="0069512C" w:rsidRPr="00BA7060" w:rsidRDefault="0069512C" w:rsidP="0069512C">
            <w:pPr>
              <w:pStyle w:val="Tabletext"/>
              <w:cnfStyle w:val="000000100000" w:firstRow="0" w:lastRow="0" w:firstColumn="0" w:lastColumn="0" w:oddVBand="0" w:evenVBand="0" w:oddHBand="1" w:evenHBand="0" w:firstRowFirstColumn="0" w:firstRowLastColumn="0" w:lastRowFirstColumn="0" w:lastRowLastColumn="0"/>
            </w:pPr>
          </w:p>
        </w:tc>
        <w:tc>
          <w:tcPr>
            <w:tcW w:w="3165" w:type="dxa"/>
          </w:tcPr>
          <w:p w14:paraId="7746D600" w14:textId="0E3932F1" w:rsidR="0069512C" w:rsidRPr="00BA7060" w:rsidRDefault="0069512C" w:rsidP="0069512C">
            <w:pPr>
              <w:pStyle w:val="Tabletext"/>
              <w:cnfStyle w:val="000000100000" w:firstRow="0" w:lastRow="0" w:firstColumn="0" w:lastColumn="0" w:oddVBand="0" w:evenVBand="0" w:oddHBand="1" w:evenHBand="0" w:firstRowFirstColumn="0" w:firstRowLastColumn="0" w:lastRowFirstColumn="0" w:lastRowLastColumn="0"/>
            </w:pPr>
          </w:p>
        </w:tc>
      </w:tr>
    </w:tbl>
    <w:p w14:paraId="34530B3A" w14:textId="1AE807FD" w:rsidR="00535636" w:rsidRPr="00221B40" w:rsidRDefault="00221B40" w:rsidP="00221B40">
      <w:pPr>
        <w:pStyle w:val="Heading3"/>
      </w:pPr>
      <w:bookmarkStart w:id="27" w:name="_Toc45713964"/>
      <w:bookmarkStart w:id="28" w:name="_Toc47090202"/>
      <w:bookmarkStart w:id="29" w:name="_Toc45545583"/>
      <w:bookmarkStart w:id="30" w:name="_Toc45642082"/>
      <w:bookmarkStart w:id="31" w:name="_Toc45649098"/>
      <w:bookmarkStart w:id="32" w:name="_Toc51084824"/>
      <w:r w:rsidRPr="00221B40">
        <w:t>The consultation process</w:t>
      </w:r>
      <w:bookmarkEnd w:id="27"/>
      <w:bookmarkEnd w:id="28"/>
      <w:bookmarkEnd w:id="32"/>
    </w:p>
    <w:p w14:paraId="60C17046" w14:textId="77777777" w:rsidR="00221B40" w:rsidRDefault="00221B40" w:rsidP="00822D4A">
      <w:pPr>
        <w:keepNext/>
      </w:pPr>
      <w:r>
        <w:t>The Department welcomes your views on these proposals. Each proposal is accompanied by a series of prompt questions to help guide your response. These are not definitive questions and the Department welcomes views on all aspects you consider relevant to the proposals.</w:t>
      </w:r>
    </w:p>
    <w:p w14:paraId="18BE9E8D" w14:textId="662FEBCD" w:rsidR="00221B40" w:rsidRDefault="00221B40" w:rsidP="00C102B1">
      <w:pPr>
        <w:keepNext/>
        <w:keepLines/>
      </w:pPr>
      <w:r>
        <w:t xml:space="preserve">The Department would welcome written submissions on the proposals outlined in this paper and is available to meet with stakeholders to discuss the proposals. Instructions on how to make a submission are provided at the end of this paper. If you have any questions on the proposals set out in this paper or the consultation process, or would like to arrange a meeting with the Department, please send an email to </w:t>
      </w:r>
      <w:hyperlink r:id="rId22" w:history="1">
        <w:r w:rsidRPr="00FB0416">
          <w:rPr>
            <w:rStyle w:val="Hyperlink"/>
          </w:rPr>
          <w:t>powersandimmunities@communications.gov.au</w:t>
        </w:r>
      </w:hyperlink>
      <w:r>
        <w:t xml:space="preserve"> or contact:</w:t>
      </w:r>
    </w:p>
    <w:p w14:paraId="63D552F9" w14:textId="77777777" w:rsidR="00221B40" w:rsidRDefault="00221B40" w:rsidP="00A57165">
      <w:pPr>
        <w:spacing w:after="0"/>
        <w:ind w:left="567"/>
      </w:pPr>
      <w:r>
        <w:t>Rachel Blackwood</w:t>
      </w:r>
    </w:p>
    <w:p w14:paraId="09DD0CCD" w14:textId="4C8C9956" w:rsidR="00221B40" w:rsidRDefault="00221B40" w:rsidP="00A57165">
      <w:pPr>
        <w:spacing w:after="0"/>
        <w:ind w:left="567"/>
      </w:pPr>
      <w:r>
        <w:t>Assistant Secretary</w:t>
      </w:r>
    </w:p>
    <w:p w14:paraId="0040CEFF" w14:textId="4D41B886" w:rsidR="00221B40" w:rsidRDefault="00221B40" w:rsidP="00A57165">
      <w:pPr>
        <w:spacing w:after="0"/>
        <w:ind w:left="567"/>
      </w:pPr>
      <w:r>
        <w:t>Spectrum &amp; Telecommunications Deployment Branch</w:t>
      </w:r>
    </w:p>
    <w:p w14:paraId="5151BACB" w14:textId="77777777" w:rsidR="00221B40" w:rsidRDefault="00221B40" w:rsidP="00A57165">
      <w:pPr>
        <w:spacing w:after="0"/>
        <w:ind w:left="567"/>
      </w:pPr>
      <w:r>
        <w:lastRenderedPageBreak/>
        <w:t>Department of Infrastructure, Transport, Regional Development and Communications</w:t>
      </w:r>
    </w:p>
    <w:p w14:paraId="4154E553" w14:textId="4777D364" w:rsidR="00221B40" w:rsidRPr="00221B40" w:rsidRDefault="00221B40" w:rsidP="00A57165">
      <w:pPr>
        <w:spacing w:after="0"/>
        <w:ind w:left="567"/>
      </w:pPr>
      <w:r>
        <w:t>Telephone (02) 6271 1591</w:t>
      </w:r>
    </w:p>
    <w:p w14:paraId="3DBB2C3F" w14:textId="0BA27969" w:rsidR="00BF78EB" w:rsidRDefault="00BF78EB" w:rsidP="00C102B1">
      <w:pPr>
        <w:pStyle w:val="Heading2"/>
        <w:pageBreakBefore/>
        <w:numPr>
          <w:ilvl w:val="0"/>
          <w:numId w:val="30"/>
        </w:numPr>
      </w:pPr>
      <w:bookmarkStart w:id="33" w:name="_Toc45706766"/>
      <w:bookmarkStart w:id="34" w:name="_Toc45707797"/>
      <w:bookmarkStart w:id="35" w:name="_Toc45709044"/>
      <w:bookmarkStart w:id="36" w:name="_Toc45709616"/>
      <w:bookmarkStart w:id="37" w:name="_Toc45712976"/>
      <w:bookmarkStart w:id="38" w:name="_Toc45712967"/>
      <w:bookmarkStart w:id="39" w:name="_Toc45713015"/>
      <w:bookmarkStart w:id="40" w:name="_Toc45713728"/>
      <w:bookmarkStart w:id="41" w:name="_Toc45713887"/>
      <w:bookmarkStart w:id="42" w:name="_Toc45713007"/>
      <w:bookmarkStart w:id="43" w:name="_Toc45713159"/>
      <w:bookmarkStart w:id="44" w:name="_Toc45713767"/>
      <w:bookmarkStart w:id="45" w:name="_Toc45713926"/>
      <w:bookmarkStart w:id="46" w:name="_Toc45713965"/>
      <w:bookmarkStart w:id="47" w:name="_Toc45714004"/>
      <w:bookmarkStart w:id="48" w:name="_Toc45706772"/>
      <w:bookmarkStart w:id="49" w:name="_Toc45707803"/>
      <w:bookmarkStart w:id="50" w:name="_Toc45709050"/>
      <w:bookmarkStart w:id="51" w:name="_Toc45709622"/>
      <w:bookmarkStart w:id="52" w:name="_Toc45713734"/>
      <w:bookmarkStart w:id="53" w:name="_Toc45713893"/>
      <w:bookmarkStart w:id="54" w:name="_Toc45713165"/>
      <w:bookmarkStart w:id="55" w:name="_Toc45713773"/>
      <w:bookmarkStart w:id="56" w:name="_Toc45713932"/>
      <w:bookmarkStart w:id="57" w:name="_Toc45713971"/>
      <w:bookmarkStart w:id="58" w:name="_Toc45714010"/>
      <w:bookmarkStart w:id="59" w:name="_Toc45545584"/>
      <w:bookmarkStart w:id="60" w:name="_Toc45642083"/>
      <w:bookmarkStart w:id="61" w:name="_Toc45649099"/>
      <w:bookmarkStart w:id="62" w:name="_Toc45713977"/>
      <w:bookmarkStart w:id="63" w:name="_Toc47090203"/>
      <w:bookmarkStart w:id="64" w:name="_Toc51084825"/>
      <w:bookmarkEnd w:id="29"/>
      <w:bookmarkEnd w:id="30"/>
      <w:bookmarkEnd w:id="31"/>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lastRenderedPageBreak/>
        <w:t>Safety and notification</w:t>
      </w:r>
      <w:bookmarkEnd w:id="59"/>
      <w:bookmarkEnd w:id="60"/>
      <w:bookmarkEnd w:id="61"/>
      <w:bookmarkEnd w:id="62"/>
      <w:bookmarkEnd w:id="63"/>
      <w:bookmarkEnd w:id="64"/>
    </w:p>
    <w:p w14:paraId="2A0F348E" w14:textId="7F728CF4" w:rsidR="00485B75" w:rsidRDefault="00163505" w:rsidP="007E2922">
      <w:r w:rsidRPr="007E2922">
        <w:t xml:space="preserve">Stakeholders who interact frequently with the </w:t>
      </w:r>
      <w:r w:rsidR="00485B75" w:rsidRPr="00163505">
        <w:t xml:space="preserve">powers and immunities framework </w:t>
      </w:r>
      <w:r>
        <w:t>include</w:t>
      </w:r>
      <w:r w:rsidR="00485B75" w:rsidRPr="00163505">
        <w:t xml:space="preserve"> larger landowners, such as public utilities, road authorities and local governments. The proposals set out in this section of the paper are intended to address the concerns of larger landowners while also clarifying the framework for smaller landowners, including residential landowners, who may be </w:t>
      </w:r>
      <w:r>
        <w:t xml:space="preserve">less </w:t>
      </w:r>
      <w:r w:rsidR="00485B75" w:rsidRPr="00163505">
        <w:t>frequently impacted.</w:t>
      </w:r>
    </w:p>
    <w:p w14:paraId="0BBB4D97" w14:textId="77777777" w:rsidR="00533ED6" w:rsidRDefault="002F4F20" w:rsidP="00BF78EB">
      <w:r>
        <w:t>It is paramount that facilities are installed safely and operated in accordance with best practice.</w:t>
      </w:r>
      <w:r w:rsidR="00C102B1">
        <w:t xml:space="preserve"> </w:t>
      </w:r>
      <w:r w:rsidR="00C25EF4">
        <w:t>This was a strong theme in submissions to the 2017 consultation process and has been reinforced in subsequent workshops with stakeholders</w:t>
      </w:r>
      <w:r w:rsidR="00533ED6">
        <w:t>.</w:t>
      </w:r>
    </w:p>
    <w:p w14:paraId="442726E1" w14:textId="2B862F20" w:rsidR="00F81FE2" w:rsidRDefault="00163505" w:rsidP="00F81FE2">
      <w:r>
        <w:t>I</w:t>
      </w:r>
      <w:r w:rsidR="00F81FE2">
        <w:t>n this paper, safety is referr</w:t>
      </w:r>
      <w:r w:rsidR="009C0149">
        <w:t>ed to in the following context:</w:t>
      </w:r>
    </w:p>
    <w:p w14:paraId="2D0B698B" w14:textId="0BBF1FF9" w:rsidR="00F81FE2" w:rsidRDefault="00F81FE2" w:rsidP="00D242A8">
      <w:pPr>
        <w:pStyle w:val="Listparagraphbullets"/>
      </w:pPr>
      <w:r>
        <w:t>compliance with engineeri</w:t>
      </w:r>
      <w:r w:rsidR="009C0149">
        <w:t>ng standards and practices, and</w:t>
      </w:r>
    </w:p>
    <w:p w14:paraId="29DCD13D" w14:textId="437954D4" w:rsidR="00F81FE2" w:rsidRDefault="00F81FE2" w:rsidP="00D242A8">
      <w:pPr>
        <w:pStyle w:val="Listparagraphbullets"/>
      </w:pPr>
      <w:proofErr w:type="gramStart"/>
      <w:r>
        <w:t>ensuring</w:t>
      </w:r>
      <w:proofErr w:type="gramEnd"/>
      <w:r>
        <w:t xml:space="preserve"> the structural integrity of infrastructure or assets that telecommunications equipment may be installed on.</w:t>
      </w:r>
    </w:p>
    <w:p w14:paraId="28E751F5" w14:textId="6029EBBE" w:rsidR="00485B75" w:rsidRDefault="00485B75" w:rsidP="00F81FE2">
      <w:r>
        <w:lastRenderedPageBreak/>
        <w:t xml:space="preserve">Issues related to potential health and safety of electromagnetic energy (EME) emitted by telecommunications installations are </w:t>
      </w:r>
      <w:r w:rsidR="00163505">
        <w:t>outside the scope of</w:t>
      </w:r>
      <w:r>
        <w:t xml:space="preserve"> this paper. There is a separate work program being undertaken in relati</w:t>
      </w:r>
      <w:r w:rsidR="00C102B1">
        <w:t>on to EME.</w:t>
      </w:r>
    </w:p>
    <w:p w14:paraId="20B81E36" w14:textId="49E91A45" w:rsidR="00F81FE2" w:rsidRDefault="00485B75" w:rsidP="00F81FE2">
      <w:r>
        <w:t>In December 2019, the Government</w:t>
      </w:r>
      <w:r w:rsidRPr="00485B75">
        <w:t xml:space="preserve"> announced a program to provide more accessible information to the community about, and more research into, EME from telecommunications facilities. With this funding, the Australian Radiation Protection and Nuclear Safety Agency (ARPANSA) will deliver targeted research and measurement studies. </w:t>
      </w:r>
      <w:r w:rsidR="00AB2610">
        <w:t xml:space="preserve">The Department of Infrastructure, Transport, Regional Development and Communications </w:t>
      </w:r>
      <w:r w:rsidR="00D82FB5">
        <w:t>is responsible for the delivery of clear and accessible</w:t>
      </w:r>
      <w:r w:rsidRPr="00485B75">
        <w:t xml:space="preserve"> information for the public about EME from telecommunications technologies.</w:t>
      </w:r>
      <w:r w:rsidR="00AB2610">
        <w:rPr>
          <w:rStyle w:val="FootnoteReference"/>
        </w:rPr>
        <w:footnoteReference w:id="6"/>
      </w:r>
    </w:p>
    <w:p w14:paraId="3C6A30BC" w14:textId="3AFFF15F" w:rsidR="00BF78EB" w:rsidRDefault="005F6830" w:rsidP="00431998">
      <w:pPr>
        <w:pStyle w:val="Heading3"/>
        <w:numPr>
          <w:ilvl w:val="0"/>
          <w:numId w:val="9"/>
        </w:numPr>
      </w:pPr>
      <w:bookmarkStart w:id="65" w:name="_Toc45545585"/>
      <w:bookmarkStart w:id="66" w:name="_Toc45642084"/>
      <w:bookmarkStart w:id="67" w:name="_Toc45649100"/>
      <w:bookmarkStart w:id="68" w:name="_Toc45713978"/>
      <w:bookmarkStart w:id="69" w:name="_Toc47090204"/>
      <w:bookmarkStart w:id="70" w:name="_Toc51084826"/>
      <w:r>
        <w:lastRenderedPageBreak/>
        <w:t>Creation of a primary safety condition</w:t>
      </w:r>
      <w:bookmarkEnd w:id="65"/>
      <w:bookmarkEnd w:id="66"/>
      <w:bookmarkEnd w:id="67"/>
      <w:bookmarkEnd w:id="68"/>
      <w:bookmarkEnd w:id="69"/>
      <w:bookmarkEnd w:id="70"/>
    </w:p>
    <w:p w14:paraId="50DC60B5" w14:textId="77777777" w:rsidR="002F4F20" w:rsidRDefault="002F4F20" w:rsidP="00C102B1">
      <w:pPr>
        <w:pStyle w:val="Heading4"/>
      </w:pPr>
      <w:bookmarkStart w:id="71" w:name="_Toc47090205"/>
      <w:bookmarkStart w:id="72" w:name="_Toc51084827"/>
      <w:r>
        <w:t>Issue</w:t>
      </w:r>
      <w:bookmarkEnd w:id="71"/>
      <w:bookmarkEnd w:id="72"/>
    </w:p>
    <w:p w14:paraId="24DF7AC2" w14:textId="3A032739" w:rsidR="008411FB" w:rsidRDefault="008411FB" w:rsidP="003C7E70">
      <w:r>
        <w:t>The powers and immunity framework gives a carrier</w:t>
      </w:r>
      <w:r w:rsidRPr="008411FB">
        <w:t xml:space="preserve"> rights to install certain kinds of ‘facility’ on another person’s land and exemption from compliance with relevant State or Territory planning laws</w:t>
      </w:r>
      <w:r>
        <w:t>. This means the consent of the landowner</w:t>
      </w:r>
      <w:r w:rsidR="00AB2610">
        <w:t xml:space="preserve"> (</w:t>
      </w:r>
      <w:r w:rsidR="00C02163">
        <w:t>who could be a utility owner</w:t>
      </w:r>
      <w:r w:rsidR="00AB2610">
        <w:t>)</w:t>
      </w:r>
      <w:r>
        <w:t xml:space="preserve"> </w:t>
      </w:r>
      <w:r w:rsidR="002173DD">
        <w:t>is not needed</w:t>
      </w:r>
      <w:r w:rsidR="00C02163">
        <w:t>, which</w:t>
      </w:r>
      <w:r w:rsidR="002173DD">
        <w:t xml:space="preserve"> can create concern that safe</w:t>
      </w:r>
      <w:r w:rsidR="00C102B1">
        <w:t>ty obligations will not be met.</w:t>
      </w:r>
    </w:p>
    <w:p w14:paraId="27AB57E7" w14:textId="77777777" w:rsidR="00533ED6" w:rsidRDefault="002173DD" w:rsidP="003C7E70">
      <w:r>
        <w:t>Within the current framework, c</w:t>
      </w:r>
      <w:r w:rsidR="002F4F20">
        <w:t xml:space="preserve">arriers are subject to a number of existing safety obligations. </w:t>
      </w:r>
      <w:r w:rsidR="003C7E70">
        <w:t xml:space="preserve">Reasonable safety measures, in line with expert advice, should be in place for any activity undertaken by a carrier. </w:t>
      </w:r>
      <w:r w:rsidR="002F4F20">
        <w:t xml:space="preserve">There are existing provisions in the powers and immunities framework that require carriers to ensure installations </w:t>
      </w:r>
      <w:r w:rsidR="006A36AE">
        <w:t xml:space="preserve">do as little damage as practicable, </w:t>
      </w:r>
      <w:r w:rsidR="002F4F20">
        <w:t>comply with good engineering practice</w:t>
      </w:r>
      <w:r w:rsidR="006A36AE">
        <w:t xml:space="preserve">, interfere as little as possible with the operations of public utilities, roads, traffic and the use of the land, and complies with industry standards recognised by the Australian Communications and Media Authority </w:t>
      </w:r>
      <w:r w:rsidR="006A36AE">
        <w:lastRenderedPageBreak/>
        <w:t>(ACMA)</w:t>
      </w:r>
      <w:r w:rsidR="002F4F20">
        <w:t>.</w:t>
      </w:r>
      <w:r w:rsidR="006A36AE">
        <w:rPr>
          <w:rStyle w:val="FootnoteReference"/>
        </w:rPr>
        <w:footnoteReference w:id="7"/>
      </w:r>
      <w:r w:rsidR="002F4F20">
        <w:t xml:space="preserve"> It is also the case that carriers must comply with the occupational health and safety legislation in each state and territory, and that carriers can also be found negligent under common law</w:t>
      </w:r>
      <w:r w:rsidR="00533ED6">
        <w:t>.</w:t>
      </w:r>
    </w:p>
    <w:p w14:paraId="68C29152" w14:textId="2B9C5666" w:rsidR="003C7E70" w:rsidRDefault="003C7E70" w:rsidP="003C7E70">
      <w:r>
        <w:t>It is important that equipment is deployed in a safe way</w:t>
      </w:r>
      <w:r w:rsidR="00D04CA4">
        <w:t xml:space="preserve">. </w:t>
      </w:r>
      <w:r>
        <w:t>It is particularly important that carriers deploy facilities</w:t>
      </w:r>
      <w:r w:rsidR="00D04CA4">
        <w:t xml:space="preserve"> in a way that does</w:t>
      </w:r>
      <w:r>
        <w:t xml:space="preserve"> not interfere with the operation of essential utilities. These services need to operate in tandem to produce the greatest benefit to the community.</w:t>
      </w:r>
    </w:p>
    <w:p w14:paraId="43BDE529" w14:textId="77777777" w:rsidR="002F4F20" w:rsidRDefault="002F4F20" w:rsidP="00C102B1">
      <w:pPr>
        <w:pStyle w:val="Heading4"/>
      </w:pPr>
      <w:bookmarkStart w:id="73" w:name="_Toc47090206"/>
      <w:bookmarkStart w:id="74" w:name="_Toc51084828"/>
      <w:r>
        <w:t>Proposal</w:t>
      </w:r>
      <w:bookmarkEnd w:id="73"/>
      <w:bookmarkEnd w:id="74"/>
    </w:p>
    <w:p w14:paraId="670D2E88" w14:textId="31134705" w:rsidR="002F4F20" w:rsidRDefault="00830038" w:rsidP="002F4F20">
      <w:r>
        <w:t xml:space="preserve">We seek your views on whether a </w:t>
      </w:r>
      <w:r w:rsidR="002F4F20">
        <w:t xml:space="preserve">new section outlining a primary safety condition </w:t>
      </w:r>
      <w:r w:rsidR="003C7E70">
        <w:t xml:space="preserve">could </w:t>
      </w:r>
      <w:r w:rsidR="002F4F20">
        <w:t xml:space="preserve">be added to the Code of Practice to make clear, </w:t>
      </w:r>
      <w:r w:rsidR="00D04CA4">
        <w:t xml:space="preserve">and </w:t>
      </w:r>
      <w:r w:rsidR="002F4F20">
        <w:t xml:space="preserve">reaffirm, that safety </w:t>
      </w:r>
      <w:r w:rsidR="003C7E70">
        <w:t xml:space="preserve">of telecommunications installations </w:t>
      </w:r>
      <w:r w:rsidR="002F4F20">
        <w:t xml:space="preserve">is paramount. </w:t>
      </w:r>
      <w:r w:rsidR="00284EC0">
        <w:t>As discussed above, the focus would be on maintaining the structural integrity of infrastructure or assets on which telecommunications equipment may be installed. For example, t</w:t>
      </w:r>
      <w:r w:rsidR="002F4F20">
        <w:t xml:space="preserve">he proposed primary condition </w:t>
      </w:r>
      <w:r w:rsidR="003C7E70">
        <w:t>c</w:t>
      </w:r>
      <w:r w:rsidR="002F4F20">
        <w:t>ould:</w:t>
      </w:r>
    </w:p>
    <w:p w14:paraId="7FBF1309" w14:textId="77777777" w:rsidR="002F4F20" w:rsidRDefault="002F4F20" w:rsidP="00D242A8">
      <w:pPr>
        <w:pStyle w:val="Listparagraphbullets"/>
      </w:pPr>
      <w:r>
        <w:t>make more explicit the existing safety obligations carriers must comply with,</w:t>
      </w:r>
    </w:p>
    <w:p w14:paraId="604A353B" w14:textId="77777777" w:rsidR="002F4F20" w:rsidRDefault="002F4F20" w:rsidP="00D242A8">
      <w:pPr>
        <w:pStyle w:val="Listparagraphbullets"/>
      </w:pPr>
      <w:r>
        <w:lastRenderedPageBreak/>
        <w:t>apply to other areas of the Code of Practice, such as in agreements between carriers and public utilities regarding inspection, installation and maintenance activities, and</w:t>
      </w:r>
    </w:p>
    <w:p w14:paraId="19E9071B" w14:textId="66E27328" w:rsidR="002F4F20" w:rsidRDefault="002F4F20" w:rsidP="00D242A8">
      <w:pPr>
        <w:pStyle w:val="Listparagraphbullets"/>
      </w:pPr>
      <w:proofErr w:type="gramStart"/>
      <w:r>
        <w:t>reinforce</w:t>
      </w:r>
      <w:proofErr w:type="gramEnd"/>
      <w:r>
        <w:t xml:space="preserve"> the need for carriers to comply with standards, including industry standards</w:t>
      </w:r>
      <w:r w:rsidR="00284EC0">
        <w:t xml:space="preserve"> and codes registered by the ACMA under Part 6 of the Act</w:t>
      </w:r>
      <w:r>
        <w:t>.</w:t>
      </w:r>
    </w:p>
    <w:p w14:paraId="1BC25527" w14:textId="79B8C414" w:rsidR="005F6830" w:rsidRDefault="003C7E70" w:rsidP="002F4F20">
      <w:r>
        <w:t>I</w:t>
      </w:r>
      <w:r w:rsidR="002F4F20">
        <w:t xml:space="preserve">ndustry codes </w:t>
      </w:r>
      <w:r w:rsidR="00284EC0">
        <w:t xml:space="preserve">that are not registered by the ACMA </w:t>
      </w:r>
      <w:r w:rsidR="002F4F20">
        <w:t>could also be used to provide operational guidance and co-ordination for the safe installation of telecommunications facilities on sites or infrastructure managed by utilities and other landowners.</w:t>
      </w:r>
      <w:r w:rsidR="00284EC0">
        <w:t xml:space="preserve"> Compliance with these types of industry codes is unable to be enforced by the ACMA.</w:t>
      </w:r>
    </w:p>
    <w:p w14:paraId="14C60ECC" w14:textId="77777777" w:rsidR="00533ED6" w:rsidRDefault="007777B3" w:rsidP="002F4F20">
      <w:r>
        <w:t>The Code of Practice would need to be amended to include the new primary safety condition. The content of the proposed amendment would be consulted on before the Minister amended the Code of Practice</w:t>
      </w:r>
      <w:r w:rsidR="00533ED6">
        <w:t>.</w:t>
      </w:r>
    </w:p>
    <w:p w14:paraId="48BE241E" w14:textId="73581261" w:rsidR="004738D3" w:rsidRPr="00822D4A" w:rsidRDefault="004738D3" w:rsidP="007E38F6">
      <w:pPr>
        <w:pStyle w:val="Heading4"/>
        <w:pBdr>
          <w:top w:val="single" w:sz="4" w:space="1" w:color="auto"/>
          <w:left w:val="single" w:sz="4" w:space="1" w:color="auto"/>
          <w:bottom w:val="single" w:sz="4" w:space="1" w:color="auto"/>
          <w:right w:val="single" w:sz="4" w:space="1" w:color="auto"/>
        </w:pBdr>
        <w:shd w:val="clear" w:color="auto" w:fill="D5DCE4"/>
      </w:pPr>
      <w:bookmarkStart w:id="75" w:name="_Toc47090207"/>
      <w:bookmarkStart w:id="76" w:name="_Toc51084829"/>
      <w:r w:rsidRPr="00822D4A">
        <w:t>Prompt questions</w:t>
      </w:r>
      <w:bookmarkEnd w:id="75"/>
      <w:bookmarkEnd w:id="76"/>
    </w:p>
    <w:p w14:paraId="6F5E8E78" w14:textId="7527A3C5" w:rsidR="003C7E70" w:rsidRDefault="00147ACC" w:rsidP="007E38F6">
      <w:pPr>
        <w:pStyle w:val="ListParagraph"/>
        <w:pBdr>
          <w:top w:val="single" w:sz="4" w:space="1" w:color="auto"/>
          <w:left w:val="single" w:sz="4" w:space="1" w:color="auto"/>
          <w:bottom w:val="single" w:sz="4" w:space="1" w:color="auto"/>
          <w:right w:val="single" w:sz="4" w:space="1" w:color="auto"/>
        </w:pBdr>
        <w:shd w:val="clear" w:color="auto" w:fill="D5DCE4"/>
      </w:pPr>
      <w:r>
        <w:t xml:space="preserve">Do </w:t>
      </w:r>
      <w:r w:rsidR="004738D3">
        <w:t xml:space="preserve">the current safety arrangements provide assurance for </w:t>
      </w:r>
      <w:r>
        <w:t xml:space="preserve">the </w:t>
      </w:r>
      <w:r w:rsidR="004738D3">
        <w:t xml:space="preserve">safe and effective implementation of telecommunications equipment? </w:t>
      </w:r>
    </w:p>
    <w:p w14:paraId="0D2EE49E" w14:textId="77777777" w:rsidR="00830038" w:rsidRDefault="004738D3" w:rsidP="007E38F6">
      <w:pPr>
        <w:pStyle w:val="ListParagraph"/>
        <w:pBdr>
          <w:top w:val="single" w:sz="4" w:space="1" w:color="auto"/>
          <w:left w:val="single" w:sz="4" w:space="1" w:color="auto"/>
          <w:bottom w:val="single" w:sz="4" w:space="1" w:color="auto"/>
          <w:right w:val="single" w:sz="4" w:space="1" w:color="auto"/>
        </w:pBdr>
        <w:shd w:val="clear" w:color="auto" w:fill="D5DCE4"/>
      </w:pPr>
      <w:r>
        <w:lastRenderedPageBreak/>
        <w:t>If no, what additional regulatory mechanisms may provide that assurance?</w:t>
      </w:r>
      <w:r w:rsidR="00830038">
        <w:t xml:space="preserve"> </w:t>
      </w:r>
    </w:p>
    <w:p w14:paraId="2A8C15C4" w14:textId="7913F1C4" w:rsidR="004738D3" w:rsidRPr="004738D3" w:rsidRDefault="00830038" w:rsidP="007E38F6">
      <w:pPr>
        <w:pStyle w:val="ListParagraph"/>
        <w:pBdr>
          <w:top w:val="single" w:sz="4" w:space="1" w:color="auto"/>
          <w:left w:val="single" w:sz="4" w:space="1" w:color="auto"/>
          <w:bottom w:val="single" w:sz="4" w:space="1" w:color="auto"/>
          <w:right w:val="single" w:sz="4" w:space="1" w:color="auto"/>
        </w:pBdr>
        <w:shd w:val="clear" w:color="auto" w:fill="D5DCE4"/>
      </w:pPr>
      <w:r>
        <w:t>Would the addition of a primary safety condition to the Code of Practice provide that assurance?</w:t>
      </w:r>
    </w:p>
    <w:p w14:paraId="6191BF56" w14:textId="537EF8D3" w:rsidR="005F6830" w:rsidRDefault="005F6830" w:rsidP="00431998">
      <w:pPr>
        <w:pStyle w:val="Heading3"/>
        <w:numPr>
          <w:ilvl w:val="0"/>
          <w:numId w:val="9"/>
        </w:numPr>
      </w:pPr>
      <w:bookmarkStart w:id="77" w:name="_Toc45545586"/>
      <w:bookmarkStart w:id="78" w:name="_Toc45642085"/>
      <w:bookmarkStart w:id="79" w:name="_Toc45649101"/>
      <w:bookmarkStart w:id="80" w:name="_Toc45713979"/>
      <w:bookmarkStart w:id="81" w:name="_Toc47090208"/>
      <w:bookmarkStart w:id="82" w:name="_Toc51084830"/>
      <w:r>
        <w:t>Standard notifications across industry</w:t>
      </w:r>
      <w:bookmarkEnd w:id="77"/>
      <w:bookmarkEnd w:id="78"/>
      <w:bookmarkEnd w:id="79"/>
      <w:bookmarkEnd w:id="80"/>
      <w:bookmarkEnd w:id="81"/>
      <w:bookmarkEnd w:id="82"/>
    </w:p>
    <w:p w14:paraId="2F66246E" w14:textId="77777777" w:rsidR="005F6830" w:rsidRPr="00E80469" w:rsidRDefault="0083003E" w:rsidP="00E80469">
      <w:pPr>
        <w:pStyle w:val="Heading4"/>
      </w:pPr>
      <w:bookmarkStart w:id="83" w:name="_Toc47090209"/>
      <w:bookmarkStart w:id="84" w:name="_Toc51084831"/>
      <w:r w:rsidRPr="00E80469">
        <w:t>Issue</w:t>
      </w:r>
      <w:bookmarkEnd w:id="83"/>
      <w:bookmarkEnd w:id="84"/>
    </w:p>
    <w:p w14:paraId="509FE4D0" w14:textId="4738D1E6" w:rsidR="00830038" w:rsidRDefault="00830038" w:rsidP="0083003E">
      <w:r>
        <w:t>Stakeholders, including those representing landowners in the P</w:t>
      </w:r>
      <w:r w:rsidR="00910515">
        <w:t>owers and Immunities Reference Group</w:t>
      </w:r>
      <w:r w:rsidR="00444C70">
        <w:t>,</w:t>
      </w:r>
      <w:r>
        <w:t xml:space="preserve"> have raised the need to have access to deployment information in a consistent and timely manner.</w:t>
      </w:r>
      <w:r w:rsidR="00C102B1">
        <w:t xml:space="preserve"> </w:t>
      </w:r>
      <w:r>
        <w:t xml:space="preserve">This assists with making decisions on how to manage their land </w:t>
      </w:r>
      <w:r w:rsidR="00444C70">
        <w:t>and operations</w:t>
      </w:r>
      <w:r>
        <w:t xml:space="preserve"> during deployment and their righ</w:t>
      </w:r>
      <w:r w:rsidR="00C102B1">
        <w:t>ts to objection processes.</w:t>
      </w:r>
    </w:p>
    <w:p w14:paraId="7C904FCC" w14:textId="44231D32" w:rsidR="0083003E" w:rsidRDefault="0083003E" w:rsidP="0083003E">
      <w:r>
        <w:t xml:space="preserve">The legislation </w:t>
      </w:r>
      <w:r w:rsidR="00C73426">
        <w:t xml:space="preserve">underpinning the powers and immunities framework </w:t>
      </w:r>
      <w:r>
        <w:t xml:space="preserve">already provides for a notification process, whereby carriers are required to </w:t>
      </w:r>
      <w:r w:rsidR="00C73426">
        <w:t xml:space="preserve">give </w:t>
      </w:r>
      <w:r w:rsidR="00CF0B05">
        <w:t xml:space="preserve">a </w:t>
      </w:r>
      <w:r w:rsidR="00C73426">
        <w:t xml:space="preserve">notice, referred to </w:t>
      </w:r>
      <w:r w:rsidR="00CF0B05">
        <w:t xml:space="preserve">by industry </w:t>
      </w:r>
      <w:r w:rsidR="00C73426">
        <w:t>as</w:t>
      </w:r>
      <w:r>
        <w:t xml:space="preserve"> a land access and activity notice (LAAN)</w:t>
      </w:r>
      <w:r w:rsidR="00C73426">
        <w:t>,</w:t>
      </w:r>
      <w:r>
        <w:t xml:space="preserve"> to landowners and occupiers before undertaking an </w:t>
      </w:r>
      <w:r w:rsidR="00C73426">
        <w:t xml:space="preserve">inspection, installation or maintenance </w:t>
      </w:r>
      <w:r>
        <w:t xml:space="preserve">activity. The </w:t>
      </w:r>
      <w:r w:rsidR="00CF0B05">
        <w:t xml:space="preserve">notice </w:t>
      </w:r>
      <w:r>
        <w:t>should inform the landowner about the activity proposed to be undertaken and relevant details associated with the proposed activity.</w:t>
      </w:r>
    </w:p>
    <w:p w14:paraId="47523C05" w14:textId="2AC756D2" w:rsidR="005B3204" w:rsidRDefault="00830038" w:rsidP="0083003E">
      <w:r>
        <w:t>Specific feedback</w:t>
      </w:r>
      <w:r w:rsidR="0083003E">
        <w:t xml:space="preserve"> from stakeholders about the current process is that information provided </w:t>
      </w:r>
      <w:r w:rsidR="00CF0B05">
        <w:t>in notices</w:t>
      </w:r>
      <w:r w:rsidR="005B3204">
        <w:t>:</w:t>
      </w:r>
      <w:r w:rsidR="0083003E">
        <w:t xml:space="preserve"> </w:t>
      </w:r>
    </w:p>
    <w:p w14:paraId="38D56FD9" w14:textId="77777777" w:rsidR="005B3204" w:rsidRDefault="0083003E" w:rsidP="00D242A8">
      <w:pPr>
        <w:pStyle w:val="Listparagraphbullets"/>
      </w:pPr>
      <w:r>
        <w:lastRenderedPageBreak/>
        <w:t>can be different in each case</w:t>
      </w:r>
      <w:r w:rsidR="00CF0B05">
        <w:t>,</w:t>
      </w:r>
    </w:p>
    <w:p w14:paraId="33EE710D" w14:textId="3C5A7681" w:rsidR="00CF0B05" w:rsidRDefault="005B3204" w:rsidP="00D242A8">
      <w:pPr>
        <w:pStyle w:val="Listparagraphbullets"/>
      </w:pPr>
      <w:r>
        <w:t xml:space="preserve">provides no certainty for the landowner or occupier about how long an activity could take, </w:t>
      </w:r>
    </w:p>
    <w:p w14:paraId="6F309E1D" w14:textId="28046864" w:rsidR="005B3204" w:rsidRDefault="00830038" w:rsidP="00D242A8">
      <w:pPr>
        <w:pStyle w:val="Listparagraphbullets"/>
      </w:pPr>
      <w:r>
        <w:t>d</w:t>
      </w:r>
      <w:r w:rsidR="00CF0B05">
        <w:t xml:space="preserve">oes not provide information about certification or </w:t>
      </w:r>
      <w:r w:rsidR="005B3204">
        <w:t xml:space="preserve">what standard </w:t>
      </w:r>
      <w:r w:rsidR="00CF0B05">
        <w:t xml:space="preserve">the activity will be </w:t>
      </w:r>
      <w:r w:rsidR="005B3204">
        <w:t xml:space="preserve">certified to, </w:t>
      </w:r>
      <w:r w:rsidR="00CF0B05">
        <w:t>or</w:t>
      </w:r>
    </w:p>
    <w:p w14:paraId="62F8783F" w14:textId="77777777" w:rsidR="00533ED6" w:rsidRDefault="005B3204" w:rsidP="00D242A8">
      <w:pPr>
        <w:pStyle w:val="Listparagraphbullets"/>
      </w:pPr>
      <w:proofErr w:type="gramStart"/>
      <w:r>
        <w:t>the</w:t>
      </w:r>
      <w:proofErr w:type="gramEnd"/>
      <w:r>
        <w:t xml:space="preserve"> timeframe to assess the proposed activity </w:t>
      </w:r>
      <w:r w:rsidR="00CF0B05">
        <w:t xml:space="preserve">and request additional information, if needed, </w:t>
      </w:r>
      <w:r>
        <w:t xml:space="preserve">is </w:t>
      </w:r>
      <w:r w:rsidR="00CF0B05">
        <w:t xml:space="preserve">often </w:t>
      </w:r>
      <w:r>
        <w:t>too short</w:t>
      </w:r>
      <w:r w:rsidR="00533ED6">
        <w:t>.</w:t>
      </w:r>
    </w:p>
    <w:p w14:paraId="6ED4CC46" w14:textId="77777777" w:rsidR="00533ED6" w:rsidRDefault="00364B75" w:rsidP="0083003E">
      <w:r>
        <w:t xml:space="preserve">Standardising information </w:t>
      </w:r>
      <w:r w:rsidR="0083003E">
        <w:t xml:space="preserve">in a </w:t>
      </w:r>
      <w:r w:rsidR="00CF0B05">
        <w:t xml:space="preserve">notice </w:t>
      </w:r>
      <w:r w:rsidR="00444C70">
        <w:t xml:space="preserve">required to be </w:t>
      </w:r>
      <w:r w:rsidR="005B3204">
        <w:t>given</w:t>
      </w:r>
      <w:r w:rsidR="0083003E">
        <w:t xml:space="preserve"> by a carrier could help landowners make </w:t>
      </w:r>
      <w:r w:rsidR="00CF0B05">
        <w:t xml:space="preserve">more effective </w:t>
      </w:r>
      <w:r w:rsidR="0083003E">
        <w:t xml:space="preserve">decisions about the potential impact of proposed </w:t>
      </w:r>
      <w:r w:rsidR="00CF0B05">
        <w:t xml:space="preserve">activities </w:t>
      </w:r>
      <w:r w:rsidR="0083003E">
        <w:t>on their land</w:t>
      </w:r>
      <w:r w:rsidR="00CF0B05">
        <w:t>, assets</w:t>
      </w:r>
      <w:r w:rsidR="0083003E">
        <w:t xml:space="preserve"> or operations</w:t>
      </w:r>
      <w:r w:rsidR="00533ED6">
        <w:t>.</w:t>
      </w:r>
    </w:p>
    <w:p w14:paraId="30E82EE9" w14:textId="7129E220" w:rsidR="0083003E" w:rsidRDefault="0083003E" w:rsidP="00C102B1">
      <w:pPr>
        <w:pStyle w:val="Heading4"/>
      </w:pPr>
      <w:bookmarkStart w:id="85" w:name="_Toc47090210"/>
      <w:bookmarkStart w:id="86" w:name="_Toc51084832"/>
      <w:r>
        <w:t>Proposal</w:t>
      </w:r>
      <w:bookmarkEnd w:id="85"/>
      <w:bookmarkEnd w:id="86"/>
    </w:p>
    <w:p w14:paraId="4211376D" w14:textId="77777777" w:rsidR="00533ED6" w:rsidRDefault="00830038" w:rsidP="0083003E">
      <w:r>
        <w:t>We seek your views on whether r</w:t>
      </w:r>
      <w:r w:rsidR="00CF0B05">
        <w:t>equiring</w:t>
      </w:r>
      <w:r w:rsidR="0083003E">
        <w:t xml:space="preserve"> new information </w:t>
      </w:r>
      <w:r w:rsidR="00CF0B05">
        <w:t xml:space="preserve">to be included </w:t>
      </w:r>
      <w:r w:rsidR="0083003E">
        <w:t xml:space="preserve">in </w:t>
      </w:r>
      <w:r w:rsidR="00CD7269">
        <w:t>a notice</w:t>
      </w:r>
      <w:r w:rsidR="0083003E">
        <w:t xml:space="preserve"> </w:t>
      </w:r>
      <w:r w:rsidR="00CD7269">
        <w:t xml:space="preserve">could </w:t>
      </w:r>
      <w:r w:rsidR="0083003E">
        <w:t>enhance and clarify the existing notification procedures</w:t>
      </w:r>
      <w:r w:rsidR="00533ED6">
        <w:t>.</w:t>
      </w:r>
    </w:p>
    <w:p w14:paraId="565C66B4" w14:textId="74AD93EF" w:rsidR="0083003E" w:rsidRDefault="0083003E" w:rsidP="0083003E">
      <w:r>
        <w:t xml:space="preserve">The </w:t>
      </w:r>
      <w:r w:rsidR="005A09FE">
        <w:t xml:space="preserve">Powers and Immunities Reference Group recommended the </w:t>
      </w:r>
      <w:r>
        <w:t>following information</w:t>
      </w:r>
      <w:r w:rsidR="00A84AA4">
        <w:t>, or similar,</w:t>
      </w:r>
      <w:r>
        <w:t xml:space="preserve"> </w:t>
      </w:r>
      <w:r w:rsidR="00A84AA4">
        <w:t xml:space="preserve">could </w:t>
      </w:r>
      <w:r>
        <w:t>be</w:t>
      </w:r>
      <w:r w:rsidR="00A84AA4">
        <w:t xml:space="preserve"> specified</w:t>
      </w:r>
      <w:r>
        <w:t xml:space="preserve"> </w:t>
      </w:r>
      <w:r w:rsidR="00A84AA4">
        <w:t xml:space="preserve">for </w:t>
      </w:r>
      <w:r>
        <w:t>inclu</w:t>
      </w:r>
      <w:r w:rsidR="00A84AA4">
        <w:t>sion</w:t>
      </w:r>
      <w:r>
        <w:t xml:space="preserve"> in a </w:t>
      </w:r>
      <w:r w:rsidR="00A84AA4">
        <w:t>notice given by a carrier</w:t>
      </w:r>
      <w:r>
        <w:t>:</w:t>
      </w:r>
    </w:p>
    <w:p w14:paraId="31DCDADD" w14:textId="77777777" w:rsidR="0083003E" w:rsidRDefault="0083003E" w:rsidP="00D242A8">
      <w:pPr>
        <w:pStyle w:val="Listparagraphbullets"/>
      </w:pPr>
      <w:r>
        <w:lastRenderedPageBreak/>
        <w:t>indicative timeframes for proposed activities, such as when the activity will commence and how long the activity would usually take once commenced,</w:t>
      </w:r>
    </w:p>
    <w:p w14:paraId="00C5111A" w14:textId="5BB07A6C" w:rsidR="0083003E" w:rsidRDefault="0083003E" w:rsidP="00D242A8">
      <w:pPr>
        <w:pStyle w:val="Listparagraphbullets"/>
      </w:pPr>
      <w:r>
        <w:t xml:space="preserve">for landowners that are </w:t>
      </w:r>
      <w:r w:rsidR="00CF31D3">
        <w:t xml:space="preserve">public </w:t>
      </w:r>
      <w:r>
        <w:t xml:space="preserve">utilities, </w:t>
      </w:r>
      <w:r w:rsidR="00CF31D3">
        <w:t xml:space="preserve">including road authorities, </w:t>
      </w:r>
      <w:r>
        <w:t xml:space="preserve">a statement </w:t>
      </w:r>
      <w:r w:rsidR="00A84AA4">
        <w:t xml:space="preserve">explaining </w:t>
      </w:r>
      <w:r>
        <w:t>the proposed activity</w:t>
      </w:r>
      <w:r w:rsidR="00A84AA4">
        <w:t xml:space="preserve"> supplemented with</w:t>
      </w:r>
      <w:r>
        <w:t xml:space="preserve"> technical drawings or plans, and the standards applicable to the activity, and</w:t>
      </w:r>
    </w:p>
    <w:p w14:paraId="69BF461D" w14:textId="77777777" w:rsidR="00533ED6" w:rsidRDefault="0083003E" w:rsidP="00D242A8">
      <w:pPr>
        <w:pStyle w:val="Listparagraphbullets"/>
      </w:pPr>
      <w:proofErr w:type="gramStart"/>
      <w:r>
        <w:t>for</w:t>
      </w:r>
      <w:proofErr w:type="gramEnd"/>
      <w:r>
        <w:t xml:space="preserve"> all other landowners, a plain English explanation of the proposed activity and </w:t>
      </w:r>
      <w:r w:rsidR="00A84AA4">
        <w:t xml:space="preserve">the </w:t>
      </w:r>
      <w:r>
        <w:t>equipment to be installed or maintained.</w:t>
      </w:r>
      <w:r w:rsidR="00CF31D3">
        <w:t xml:space="preserve"> </w:t>
      </w:r>
      <w:r w:rsidR="00F7175F">
        <w:t xml:space="preserve">Landowners </w:t>
      </w:r>
      <w:r w:rsidR="00CF31D3">
        <w:t xml:space="preserve">may </w:t>
      </w:r>
      <w:r w:rsidR="00F7175F">
        <w:t xml:space="preserve">request information </w:t>
      </w:r>
      <w:r w:rsidR="00CF31D3">
        <w:t>from carriers about the technical plans or standards applicable to a proposed activity, however the provision of this information as part of the notification would only apply if the landowner is a public utility</w:t>
      </w:r>
      <w:r w:rsidR="00533ED6">
        <w:t>.</w:t>
      </w:r>
    </w:p>
    <w:p w14:paraId="789372A9" w14:textId="77777777" w:rsidR="00533ED6" w:rsidRDefault="00A84AA4" w:rsidP="00BF78EB">
      <w:r>
        <w:t>Including</w:t>
      </w:r>
      <w:r w:rsidR="00C528FE">
        <w:t xml:space="preserve"> these requirements in the notice given by a carrier </w:t>
      </w:r>
      <w:r w:rsidR="00923CB2">
        <w:t>is</w:t>
      </w:r>
      <w:r w:rsidR="00C528FE">
        <w:t xml:space="preserve"> intended to </w:t>
      </w:r>
      <w:r>
        <w:t xml:space="preserve">provide </w:t>
      </w:r>
      <w:r w:rsidR="00C528FE">
        <w:t xml:space="preserve">clarity to </w:t>
      </w:r>
      <w:r>
        <w:t xml:space="preserve">landowners about </w:t>
      </w:r>
      <w:r w:rsidR="00C528FE">
        <w:t xml:space="preserve">the process, </w:t>
      </w:r>
      <w:r w:rsidR="00923CB2">
        <w:t xml:space="preserve">and </w:t>
      </w:r>
      <w:r>
        <w:t xml:space="preserve">could reduce </w:t>
      </w:r>
      <w:r w:rsidR="00923CB2">
        <w:t>the need for landowners and occupiers to use the objections processes to gather further information about a proposed activity</w:t>
      </w:r>
      <w:r w:rsidR="00533ED6">
        <w:t>.</w:t>
      </w:r>
    </w:p>
    <w:p w14:paraId="4DBF7601" w14:textId="69F1B401" w:rsidR="00923CB2" w:rsidRDefault="00A82BB5" w:rsidP="00BF78EB">
      <w:r>
        <w:t>These changed information requirements could be incorporated into</w:t>
      </w:r>
      <w:r w:rsidR="00830038">
        <w:t xml:space="preserve"> the Code of Practice</w:t>
      </w:r>
      <w:r>
        <w:t>.</w:t>
      </w:r>
    </w:p>
    <w:p w14:paraId="3C6A72AD" w14:textId="77777777" w:rsidR="00533ED6" w:rsidRDefault="005A09FE" w:rsidP="00BF78EB">
      <w:r>
        <w:t>The</w:t>
      </w:r>
      <w:r w:rsidR="009467E0">
        <w:t xml:space="preserve"> Powers and Immunities Reference Group </w:t>
      </w:r>
      <w:r>
        <w:t xml:space="preserve">also recommended </w:t>
      </w:r>
      <w:r w:rsidR="009467E0">
        <w:t xml:space="preserve">that </w:t>
      </w:r>
      <w:r w:rsidR="00923CB2">
        <w:t xml:space="preserve">a template notice used by all carriers </w:t>
      </w:r>
      <w:r w:rsidR="006E473B">
        <w:t>would be useful</w:t>
      </w:r>
      <w:r w:rsidR="00A84AA4">
        <w:t>.</w:t>
      </w:r>
      <w:r w:rsidR="006E473B">
        <w:t xml:space="preserve"> </w:t>
      </w:r>
      <w:r w:rsidR="00A84AA4">
        <w:t>While a</w:t>
      </w:r>
      <w:r w:rsidR="006E473B">
        <w:t xml:space="preserve"> template notice </w:t>
      </w:r>
      <w:r w:rsidR="00A84AA4">
        <w:t>c</w:t>
      </w:r>
      <w:r w:rsidR="0083003E">
        <w:t xml:space="preserve">ould contain the minimum information required to be </w:t>
      </w:r>
      <w:r w:rsidR="0083003E">
        <w:lastRenderedPageBreak/>
        <w:t>provided</w:t>
      </w:r>
      <w:r w:rsidR="006E473B">
        <w:t xml:space="preserve"> about a proposed activity</w:t>
      </w:r>
      <w:r w:rsidR="00A84AA4">
        <w:t>, it</w:t>
      </w:r>
      <w:r w:rsidR="0083003E">
        <w:t xml:space="preserve"> would not prevent carriers from includi</w:t>
      </w:r>
      <w:r w:rsidR="006E473B">
        <w:t xml:space="preserve">ng </w:t>
      </w:r>
      <w:r w:rsidR="00A84AA4">
        <w:t xml:space="preserve">any </w:t>
      </w:r>
      <w:r w:rsidR="006E473B">
        <w:t>additional information that c</w:t>
      </w:r>
      <w:r w:rsidR="0083003E">
        <w:t xml:space="preserve">ould assist landowners’ consideration of </w:t>
      </w:r>
      <w:r w:rsidR="00A84AA4">
        <w:t xml:space="preserve">a </w:t>
      </w:r>
      <w:r w:rsidR="0083003E">
        <w:t>proposed activity</w:t>
      </w:r>
      <w:r w:rsidR="00533ED6">
        <w:t>.</w:t>
      </w:r>
    </w:p>
    <w:p w14:paraId="4C02D142" w14:textId="77777777" w:rsidR="00533ED6" w:rsidRDefault="00CF31D3" w:rsidP="00BF78EB">
      <w:r>
        <w:t>One option to implement this recommendation could be to develop an industry code that can be registered by the ACMA under Part 6 of the Act</w:t>
      </w:r>
      <w:r w:rsidR="00533ED6">
        <w:t>.</w:t>
      </w:r>
    </w:p>
    <w:p w14:paraId="5E8DA30C" w14:textId="5ABE279E" w:rsidR="00CF31D3" w:rsidRDefault="00CF31D3" w:rsidP="00BF78EB">
      <w:r>
        <w:t xml:space="preserve">Alternatively, a condition could be included in the Code of Practice that the ACMA must prescribe the form of a notice. This type of approach was adopted in the United Kingdom where its communications regulator, OFCOM, prescribes the form of a notice to be given by carriers under each provision </w:t>
      </w:r>
      <w:r w:rsidR="00822D4A">
        <w:t>of the UK’s land access code.</w:t>
      </w:r>
    </w:p>
    <w:p w14:paraId="254C6209" w14:textId="55F07A64" w:rsidR="007E2922" w:rsidRPr="00822D4A" w:rsidRDefault="007E2922" w:rsidP="007E38F6">
      <w:pPr>
        <w:pStyle w:val="Heading4"/>
        <w:pBdr>
          <w:top w:val="single" w:sz="4" w:space="1" w:color="auto"/>
          <w:left w:val="single" w:sz="4" w:space="4" w:color="auto"/>
          <w:bottom w:val="single" w:sz="4" w:space="1" w:color="auto"/>
          <w:right w:val="single" w:sz="4" w:space="4" w:color="auto"/>
        </w:pBdr>
        <w:shd w:val="clear" w:color="auto" w:fill="D5DCE4"/>
      </w:pPr>
      <w:bookmarkStart w:id="87" w:name="_Toc47090211"/>
      <w:bookmarkStart w:id="88" w:name="_Toc51084833"/>
      <w:r w:rsidRPr="00822D4A">
        <w:t>Prompt questions</w:t>
      </w:r>
      <w:bookmarkEnd w:id="87"/>
      <w:bookmarkEnd w:id="88"/>
    </w:p>
    <w:p w14:paraId="5105A65E" w14:textId="5366AECA" w:rsidR="00344C5B" w:rsidRDefault="005A09FE" w:rsidP="00822D4A">
      <w:pPr>
        <w:pStyle w:val="ListParagraph"/>
        <w:numPr>
          <w:ilvl w:val="0"/>
          <w:numId w:val="34"/>
        </w:numPr>
        <w:pBdr>
          <w:top w:val="single" w:sz="4" w:space="1" w:color="auto"/>
          <w:left w:val="single" w:sz="4" w:space="4" w:color="auto"/>
          <w:bottom w:val="single" w:sz="4" w:space="1" w:color="auto"/>
          <w:right w:val="single" w:sz="4" w:space="4" w:color="auto"/>
        </w:pBdr>
        <w:shd w:val="clear" w:color="auto" w:fill="D5DCE4"/>
        <w:ind w:left="567" w:hanging="567"/>
      </w:pPr>
      <w:r>
        <w:t xml:space="preserve">Is there any other </w:t>
      </w:r>
      <w:r w:rsidR="00BD5148">
        <w:t xml:space="preserve">information </w:t>
      </w:r>
      <w:r>
        <w:t xml:space="preserve">that could be included </w:t>
      </w:r>
      <w:r w:rsidR="00BD5148">
        <w:t>on a notice would provide clarity on the installation process and tim</w:t>
      </w:r>
      <w:r w:rsidR="00147ACC">
        <w:t>e</w:t>
      </w:r>
      <w:r w:rsidR="00BD5148">
        <w:t xml:space="preserve">frames? </w:t>
      </w:r>
    </w:p>
    <w:p w14:paraId="735C5A2C" w14:textId="0BD96626" w:rsidR="00147ACC" w:rsidRDefault="00BD5148" w:rsidP="00822D4A">
      <w:pPr>
        <w:pStyle w:val="ListParagraph"/>
        <w:pBdr>
          <w:top w:val="single" w:sz="4" w:space="1" w:color="auto"/>
          <w:left w:val="single" w:sz="4" w:space="4" w:color="auto"/>
          <w:bottom w:val="single" w:sz="4" w:space="1" w:color="auto"/>
          <w:right w:val="single" w:sz="4" w:space="4" w:color="auto"/>
        </w:pBdr>
        <w:shd w:val="clear" w:color="auto" w:fill="D5DCE4"/>
      </w:pPr>
      <w:r>
        <w:t xml:space="preserve">What benefits, </w:t>
      </w:r>
      <w:r w:rsidR="00344C5B">
        <w:t>either</w:t>
      </w:r>
      <w:r>
        <w:t xml:space="preserve"> financial or non-financial would </w:t>
      </w:r>
      <w:r w:rsidR="00830038">
        <w:t xml:space="preserve">additional notice and information </w:t>
      </w:r>
      <w:r>
        <w:t>bring to landowners?</w:t>
      </w:r>
    </w:p>
    <w:p w14:paraId="65C06157" w14:textId="5DAD3F06" w:rsidR="00BD5148" w:rsidRDefault="00BD5148" w:rsidP="00822D4A">
      <w:pPr>
        <w:pStyle w:val="ListParagraph"/>
        <w:pBdr>
          <w:top w:val="single" w:sz="4" w:space="1" w:color="auto"/>
          <w:left w:val="single" w:sz="4" w:space="4" w:color="auto"/>
          <w:bottom w:val="single" w:sz="4" w:space="1" w:color="auto"/>
          <w:right w:val="single" w:sz="4" w:space="4" w:color="auto"/>
        </w:pBdr>
        <w:shd w:val="clear" w:color="auto" w:fill="D5DCE4"/>
      </w:pPr>
      <w:r>
        <w:lastRenderedPageBreak/>
        <w:t>If possible, to what extent would the inclusion of a standardised notification process increase or decrease regulatory burden, and at what cost per notification?</w:t>
      </w:r>
    </w:p>
    <w:p w14:paraId="791EF8D7" w14:textId="24F63928" w:rsidR="005F6830" w:rsidRDefault="005F6830" w:rsidP="00431998">
      <w:pPr>
        <w:pStyle w:val="Heading3"/>
        <w:numPr>
          <w:ilvl w:val="0"/>
          <w:numId w:val="9"/>
        </w:numPr>
      </w:pPr>
      <w:bookmarkStart w:id="89" w:name="_Toc45623682"/>
      <w:bookmarkStart w:id="90" w:name="_Toc45625670"/>
      <w:bookmarkStart w:id="91" w:name="_Toc45631016"/>
      <w:bookmarkStart w:id="92" w:name="_Toc45631384"/>
      <w:bookmarkStart w:id="93" w:name="_Toc45631412"/>
      <w:bookmarkStart w:id="94" w:name="_Toc45631833"/>
      <w:bookmarkStart w:id="95" w:name="_Toc45633578"/>
      <w:bookmarkStart w:id="96" w:name="_Toc45635246"/>
      <w:bookmarkStart w:id="97" w:name="_Toc45635446"/>
      <w:bookmarkStart w:id="98" w:name="_Toc45635474"/>
      <w:bookmarkStart w:id="99" w:name="_Toc45636774"/>
      <w:bookmarkStart w:id="100" w:name="_Toc45636853"/>
      <w:bookmarkStart w:id="101" w:name="_Toc45637234"/>
      <w:bookmarkStart w:id="102" w:name="_Toc45637338"/>
      <w:bookmarkStart w:id="103" w:name="_Toc45638659"/>
      <w:bookmarkStart w:id="104" w:name="_Toc45639087"/>
      <w:bookmarkStart w:id="105" w:name="_Toc45639118"/>
      <w:bookmarkStart w:id="106" w:name="_Toc45639622"/>
      <w:bookmarkStart w:id="107" w:name="_Toc45639931"/>
      <w:bookmarkStart w:id="108" w:name="_Toc45640039"/>
      <w:bookmarkStart w:id="109" w:name="_Toc45640075"/>
      <w:bookmarkStart w:id="110" w:name="_Toc45640554"/>
      <w:bookmarkStart w:id="111" w:name="_Toc45640671"/>
      <w:bookmarkStart w:id="112" w:name="_Toc45642086"/>
      <w:bookmarkStart w:id="113" w:name="_Toc45642449"/>
      <w:bookmarkStart w:id="114" w:name="_Toc45645772"/>
      <w:bookmarkStart w:id="115" w:name="_Toc45649102"/>
      <w:bookmarkStart w:id="116" w:name="_Toc45651230"/>
      <w:bookmarkStart w:id="117" w:name="_Toc45545587"/>
      <w:bookmarkStart w:id="118" w:name="_Toc45642087"/>
      <w:bookmarkStart w:id="119" w:name="_Toc45649103"/>
      <w:bookmarkStart w:id="120" w:name="_Toc45713980"/>
      <w:bookmarkStart w:id="121" w:name="_Toc47090212"/>
      <w:bookmarkStart w:id="122" w:name="_Toc51084834"/>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t>Withdrawal of notifications</w:t>
      </w:r>
      <w:bookmarkEnd w:id="117"/>
      <w:bookmarkEnd w:id="118"/>
      <w:bookmarkEnd w:id="119"/>
      <w:bookmarkEnd w:id="120"/>
      <w:bookmarkEnd w:id="121"/>
      <w:bookmarkEnd w:id="122"/>
    </w:p>
    <w:p w14:paraId="343D3DCD" w14:textId="77777777" w:rsidR="005F6830" w:rsidRDefault="0083003E" w:rsidP="00C102B1">
      <w:pPr>
        <w:pStyle w:val="Heading4"/>
      </w:pPr>
      <w:bookmarkStart w:id="123" w:name="_Toc47090213"/>
      <w:bookmarkStart w:id="124" w:name="_Toc51084835"/>
      <w:r>
        <w:t>Issue</w:t>
      </w:r>
      <w:bookmarkEnd w:id="123"/>
      <w:bookmarkEnd w:id="124"/>
    </w:p>
    <w:p w14:paraId="2C78B851" w14:textId="67ED17EC" w:rsidR="0083003E" w:rsidRPr="00B43EC0" w:rsidRDefault="00830038" w:rsidP="0083003E">
      <w:r>
        <w:t>Stakeholders have expressed concern that there</w:t>
      </w:r>
      <w:r w:rsidR="0083003E" w:rsidRPr="00B43EC0">
        <w:t xml:space="preserve"> is no specific requirement in the notification process for carriers to advise landowners and occupiers if </w:t>
      </w:r>
      <w:r w:rsidR="006E473B">
        <w:t>a proposed</w:t>
      </w:r>
      <w:r w:rsidR="0083003E" w:rsidRPr="00B43EC0">
        <w:t xml:space="preserve"> activity is cancelled or indefinitely delayed. At the same time, the framework does allow for a carrier to notify landowners of a delay or cancellation of the proposed activity and agree to different arrangements in consultation with the landowner.</w:t>
      </w:r>
    </w:p>
    <w:p w14:paraId="2E43C2E9" w14:textId="5D1ABBA9" w:rsidR="006E473B" w:rsidRDefault="006E473B" w:rsidP="0083003E">
      <w:r>
        <w:t>Discussion in the Powers and Immunities Reference Group</w:t>
      </w:r>
      <w:r w:rsidR="0083003E" w:rsidRPr="00B43EC0">
        <w:t xml:space="preserve"> highlighted the confusion that can be caused in situations where carriers issue a new </w:t>
      </w:r>
      <w:r>
        <w:t xml:space="preserve">notice </w:t>
      </w:r>
      <w:r w:rsidR="0083003E" w:rsidRPr="00B43EC0">
        <w:t xml:space="preserve">to a landowner specifying a similar activity as a previous, or current, </w:t>
      </w:r>
      <w:r>
        <w:t>notice</w:t>
      </w:r>
      <w:r w:rsidR="0083003E" w:rsidRPr="00B43EC0">
        <w:t xml:space="preserve">. This </w:t>
      </w:r>
      <w:r w:rsidR="005A09FE">
        <w:t xml:space="preserve">confusion arises </w:t>
      </w:r>
      <w:r w:rsidR="0083003E" w:rsidRPr="00B43EC0">
        <w:t>especially in situations where the landowner is unaware that the carrier did not proceed with the proposed activity.</w:t>
      </w:r>
    </w:p>
    <w:p w14:paraId="7899230F" w14:textId="67B41F34" w:rsidR="0083003E" w:rsidRDefault="006E473B" w:rsidP="0083003E">
      <w:r>
        <w:lastRenderedPageBreak/>
        <w:t xml:space="preserve">The Powers and Immunities Reference Group recommended that carriers be required to withdraw a notice when the proposed activity is cancelled or indefinitely delayed to provide certainty and transparency for landowners and occupiers. </w:t>
      </w:r>
      <w:r w:rsidR="005A09FE">
        <w:t>This proposal is</w:t>
      </w:r>
      <w:r w:rsidR="00A77495">
        <w:t xml:space="preserve"> operational </w:t>
      </w:r>
      <w:r w:rsidR="00444C70">
        <w:t xml:space="preserve">and </w:t>
      </w:r>
      <w:r w:rsidR="00A77495">
        <w:t>de</w:t>
      </w:r>
      <w:r w:rsidR="005A09FE">
        <w:t>s</w:t>
      </w:r>
      <w:r w:rsidR="00A77495">
        <w:t>igned to effect behavioural change by carriers encouraging greater interaction and engagement with the landowner or occupier.</w:t>
      </w:r>
    </w:p>
    <w:p w14:paraId="25E2DC0E" w14:textId="77777777" w:rsidR="0083003E" w:rsidRDefault="0083003E" w:rsidP="00C102B1">
      <w:pPr>
        <w:pStyle w:val="Heading4"/>
      </w:pPr>
      <w:bookmarkStart w:id="125" w:name="_Toc47090214"/>
      <w:bookmarkStart w:id="126" w:name="_Toc51084836"/>
      <w:r>
        <w:t>Proposal</w:t>
      </w:r>
      <w:bookmarkEnd w:id="125"/>
      <w:bookmarkEnd w:id="126"/>
    </w:p>
    <w:p w14:paraId="03EBC682" w14:textId="77777777" w:rsidR="00533ED6" w:rsidRDefault="00910515" w:rsidP="00212E30">
      <w:r>
        <w:t>W</w:t>
      </w:r>
      <w:r w:rsidR="00830038">
        <w:t>e seek your views on whether the</w:t>
      </w:r>
      <w:r w:rsidR="008B60E2">
        <w:t xml:space="preserve"> level of carrier engagement sought by landowners and occupiers could be achieved by either </w:t>
      </w:r>
      <w:r w:rsidR="00444C70">
        <w:t xml:space="preserve">of </w:t>
      </w:r>
      <w:r w:rsidR="00830038">
        <w:t>the following</w:t>
      </w:r>
      <w:r w:rsidR="008B60E2">
        <w:t xml:space="preserve"> non-regulatory or regulatory option</w:t>
      </w:r>
      <w:r w:rsidR="00830038">
        <w:t>s</w:t>
      </w:r>
      <w:r w:rsidR="00533ED6">
        <w:t>.</w:t>
      </w:r>
    </w:p>
    <w:p w14:paraId="4EFCD338" w14:textId="2322AA4B" w:rsidR="008B60E2" w:rsidRDefault="008B60E2" w:rsidP="00C102B1">
      <w:pPr>
        <w:pStyle w:val="Heading5"/>
      </w:pPr>
      <w:r>
        <w:t>Option 1: Industry commitment to withdraw a notice</w:t>
      </w:r>
    </w:p>
    <w:p w14:paraId="42FABC12" w14:textId="1D1009B7" w:rsidR="008B60E2" w:rsidRDefault="008B60E2" w:rsidP="008B60E2">
      <w:r>
        <w:t>The behavioural change recommended by the Powers and Immunities Reference Group could be achieved if industry provided a commitment to withdrawing notices, where possible, in the event that a proposed activity is can</w:t>
      </w:r>
      <w:r w:rsidR="00533ED6">
        <w:t>celled or indefinitely delayed.</w:t>
      </w:r>
    </w:p>
    <w:p w14:paraId="280DE558" w14:textId="5581AAA4" w:rsidR="008B60E2" w:rsidRDefault="008B60E2" w:rsidP="008B60E2">
      <w:r>
        <w:t>This would be a non-regulatory approach and would not be part of the legislative framework underpinning the powers and immunities framework. Industry could consider whether this commitment could be demonstrated in any way, but it would be the responsibility of industry to do</w:t>
      </w:r>
      <w:r w:rsidR="00533ED6">
        <w:t> </w:t>
      </w:r>
      <w:r>
        <w:t>so.</w:t>
      </w:r>
    </w:p>
    <w:p w14:paraId="49349A6A" w14:textId="2F0AEB90" w:rsidR="008B60E2" w:rsidRDefault="008B60E2" w:rsidP="00C102B1">
      <w:pPr>
        <w:pStyle w:val="Heading5"/>
      </w:pPr>
      <w:r>
        <w:lastRenderedPageBreak/>
        <w:t xml:space="preserve">Option 2: </w:t>
      </w:r>
      <w:r w:rsidR="00D265EE">
        <w:t>Formal requirement</w:t>
      </w:r>
      <w:r>
        <w:t xml:space="preserve"> </w:t>
      </w:r>
      <w:r w:rsidR="00D265EE">
        <w:t>for</w:t>
      </w:r>
      <w:r>
        <w:t xml:space="preserve"> a carrier to withdraw a notice </w:t>
      </w:r>
    </w:p>
    <w:p w14:paraId="71204CE1" w14:textId="0D22FEBF" w:rsidR="002C6867" w:rsidRDefault="002C6867" w:rsidP="00C102B1">
      <w:pPr>
        <w:keepNext/>
        <w:keepLines/>
      </w:pPr>
      <w:r>
        <w:t>Alternatively, n</w:t>
      </w:r>
      <w:r w:rsidR="00A77495">
        <w:t xml:space="preserve">ew requirements could be introduced </w:t>
      </w:r>
      <w:r w:rsidR="00212E30">
        <w:t xml:space="preserve">either in an industry code registered by the ACMA or </w:t>
      </w:r>
      <w:r w:rsidR="00A77495">
        <w:t>in the Code of Practice requiring carriers to follow a procedure to withdraw a notice when the proposed activity is cancelled or indefinitely delayed. Information about the procedure could include</w:t>
      </w:r>
      <w:r>
        <w:t>:</w:t>
      </w:r>
    </w:p>
    <w:p w14:paraId="7F32360B" w14:textId="1EAA219C" w:rsidR="002C6867" w:rsidRDefault="00A77495" w:rsidP="00D242A8">
      <w:pPr>
        <w:pStyle w:val="Listparagraphbullets"/>
      </w:pPr>
      <w:r>
        <w:t>minimum timeframes for the notice to be withdrawn</w:t>
      </w:r>
      <w:r w:rsidR="002C6867">
        <w:t xml:space="preserve">, such as at least two </w:t>
      </w:r>
      <w:r w:rsidR="00761CE3">
        <w:t xml:space="preserve">business </w:t>
      </w:r>
      <w:r w:rsidR="002C6867">
        <w:t xml:space="preserve">days before the planned activity is expected to begin, </w:t>
      </w:r>
    </w:p>
    <w:p w14:paraId="445040E7" w14:textId="77777777" w:rsidR="002C6867" w:rsidRDefault="002C6867" w:rsidP="00D242A8">
      <w:pPr>
        <w:pStyle w:val="Listparagraphbullets"/>
      </w:pPr>
      <w:r>
        <w:t>reference to the date of the original notice, and</w:t>
      </w:r>
    </w:p>
    <w:p w14:paraId="55D6AFF7" w14:textId="2208339E" w:rsidR="00A77495" w:rsidRDefault="002C6867" w:rsidP="00D242A8">
      <w:pPr>
        <w:pStyle w:val="Listparagraphbullets"/>
      </w:pPr>
      <w:proofErr w:type="gramStart"/>
      <w:r>
        <w:t>information</w:t>
      </w:r>
      <w:proofErr w:type="gramEnd"/>
      <w:r>
        <w:t xml:space="preserve"> explaining why the notice is withdrawn</w:t>
      </w:r>
      <w:r w:rsidR="00C102B1">
        <w:t>.</w:t>
      </w:r>
    </w:p>
    <w:p w14:paraId="3111AB46" w14:textId="26B931E6" w:rsidR="004738D3" w:rsidRDefault="00212E30" w:rsidP="00C102B1">
      <w:r>
        <w:t>If t</w:t>
      </w:r>
      <w:r w:rsidR="007777B3">
        <w:t xml:space="preserve">he Code of Practice </w:t>
      </w:r>
      <w:r>
        <w:t>is identified as the appropriate location for this requirement, t</w:t>
      </w:r>
      <w:r w:rsidR="007777B3">
        <w:t>he content of the proposed amendment would be consulted on before the Minister amended the Code</w:t>
      </w:r>
      <w:r w:rsidR="00C102B1">
        <w:t xml:space="preserve"> of Practice.</w:t>
      </w:r>
    </w:p>
    <w:p w14:paraId="055A8D81" w14:textId="77777777" w:rsidR="004738D3" w:rsidRDefault="004738D3" w:rsidP="007E38F6">
      <w:pPr>
        <w:pStyle w:val="Heading4"/>
        <w:pBdr>
          <w:top w:val="single" w:sz="4" w:space="1" w:color="auto"/>
          <w:left w:val="single" w:sz="4" w:space="4" w:color="auto"/>
          <w:bottom w:val="single" w:sz="4" w:space="1" w:color="auto"/>
          <w:right w:val="single" w:sz="4" w:space="4" w:color="auto"/>
        </w:pBdr>
        <w:shd w:val="clear" w:color="auto" w:fill="D5DCE4"/>
      </w:pPr>
      <w:bookmarkStart w:id="127" w:name="_Toc47090215"/>
      <w:bookmarkStart w:id="128" w:name="_Toc51084837"/>
      <w:r>
        <w:t>Prompt questions</w:t>
      </w:r>
      <w:bookmarkEnd w:id="127"/>
      <w:bookmarkEnd w:id="128"/>
    </w:p>
    <w:p w14:paraId="1A7AA844" w14:textId="77777777" w:rsidR="00533ED6" w:rsidRDefault="00BD5148" w:rsidP="00822D4A">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D5DCE4"/>
        <w:ind w:left="567" w:hanging="567"/>
      </w:pPr>
      <w:r>
        <w:t>How often has a lack of withdrawal of notice created a financial, or non-financial burden to a landowner?</w:t>
      </w:r>
      <w:r w:rsidR="00444C70">
        <w:t xml:space="preserve"> Please provide context to help explain your response</w:t>
      </w:r>
      <w:r w:rsidR="00533ED6">
        <w:t>.</w:t>
      </w:r>
    </w:p>
    <w:p w14:paraId="680693AF" w14:textId="072B12BE" w:rsidR="00BD5148" w:rsidRDefault="00BD5148" w:rsidP="00822D4A">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D5DCE4"/>
        <w:ind w:left="567" w:hanging="567"/>
      </w:pPr>
      <w:r>
        <w:t>To what extent would a notice of withdrawal, provided in a timely manner, reduce this burden?</w:t>
      </w:r>
    </w:p>
    <w:p w14:paraId="4D408A79" w14:textId="7CFCD142" w:rsidR="00344C5B" w:rsidRPr="00AB31B1" w:rsidRDefault="00344C5B" w:rsidP="00822D4A">
      <w:pPr>
        <w:pStyle w:val="ListParagraph"/>
        <w:pBdr>
          <w:top w:val="single" w:sz="4" w:space="1" w:color="auto"/>
          <w:left w:val="single" w:sz="4" w:space="4" w:color="auto"/>
          <w:bottom w:val="single" w:sz="4" w:space="1" w:color="auto"/>
          <w:right w:val="single" w:sz="4" w:space="4" w:color="auto"/>
        </w:pBdr>
        <w:shd w:val="clear" w:color="auto" w:fill="D5DCE4"/>
      </w:pPr>
      <w:r>
        <w:lastRenderedPageBreak/>
        <w:t>What methods have carriers used to notify landowners that a proposed activity would not take place, or was cancelled? How effective are these methods?</w:t>
      </w:r>
    </w:p>
    <w:p w14:paraId="1D6DAA02" w14:textId="1F4F7639" w:rsidR="00BD5148" w:rsidRDefault="008C3C3D" w:rsidP="00822D4A">
      <w:pPr>
        <w:pStyle w:val="ListParagraph"/>
        <w:numPr>
          <w:ilvl w:val="0"/>
          <w:numId w:val="12"/>
        </w:numPr>
        <w:pBdr>
          <w:top w:val="single" w:sz="4" w:space="1" w:color="auto"/>
          <w:left w:val="single" w:sz="4" w:space="4" w:color="auto"/>
          <w:bottom w:val="single" w:sz="4" w:space="1" w:color="auto"/>
          <w:right w:val="single" w:sz="4" w:space="4" w:color="auto"/>
        </w:pBdr>
        <w:shd w:val="clear" w:color="auto" w:fill="D5DCE4"/>
        <w:ind w:left="567" w:hanging="567"/>
      </w:pPr>
      <w:r>
        <w:t>How often would a withdrawal notice be required, and to what extent would this great an additional regulatory burden? If so, what is the anticipated financial regulatory burden each year?</w:t>
      </w:r>
    </w:p>
    <w:p w14:paraId="78D3CD4C" w14:textId="78A3ECAF" w:rsidR="005F6830" w:rsidRDefault="005F6830" w:rsidP="00431998">
      <w:pPr>
        <w:pStyle w:val="Heading3"/>
        <w:numPr>
          <w:ilvl w:val="0"/>
          <w:numId w:val="9"/>
        </w:numPr>
      </w:pPr>
      <w:bookmarkStart w:id="129" w:name="_Toc45545588"/>
      <w:bookmarkStart w:id="130" w:name="_Toc45642088"/>
      <w:bookmarkStart w:id="131" w:name="_Toc45649104"/>
      <w:bookmarkStart w:id="132" w:name="_Toc45713981"/>
      <w:bookmarkStart w:id="133" w:name="_Toc47090216"/>
      <w:bookmarkStart w:id="134" w:name="_Toc51084838"/>
      <w:r>
        <w:t>Requirement to provide engineering certification</w:t>
      </w:r>
      <w:bookmarkEnd w:id="129"/>
      <w:bookmarkEnd w:id="130"/>
      <w:bookmarkEnd w:id="131"/>
      <w:bookmarkEnd w:id="132"/>
      <w:bookmarkEnd w:id="133"/>
      <w:bookmarkEnd w:id="134"/>
    </w:p>
    <w:p w14:paraId="7077E3B4" w14:textId="77777777" w:rsidR="005F6830" w:rsidRDefault="0083003E" w:rsidP="00E80469">
      <w:pPr>
        <w:pStyle w:val="Heading4"/>
      </w:pPr>
      <w:bookmarkStart w:id="135" w:name="_Toc47090217"/>
      <w:bookmarkStart w:id="136" w:name="_Toc51084839"/>
      <w:r>
        <w:t>Issue</w:t>
      </w:r>
      <w:bookmarkEnd w:id="135"/>
      <w:bookmarkEnd w:id="136"/>
    </w:p>
    <w:p w14:paraId="42675D69" w14:textId="061ACC01" w:rsidR="002C6867" w:rsidRDefault="0083003E" w:rsidP="0083003E">
      <w:r w:rsidRPr="00B43EC0">
        <w:t xml:space="preserve">The </w:t>
      </w:r>
      <w:r>
        <w:t xml:space="preserve">powers and immunities </w:t>
      </w:r>
      <w:r w:rsidRPr="00B43EC0">
        <w:t>framework requires carriers, when undertaking an activity under Schedule</w:t>
      </w:r>
      <w:r>
        <w:t> </w:t>
      </w:r>
      <w:r w:rsidRPr="00B43EC0">
        <w:t>3 of the Act, to do so in accordance with good engineering</w:t>
      </w:r>
      <w:r w:rsidR="00D265EE">
        <w:t xml:space="preserve"> practice</w:t>
      </w:r>
      <w:r w:rsidRPr="00B43EC0">
        <w:t>. Feedback from some public utilities</w:t>
      </w:r>
      <w:r>
        <w:t xml:space="preserve"> operators</w:t>
      </w:r>
      <w:r w:rsidRPr="00B43EC0">
        <w:t xml:space="preserve"> is they would like greater visibility </w:t>
      </w:r>
      <w:r w:rsidR="00D265EE">
        <w:t xml:space="preserve">and certainty that </w:t>
      </w:r>
      <w:r w:rsidRPr="00B43EC0">
        <w:t>the equipment on their land or assets</w:t>
      </w:r>
      <w:r w:rsidR="00D265EE">
        <w:t xml:space="preserve"> has been installed in accordance with certified practices</w:t>
      </w:r>
      <w:r w:rsidRPr="00B43EC0">
        <w:t>, including the relevant standards th</w:t>
      </w:r>
      <w:r w:rsidR="00822D4A">
        <w:t>e equipment is installed under.</w:t>
      </w:r>
    </w:p>
    <w:p w14:paraId="12776A13" w14:textId="77777777" w:rsidR="0083003E" w:rsidRPr="00B43EC0" w:rsidRDefault="0083003E" w:rsidP="0083003E">
      <w:r w:rsidRPr="00B43EC0">
        <w:lastRenderedPageBreak/>
        <w:t xml:space="preserve">Some landowners indicated that, in the absence of having certification from the carrier, they had independently sought their own engineering certification for equipment to provide assurance the </w:t>
      </w:r>
      <w:r>
        <w:t xml:space="preserve">telecommunications </w:t>
      </w:r>
      <w:r w:rsidRPr="00B43EC0">
        <w:t>facility has been, or in some cases will be, constructed in accordance with good engineering practice. This is duplicative, and should be avoided if possible.</w:t>
      </w:r>
    </w:p>
    <w:p w14:paraId="0A2D2815" w14:textId="2B5CAC39" w:rsidR="0083003E" w:rsidRDefault="0083003E" w:rsidP="0083003E">
      <w:r w:rsidRPr="00B43EC0">
        <w:t xml:space="preserve">While both utilities and carriers have standards with which they must comply, it is the utility </w:t>
      </w:r>
      <w:r w:rsidR="00C76DE8">
        <w:t>owner</w:t>
      </w:r>
      <w:r w:rsidRPr="00B43EC0">
        <w:t xml:space="preserve"> that bears primary responsibility for maintenance and safety of the overall infrastructure—electricity pole, water tower or bridge. Providing engineering certificates about the </w:t>
      </w:r>
      <w:r>
        <w:t xml:space="preserve">telecommunications </w:t>
      </w:r>
      <w:r w:rsidRPr="00B43EC0">
        <w:t xml:space="preserve">facility mitigates risk for all parties, especially </w:t>
      </w:r>
      <w:r>
        <w:t>as</w:t>
      </w:r>
      <w:r w:rsidRPr="00B43EC0">
        <w:t xml:space="preserve"> carriers are liable to pay compensation for financial </w:t>
      </w:r>
      <w:r w:rsidR="00D265EE">
        <w:t xml:space="preserve">loss or </w:t>
      </w:r>
      <w:r w:rsidRPr="00B43EC0">
        <w:t>damage resulting from installation or maintenance of a facility.</w:t>
      </w:r>
      <w:r w:rsidRPr="00B43EC0">
        <w:rPr>
          <w:vertAlign w:val="superscript"/>
        </w:rPr>
        <w:footnoteReference w:id="8"/>
      </w:r>
    </w:p>
    <w:p w14:paraId="0167648E" w14:textId="63716335" w:rsidR="002C6867" w:rsidRPr="00B43EC0" w:rsidRDefault="002C6867" w:rsidP="00822D4A">
      <w:pPr>
        <w:keepLines/>
      </w:pPr>
      <w:r>
        <w:t xml:space="preserve">The Powers and Immunities Reference Group recommended </w:t>
      </w:r>
      <w:r w:rsidR="00D265EE">
        <w:t xml:space="preserve">a requirement be included in the framework that </w:t>
      </w:r>
      <w:r>
        <w:t xml:space="preserve">carriers </w:t>
      </w:r>
      <w:r w:rsidR="00D265EE">
        <w:t>are</w:t>
      </w:r>
      <w:r>
        <w:t xml:space="preserve"> to provide engineering certificates about the telecommunications facility</w:t>
      </w:r>
      <w:r w:rsidR="00C76DE8">
        <w:t xml:space="preserve">. </w:t>
      </w:r>
      <w:r w:rsidR="00D265EE">
        <w:t>Industry has advised that, in</w:t>
      </w:r>
      <w:r>
        <w:t xml:space="preserve"> some cases, carriers may receive engineering certificates up to two months after the installation or maintenance activity h</w:t>
      </w:r>
      <w:r w:rsidR="00533ED6">
        <w:t>as been completed and assessed.</w:t>
      </w:r>
    </w:p>
    <w:p w14:paraId="76895487" w14:textId="77777777" w:rsidR="005F6830" w:rsidRDefault="0083003E" w:rsidP="00C102B1">
      <w:pPr>
        <w:pStyle w:val="Heading4"/>
      </w:pPr>
      <w:bookmarkStart w:id="137" w:name="_Toc47090218"/>
      <w:bookmarkStart w:id="138" w:name="_Toc51084840"/>
      <w:r>
        <w:lastRenderedPageBreak/>
        <w:t>Proposal</w:t>
      </w:r>
      <w:bookmarkEnd w:id="137"/>
      <w:bookmarkEnd w:id="138"/>
    </w:p>
    <w:p w14:paraId="0A27C027" w14:textId="77777777" w:rsidR="00533ED6" w:rsidRDefault="00C76DE8" w:rsidP="00456BAB">
      <w:r>
        <w:t xml:space="preserve">We seek your views on whether providing a copy of the engineering certificate to the </w:t>
      </w:r>
      <w:r w:rsidR="005D36CF">
        <w:t xml:space="preserve">landowner or occupier </w:t>
      </w:r>
      <w:r>
        <w:t>would</w:t>
      </w:r>
      <w:r w:rsidR="005D36CF">
        <w:t xml:space="preserve"> add significant administrative cost </w:t>
      </w:r>
      <w:r>
        <w:t xml:space="preserve">or burden </w:t>
      </w:r>
      <w:r w:rsidR="005D36CF">
        <w:t>to the existing process</w:t>
      </w:r>
      <w:r w:rsidR="00533ED6">
        <w:t>.</w:t>
      </w:r>
    </w:p>
    <w:p w14:paraId="0606AE13" w14:textId="6E95F6BE" w:rsidR="00456BAB" w:rsidRDefault="00C76DE8" w:rsidP="00456BAB">
      <w:r>
        <w:t xml:space="preserve">The proposal would rest on </w:t>
      </w:r>
      <w:r w:rsidR="00444C70">
        <w:t>i</w:t>
      </w:r>
      <w:r>
        <w:t>ndustry commitment to provide the</w:t>
      </w:r>
      <w:r w:rsidR="00456BAB">
        <w:t xml:space="preserve"> engineering certificate to a landowner or occupier, if requested, </w:t>
      </w:r>
      <w:r w:rsidR="00D265EE">
        <w:t xml:space="preserve">as soon as possible </w:t>
      </w:r>
      <w:r w:rsidR="00456BAB">
        <w:t>after the installation of the facility. This would be a non-regulatory approach and would not be part of the legislative framework underpinning the p</w:t>
      </w:r>
      <w:r w:rsidR="002B18A2">
        <w:t>owers and immunities framework.</w:t>
      </w:r>
    </w:p>
    <w:p w14:paraId="77F5C0C9" w14:textId="2BE86550" w:rsidR="00C76DE8" w:rsidRDefault="00456BAB" w:rsidP="0083003E">
      <w:r>
        <w:t xml:space="preserve">Alternatively, new requirements could be introduced in </w:t>
      </w:r>
      <w:r w:rsidR="00212E30">
        <w:t xml:space="preserve">either an industry code registered by the ACMA or the Code of Practice </w:t>
      </w:r>
      <w:r w:rsidR="005D36CF">
        <w:t xml:space="preserve">requiring carriers </w:t>
      </w:r>
      <w:r w:rsidR="0083003E">
        <w:t>to provide an engineering certificate to a landowner or occupier</w:t>
      </w:r>
      <w:r w:rsidR="00D265EE">
        <w:t xml:space="preserve"> within 30 business days </w:t>
      </w:r>
      <w:r w:rsidR="0083003E">
        <w:t xml:space="preserve">after the </w:t>
      </w:r>
      <w:r w:rsidR="00D265EE">
        <w:t xml:space="preserve">certification has been received. </w:t>
      </w:r>
      <w:r w:rsidR="00C76DE8">
        <w:t>If implemented via a change of the Code of Practice,</w:t>
      </w:r>
      <w:r w:rsidR="007777B3">
        <w:t xml:space="preserve"> the content of the proposed amendment would be consulted on before the Minister amended the Code of Practice</w:t>
      </w:r>
      <w:r w:rsidR="00C76DE8">
        <w:t>.</w:t>
      </w:r>
    </w:p>
    <w:p w14:paraId="7AFF291B" w14:textId="77777777" w:rsidR="004738D3" w:rsidRPr="00822D4A" w:rsidRDefault="004738D3" w:rsidP="007E38F6">
      <w:pPr>
        <w:pStyle w:val="Heading4"/>
        <w:pBdr>
          <w:top w:val="single" w:sz="4" w:space="1" w:color="auto"/>
          <w:left w:val="single" w:sz="4" w:space="4" w:color="auto"/>
          <w:bottom w:val="single" w:sz="4" w:space="1" w:color="auto"/>
          <w:right w:val="single" w:sz="4" w:space="4" w:color="auto"/>
        </w:pBdr>
        <w:shd w:val="clear" w:color="auto" w:fill="D5DCE4"/>
      </w:pPr>
      <w:bookmarkStart w:id="139" w:name="_Toc47090219"/>
      <w:bookmarkStart w:id="140" w:name="_Toc51084841"/>
      <w:r w:rsidRPr="00822D4A">
        <w:lastRenderedPageBreak/>
        <w:t>Prompt questions</w:t>
      </w:r>
      <w:bookmarkEnd w:id="139"/>
      <w:bookmarkEnd w:id="140"/>
    </w:p>
    <w:p w14:paraId="43D3BC6C" w14:textId="64E901E2" w:rsidR="008C3C3D" w:rsidRDefault="008C3C3D" w:rsidP="00822D4A">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D5DCE4"/>
        <w:ind w:left="567" w:hanging="567"/>
      </w:pPr>
      <w:r>
        <w:t xml:space="preserve">What benefits would landowner or occupiers see in the provision of an engineering certificate within </w:t>
      </w:r>
      <w:r w:rsidR="00761CE3">
        <w:t xml:space="preserve">30 business </w:t>
      </w:r>
      <w:r>
        <w:t xml:space="preserve">days </w:t>
      </w:r>
      <w:r w:rsidR="00761CE3">
        <w:t>after the certification has been received</w:t>
      </w:r>
      <w:r>
        <w:t>?</w:t>
      </w:r>
    </w:p>
    <w:p w14:paraId="04CBC914" w14:textId="23C3072D" w:rsidR="004738D3" w:rsidDel="008C3C3D" w:rsidRDefault="008C3C3D" w:rsidP="00822D4A">
      <w:pPr>
        <w:pStyle w:val="ListParagraph"/>
        <w:numPr>
          <w:ilvl w:val="0"/>
          <w:numId w:val="13"/>
        </w:numPr>
        <w:pBdr>
          <w:top w:val="single" w:sz="4" w:space="1" w:color="auto"/>
          <w:left w:val="single" w:sz="4" w:space="4" w:color="auto"/>
          <w:bottom w:val="single" w:sz="4" w:space="1" w:color="auto"/>
          <w:right w:val="single" w:sz="4" w:space="4" w:color="auto"/>
        </w:pBdr>
        <w:shd w:val="clear" w:color="auto" w:fill="D5DCE4"/>
        <w:ind w:left="567" w:hanging="567"/>
      </w:pPr>
      <w:r>
        <w:t>Would the provision of an engineering certificate to landowners increase the regulatory burden on carriers? If so, what is the estimated regulatory financial impact per year?</w:t>
      </w:r>
      <w:bookmarkStart w:id="141" w:name="_Toc45527299"/>
      <w:bookmarkStart w:id="142" w:name="_Toc45527412"/>
      <w:bookmarkEnd w:id="141"/>
      <w:bookmarkEnd w:id="142"/>
    </w:p>
    <w:p w14:paraId="61C78A6A" w14:textId="12BCFAAC" w:rsidR="005F6830" w:rsidRDefault="005F6830" w:rsidP="00431998">
      <w:pPr>
        <w:pStyle w:val="Heading3"/>
        <w:numPr>
          <w:ilvl w:val="0"/>
          <w:numId w:val="9"/>
        </w:numPr>
      </w:pPr>
      <w:bookmarkStart w:id="143" w:name="_Toc45545589"/>
      <w:bookmarkStart w:id="144" w:name="_Toc45642089"/>
      <w:bookmarkStart w:id="145" w:name="_Toc45649105"/>
      <w:bookmarkStart w:id="146" w:name="_Toc45713982"/>
      <w:bookmarkStart w:id="147" w:name="_Toc47090220"/>
      <w:bookmarkStart w:id="148" w:name="_Toc51084842"/>
      <w:r>
        <w:t>Exten</w:t>
      </w:r>
      <w:r w:rsidR="00FD5FDF">
        <w:t xml:space="preserve">ding </w:t>
      </w:r>
      <w:r>
        <w:t>notification timeframes</w:t>
      </w:r>
      <w:bookmarkEnd w:id="143"/>
      <w:bookmarkEnd w:id="144"/>
      <w:bookmarkEnd w:id="145"/>
      <w:bookmarkEnd w:id="146"/>
      <w:bookmarkEnd w:id="147"/>
      <w:bookmarkEnd w:id="148"/>
    </w:p>
    <w:p w14:paraId="3F15F247" w14:textId="77777777" w:rsidR="00BF78EB" w:rsidRDefault="0083003E" w:rsidP="00E80469">
      <w:pPr>
        <w:pStyle w:val="Heading4"/>
      </w:pPr>
      <w:bookmarkStart w:id="149" w:name="_Toc47090221"/>
      <w:bookmarkStart w:id="150" w:name="_Toc51084843"/>
      <w:r>
        <w:t>Issue</w:t>
      </w:r>
      <w:bookmarkEnd w:id="149"/>
      <w:bookmarkEnd w:id="150"/>
    </w:p>
    <w:p w14:paraId="47FC6B9A" w14:textId="4112EC6D" w:rsidR="0083003E" w:rsidRPr="00B43EC0" w:rsidRDefault="009C0DBE" w:rsidP="0083003E">
      <w:r>
        <w:t>As noted above, f</w:t>
      </w:r>
      <w:r w:rsidR="0083003E" w:rsidRPr="00B43EC0">
        <w:t xml:space="preserve">eedback from </w:t>
      </w:r>
      <w:r>
        <w:t>stakeholders</w:t>
      </w:r>
      <w:r w:rsidR="0083003E" w:rsidRPr="00B43EC0">
        <w:t xml:space="preserve"> </w:t>
      </w:r>
      <w:r>
        <w:t>highlighted</w:t>
      </w:r>
      <w:r w:rsidRPr="00B43EC0">
        <w:t xml:space="preserve"> </w:t>
      </w:r>
      <w:r w:rsidR="005D36CF">
        <w:t>notifications received from carriers often</w:t>
      </w:r>
      <w:r w:rsidR="0083003E">
        <w:t xml:space="preserve"> did not include </w:t>
      </w:r>
      <w:r w:rsidR="0083003E" w:rsidRPr="00B43EC0">
        <w:t xml:space="preserve">sufficient information so the impact of the proposed activity </w:t>
      </w:r>
      <w:r>
        <w:t xml:space="preserve">to day to day operations, or on land, infrastructure or assets </w:t>
      </w:r>
      <w:r w:rsidR="0083003E" w:rsidRPr="00B43EC0">
        <w:t xml:space="preserve">could be understood. This </w:t>
      </w:r>
      <w:r w:rsidR="00053266">
        <w:t xml:space="preserve">situation </w:t>
      </w:r>
      <w:r w:rsidR="00C76DE8">
        <w:t>means</w:t>
      </w:r>
      <w:r w:rsidR="0083003E" w:rsidRPr="00B43EC0">
        <w:t xml:space="preserve"> public utilities </w:t>
      </w:r>
      <w:r w:rsidR="00C76DE8">
        <w:t xml:space="preserve">need to request </w:t>
      </w:r>
      <w:r w:rsidR="0083003E" w:rsidRPr="00B43EC0">
        <w:t xml:space="preserve">additional information from carriers to make </w:t>
      </w:r>
      <w:r w:rsidR="00053266">
        <w:t xml:space="preserve">such </w:t>
      </w:r>
      <w:r w:rsidR="0083003E" w:rsidRPr="00B43EC0">
        <w:t>an assessment</w:t>
      </w:r>
      <w:r w:rsidR="00053266">
        <w:t>.</w:t>
      </w:r>
      <w:r w:rsidR="0083003E" w:rsidRPr="00B43EC0">
        <w:t xml:space="preserve"> Some landowners noted situations where delays in receiving additional information from carriers has prevented the</w:t>
      </w:r>
      <w:r w:rsidR="0083003E">
        <w:t>m</w:t>
      </w:r>
      <w:r w:rsidR="0083003E" w:rsidRPr="00B43EC0">
        <w:t xml:space="preserve"> from being able to make an objection in time.</w:t>
      </w:r>
    </w:p>
    <w:p w14:paraId="3261E2B0" w14:textId="79ADFD48" w:rsidR="00F55418" w:rsidRDefault="00053266" w:rsidP="00807741">
      <w:r>
        <w:lastRenderedPageBreak/>
        <w:t>Public utilities l</w:t>
      </w:r>
      <w:r w:rsidR="0083003E" w:rsidRPr="00B43EC0">
        <w:t xml:space="preserve">andowners </w:t>
      </w:r>
      <w:r>
        <w:t xml:space="preserve">have </w:t>
      </w:r>
      <w:r w:rsidR="0083003E" w:rsidRPr="00B43EC0">
        <w:t xml:space="preserve">suggested that extending the notification time for public utilities </w:t>
      </w:r>
      <w:r w:rsidR="00F55418">
        <w:t xml:space="preserve">and road authorities </w:t>
      </w:r>
      <w:r w:rsidR="0083003E" w:rsidRPr="00B43EC0">
        <w:t xml:space="preserve">from 10 business days to 20 business days would </w:t>
      </w:r>
      <w:r>
        <w:t>provide sufficient time</w:t>
      </w:r>
      <w:r w:rsidRPr="00B43EC0">
        <w:t xml:space="preserve"> </w:t>
      </w:r>
      <w:r w:rsidR="0083003E" w:rsidRPr="00B43EC0">
        <w:t>for this information to be considered in detail without the need to use the objection provisions.</w:t>
      </w:r>
      <w:r w:rsidR="008A74E6" w:rsidRPr="008A74E6">
        <w:t xml:space="preserve"> </w:t>
      </w:r>
      <w:r w:rsidR="00807741">
        <w:t>The Powers and Immunities Reference Group did not make any recommend</w:t>
      </w:r>
      <w:r w:rsidR="00533ED6">
        <w:t>ations regarding this proposal.</w:t>
      </w:r>
    </w:p>
    <w:p w14:paraId="2F59089A" w14:textId="53DA9FCB" w:rsidR="00807741" w:rsidRDefault="00807741" w:rsidP="00807741">
      <w:r>
        <w:t>A submission from the Telecommunications Industry Ombudsman</w:t>
      </w:r>
      <w:r w:rsidR="0049386E">
        <w:t xml:space="preserve"> (TIO)</w:t>
      </w:r>
      <w:r>
        <w:t xml:space="preserve"> in 2017 </w:t>
      </w:r>
      <w:r w:rsidR="00F55418">
        <w:t>recommended that uniform timeframes should be applied across activities. The TIO recommended</w:t>
      </w:r>
      <w:r w:rsidR="00822D4A">
        <w:t xml:space="preserve"> the</w:t>
      </w:r>
      <w:r>
        <w:t>:</w:t>
      </w:r>
    </w:p>
    <w:p w14:paraId="05ABCB4C" w14:textId="2DD41EDC" w:rsidR="00807741" w:rsidRDefault="00807741" w:rsidP="00D242A8">
      <w:pPr>
        <w:pStyle w:val="Listparagraphbullets"/>
      </w:pPr>
      <w:r>
        <w:t xml:space="preserve">minimum notification timeframe </w:t>
      </w:r>
      <w:r w:rsidR="00F55418">
        <w:t xml:space="preserve">be </w:t>
      </w:r>
      <w:r>
        <w:t xml:space="preserve">extended from 10 to 20 business days, and </w:t>
      </w:r>
    </w:p>
    <w:p w14:paraId="2AA2E3CC" w14:textId="3524F147" w:rsidR="00807741" w:rsidRDefault="00807741" w:rsidP="00D242A8">
      <w:pPr>
        <w:pStyle w:val="Listparagraphbullets"/>
      </w:pPr>
      <w:proofErr w:type="gramStart"/>
      <w:r>
        <w:t>timeframe</w:t>
      </w:r>
      <w:proofErr w:type="gramEnd"/>
      <w:r>
        <w:t xml:space="preserve"> to provide a written objection to a carrier </w:t>
      </w:r>
      <w:r w:rsidR="00F55418">
        <w:t xml:space="preserve">be extended from 5 </w:t>
      </w:r>
      <w:r>
        <w:t>to 10</w:t>
      </w:r>
      <w:r w:rsidR="00822D4A">
        <w:t xml:space="preserve"> business days.</w:t>
      </w:r>
    </w:p>
    <w:p w14:paraId="0ECEFFC0" w14:textId="77777777" w:rsidR="00533ED6" w:rsidRDefault="00F55418" w:rsidP="002B18A2">
      <w:pPr>
        <w:keepLines/>
      </w:pPr>
      <w:r>
        <w:t>Clause 19 of Schedule 3 of t</w:t>
      </w:r>
      <w:r w:rsidR="008A74E6">
        <w:t xml:space="preserve">he Act provides that notice must be given to utilities and road authorities at least 10 </w:t>
      </w:r>
      <w:r w:rsidR="004B338A">
        <w:t xml:space="preserve">business </w:t>
      </w:r>
      <w:r w:rsidR="008A74E6">
        <w:t xml:space="preserve">days before the carrier begins to engage in </w:t>
      </w:r>
      <w:r>
        <w:t xml:space="preserve">an installation or maintenance </w:t>
      </w:r>
      <w:r w:rsidR="008A74E6">
        <w:t>activity.</w:t>
      </w:r>
      <w:r w:rsidR="00C102B1">
        <w:t xml:space="preserve"> </w:t>
      </w:r>
      <w:r w:rsidR="008A74E6">
        <w:t xml:space="preserve">While the Act provides a minimum timeframe for notification, a carrier </w:t>
      </w:r>
      <w:r w:rsidR="00C76DE8">
        <w:t xml:space="preserve">could still provide </w:t>
      </w:r>
      <w:r w:rsidR="008A74E6">
        <w:t xml:space="preserve">a notice </w:t>
      </w:r>
      <w:r w:rsidR="00807741">
        <w:t>well in advance of</w:t>
      </w:r>
      <w:r w:rsidR="008A74E6">
        <w:t xml:space="preserve"> 10 </w:t>
      </w:r>
      <w:r w:rsidR="004B338A">
        <w:t xml:space="preserve">business </w:t>
      </w:r>
      <w:r w:rsidR="008A74E6">
        <w:t xml:space="preserve">days </w:t>
      </w:r>
      <w:r w:rsidR="00807741">
        <w:t xml:space="preserve">or </w:t>
      </w:r>
      <w:r w:rsidR="00C76DE8">
        <w:t xml:space="preserve">engage </w:t>
      </w:r>
      <w:r w:rsidR="00807741">
        <w:t xml:space="preserve">informally </w:t>
      </w:r>
      <w:r w:rsidR="008A74E6">
        <w:t xml:space="preserve">with public utilities well before the proposed activity is expected to take place. </w:t>
      </w:r>
      <w:r w:rsidR="00807741">
        <w:t>This</w:t>
      </w:r>
      <w:r w:rsidR="007C1F40">
        <w:t xml:space="preserve"> behaviour </w:t>
      </w:r>
      <w:r w:rsidR="00807741">
        <w:t xml:space="preserve">is encouraged </w:t>
      </w:r>
      <w:r w:rsidR="007C1F40">
        <w:t>where</w:t>
      </w:r>
      <w:r w:rsidR="004C40EC">
        <w:t>ver</w:t>
      </w:r>
      <w:r w:rsidR="007C1F40">
        <w:t xml:space="preserve"> possible</w:t>
      </w:r>
      <w:r w:rsidR="00533ED6">
        <w:t>.</w:t>
      </w:r>
    </w:p>
    <w:p w14:paraId="53BD9C10" w14:textId="77777777" w:rsidR="00533ED6" w:rsidRDefault="003D4209" w:rsidP="008A74E6">
      <w:r>
        <w:lastRenderedPageBreak/>
        <w:t xml:space="preserve">The minimum notice period of 10 </w:t>
      </w:r>
      <w:r w:rsidR="004B338A">
        <w:t xml:space="preserve">business </w:t>
      </w:r>
      <w:r>
        <w:t xml:space="preserve">days provided in Schedule 3 to the Act provides industry with a safeguard for those installation and maintenance activities that </w:t>
      </w:r>
      <w:r w:rsidR="00807741">
        <w:t xml:space="preserve">sit in between ‘routine’ and ‘urgent’. These are the activities that </w:t>
      </w:r>
      <w:r>
        <w:t xml:space="preserve">are unable to be planned for and </w:t>
      </w:r>
      <w:r w:rsidR="00807741">
        <w:t>must</w:t>
      </w:r>
      <w:r>
        <w:t xml:space="preserve"> be undertaken, but are not urgent. For routine installation and maintenance activities, it is more likely these activities would </w:t>
      </w:r>
      <w:r w:rsidR="004C40EC">
        <w:t xml:space="preserve">be </w:t>
      </w:r>
      <w:r>
        <w:t>subject to work planning exercises and resource allocations by industry, meaning that landowners and occupiers could be engaged with earlier in the process, even in an informal way</w:t>
      </w:r>
      <w:r w:rsidR="00533ED6">
        <w:t>.</w:t>
      </w:r>
    </w:p>
    <w:p w14:paraId="47A3AE83" w14:textId="36361482" w:rsidR="0083003E" w:rsidRDefault="0083003E" w:rsidP="00C102B1">
      <w:pPr>
        <w:pStyle w:val="Heading4"/>
      </w:pPr>
      <w:bookmarkStart w:id="151" w:name="_Toc47090222"/>
      <w:bookmarkStart w:id="152" w:name="_Toc51084844"/>
      <w:r>
        <w:t>Proposal</w:t>
      </w:r>
      <w:bookmarkEnd w:id="151"/>
      <w:bookmarkEnd w:id="152"/>
    </w:p>
    <w:p w14:paraId="5362D3D9" w14:textId="77777777" w:rsidR="00533ED6" w:rsidRDefault="00C76DE8" w:rsidP="001C3A9B">
      <w:r>
        <w:t xml:space="preserve">We seek your views on whether </w:t>
      </w:r>
      <w:r w:rsidR="001C3A9B">
        <w:t xml:space="preserve">a </w:t>
      </w:r>
      <w:r w:rsidR="00F55418">
        <w:t xml:space="preserve">legislative amendment to Schedule 3 of the Act to extend the </w:t>
      </w:r>
      <w:r w:rsidR="001C3A9B">
        <w:t xml:space="preserve">minimum notification timeframe for utilities and road authorities from 10 </w:t>
      </w:r>
      <w:r w:rsidR="004B338A">
        <w:t xml:space="preserve">business </w:t>
      </w:r>
      <w:r w:rsidR="001C3A9B">
        <w:t xml:space="preserve">days to 20 </w:t>
      </w:r>
      <w:r w:rsidR="004B338A">
        <w:t xml:space="preserve">business </w:t>
      </w:r>
      <w:r w:rsidR="001C3A9B">
        <w:t>days</w:t>
      </w:r>
      <w:r w:rsidR="00640867">
        <w:t xml:space="preserve"> would provide additional assurance to </w:t>
      </w:r>
      <w:r w:rsidR="00212E30">
        <w:t xml:space="preserve">public </w:t>
      </w:r>
      <w:r w:rsidR="00640867">
        <w:t xml:space="preserve">utility </w:t>
      </w:r>
      <w:r w:rsidR="00212E30">
        <w:t>land</w:t>
      </w:r>
      <w:r w:rsidR="00640867">
        <w:t>owners that they can meet the objection timeframes</w:t>
      </w:r>
      <w:r w:rsidR="00533ED6">
        <w:t>.</w:t>
      </w:r>
    </w:p>
    <w:p w14:paraId="0A22326D" w14:textId="2C18EDAD" w:rsidR="0049386E" w:rsidRDefault="00640867" w:rsidP="0070097D">
      <w:r>
        <w:t>We also seek your views on</w:t>
      </w:r>
      <w:r w:rsidR="001C3A9B">
        <w:t xml:space="preserve"> </w:t>
      </w:r>
      <w:r w:rsidR="00212E30">
        <w:t>alternative</w:t>
      </w:r>
      <w:r w:rsidR="001C3A9B">
        <w:t xml:space="preserve"> options </w:t>
      </w:r>
      <w:r>
        <w:t>that</w:t>
      </w:r>
      <w:r w:rsidR="001C3A9B">
        <w:t xml:space="preserve"> could achieve the same outcome. For example, </w:t>
      </w:r>
      <w:r w:rsidR="00212E30">
        <w:t xml:space="preserve">the following </w:t>
      </w:r>
      <w:r w:rsidR="00B31DC9">
        <w:t xml:space="preserve">activities intended to provide greater interaction and engagement from carriers </w:t>
      </w:r>
      <w:r w:rsidR="00212E30">
        <w:t>could be included in an industry code registered by the ACMA:</w:t>
      </w:r>
    </w:p>
    <w:p w14:paraId="7A941D16" w14:textId="77777777" w:rsidR="0049386E" w:rsidRDefault="0070097D" w:rsidP="00D242A8">
      <w:pPr>
        <w:pStyle w:val="Listparagraphbullets"/>
      </w:pPr>
      <w:r>
        <w:t xml:space="preserve">commit to </w:t>
      </w:r>
      <w:r w:rsidR="00AA45BD">
        <w:t>greater engagement with landowners and occupiers</w:t>
      </w:r>
      <w:r>
        <w:t xml:space="preserve"> in its business practices, and </w:t>
      </w:r>
    </w:p>
    <w:p w14:paraId="1275C357" w14:textId="77777777" w:rsidR="00533ED6" w:rsidRDefault="0070097D" w:rsidP="00D242A8">
      <w:pPr>
        <w:pStyle w:val="Listparagraphbullets"/>
      </w:pPr>
      <w:proofErr w:type="gramStart"/>
      <w:r>
        <w:lastRenderedPageBreak/>
        <w:t>initiate</w:t>
      </w:r>
      <w:proofErr w:type="gramEnd"/>
      <w:r>
        <w:t xml:space="preserve"> or reinstate regular meetings with public</w:t>
      </w:r>
      <w:r w:rsidR="00AA45BD">
        <w:t xml:space="preserve"> utilities and road authorities, in particular,</w:t>
      </w:r>
      <w:r>
        <w:t xml:space="preserve"> to share information about proposed deployments</w:t>
      </w:r>
      <w:r w:rsidR="00533ED6">
        <w:t>.</w:t>
      </w:r>
    </w:p>
    <w:p w14:paraId="4E7601CF" w14:textId="1166090C" w:rsidR="004738D3" w:rsidRDefault="001C3A9B" w:rsidP="0070097D">
      <w:r>
        <w:t>Informal engagement could be as simple as an email or letter outlining the proposed deployment, before the carrier gives a notice in accordance with the Act.</w:t>
      </w:r>
      <w:r>
        <w:rPr>
          <w:rStyle w:val="FootnoteReference"/>
        </w:rPr>
        <w:footnoteReference w:id="9"/>
      </w:r>
    </w:p>
    <w:p w14:paraId="3C3F9008" w14:textId="77777777" w:rsidR="004738D3" w:rsidRPr="002B18A2" w:rsidRDefault="004738D3" w:rsidP="007E38F6">
      <w:pPr>
        <w:pStyle w:val="Heading4"/>
        <w:pBdr>
          <w:top w:val="single" w:sz="4" w:space="1" w:color="auto"/>
          <w:left w:val="single" w:sz="4" w:space="4" w:color="auto"/>
          <w:bottom w:val="single" w:sz="4" w:space="1" w:color="auto"/>
          <w:right w:val="single" w:sz="4" w:space="4" w:color="auto"/>
        </w:pBdr>
        <w:shd w:val="clear" w:color="auto" w:fill="D5DCE4"/>
      </w:pPr>
      <w:bookmarkStart w:id="153" w:name="_Toc47090223"/>
      <w:bookmarkStart w:id="154" w:name="_Toc51084845"/>
      <w:r w:rsidRPr="002B18A2">
        <w:t>Prompt questions</w:t>
      </w:r>
      <w:bookmarkEnd w:id="153"/>
      <w:bookmarkEnd w:id="154"/>
    </w:p>
    <w:p w14:paraId="5BACE13E" w14:textId="258ED538" w:rsidR="00453188" w:rsidRDefault="00453188" w:rsidP="002B18A2">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5DCE4"/>
        <w:ind w:left="567" w:hanging="567"/>
      </w:pPr>
      <w:r>
        <w:t xml:space="preserve">What are the benefits </w:t>
      </w:r>
      <w:r w:rsidR="00F92374">
        <w:t xml:space="preserve">(financial and non-financial) </w:t>
      </w:r>
      <w:r>
        <w:t>of a non-regulatory approach in providing a longer notification timeframes?</w:t>
      </w:r>
    </w:p>
    <w:p w14:paraId="4A0A2FCA" w14:textId="6BEBD3B7" w:rsidR="00F92374" w:rsidRDefault="00F92374" w:rsidP="002B18A2">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5DCE4"/>
        <w:ind w:left="567" w:hanging="567"/>
      </w:pPr>
      <w:r>
        <w:t>What are the benefits (financial and non-financial) of a regulatory approach in providing a longer notification timeframe?</w:t>
      </w:r>
    </w:p>
    <w:p w14:paraId="51260705" w14:textId="7F63DAE4" w:rsidR="0049386E" w:rsidRDefault="0049386E" w:rsidP="002B18A2">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5DCE4"/>
        <w:ind w:left="567" w:hanging="567"/>
      </w:pPr>
      <w:r>
        <w:t>Should longer notification timeframes apply to all landowners, and not be limited to landowners that are public utilities and road authorities?</w:t>
      </w:r>
    </w:p>
    <w:p w14:paraId="7A09889E" w14:textId="79F3DF6F" w:rsidR="0049386E" w:rsidRDefault="0049386E" w:rsidP="002B18A2">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5DCE4"/>
        <w:ind w:left="567" w:hanging="567"/>
      </w:pPr>
      <w:r>
        <w:lastRenderedPageBreak/>
        <w:t>What would be the benefits (financial and non-financial) of providing a longer timeframe for objections to be made to carriers about proposed activities?</w:t>
      </w:r>
    </w:p>
    <w:p w14:paraId="1BCFAA66" w14:textId="67F7EEED" w:rsidR="0049386E" w:rsidRDefault="0049386E" w:rsidP="002B18A2">
      <w:pPr>
        <w:pStyle w:val="ListParagraph"/>
        <w:numPr>
          <w:ilvl w:val="0"/>
          <w:numId w:val="14"/>
        </w:numPr>
        <w:pBdr>
          <w:top w:val="single" w:sz="4" w:space="1" w:color="auto"/>
          <w:left w:val="single" w:sz="4" w:space="4" w:color="auto"/>
          <w:bottom w:val="single" w:sz="4" w:space="1" w:color="auto"/>
          <w:right w:val="single" w:sz="4" w:space="4" w:color="auto"/>
        </w:pBdr>
        <w:shd w:val="clear" w:color="auto" w:fill="D5DCE4"/>
        <w:ind w:left="567" w:hanging="567"/>
      </w:pPr>
      <w:r>
        <w:t>What other factors should be considered when considering whether to extend notification or objection timeframes?</w:t>
      </w:r>
    </w:p>
    <w:p w14:paraId="0D8ADAC7" w14:textId="3E2B4383" w:rsidR="00BF78EB" w:rsidRDefault="00BF78EB" w:rsidP="00431998">
      <w:pPr>
        <w:pStyle w:val="Heading2"/>
        <w:numPr>
          <w:ilvl w:val="0"/>
          <w:numId w:val="15"/>
        </w:numPr>
      </w:pPr>
      <w:bookmarkStart w:id="155" w:name="_Toc45545590"/>
      <w:bookmarkStart w:id="156" w:name="_Toc45642090"/>
      <w:bookmarkStart w:id="157" w:name="_Toc45649106"/>
      <w:bookmarkStart w:id="158" w:name="_Toc45713983"/>
      <w:bookmarkStart w:id="159" w:name="_Toc47090224"/>
      <w:bookmarkStart w:id="160" w:name="_Toc51084846"/>
      <w:r>
        <w:t>Objections and protections</w:t>
      </w:r>
      <w:bookmarkEnd w:id="155"/>
      <w:bookmarkEnd w:id="156"/>
      <w:bookmarkEnd w:id="157"/>
      <w:bookmarkEnd w:id="158"/>
      <w:bookmarkEnd w:id="159"/>
      <w:bookmarkEnd w:id="160"/>
    </w:p>
    <w:p w14:paraId="22F7AF9B" w14:textId="45EE94CC" w:rsidR="0083003E" w:rsidRDefault="0083003E" w:rsidP="00BF78EB">
      <w:r>
        <w:t>It is important that the framework incl</w:t>
      </w:r>
      <w:r w:rsidR="007A2ACA">
        <w:t xml:space="preserve">udes robust </w:t>
      </w:r>
      <w:r>
        <w:t xml:space="preserve">safeguards so that the interests of </w:t>
      </w:r>
      <w:r w:rsidR="00B31DC9">
        <w:t xml:space="preserve">landowners and </w:t>
      </w:r>
      <w:r>
        <w:t>the community are taken into account and protected.</w:t>
      </w:r>
    </w:p>
    <w:p w14:paraId="13188056" w14:textId="728F8043" w:rsidR="00BF78EB" w:rsidRDefault="005F6830" w:rsidP="00431998">
      <w:pPr>
        <w:pStyle w:val="Heading3"/>
        <w:numPr>
          <w:ilvl w:val="0"/>
          <w:numId w:val="16"/>
        </w:numPr>
      </w:pPr>
      <w:bookmarkStart w:id="161" w:name="_Toc45545591"/>
      <w:bookmarkStart w:id="162" w:name="_Toc45642091"/>
      <w:bookmarkStart w:id="163" w:name="_Toc45649107"/>
      <w:bookmarkStart w:id="164" w:name="_Toc45713984"/>
      <w:bookmarkStart w:id="165" w:name="_Toc47090225"/>
      <w:bookmarkStart w:id="166" w:name="_Toc51084847"/>
      <w:r>
        <w:t>Clarifying the objections process for landowners</w:t>
      </w:r>
      <w:bookmarkEnd w:id="161"/>
      <w:bookmarkEnd w:id="162"/>
      <w:bookmarkEnd w:id="163"/>
      <w:bookmarkEnd w:id="164"/>
      <w:bookmarkEnd w:id="165"/>
      <w:bookmarkEnd w:id="166"/>
    </w:p>
    <w:p w14:paraId="2E003178" w14:textId="77777777" w:rsidR="0083003E" w:rsidRDefault="0083003E" w:rsidP="00E80469">
      <w:pPr>
        <w:pStyle w:val="Heading4"/>
      </w:pPr>
      <w:bookmarkStart w:id="167" w:name="_Toc47090226"/>
      <w:bookmarkStart w:id="168" w:name="_Toc51084848"/>
      <w:r>
        <w:t>Issue</w:t>
      </w:r>
      <w:bookmarkEnd w:id="167"/>
      <w:bookmarkEnd w:id="168"/>
    </w:p>
    <w:p w14:paraId="32C7D116" w14:textId="77777777" w:rsidR="00533ED6" w:rsidRDefault="00436A63" w:rsidP="0083003E">
      <w:r>
        <w:t>The</w:t>
      </w:r>
      <w:r w:rsidR="00F759D5">
        <w:t xml:space="preserve"> Powers and Immunities Reference Group identified the need for </w:t>
      </w:r>
      <w:r>
        <w:t>more detailed</w:t>
      </w:r>
      <w:r w:rsidR="0083003E" w:rsidRPr="00B43EC0">
        <w:t xml:space="preserve"> information to be provided regarding landowners’ rights and grounds for objection to a proposed activity.</w:t>
      </w:r>
      <w:r w:rsidR="00F759D5">
        <w:t xml:space="preserve"> Consistent, accurate information is necessary to facilitate landowners’ rights to natural justice</w:t>
      </w:r>
      <w:r w:rsidR="00533ED6">
        <w:t>.</w:t>
      </w:r>
    </w:p>
    <w:p w14:paraId="5825E64F" w14:textId="4AD39A00" w:rsidR="0083003E" w:rsidRDefault="0083003E" w:rsidP="0022133B">
      <w:pPr>
        <w:pStyle w:val="Heading4"/>
      </w:pPr>
      <w:bookmarkStart w:id="169" w:name="_Toc47090227"/>
      <w:bookmarkStart w:id="170" w:name="_Toc51084849"/>
      <w:r>
        <w:lastRenderedPageBreak/>
        <w:t>Proposal</w:t>
      </w:r>
      <w:bookmarkEnd w:id="169"/>
      <w:bookmarkEnd w:id="170"/>
    </w:p>
    <w:p w14:paraId="25DB4808" w14:textId="77777777" w:rsidR="00533ED6" w:rsidRDefault="00AA7EF3" w:rsidP="0083003E">
      <w:r>
        <w:t>We seek your views on whether the current notice requirements under the</w:t>
      </w:r>
      <w:r w:rsidR="0083003E">
        <w:t xml:space="preserve"> </w:t>
      </w:r>
      <w:r w:rsidR="00F759D5">
        <w:t xml:space="preserve">Code of Practice </w:t>
      </w:r>
      <w:r>
        <w:t>provide enough clear information on the</w:t>
      </w:r>
      <w:r w:rsidR="0083003E">
        <w:t xml:space="preserve"> o</w:t>
      </w:r>
      <w:r w:rsidR="00F759D5">
        <w:t xml:space="preserve">bjection processes. Analysis of notices given by </w:t>
      </w:r>
      <w:proofErr w:type="gramStart"/>
      <w:r w:rsidR="00F759D5">
        <w:t>carriers</w:t>
      </w:r>
      <w:proofErr w:type="gramEnd"/>
      <w:r w:rsidR="00F759D5">
        <w:t xml:space="preserve"> shows that </w:t>
      </w:r>
      <w:r>
        <w:t xml:space="preserve">Code of Practice </w:t>
      </w:r>
      <w:r w:rsidR="00F759D5">
        <w:t>requirement</w:t>
      </w:r>
      <w:r>
        <w:t>s</w:t>
      </w:r>
      <w:r w:rsidR="00F759D5">
        <w:t xml:space="preserve"> </w:t>
      </w:r>
      <w:r>
        <w:t>are</w:t>
      </w:r>
      <w:r w:rsidR="00F759D5">
        <w:t xml:space="preserve"> being </w:t>
      </w:r>
      <w:r w:rsidR="00E91F92">
        <w:t>met</w:t>
      </w:r>
      <w:r w:rsidR="00F759D5">
        <w:t xml:space="preserve">, yet landowners and occupiers </w:t>
      </w:r>
      <w:r>
        <w:t xml:space="preserve">remain </w:t>
      </w:r>
      <w:r w:rsidR="00E91F92">
        <w:t>concerned</w:t>
      </w:r>
      <w:r w:rsidR="00F759D5">
        <w:t xml:space="preserve"> that </w:t>
      </w:r>
      <w:r w:rsidR="00E91F92">
        <w:t xml:space="preserve">the </w:t>
      </w:r>
      <w:r>
        <w:t xml:space="preserve">information in the </w:t>
      </w:r>
      <w:r w:rsidR="00E91F92">
        <w:t xml:space="preserve">notice does not </w:t>
      </w:r>
      <w:r w:rsidR="00F759D5">
        <w:t xml:space="preserve">provide necessary guidance </w:t>
      </w:r>
      <w:r w:rsidR="00E91F92">
        <w:t>about the</w:t>
      </w:r>
      <w:r w:rsidR="00F759D5">
        <w:t xml:space="preserve"> objection process</w:t>
      </w:r>
      <w:r w:rsidR="00533ED6">
        <w:t>.</w:t>
      </w:r>
    </w:p>
    <w:p w14:paraId="56D01E0E" w14:textId="77777777" w:rsidR="00533ED6" w:rsidRDefault="00E91F92" w:rsidP="00BF78EB">
      <w:r>
        <w:t>F</w:t>
      </w:r>
      <w:r w:rsidR="0083003E">
        <w:t xml:space="preserve">actsheets about the powers and immunities framework </w:t>
      </w:r>
      <w:r>
        <w:t xml:space="preserve">could be developed including information about the objections processes. Factsheets could be developed </w:t>
      </w:r>
      <w:r w:rsidR="0083003E">
        <w:t xml:space="preserve">for different audiences, </w:t>
      </w:r>
      <w:r>
        <w:t xml:space="preserve">such as </w:t>
      </w:r>
      <w:r w:rsidR="0083003E">
        <w:t xml:space="preserve">landowners, councils and the community, </w:t>
      </w:r>
      <w:r>
        <w:t xml:space="preserve">and </w:t>
      </w:r>
      <w:r w:rsidR="00F759D5">
        <w:t>made available in a number of ways</w:t>
      </w:r>
      <w:r>
        <w:t>.</w:t>
      </w:r>
      <w:r w:rsidR="00F759D5">
        <w:t xml:space="preserve"> </w:t>
      </w:r>
      <w:r>
        <w:t>For example, c</w:t>
      </w:r>
      <w:r w:rsidR="00F759D5">
        <w:t xml:space="preserve">arriers could include a reference </w:t>
      </w:r>
      <w:r>
        <w:t xml:space="preserve">or link </w:t>
      </w:r>
      <w:r w:rsidR="00F759D5">
        <w:t>to the factsheets in the notice given to the landowner or occupier</w:t>
      </w:r>
      <w:r w:rsidR="00533ED6">
        <w:t>.</w:t>
      </w:r>
    </w:p>
    <w:p w14:paraId="71C90ADE" w14:textId="68671CFE" w:rsidR="004738D3" w:rsidRPr="002B18A2" w:rsidRDefault="004738D3" w:rsidP="007E38F6">
      <w:pPr>
        <w:pStyle w:val="Heading4"/>
        <w:pBdr>
          <w:top w:val="single" w:sz="4" w:space="1" w:color="auto"/>
          <w:left w:val="single" w:sz="4" w:space="4" w:color="auto"/>
          <w:bottom w:val="single" w:sz="4" w:space="1" w:color="auto"/>
          <w:right w:val="single" w:sz="4" w:space="4" w:color="auto"/>
        </w:pBdr>
        <w:shd w:val="clear" w:color="auto" w:fill="D5DCE4"/>
      </w:pPr>
      <w:bookmarkStart w:id="171" w:name="_Toc47090228"/>
      <w:bookmarkStart w:id="172" w:name="_Toc51084850"/>
      <w:r w:rsidRPr="002B18A2">
        <w:t>Prompt questions</w:t>
      </w:r>
      <w:bookmarkEnd w:id="171"/>
      <w:bookmarkEnd w:id="172"/>
    </w:p>
    <w:p w14:paraId="437B1B9F" w14:textId="59D53163" w:rsidR="004C40EC" w:rsidRDefault="004C40EC" w:rsidP="002B18A2">
      <w:pPr>
        <w:pStyle w:val="ListParagraph"/>
        <w:numPr>
          <w:ilvl w:val="0"/>
          <w:numId w:val="32"/>
        </w:numPr>
        <w:pBdr>
          <w:top w:val="single" w:sz="4" w:space="1" w:color="auto"/>
          <w:left w:val="single" w:sz="4" w:space="4" w:color="auto"/>
          <w:bottom w:val="single" w:sz="4" w:space="1" w:color="auto"/>
          <w:right w:val="single" w:sz="4" w:space="4" w:color="auto"/>
        </w:pBdr>
        <w:shd w:val="clear" w:color="auto" w:fill="D5DCE4"/>
        <w:ind w:left="567" w:hanging="567"/>
      </w:pPr>
      <w:r>
        <w:t>Is the objections process as set out in the Code of Practice clear and easily understood by landowners and occupiers? If no, what parts of the process need further explanation?</w:t>
      </w:r>
    </w:p>
    <w:p w14:paraId="74A9DF17" w14:textId="77777777" w:rsidR="00AA7EF3" w:rsidRDefault="004C40EC" w:rsidP="002B18A2">
      <w:pPr>
        <w:pStyle w:val="ListParagraph"/>
        <w:pBdr>
          <w:top w:val="single" w:sz="4" w:space="1" w:color="auto"/>
          <w:left w:val="single" w:sz="4" w:space="4" w:color="auto"/>
          <w:bottom w:val="single" w:sz="4" w:space="1" w:color="auto"/>
          <w:right w:val="single" w:sz="4" w:space="4" w:color="auto"/>
        </w:pBdr>
        <w:shd w:val="clear" w:color="auto" w:fill="D5DCE4"/>
      </w:pPr>
      <w:r>
        <w:t xml:space="preserve">Does </w:t>
      </w:r>
      <w:r w:rsidR="007041D3">
        <w:t xml:space="preserve">the information </w:t>
      </w:r>
      <w:r>
        <w:t>provided by carriers when giving notice of a proposed activity outline the objections process, or only the first step, that is, to make the objection in writing to the carrier?</w:t>
      </w:r>
    </w:p>
    <w:p w14:paraId="1489297A" w14:textId="62C1FC2F" w:rsidR="007041D3" w:rsidRDefault="007041D3" w:rsidP="002B18A2">
      <w:pPr>
        <w:pStyle w:val="ListParagraph"/>
        <w:pBdr>
          <w:top w:val="single" w:sz="4" w:space="1" w:color="auto"/>
          <w:left w:val="single" w:sz="4" w:space="4" w:color="auto"/>
          <w:bottom w:val="single" w:sz="4" w:space="1" w:color="auto"/>
          <w:right w:val="single" w:sz="4" w:space="4" w:color="auto"/>
        </w:pBdr>
        <w:shd w:val="clear" w:color="auto" w:fill="D5DCE4"/>
      </w:pPr>
      <w:r>
        <w:lastRenderedPageBreak/>
        <w:t>How could th</w:t>
      </w:r>
      <w:r w:rsidR="00AA7EF3">
        <w:t>e objection</w:t>
      </w:r>
      <w:r>
        <w:t xml:space="preserve"> process be better communicated to </w:t>
      </w:r>
      <w:r w:rsidR="00E91F92">
        <w:t>landowners and occupiers</w:t>
      </w:r>
      <w:r>
        <w:t>?</w:t>
      </w:r>
    </w:p>
    <w:p w14:paraId="23CB6AF3" w14:textId="61143775" w:rsidR="005F6830" w:rsidRDefault="005F6830" w:rsidP="00431998">
      <w:pPr>
        <w:pStyle w:val="Heading3"/>
        <w:numPr>
          <w:ilvl w:val="0"/>
          <w:numId w:val="16"/>
        </w:numPr>
      </w:pPr>
      <w:bookmarkStart w:id="173" w:name="_Toc45545592"/>
      <w:bookmarkStart w:id="174" w:name="_Toc45642092"/>
      <w:bookmarkStart w:id="175" w:name="_Toc45649108"/>
      <w:bookmarkStart w:id="176" w:name="_Toc45713985"/>
      <w:bookmarkStart w:id="177" w:name="_Toc47090229"/>
      <w:bookmarkStart w:id="178" w:name="_Toc51084851"/>
      <w:r>
        <w:t>Allowing carriers to refer objections to the TIO</w:t>
      </w:r>
      <w:bookmarkEnd w:id="173"/>
      <w:bookmarkEnd w:id="174"/>
      <w:bookmarkEnd w:id="175"/>
      <w:bookmarkEnd w:id="176"/>
      <w:bookmarkEnd w:id="177"/>
      <w:bookmarkEnd w:id="178"/>
    </w:p>
    <w:p w14:paraId="4DD2B75B" w14:textId="77777777" w:rsidR="005F6830" w:rsidRDefault="000839E7" w:rsidP="00E80469">
      <w:pPr>
        <w:pStyle w:val="Heading4"/>
      </w:pPr>
      <w:bookmarkStart w:id="179" w:name="_Toc47090230"/>
      <w:bookmarkStart w:id="180" w:name="_Toc51084852"/>
      <w:r>
        <w:t>Issue</w:t>
      </w:r>
      <w:bookmarkEnd w:id="179"/>
      <w:bookmarkEnd w:id="180"/>
    </w:p>
    <w:p w14:paraId="59542B0D" w14:textId="77777777" w:rsidR="00533ED6" w:rsidRDefault="000839E7" w:rsidP="000839E7">
      <w:r w:rsidRPr="00B43EC0">
        <w:t xml:space="preserve">The </w:t>
      </w:r>
      <w:r w:rsidR="00F759D5">
        <w:t xml:space="preserve">objections process </w:t>
      </w:r>
      <w:r w:rsidR="00E453EF">
        <w:t xml:space="preserve">set out in the Code of Practice </w:t>
      </w:r>
      <w:r w:rsidRPr="00B43EC0">
        <w:t xml:space="preserve">provides a complaint can only be referred to the </w:t>
      </w:r>
      <w:r w:rsidR="00F759D5">
        <w:t>Telecommunications Industry Ombudsman (</w:t>
      </w:r>
      <w:r w:rsidRPr="00B43EC0">
        <w:t>TIO</w:t>
      </w:r>
      <w:r w:rsidR="00F759D5">
        <w:t>)</w:t>
      </w:r>
      <w:r w:rsidRPr="00B43EC0">
        <w:t xml:space="preserve"> </w:t>
      </w:r>
      <w:r>
        <w:t xml:space="preserve">by a carrier </w:t>
      </w:r>
      <w:r w:rsidRPr="00B43EC0">
        <w:t>where a landowner has made a request</w:t>
      </w:r>
      <w:r>
        <w:t xml:space="preserve"> for the carrier to do so</w:t>
      </w:r>
      <w:r w:rsidR="00533ED6">
        <w:t>.</w:t>
      </w:r>
    </w:p>
    <w:p w14:paraId="3BAC227C" w14:textId="091DDA81" w:rsidR="00F759D5" w:rsidRDefault="00F759D5" w:rsidP="000839E7">
      <w:r>
        <w:t xml:space="preserve">Carriers are seeking a regulatory change that would allow carriers to refer objections to the TIO for resolution without waiting for a landowner to request the objection be referred. Such referrals would occur in cases where carriers consider it is unlikely to resolve matters directly with the landowner or occupier who are objecting to the proposed activity. </w:t>
      </w:r>
      <w:r w:rsidR="00FA075E" w:rsidRPr="00EE2DD1">
        <w:t xml:space="preserve">This proposal was </w:t>
      </w:r>
      <w:r w:rsidR="00AA7EF3">
        <w:t xml:space="preserve">endorsed by the </w:t>
      </w:r>
      <w:r w:rsidR="00FA075E" w:rsidRPr="00EE2DD1">
        <w:t>Powers and Immunities Reference Group</w:t>
      </w:r>
      <w:r w:rsidR="00B6212F" w:rsidRPr="00B6212F">
        <w:t xml:space="preserve"> </w:t>
      </w:r>
      <w:r w:rsidR="00B6212F" w:rsidRPr="000D7F8A">
        <w:t>which</w:t>
      </w:r>
      <w:r w:rsidR="00FA075E">
        <w:t xml:space="preserve"> noted that t</w:t>
      </w:r>
      <w:r w:rsidR="006045DD">
        <w:t>he cost to resolve disputes via the TIO are borne by the carrier, regardless of who refers the dispute, so there would remain an incentive for carriers to attempt to resolve disputes within t</w:t>
      </w:r>
      <w:r w:rsidR="002B18A2">
        <w:t>he existing objections process.</w:t>
      </w:r>
    </w:p>
    <w:p w14:paraId="16C8C3F9" w14:textId="77777777" w:rsidR="000839E7" w:rsidRDefault="000839E7" w:rsidP="0022133B">
      <w:pPr>
        <w:pStyle w:val="Heading4"/>
      </w:pPr>
      <w:bookmarkStart w:id="181" w:name="_Toc47090231"/>
      <w:bookmarkStart w:id="182" w:name="_Toc51084853"/>
      <w:r>
        <w:lastRenderedPageBreak/>
        <w:t>Proposal</w:t>
      </w:r>
      <w:bookmarkEnd w:id="181"/>
      <w:bookmarkEnd w:id="182"/>
    </w:p>
    <w:p w14:paraId="2F12D23E" w14:textId="1B5280A6" w:rsidR="000839E7" w:rsidRPr="00B6212F" w:rsidRDefault="00AA7EF3" w:rsidP="000839E7">
      <w:r>
        <w:t>We seek your feedback on whether the</w:t>
      </w:r>
      <w:r w:rsidR="000839E7" w:rsidRPr="00B43EC0">
        <w:t xml:space="preserve"> Code of Practice</w:t>
      </w:r>
      <w:r w:rsidR="000839E7">
        <w:t xml:space="preserve"> </w:t>
      </w:r>
      <w:r>
        <w:t>should be</w:t>
      </w:r>
      <w:r w:rsidR="000839E7">
        <w:t xml:space="preserve"> amended</w:t>
      </w:r>
      <w:r w:rsidR="000839E7" w:rsidRPr="00B43EC0">
        <w:t xml:space="preserve"> to </w:t>
      </w:r>
      <w:r w:rsidR="00B6212F">
        <w:t xml:space="preserve">allow carriers to refer objections directly to the TIO. The inclusion of such a clause would mean that both </w:t>
      </w:r>
      <w:r w:rsidR="000839E7" w:rsidRPr="00B43EC0">
        <w:t>parties</w:t>
      </w:r>
      <w:r w:rsidR="00B6212F">
        <w:t xml:space="preserve"> to the notification process</w:t>
      </w:r>
      <w:r w:rsidR="000839E7" w:rsidRPr="00B43EC0">
        <w:t>—carriers</w:t>
      </w:r>
      <w:r w:rsidR="00B6212F">
        <w:t xml:space="preserve"> </w:t>
      </w:r>
      <w:r w:rsidR="00B6212F" w:rsidRPr="00B6212F">
        <w:t xml:space="preserve">and </w:t>
      </w:r>
      <w:r w:rsidR="000839E7" w:rsidRPr="00B6212F">
        <w:t>landowners and occupiers—</w:t>
      </w:r>
      <w:r w:rsidR="00B6212F" w:rsidRPr="000D7F8A">
        <w:t xml:space="preserve">are able </w:t>
      </w:r>
      <w:r w:rsidR="000839E7" w:rsidRPr="00B43EC0">
        <w:t>to refer objections to the TIO for resolution.</w:t>
      </w:r>
    </w:p>
    <w:p w14:paraId="01D5347E" w14:textId="77777777" w:rsidR="00533ED6" w:rsidRDefault="00E453EF" w:rsidP="000839E7">
      <w:r w:rsidRPr="00EE2DD1">
        <w:t>In its feedback to the 2017 consultation process, the TIO suggested that existing clauses in the Code of Practice requiring a carrier to lodge an objection after receiving a request from a landowner or occupier</w:t>
      </w:r>
      <w:r w:rsidR="00B6212F" w:rsidRPr="00EE2DD1">
        <w:t xml:space="preserve"> to do so</w:t>
      </w:r>
      <w:r w:rsidRPr="00EE2DD1">
        <w:t xml:space="preserve"> could be strengthened by including a deadline for a carrier to lodge the objection</w:t>
      </w:r>
      <w:r w:rsidR="00FA075E" w:rsidRPr="00EE2DD1">
        <w:t>.</w:t>
      </w:r>
      <w:r w:rsidRPr="00EE2DD1">
        <w:rPr>
          <w:rStyle w:val="FootnoteReference"/>
        </w:rPr>
        <w:footnoteReference w:id="10"/>
      </w:r>
      <w:r w:rsidRPr="00EE2DD1">
        <w:t xml:space="preserve"> </w:t>
      </w:r>
      <w:r w:rsidR="00B6212F" w:rsidRPr="00EE2DD1">
        <w:t xml:space="preserve">The TIO submission did not provide an indicative timeframe for such a deadline, however </w:t>
      </w:r>
      <w:r w:rsidR="00AA7EF3">
        <w:t>we are interested in stakeholder views on what timeframes</w:t>
      </w:r>
      <w:r w:rsidR="006F2FF6">
        <w:t>, if any,</w:t>
      </w:r>
      <w:r w:rsidR="00AA7EF3">
        <w:t xml:space="preserve"> would be useful</w:t>
      </w:r>
      <w:r w:rsidR="00533ED6">
        <w:t>.</w:t>
      </w:r>
    </w:p>
    <w:p w14:paraId="14B67AB4" w14:textId="0D0487AA" w:rsidR="00453188" w:rsidRPr="002B18A2" w:rsidRDefault="0037626C" w:rsidP="007E38F6">
      <w:pPr>
        <w:pStyle w:val="Heading4"/>
        <w:pBdr>
          <w:top w:val="single" w:sz="4" w:space="1" w:color="auto"/>
          <w:left w:val="single" w:sz="4" w:space="4" w:color="auto"/>
          <w:bottom w:val="single" w:sz="4" w:space="1" w:color="auto"/>
          <w:right w:val="single" w:sz="4" w:space="4" w:color="auto"/>
        </w:pBdr>
        <w:shd w:val="clear" w:color="auto" w:fill="D5DCE4"/>
      </w:pPr>
      <w:bookmarkStart w:id="183" w:name="_Toc47090232"/>
      <w:bookmarkStart w:id="184" w:name="_Toc51084854"/>
      <w:r w:rsidRPr="002B18A2">
        <w:lastRenderedPageBreak/>
        <w:t>Prompt questions</w:t>
      </w:r>
      <w:bookmarkEnd w:id="183"/>
      <w:bookmarkEnd w:id="184"/>
    </w:p>
    <w:p w14:paraId="1BE6300F" w14:textId="7C574608" w:rsidR="00453188" w:rsidRDefault="0037626C" w:rsidP="002B18A2">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D5DCE4"/>
        <w:ind w:left="567" w:hanging="567"/>
      </w:pPr>
      <w:r>
        <w:t>What benefits or disadvantages are there in including a carrier as a party that can initiate dispute resolution with the TIO?</w:t>
      </w:r>
    </w:p>
    <w:p w14:paraId="42B0E01E" w14:textId="77777777" w:rsidR="0037626C" w:rsidRPr="00B43EC0" w:rsidRDefault="0037626C" w:rsidP="002B18A2">
      <w:pPr>
        <w:pStyle w:val="ListParagraph"/>
        <w:numPr>
          <w:ilvl w:val="0"/>
          <w:numId w:val="18"/>
        </w:numPr>
        <w:pBdr>
          <w:top w:val="single" w:sz="4" w:space="1" w:color="auto"/>
          <w:left w:val="single" w:sz="4" w:space="4" w:color="auto"/>
          <w:bottom w:val="single" w:sz="4" w:space="1" w:color="auto"/>
          <w:right w:val="single" w:sz="4" w:space="4" w:color="auto"/>
        </w:pBdr>
        <w:shd w:val="clear" w:color="auto" w:fill="D5DCE4"/>
        <w:ind w:left="567" w:hanging="567"/>
      </w:pPr>
      <w:r>
        <w:t>To what extent would this inclusion increase, or decrease</w:t>
      </w:r>
      <w:r w:rsidR="008B2EDE">
        <w:t>,</w:t>
      </w:r>
      <w:r>
        <w:t xml:space="preserve"> the financial and non-financial burden on carriers or landowners during a dispute?</w:t>
      </w:r>
    </w:p>
    <w:p w14:paraId="36D9AF15" w14:textId="0379F5D9" w:rsidR="00FA075E" w:rsidRDefault="00FA075E" w:rsidP="002B18A2">
      <w:pPr>
        <w:pStyle w:val="ListParagraph"/>
        <w:pBdr>
          <w:top w:val="single" w:sz="4" w:space="1" w:color="auto"/>
          <w:left w:val="single" w:sz="4" w:space="4" w:color="auto"/>
          <w:bottom w:val="single" w:sz="4" w:space="1" w:color="auto"/>
          <w:right w:val="single" w:sz="4" w:space="4" w:color="auto"/>
        </w:pBdr>
        <w:shd w:val="clear" w:color="auto" w:fill="D5DCE4"/>
      </w:pPr>
      <w:r>
        <w:t>What financial or non-financial burden, if any, would the inclusion of a deadline on carriers to lodge an objection with the TIO have?</w:t>
      </w:r>
    </w:p>
    <w:p w14:paraId="014990CE" w14:textId="7888F377" w:rsidR="00B6212F" w:rsidRDefault="00B6212F" w:rsidP="002B18A2">
      <w:pPr>
        <w:pStyle w:val="ListParagraph"/>
        <w:pBdr>
          <w:top w:val="single" w:sz="4" w:space="1" w:color="auto"/>
          <w:left w:val="single" w:sz="4" w:space="4" w:color="auto"/>
          <w:bottom w:val="single" w:sz="4" w:space="1" w:color="auto"/>
          <w:right w:val="single" w:sz="4" w:space="4" w:color="auto"/>
        </w:pBdr>
        <w:shd w:val="clear" w:color="auto" w:fill="D5DCE4"/>
      </w:pPr>
      <w:r>
        <w:t>If there is support for the proposal to include a deadline on carriers to lodge an objection with the TIO, what timeframe should apply?</w:t>
      </w:r>
    </w:p>
    <w:p w14:paraId="00186381" w14:textId="60BE3CCD" w:rsidR="005F6830" w:rsidRDefault="005F6830" w:rsidP="00431998">
      <w:pPr>
        <w:pStyle w:val="Heading3"/>
        <w:numPr>
          <w:ilvl w:val="0"/>
          <w:numId w:val="16"/>
        </w:numPr>
      </w:pPr>
      <w:bookmarkStart w:id="185" w:name="_Toc45545593"/>
      <w:bookmarkStart w:id="186" w:name="_Toc45642093"/>
      <w:bookmarkStart w:id="187" w:name="_Toc45649109"/>
      <w:bookmarkStart w:id="188" w:name="_Toc45713986"/>
      <w:bookmarkStart w:id="189" w:name="_Toc47090233"/>
      <w:bookmarkStart w:id="190" w:name="_Toc51084855"/>
      <w:r>
        <w:t>Removal of redundant equipment</w:t>
      </w:r>
      <w:bookmarkEnd w:id="185"/>
      <w:bookmarkEnd w:id="186"/>
      <w:bookmarkEnd w:id="187"/>
      <w:bookmarkEnd w:id="188"/>
      <w:bookmarkEnd w:id="189"/>
      <w:bookmarkEnd w:id="190"/>
    </w:p>
    <w:p w14:paraId="42ADEA36" w14:textId="77777777" w:rsidR="005F6830" w:rsidRDefault="00B25CBB" w:rsidP="00E80469">
      <w:pPr>
        <w:pStyle w:val="Heading4"/>
      </w:pPr>
      <w:bookmarkStart w:id="191" w:name="_Toc47090234"/>
      <w:bookmarkStart w:id="192" w:name="_Toc51084856"/>
      <w:r>
        <w:t>Issue</w:t>
      </w:r>
      <w:bookmarkEnd w:id="191"/>
      <w:bookmarkEnd w:id="192"/>
    </w:p>
    <w:p w14:paraId="47C55174" w14:textId="77777777" w:rsidR="00533ED6" w:rsidRDefault="00B25CBB" w:rsidP="004B338A">
      <w:r w:rsidRPr="00B43EC0">
        <w:t xml:space="preserve">Redundant equipment is any part of a telecommunications </w:t>
      </w:r>
      <w:r w:rsidR="006045DD">
        <w:t xml:space="preserve">or radiocommunications </w:t>
      </w:r>
      <w:r w:rsidRPr="00B43EC0">
        <w:t xml:space="preserve">network that is no longer used to deliver </w:t>
      </w:r>
      <w:r w:rsidR="006045DD">
        <w:t>a service</w:t>
      </w:r>
      <w:r w:rsidRPr="00B43EC0">
        <w:t>,</w:t>
      </w:r>
      <w:r w:rsidR="006045DD">
        <w:t xml:space="preserve"> and</w:t>
      </w:r>
      <w:r w:rsidRPr="00B43EC0">
        <w:t xml:space="preserve"> is not likely to be used to deliver services in the future.</w:t>
      </w:r>
      <w:r w:rsidR="006045DD">
        <w:t xml:space="preserve"> </w:t>
      </w:r>
      <w:r w:rsidR="004B338A">
        <w:t xml:space="preserve">The </w:t>
      </w:r>
      <w:r w:rsidR="004B338A" w:rsidRPr="00D67F07">
        <w:rPr>
          <w:i/>
        </w:rPr>
        <w:t xml:space="preserve">Mobile </w:t>
      </w:r>
      <w:r w:rsidR="004B338A" w:rsidRPr="00D67F07">
        <w:rPr>
          <w:i/>
        </w:rPr>
        <w:lastRenderedPageBreak/>
        <w:t>Base Station Deployment</w:t>
      </w:r>
      <w:r w:rsidR="004B338A">
        <w:rPr>
          <w:i/>
        </w:rPr>
        <w:t xml:space="preserve"> Code</w:t>
      </w:r>
      <w:r w:rsidR="004B338A" w:rsidRPr="00D67F07">
        <w:rPr>
          <w:i/>
        </w:rPr>
        <w:t xml:space="preserve"> C564:2018</w:t>
      </w:r>
      <w:r w:rsidR="004B338A">
        <w:t xml:space="preserve"> (the Deployment Code) includes a requirement for carriers to make sure that equipment no longer in service does not transmit, or is removed</w:t>
      </w:r>
      <w:r w:rsidR="00533ED6">
        <w:t>.</w:t>
      </w:r>
    </w:p>
    <w:p w14:paraId="24FEE2C0" w14:textId="6B4B6DEF" w:rsidR="00B25CBB" w:rsidRPr="00B43EC0" w:rsidRDefault="006045DD" w:rsidP="00B25CBB">
      <w:r>
        <w:t xml:space="preserve">Although the extent of the problem has not yet been established, there is some evidence that redundant equipment has been </w:t>
      </w:r>
      <w:r w:rsidR="004B338A">
        <w:t xml:space="preserve">turned off, yet </w:t>
      </w:r>
      <w:r>
        <w:t>left in situ on the infrastructure and assets of landowners and occupiers.</w:t>
      </w:r>
    </w:p>
    <w:p w14:paraId="614DABA7" w14:textId="7DF57218" w:rsidR="00B25CBB" w:rsidRPr="00B43EC0" w:rsidRDefault="00B25CBB" w:rsidP="004B338A">
      <w:r w:rsidRPr="00B43EC0">
        <w:t>The presence of redundant equipment has a range of effects on different landowners and may make the management of critical infrastructure more difficult for operators of public utilities. It can also have a visual impact and occupy space that could otherwise be used by other operators, causing competition issues.</w:t>
      </w:r>
    </w:p>
    <w:p w14:paraId="3A2E1361" w14:textId="68FB7CD3" w:rsidR="00D67F07" w:rsidRDefault="000D7F8A" w:rsidP="0022133B">
      <w:pPr>
        <w:keepNext/>
        <w:keepLines/>
      </w:pPr>
      <w:r>
        <w:lastRenderedPageBreak/>
        <w:t>The</w:t>
      </w:r>
      <w:r w:rsidR="00D67F07">
        <w:t xml:space="preserve"> Powers and Immunities Reference Group identified the need for policy reform to be considered that would require carriers to remove redundant equipment from infrastructure. Utilities providers also made the case for this reform in the Standing Committee on Communications and the Arts’ Inquiry into 5G in Australia.</w:t>
      </w:r>
      <w:r w:rsidR="00D67F07">
        <w:rPr>
          <w:rStyle w:val="FootnoteReference"/>
        </w:rPr>
        <w:footnoteReference w:id="11"/>
      </w:r>
      <w:r w:rsidR="00D67F07">
        <w:t xml:space="preserve"> In its final report, the Committee made the following recommendation:</w:t>
      </w:r>
    </w:p>
    <w:p w14:paraId="668FC387" w14:textId="77777777" w:rsidR="00533ED6" w:rsidRDefault="00D67F07" w:rsidP="00D67F07">
      <w:pPr>
        <w:pStyle w:val="Quote"/>
      </w:pPr>
      <w:r>
        <w:t>The Committee recommends that the Australian Government facilitate discussions between carriers, network operators and utility and infrastructure owners for managing redundant and/or ageing telecommunications equipment</w:t>
      </w:r>
      <w:r w:rsidR="00533ED6">
        <w:t>.</w:t>
      </w:r>
    </w:p>
    <w:p w14:paraId="7BBEFF94" w14:textId="77D2A1A2" w:rsidR="00B25CBB" w:rsidRDefault="00B25CBB" w:rsidP="00B25CBB">
      <w:r w:rsidRPr="00B43EC0">
        <w:t>Regardless of whether the facility is operating or not, it is an offence under s</w:t>
      </w:r>
      <w:r w:rsidR="006045DD">
        <w:t xml:space="preserve">ection </w:t>
      </w:r>
      <w:r w:rsidRPr="00B43EC0">
        <w:t xml:space="preserve">474.6 of the </w:t>
      </w:r>
      <w:r w:rsidRPr="00B43EC0">
        <w:rPr>
          <w:i/>
        </w:rPr>
        <w:t>Criminal Code</w:t>
      </w:r>
      <w:r w:rsidR="00D67F07">
        <w:rPr>
          <w:i/>
        </w:rPr>
        <w:t xml:space="preserve"> Act</w:t>
      </w:r>
      <w:r w:rsidRPr="00B43EC0">
        <w:rPr>
          <w:i/>
        </w:rPr>
        <w:t xml:space="preserve"> 1995</w:t>
      </w:r>
      <w:r w:rsidRPr="00B43EC0">
        <w:t xml:space="preserve"> to tamper or interfere with a facility owned or operated by a carrier. As such, landowners and occupiers are unable to remove or relocate a </w:t>
      </w:r>
      <w:r w:rsidR="00D67F07">
        <w:t xml:space="preserve">redundant </w:t>
      </w:r>
      <w:r w:rsidRPr="00B43EC0">
        <w:t>telecommunications facility without seeking prior consent from the carrier that owns the facility, except in very limited circumstances (such as a serious emergency).</w:t>
      </w:r>
    </w:p>
    <w:p w14:paraId="695FCFC4" w14:textId="77777777" w:rsidR="00B25CBB" w:rsidRDefault="00B25CBB" w:rsidP="00F110DE">
      <w:pPr>
        <w:pStyle w:val="Heading4"/>
      </w:pPr>
      <w:bookmarkStart w:id="193" w:name="_Toc47090235"/>
      <w:bookmarkStart w:id="194" w:name="_Toc51084857"/>
      <w:r>
        <w:lastRenderedPageBreak/>
        <w:t>Proposal</w:t>
      </w:r>
      <w:bookmarkEnd w:id="193"/>
      <w:bookmarkEnd w:id="194"/>
    </w:p>
    <w:p w14:paraId="08F8ECA3" w14:textId="77777777" w:rsidR="00533ED6" w:rsidRDefault="00AA7EF3" w:rsidP="00B25CBB">
      <w:r>
        <w:t xml:space="preserve">We seek your views on how prevalent the problem of redundant equipment </w:t>
      </w:r>
      <w:r w:rsidR="002C1B3C">
        <w:t>is</w:t>
      </w:r>
      <w:r>
        <w:t>, and what issues this equipment causes your business practice</w:t>
      </w:r>
      <w:r w:rsidR="00533ED6">
        <w:t>.</w:t>
      </w:r>
    </w:p>
    <w:p w14:paraId="5DEF1C8B" w14:textId="77777777" w:rsidR="00533ED6" w:rsidRDefault="00AA7EF3" w:rsidP="00891D89">
      <w:r>
        <w:t>If stakeholder feedback indicates this is a systemic problem, then a</w:t>
      </w:r>
      <w:r w:rsidR="004A6712">
        <w:t xml:space="preserve"> range of options </w:t>
      </w:r>
      <w:r w:rsidR="000D7F8A">
        <w:t>are available</w:t>
      </w:r>
      <w:r>
        <w:t>. These options</w:t>
      </w:r>
      <w:r w:rsidR="004A6712">
        <w:t xml:space="preserve"> set the expectation that equipment should be removed when it is no longer used, either from the operator’s own initiative or following a request by a landowner or occupier, unless removal would be impractical</w:t>
      </w:r>
      <w:r w:rsidR="000D7F8A">
        <w:t xml:space="preserve"> to do so</w:t>
      </w:r>
      <w:r w:rsidR="004A6712">
        <w:t xml:space="preserve">. </w:t>
      </w:r>
      <w:r w:rsidR="00891D89">
        <w:t>An example would be the removal of underground cabling</w:t>
      </w:r>
      <w:r w:rsidR="00533ED6">
        <w:t>.</w:t>
      </w:r>
    </w:p>
    <w:p w14:paraId="0437BB2F" w14:textId="509ACE74" w:rsidR="00891D89" w:rsidRDefault="00891D89" w:rsidP="00B25CBB">
      <w:r>
        <w:t>We also seek your views on what maximum timeframe should apply for carriers to remove redundant equipment following a request by a landowner or occupier, and what dispute resolution mechanisms could apply in the event that carriers and landowners are unable to agree on whether the proposed removal of equipment would be impractical.</w:t>
      </w:r>
    </w:p>
    <w:p w14:paraId="62B361CB" w14:textId="7F06F86E" w:rsidR="00A515E5" w:rsidRDefault="005872DD" w:rsidP="00F110DE">
      <w:pPr>
        <w:pStyle w:val="Heading5"/>
      </w:pPr>
      <w:r>
        <w:t>Option 1: Inclusion in a registered Industry Code</w:t>
      </w:r>
    </w:p>
    <w:p w14:paraId="6E829AE1" w14:textId="7F4533E5" w:rsidR="005872DD" w:rsidRDefault="005872DD" w:rsidP="00B25CBB">
      <w:r>
        <w:t xml:space="preserve">This option proposes the requirement for carriers to remove redundant equipment from infrastructure or assets of public utilities, including road authorities, and local governments be included in an Industry </w:t>
      </w:r>
      <w:r>
        <w:lastRenderedPageBreak/>
        <w:t>Code registered by the ACMA. For example, the existing requirement in the Deployment Code could be strengthened by removing the option to remove the equipment no longer in use, and making it a mandatory requirement.</w:t>
      </w:r>
    </w:p>
    <w:p w14:paraId="43B85440" w14:textId="088DCEC7" w:rsidR="009B1A0C" w:rsidRDefault="00891D89" w:rsidP="00B25CBB">
      <w:r>
        <w:t>Where</w:t>
      </w:r>
      <w:r w:rsidR="009B1A0C">
        <w:t xml:space="preserve"> a</w:t>
      </w:r>
      <w:r w:rsidR="003C3148">
        <w:t xml:space="preserve"> carrier failed to comply with a</w:t>
      </w:r>
      <w:r w:rsidR="009B1A0C">
        <w:t xml:space="preserve"> provision in a registered industry code, the c</w:t>
      </w:r>
      <w:r w:rsidR="005872DD">
        <w:t xml:space="preserve">ompliance options available to the ACMA </w:t>
      </w:r>
      <w:r w:rsidR="009B1A0C">
        <w:t xml:space="preserve">could include issuing a formal warning notice to the carrier, or issuing a direction to comply with the industry code. </w:t>
      </w:r>
      <w:r w:rsidR="003C3148">
        <w:t>The failure to comply with such a direction may amount to an offence under the Act.</w:t>
      </w:r>
      <w:r>
        <w:rPr>
          <w:rStyle w:val="FootnoteReference"/>
        </w:rPr>
        <w:footnoteReference w:id="12"/>
      </w:r>
    </w:p>
    <w:p w14:paraId="4807CEC9" w14:textId="2CC7361D" w:rsidR="004A6712" w:rsidRDefault="004A6712" w:rsidP="00F110DE">
      <w:pPr>
        <w:pStyle w:val="Heading5"/>
      </w:pPr>
      <w:r>
        <w:t xml:space="preserve">Option </w:t>
      </w:r>
      <w:r w:rsidR="005872DD">
        <w:t>2</w:t>
      </w:r>
      <w:r>
        <w:t>:</w:t>
      </w:r>
      <w:r w:rsidR="00A515E5">
        <w:t xml:space="preserve"> </w:t>
      </w:r>
      <w:r w:rsidR="007777B3">
        <w:t>Inclusion in</w:t>
      </w:r>
      <w:r w:rsidR="00A515E5">
        <w:t xml:space="preserve"> the Code of Practice</w:t>
      </w:r>
    </w:p>
    <w:p w14:paraId="4732019B" w14:textId="00616D61" w:rsidR="00891D89" w:rsidRDefault="00A515E5" w:rsidP="00F110DE">
      <w:pPr>
        <w:keepLines/>
      </w:pPr>
      <w:r>
        <w:t xml:space="preserve">This option </w:t>
      </w:r>
      <w:r w:rsidR="00180DAA">
        <w:t>propose</w:t>
      </w:r>
      <w:r w:rsidR="000D7F8A">
        <w:t>s</w:t>
      </w:r>
      <w:r w:rsidR="00180DAA">
        <w:t xml:space="preserve"> a new section be included in the Code of Practice so that the removal of redundant equipment by a carrier become</w:t>
      </w:r>
      <w:r w:rsidR="000D7F8A">
        <w:t>s</w:t>
      </w:r>
      <w:r w:rsidR="00180DAA">
        <w:t xml:space="preserve"> a </w:t>
      </w:r>
      <w:r w:rsidR="007777B3">
        <w:t xml:space="preserve">legal </w:t>
      </w:r>
      <w:r w:rsidR="00180DAA">
        <w:t xml:space="preserve">requirement and part of the powers and immunities framework. </w:t>
      </w:r>
      <w:r w:rsidR="00891D89">
        <w:t>Clause 15 (2) of Schedule 3 to the Act requires carriers to comply with the Code of Practice</w:t>
      </w:r>
      <w:r w:rsidR="00180DAA">
        <w:t>.</w:t>
      </w:r>
    </w:p>
    <w:p w14:paraId="24DD4C89" w14:textId="77777777" w:rsidR="00533ED6" w:rsidRDefault="00891D89" w:rsidP="00B25CBB">
      <w:r>
        <w:lastRenderedPageBreak/>
        <w:t>Where a carrier failed to comply with a requirement set out in the Code of Practice, the compliance options available to the ACMA could include issuing a formal warning notice to the carrier, giving a remedial direction which may include requiring rectification strategies, or accepting an enforceable undertaking from a carrier</w:t>
      </w:r>
      <w:r w:rsidR="00533ED6">
        <w:t>.</w:t>
      </w:r>
    </w:p>
    <w:p w14:paraId="6C3498A4" w14:textId="77777777" w:rsidR="00533ED6" w:rsidRDefault="00180DAA" w:rsidP="00891D89">
      <w:r>
        <w:t xml:space="preserve">For </w:t>
      </w:r>
      <w:r w:rsidR="00891D89">
        <w:t xml:space="preserve">either </w:t>
      </w:r>
      <w:r>
        <w:t>of the options above, a carrier or other operator would not be expected to remove redundant equipment where it is impractical</w:t>
      </w:r>
      <w:r w:rsidR="000D7F8A">
        <w:t xml:space="preserve"> to do so</w:t>
      </w:r>
      <w:r w:rsidR="00533ED6">
        <w:t>.</w:t>
      </w:r>
    </w:p>
    <w:p w14:paraId="278F46D7" w14:textId="58CDDA17" w:rsidR="00453188" w:rsidRPr="002B18A2" w:rsidRDefault="00453188" w:rsidP="007E38F6">
      <w:pPr>
        <w:pStyle w:val="Heading4"/>
        <w:pBdr>
          <w:top w:val="single" w:sz="4" w:space="1" w:color="auto"/>
          <w:left w:val="single" w:sz="4" w:space="4" w:color="auto"/>
          <w:bottom w:val="single" w:sz="4" w:space="1" w:color="auto"/>
          <w:right w:val="single" w:sz="4" w:space="4" w:color="auto"/>
        </w:pBdr>
        <w:shd w:val="clear" w:color="auto" w:fill="D5DCE4"/>
      </w:pPr>
      <w:bookmarkStart w:id="195" w:name="_Toc47090236"/>
      <w:bookmarkStart w:id="196" w:name="_Toc51084858"/>
      <w:r w:rsidRPr="002B18A2">
        <w:t>Prompt questions</w:t>
      </w:r>
      <w:bookmarkEnd w:id="195"/>
      <w:bookmarkEnd w:id="196"/>
    </w:p>
    <w:p w14:paraId="2812F8E4" w14:textId="72461795" w:rsidR="0037626C" w:rsidRDefault="0037626C" w:rsidP="002B18A2">
      <w:pPr>
        <w:pStyle w:val="ListParagraph"/>
        <w:numPr>
          <w:ilvl w:val="0"/>
          <w:numId w:val="19"/>
        </w:numPr>
        <w:pBdr>
          <w:top w:val="single" w:sz="4" w:space="1" w:color="auto"/>
          <w:left w:val="single" w:sz="4" w:space="4" w:color="auto"/>
          <w:bottom w:val="single" w:sz="4" w:space="1" w:color="auto"/>
          <w:right w:val="single" w:sz="4" w:space="4" w:color="auto"/>
        </w:pBdr>
        <w:shd w:val="clear" w:color="auto" w:fill="D5DCE4"/>
        <w:ind w:left="567" w:hanging="567"/>
      </w:pPr>
      <w:r>
        <w:t>What level of enforcement would provide the best solution to the issue of redundant equipment?</w:t>
      </w:r>
    </w:p>
    <w:p w14:paraId="75C94852" w14:textId="77777777" w:rsidR="00FA075E" w:rsidRDefault="00FA075E" w:rsidP="002B18A2">
      <w:pPr>
        <w:pStyle w:val="ListParagraph"/>
        <w:pBdr>
          <w:top w:val="single" w:sz="4" w:space="1" w:color="auto"/>
          <w:left w:val="single" w:sz="4" w:space="4" w:color="auto"/>
          <w:bottom w:val="single" w:sz="4" w:space="1" w:color="auto"/>
          <w:right w:val="single" w:sz="4" w:space="4" w:color="auto"/>
        </w:pBdr>
        <w:shd w:val="clear" w:color="auto" w:fill="D5DCE4"/>
      </w:pPr>
      <w:r>
        <w:t>What regulatory burden (financial or non-financial) would occur if these options were enacted?</w:t>
      </w:r>
    </w:p>
    <w:p w14:paraId="233B3F74" w14:textId="661EF838" w:rsidR="001F28F3" w:rsidRDefault="0037626C" w:rsidP="001F28F3">
      <w:pPr>
        <w:pStyle w:val="ListParagraph"/>
        <w:pBdr>
          <w:top w:val="single" w:sz="4" w:space="1" w:color="auto"/>
          <w:left w:val="single" w:sz="4" w:space="4" w:color="auto"/>
          <w:bottom w:val="single" w:sz="4" w:space="1" w:color="auto"/>
          <w:right w:val="single" w:sz="4" w:space="4" w:color="auto"/>
        </w:pBdr>
        <w:shd w:val="clear" w:color="auto" w:fill="D5DCE4"/>
      </w:pPr>
      <w:r>
        <w:t>Are there other non-regulatory ways to better enforce</w:t>
      </w:r>
      <w:r w:rsidR="003F3816">
        <w:t xml:space="preserve"> the</w:t>
      </w:r>
      <w:r w:rsidR="00FA075E">
        <w:t xml:space="preserve"> policy position that</w:t>
      </w:r>
      <w:r>
        <w:t xml:space="preserve"> equipment is removed if not used?</w:t>
      </w:r>
    </w:p>
    <w:p w14:paraId="05CEDD11" w14:textId="38A7EE79" w:rsidR="00BF78EB" w:rsidRDefault="004D09F0" w:rsidP="001F28F3">
      <w:pPr>
        <w:pStyle w:val="Heading2"/>
        <w:pageBreakBefore/>
        <w:numPr>
          <w:ilvl w:val="0"/>
          <w:numId w:val="37"/>
        </w:numPr>
      </w:pPr>
      <w:bookmarkStart w:id="197" w:name="_Toc45545594"/>
      <w:bookmarkStart w:id="198" w:name="_Toc45642094"/>
      <w:bookmarkStart w:id="199" w:name="_Toc45649110"/>
      <w:bookmarkStart w:id="200" w:name="_Toc45713987"/>
      <w:bookmarkStart w:id="201" w:name="_Toc47090237"/>
      <w:bookmarkStart w:id="202" w:name="_Toc51084859"/>
      <w:r>
        <w:lastRenderedPageBreak/>
        <w:t>Facilitating s</w:t>
      </w:r>
      <w:r w:rsidR="00BF78EB">
        <w:t>ervices in line with community expectations</w:t>
      </w:r>
      <w:bookmarkEnd w:id="197"/>
      <w:bookmarkEnd w:id="198"/>
      <w:bookmarkEnd w:id="199"/>
      <w:bookmarkEnd w:id="200"/>
      <w:r>
        <w:t xml:space="preserve"> and to support economic growth</w:t>
      </w:r>
      <w:bookmarkEnd w:id="201"/>
      <w:bookmarkEnd w:id="202"/>
    </w:p>
    <w:p w14:paraId="795A8BDD" w14:textId="26D80D18" w:rsidR="00231506" w:rsidRDefault="0019580D" w:rsidP="00231506">
      <w:r>
        <w:t xml:space="preserve">Telecommunications services are increasingly critical to </w:t>
      </w:r>
      <w:r w:rsidR="00231506">
        <w:t xml:space="preserve">both economic and social activity. </w:t>
      </w:r>
      <w:r w:rsidR="00231506" w:rsidRPr="00231506">
        <w:t>For example, telecommunications services have played a</w:t>
      </w:r>
      <w:r>
        <w:t>n important</w:t>
      </w:r>
      <w:r w:rsidR="00231506" w:rsidRPr="00231506">
        <w:t xml:space="preserve"> role during the COVID-19 pandemic to enable the continued functioning of Australia’s economy with many people working, studying and operating businesses remotely.</w:t>
      </w:r>
    </w:p>
    <w:p w14:paraId="3C9C8F9C" w14:textId="77777777" w:rsidR="00533ED6" w:rsidRDefault="009D7511" w:rsidP="009D7511">
      <w:r>
        <w:t xml:space="preserve">The current framework sets out technical descriptions on what is considered a </w:t>
      </w:r>
      <w:r w:rsidR="006F2FF6">
        <w:t>low-impact facility</w:t>
      </w:r>
      <w:r>
        <w:t xml:space="preserve"> and therefore not subject to owner permissions or state and territory planning laws. </w:t>
      </w:r>
      <w:r w:rsidR="00A172EB" w:rsidRPr="00A172EB">
        <w:t>Industry has expressed concern that descriptions in the LIFD are outdated and are not flexible enough to support the deployment of new technologies. Other stakeholders, including landowners and occupiers and communities, are concerned that changes to these descriptions could lead to</w:t>
      </w:r>
      <w:r w:rsidR="00A172EB">
        <w:t xml:space="preserve"> </w:t>
      </w:r>
      <w:r>
        <w:t>safety issues, or lack of visual amenity in the surrounding environment</w:t>
      </w:r>
      <w:r w:rsidR="00533ED6">
        <w:t>.</w:t>
      </w:r>
    </w:p>
    <w:p w14:paraId="57377932" w14:textId="38D0C82F" w:rsidR="009D7511" w:rsidRDefault="00371513" w:rsidP="009D7511">
      <w:r>
        <w:t xml:space="preserve">The proposals in this section seek your views on </w:t>
      </w:r>
      <w:r w:rsidR="008A077E">
        <w:t xml:space="preserve">how to strike </w:t>
      </w:r>
      <w:r>
        <w:t>an appropriate balance between the rollout of modern technology and visual amenity.</w:t>
      </w:r>
    </w:p>
    <w:p w14:paraId="5FF450F3" w14:textId="3DCD8C07" w:rsidR="00BF78EB" w:rsidRDefault="005F6830" w:rsidP="00DD6C9E">
      <w:pPr>
        <w:pStyle w:val="Heading3"/>
        <w:numPr>
          <w:ilvl w:val="0"/>
          <w:numId w:val="20"/>
        </w:numPr>
      </w:pPr>
      <w:bookmarkStart w:id="203" w:name="_Toc45714027"/>
      <w:bookmarkStart w:id="204" w:name="_Toc45545595"/>
      <w:bookmarkStart w:id="205" w:name="_Toc45642095"/>
      <w:bookmarkStart w:id="206" w:name="_Toc45649111"/>
      <w:bookmarkStart w:id="207" w:name="_Toc45713988"/>
      <w:bookmarkStart w:id="208" w:name="_Toc47090238"/>
      <w:bookmarkStart w:id="209" w:name="_Toc51084860"/>
      <w:bookmarkEnd w:id="203"/>
      <w:r>
        <w:lastRenderedPageBreak/>
        <w:t xml:space="preserve">Improve coverage outcomes through better </w:t>
      </w:r>
      <w:proofErr w:type="spellStart"/>
      <w:r>
        <w:t>infrastructure,</w:t>
      </w:r>
      <w:proofErr w:type="spellEnd"/>
      <w:r>
        <w:t xml:space="preserve"> where</w:t>
      </w:r>
      <w:r w:rsidR="00533ED6">
        <w:t> </w:t>
      </w:r>
      <w:r>
        <w:t>safe</w:t>
      </w:r>
      <w:bookmarkEnd w:id="204"/>
      <w:bookmarkEnd w:id="205"/>
      <w:bookmarkEnd w:id="206"/>
      <w:bookmarkEnd w:id="207"/>
      <w:bookmarkEnd w:id="208"/>
      <w:bookmarkEnd w:id="209"/>
    </w:p>
    <w:p w14:paraId="3AD25C0F" w14:textId="77777777" w:rsidR="005F6830" w:rsidRDefault="00B25CBB" w:rsidP="00F110DE">
      <w:pPr>
        <w:pStyle w:val="Heading4"/>
      </w:pPr>
      <w:bookmarkStart w:id="210" w:name="_Toc47090239"/>
      <w:bookmarkStart w:id="211" w:name="_Toc51084861"/>
      <w:r>
        <w:t>Issue</w:t>
      </w:r>
      <w:bookmarkEnd w:id="210"/>
      <w:bookmarkEnd w:id="211"/>
    </w:p>
    <w:p w14:paraId="3744D6AA" w14:textId="77777777" w:rsidR="00533ED6" w:rsidRDefault="00863E20" w:rsidP="00B25CBB">
      <w:r w:rsidRPr="0010033A">
        <w:t>Coverage for mobile services, particularly in regional and remote Australia, is largely dependent on the ability of carriers to deploy towers of sufficient height so that coverage can be provided to the whole community.</w:t>
      </w:r>
      <w:r>
        <w:t xml:space="preserve"> </w:t>
      </w:r>
      <w:r w:rsidR="001A2513">
        <w:t>However</w:t>
      </w:r>
      <w:r w:rsidR="00635902">
        <w:t>,</w:t>
      </w:r>
      <w:r w:rsidR="001A2513">
        <w:t xml:space="preserve"> s</w:t>
      </w:r>
      <w:r>
        <w:t xml:space="preserve">ubmissions to the Government’s 5G inquiry show there is community concern about the visual impact of increasing amounts of telecommunications equipment </w:t>
      </w:r>
      <w:r w:rsidR="006F2FF6">
        <w:t xml:space="preserve">being </w:t>
      </w:r>
      <w:r>
        <w:t>deployed</w:t>
      </w:r>
      <w:r w:rsidR="00533ED6">
        <w:t>.</w:t>
      </w:r>
    </w:p>
    <w:p w14:paraId="09B3C906" w14:textId="77777777" w:rsidR="00533ED6" w:rsidRDefault="00863E20" w:rsidP="00901F83">
      <w:r>
        <w:t xml:space="preserve">Increasing the height of existing </w:t>
      </w:r>
      <w:proofErr w:type="spellStart"/>
      <w:r>
        <w:t>infrastructure,</w:t>
      </w:r>
      <w:proofErr w:type="spellEnd"/>
      <w:r>
        <w:t xml:space="preserve"> such as antenna protrusions and existing towers, </w:t>
      </w:r>
      <w:r w:rsidR="009D7511">
        <w:t>could potentially reduce the visual</w:t>
      </w:r>
      <w:r>
        <w:t xml:space="preserve"> impact because fewer antennae may </w:t>
      </w:r>
      <w:r w:rsidR="001A2513">
        <w:t>need to be deployed</w:t>
      </w:r>
      <w:r w:rsidR="00635902">
        <w:t xml:space="preserve"> overall</w:t>
      </w:r>
      <w:r>
        <w:t>.</w:t>
      </w:r>
      <w:r w:rsidR="00635902">
        <w:t xml:space="preserve"> </w:t>
      </w:r>
      <w:r w:rsidR="00901F83">
        <w:t xml:space="preserve">Likewise, new </w:t>
      </w:r>
      <w:r w:rsidR="00635902">
        <w:t xml:space="preserve">antenna </w:t>
      </w:r>
      <w:r w:rsidR="00901F83">
        <w:t>technolog</w:t>
      </w:r>
      <w:r w:rsidR="00635902">
        <w:t>ies</w:t>
      </w:r>
      <w:r w:rsidR="00901F83">
        <w:t xml:space="preserve">, such as radiocommunications lens antennae, </w:t>
      </w:r>
      <w:r w:rsidR="00635902">
        <w:t>c</w:t>
      </w:r>
      <w:r w:rsidR="009D7511">
        <w:t xml:space="preserve">ould </w:t>
      </w:r>
      <w:r w:rsidR="00635902">
        <w:t xml:space="preserve">reduce the </w:t>
      </w:r>
      <w:r w:rsidR="00DA76DC">
        <w:t xml:space="preserve">visual impact of towers as the </w:t>
      </w:r>
      <w:r w:rsidR="00635902">
        <w:t xml:space="preserve">number of panel antennas needed </w:t>
      </w:r>
      <w:r w:rsidR="00DA76DC">
        <w:t>are reduced</w:t>
      </w:r>
      <w:r w:rsidR="00635902">
        <w:t>, while still providing efficient and effective coverage outcomes</w:t>
      </w:r>
      <w:r w:rsidR="00901F83">
        <w:t>. Larger radiocommunications and satellite dishes can support stronger signals</w:t>
      </w:r>
      <w:r w:rsidR="00635902">
        <w:t>,</w:t>
      </w:r>
      <w:r w:rsidR="00901F83">
        <w:t xml:space="preserve"> increase reliability </w:t>
      </w:r>
      <w:r w:rsidR="00635902">
        <w:t xml:space="preserve">and provide a much needed option for backhaul </w:t>
      </w:r>
      <w:r w:rsidR="00901F83">
        <w:t>ultimately improving services to a wider range of areas of Australia</w:t>
      </w:r>
      <w:r w:rsidR="00533ED6">
        <w:t>.</w:t>
      </w:r>
    </w:p>
    <w:p w14:paraId="685385AD" w14:textId="66EC1378" w:rsidR="005F6830" w:rsidRDefault="00B25CBB" w:rsidP="00F110DE">
      <w:pPr>
        <w:pStyle w:val="Heading4"/>
      </w:pPr>
      <w:bookmarkStart w:id="212" w:name="_Toc47090240"/>
      <w:bookmarkStart w:id="213" w:name="_Toc51084862"/>
      <w:r>
        <w:lastRenderedPageBreak/>
        <w:t>Proposal</w:t>
      </w:r>
      <w:bookmarkEnd w:id="212"/>
      <w:bookmarkEnd w:id="213"/>
    </w:p>
    <w:p w14:paraId="4617F0A8" w14:textId="77777777" w:rsidR="00533ED6" w:rsidRDefault="00013AA2" w:rsidP="00B25CBB">
      <w:r>
        <w:t xml:space="preserve">We seek your views on whether </w:t>
      </w:r>
      <w:r w:rsidR="009D7511">
        <w:t>the below technical amendments to equipment classified as a low</w:t>
      </w:r>
      <w:r w:rsidR="00DA76DC">
        <w:t>-</w:t>
      </w:r>
      <w:r w:rsidR="009D7511">
        <w:t>impact facility strikes the right balance between visual amenity and access to improved mobile coverage</w:t>
      </w:r>
      <w:r w:rsidR="00533ED6">
        <w:t>.</w:t>
      </w:r>
    </w:p>
    <w:p w14:paraId="0C9590DD" w14:textId="5133AA45" w:rsidR="00B25CBB" w:rsidRPr="00AB31B1" w:rsidRDefault="002C3DBA" w:rsidP="00F110DE">
      <w:pPr>
        <w:pStyle w:val="Heading5"/>
      </w:pPr>
      <w:r w:rsidRPr="00AB31B1">
        <w:t>A</w:t>
      </w:r>
      <w:r w:rsidR="00A40D00" w:rsidRPr="00AB31B1">
        <w:t xml:space="preserve">llow </w:t>
      </w:r>
      <w:r w:rsidR="00B25CBB" w:rsidRPr="00AB31B1">
        <w:t>antenna prot</w:t>
      </w:r>
      <w:r w:rsidR="00901F83" w:rsidRPr="00AB31B1">
        <w:t>rusions to</w:t>
      </w:r>
      <w:r w:rsidR="00A40D00" w:rsidRPr="00AB31B1">
        <w:t xml:space="preserve"> be extended to</w:t>
      </w:r>
      <w:r w:rsidR="00901F83" w:rsidRPr="00AB31B1">
        <w:t xml:space="preserve"> a height of 5 meters</w:t>
      </w:r>
    </w:p>
    <w:p w14:paraId="63CF244F" w14:textId="77777777" w:rsidR="00533ED6" w:rsidRDefault="00DA041B" w:rsidP="002C3DBA">
      <w:r>
        <w:t xml:space="preserve">Item 4 in </w:t>
      </w:r>
      <w:r w:rsidR="00B31DC9">
        <w:t xml:space="preserve">Part 1 of the Schedule to </w:t>
      </w:r>
      <w:r>
        <w:t xml:space="preserve">the LIFD provides that the maximum protrusion for a panel, </w:t>
      </w:r>
      <w:proofErr w:type="spellStart"/>
      <w:r>
        <w:t>yagi</w:t>
      </w:r>
      <w:proofErr w:type="spellEnd"/>
      <w:r>
        <w:t xml:space="preserve"> or other like antenna from a structure </w:t>
      </w:r>
      <w:r w:rsidR="008D04D1">
        <w:t xml:space="preserve">is 3 metres. </w:t>
      </w:r>
      <w:r w:rsidR="008A7B50">
        <w:t xml:space="preserve">It is proposed that the maximum </w:t>
      </w:r>
      <w:r w:rsidR="002C3DBA">
        <w:t>protrusion height be extended by 2 metres to 5</w:t>
      </w:r>
      <w:r>
        <w:t> </w:t>
      </w:r>
      <w:r w:rsidR="002C3DBA">
        <w:t xml:space="preserve">metres in </w:t>
      </w:r>
      <w:r w:rsidR="00E371A1">
        <w:t>total</w:t>
      </w:r>
      <w:r w:rsidR="002C3DBA">
        <w:t xml:space="preserve">. </w:t>
      </w:r>
      <w:r w:rsidR="007D0989">
        <w:t>Increasing the height of the protrusions will improve coverage</w:t>
      </w:r>
      <w:r w:rsidR="0074199E">
        <w:t xml:space="preserve"> outcomes. </w:t>
      </w:r>
      <w:r w:rsidR="0074199E" w:rsidRPr="00EE2DD1">
        <w:t xml:space="preserve">The visual amenity issues </w:t>
      </w:r>
      <w:r w:rsidR="009D7511" w:rsidRPr="00EE2DD1">
        <w:t>c</w:t>
      </w:r>
      <w:r w:rsidR="009D7511">
        <w:t>ould</w:t>
      </w:r>
      <w:r w:rsidR="0074199E" w:rsidRPr="00EE2DD1">
        <w:t xml:space="preserve"> be addressed by making sure the antenna is colour-matched to its background, or in a colour agreed in writing between the carrier and the relevant local authority</w:t>
      </w:r>
      <w:r w:rsidR="00533ED6">
        <w:t>.</w:t>
      </w:r>
    </w:p>
    <w:p w14:paraId="4ED881A8" w14:textId="1F7843D6" w:rsidR="00E83D4A" w:rsidRDefault="00E83D4A" w:rsidP="00DD6C9E">
      <w:pPr>
        <w:pStyle w:val="Tablefigureheading"/>
      </w:pPr>
      <w:bookmarkStart w:id="214" w:name="_Toc45545572"/>
      <w:bookmarkStart w:id="215" w:name="_Toc51084884"/>
      <w:r>
        <w:lastRenderedPageBreak/>
        <w:t>Figure</w:t>
      </w:r>
      <w:r w:rsidR="00D30FC2">
        <w:t xml:space="preserve"> 1</w:t>
      </w:r>
      <w:r>
        <w:t>: Antenna protrusion</w:t>
      </w:r>
      <w:bookmarkEnd w:id="214"/>
      <w:bookmarkEnd w:id="215"/>
    </w:p>
    <w:p w14:paraId="62F2EEBC" w14:textId="77777777" w:rsidR="00E83D4A" w:rsidRDefault="00E83D4A" w:rsidP="00E83D4A">
      <w:r>
        <w:rPr>
          <w:rFonts w:ascii="Roboto" w:hAnsi="Roboto"/>
          <w:noProof/>
          <w:color w:val="2962FF"/>
          <w:lang w:eastAsia="en-AU"/>
        </w:rPr>
        <w:drawing>
          <wp:inline distT="0" distB="0" distL="0" distR="0" wp14:anchorId="1CBD80EF" wp14:editId="5EDF5900">
            <wp:extent cx="4295955" cy="1916774"/>
            <wp:effectExtent l="0" t="0" r="0" b="7620"/>
            <wp:docPr id="7" name="Picture 7" descr="Two examples of antennas mounted to protrusions on building rooftops">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sible amendments to telecommunications carrier powers and ...">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3937" cy="1924797"/>
                    </a:xfrm>
                    <a:prstGeom prst="rect">
                      <a:avLst/>
                    </a:prstGeom>
                    <a:noFill/>
                    <a:ln>
                      <a:noFill/>
                    </a:ln>
                  </pic:spPr>
                </pic:pic>
              </a:graphicData>
            </a:graphic>
          </wp:inline>
        </w:drawing>
      </w:r>
    </w:p>
    <w:p w14:paraId="2CF4D745" w14:textId="38F6BFDE" w:rsidR="002C3DBA" w:rsidRPr="00AB31B1" w:rsidRDefault="002C3DBA" w:rsidP="00F110DE">
      <w:pPr>
        <w:pStyle w:val="Heading5"/>
      </w:pPr>
      <w:r w:rsidRPr="00AB31B1">
        <w:t>A</w:t>
      </w:r>
      <w:r w:rsidR="00A40D00" w:rsidRPr="00AB31B1">
        <w:t xml:space="preserve">llow </w:t>
      </w:r>
      <w:r w:rsidR="00B25CBB" w:rsidRPr="00AB31B1">
        <w:t>satellite dishes of 2.4 meters in diameter</w:t>
      </w:r>
      <w:r w:rsidR="00A40D00" w:rsidRPr="00AB31B1">
        <w:t xml:space="preserve"> to be deployed in industrial and rural areas</w:t>
      </w:r>
    </w:p>
    <w:p w14:paraId="5C158EF7" w14:textId="77777777" w:rsidR="00533ED6" w:rsidRDefault="00AA242C" w:rsidP="00AA242C">
      <w:r>
        <w:t xml:space="preserve">Item 7 of the </w:t>
      </w:r>
      <w:r w:rsidR="008D04D1">
        <w:t>LIFD already specifies</w:t>
      </w:r>
      <w:r w:rsidR="002C3DBA">
        <w:t xml:space="preserve"> satellite dishes </w:t>
      </w:r>
      <w:r w:rsidR="008D04D1">
        <w:t xml:space="preserve">with a diameter </w:t>
      </w:r>
      <w:r w:rsidR="002C3DBA">
        <w:t xml:space="preserve">of up to </w:t>
      </w:r>
      <w:r w:rsidR="008D04D1" w:rsidRPr="008D04D1">
        <w:t>1.8</w:t>
      </w:r>
      <w:r w:rsidR="002C3DBA">
        <w:t xml:space="preserve"> metres as low-impact facilities </w:t>
      </w:r>
      <w:r w:rsidR="008D04D1" w:rsidDel="00E371A1">
        <w:t xml:space="preserve">that </w:t>
      </w:r>
      <w:r w:rsidR="008D04D1">
        <w:t>can be deployed in industrial and rural area</w:t>
      </w:r>
      <w:r w:rsidR="0074199E">
        <w:t>s</w:t>
      </w:r>
      <w:r w:rsidR="008D04D1">
        <w:t xml:space="preserve">. </w:t>
      </w:r>
      <w:r w:rsidR="00E371A1">
        <w:t>It is proposed</w:t>
      </w:r>
      <w:r w:rsidR="008D04D1">
        <w:t xml:space="preserve"> to increase the maximum </w:t>
      </w:r>
      <w:r w:rsidR="002C3DBA">
        <w:t xml:space="preserve">diameter size of satellite dishes in industrial and rural areas to 2.4 metres. </w:t>
      </w:r>
      <w:r w:rsidR="009D7511" w:rsidRPr="009D4680">
        <w:t>The visual amenity issues c</w:t>
      </w:r>
      <w:r w:rsidR="009D7511">
        <w:t>ould</w:t>
      </w:r>
      <w:r w:rsidR="009D7511" w:rsidRPr="009D4680">
        <w:t xml:space="preserve"> be addressed by making sure the antenna is colour-matched to its background, or in a colour agreed in writing between the carrier and the relevant local authority</w:t>
      </w:r>
      <w:r w:rsidR="00533ED6">
        <w:t>.</w:t>
      </w:r>
    </w:p>
    <w:p w14:paraId="21CCC74A" w14:textId="1D1F7D45" w:rsidR="00E83D4A" w:rsidRDefault="00E83D4A" w:rsidP="00DD6C9E">
      <w:pPr>
        <w:pStyle w:val="Tablefigureheading"/>
      </w:pPr>
      <w:bookmarkStart w:id="216" w:name="_Toc45545573"/>
      <w:bookmarkStart w:id="217" w:name="_Toc51084885"/>
      <w:r>
        <w:lastRenderedPageBreak/>
        <w:t xml:space="preserve">Figure </w:t>
      </w:r>
      <w:r w:rsidR="00D30FC2">
        <w:t>2:</w:t>
      </w:r>
      <w:r>
        <w:t xml:space="preserve"> Satellite dish in rural area</w:t>
      </w:r>
      <w:bookmarkEnd w:id="216"/>
      <w:bookmarkEnd w:id="217"/>
    </w:p>
    <w:p w14:paraId="1049E009" w14:textId="0D4A447A" w:rsidR="00E83D4A" w:rsidRDefault="00E83D4A" w:rsidP="00AA242C">
      <w:r>
        <w:rPr>
          <w:rFonts w:ascii="Roboto" w:hAnsi="Roboto"/>
          <w:noProof/>
          <w:color w:val="2962FF"/>
          <w:lang w:eastAsia="en-AU"/>
        </w:rPr>
        <w:drawing>
          <wp:inline distT="0" distB="0" distL="0" distR="0" wp14:anchorId="643E273C" wp14:editId="0548FDA2">
            <wp:extent cx="2692222" cy="2184400"/>
            <wp:effectExtent l="0" t="0" r="0" b="6350"/>
            <wp:docPr id="10" name="Picture 10" descr="Satellite dish installed next to a telecommunications tower in a rural setti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sible amendments to telecommunications carrier powers and ...">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7861" cy="2205203"/>
                    </a:xfrm>
                    <a:prstGeom prst="rect">
                      <a:avLst/>
                    </a:prstGeom>
                    <a:noFill/>
                    <a:ln>
                      <a:noFill/>
                    </a:ln>
                  </pic:spPr>
                </pic:pic>
              </a:graphicData>
            </a:graphic>
          </wp:inline>
        </w:drawing>
      </w:r>
    </w:p>
    <w:p w14:paraId="0E160F6D" w14:textId="0E4EA197" w:rsidR="00A40D00" w:rsidRDefault="002C3DBA" w:rsidP="00F110DE">
      <w:pPr>
        <w:pStyle w:val="Heading5"/>
      </w:pPr>
      <w:r w:rsidRPr="00AB31B1">
        <w:t>S</w:t>
      </w:r>
      <w:r w:rsidR="00A40D00" w:rsidRPr="00AB31B1">
        <w:t xml:space="preserve">pecify radiocommunications </w:t>
      </w:r>
      <w:r w:rsidR="00B25CBB" w:rsidRPr="00AB31B1">
        <w:t>lens antennae</w:t>
      </w:r>
      <w:r w:rsidR="00A40D00" w:rsidRPr="00AB31B1">
        <w:t xml:space="preserve"> as a new low-impact facility</w:t>
      </w:r>
    </w:p>
    <w:p w14:paraId="34E21453" w14:textId="41FE09FB" w:rsidR="00E83D4A" w:rsidRDefault="00E371A1" w:rsidP="00EE2DD1">
      <w:r>
        <w:t>It is proposed</w:t>
      </w:r>
      <w:r w:rsidR="002C3DBA">
        <w:t xml:space="preserve"> </w:t>
      </w:r>
      <w:r>
        <w:t>that</w:t>
      </w:r>
      <w:r w:rsidR="002C3DBA">
        <w:t xml:space="preserve"> radiocommunications lens antenna</w:t>
      </w:r>
      <w:r>
        <w:t xml:space="preserve">e could be specified </w:t>
      </w:r>
      <w:r w:rsidR="002C3DBA">
        <w:t>as a low-impact facility</w:t>
      </w:r>
      <w:r>
        <w:t xml:space="preserve"> </w:t>
      </w:r>
      <w:r w:rsidR="002C3DBA">
        <w:t xml:space="preserve">in industrial and rural areas. </w:t>
      </w:r>
      <w:r w:rsidR="0074199E">
        <w:t xml:space="preserve">The use of this type of antenna can reduce the number of panel antennas used on the </w:t>
      </w:r>
      <w:r>
        <w:t>pole or tower</w:t>
      </w:r>
      <w:r w:rsidR="0074199E">
        <w:t xml:space="preserve">. </w:t>
      </w:r>
      <w:r>
        <w:t>If there is support for this proposal, t</w:t>
      </w:r>
      <w:r w:rsidR="002C3DBA">
        <w:t xml:space="preserve">he dimensions of lens antennae </w:t>
      </w:r>
      <w:r w:rsidR="0074199E">
        <w:t xml:space="preserve">that would be </w:t>
      </w:r>
      <w:r w:rsidR="002C3DBA">
        <w:t xml:space="preserve">permitted would be consulted on as part of any exposure draft of amendments and </w:t>
      </w:r>
      <w:r w:rsidR="00DA76DC">
        <w:t xml:space="preserve">installation </w:t>
      </w:r>
      <w:r w:rsidR="002C3DBA">
        <w:t>would be subject to safety objectives</w:t>
      </w:r>
      <w:r w:rsidR="002C3DBA" w:rsidRPr="00E371A1">
        <w:t xml:space="preserve">. </w:t>
      </w:r>
      <w:r w:rsidR="009D7511" w:rsidRPr="009D4680">
        <w:t>The visual amenity issues c</w:t>
      </w:r>
      <w:r w:rsidR="009D7511">
        <w:t>ould</w:t>
      </w:r>
      <w:r w:rsidR="009D7511" w:rsidRPr="009D4680">
        <w:t xml:space="preserve"> be addressed by making sure the antenna is colour-matched to its background, or in a colour agreed in writing between the carrier and the relevant local authority.</w:t>
      </w:r>
    </w:p>
    <w:p w14:paraId="63B889B5" w14:textId="2DEF440B" w:rsidR="00E83D4A" w:rsidRDefault="00E83D4A" w:rsidP="00DD6C9E">
      <w:pPr>
        <w:pStyle w:val="Tablefigureheading"/>
      </w:pPr>
      <w:bookmarkStart w:id="218" w:name="_Toc45545574"/>
      <w:bookmarkStart w:id="219" w:name="_Toc51084886"/>
      <w:r>
        <w:lastRenderedPageBreak/>
        <w:t xml:space="preserve">Figure </w:t>
      </w:r>
      <w:r w:rsidR="00D30FC2">
        <w:t>3:</w:t>
      </w:r>
      <w:r>
        <w:t xml:space="preserve"> Radiocommunications lens antenna</w:t>
      </w:r>
      <w:bookmarkEnd w:id="218"/>
      <w:bookmarkEnd w:id="219"/>
    </w:p>
    <w:p w14:paraId="46AD12E9" w14:textId="55A26336" w:rsidR="00E83D4A" w:rsidRDefault="00E83D4A" w:rsidP="00E83D4A">
      <w:r>
        <w:rPr>
          <w:rFonts w:ascii="Roboto" w:hAnsi="Roboto"/>
          <w:noProof/>
          <w:color w:val="2962FF"/>
          <w:lang w:eastAsia="en-AU"/>
        </w:rPr>
        <w:drawing>
          <wp:inline distT="0" distB="0" distL="0" distR="0" wp14:anchorId="2A95DD23" wp14:editId="78408E1E">
            <wp:extent cx="1725283" cy="2452885"/>
            <wp:effectExtent l="0" t="0" r="8890" b="5080"/>
            <wp:docPr id="8" name="Picture 8" descr="Large telecommunications tower with a ball shaped radiocommunications lens antenn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ssible amendments to telecommunications carrier powers and ...">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6572" cy="2483152"/>
                    </a:xfrm>
                    <a:prstGeom prst="rect">
                      <a:avLst/>
                    </a:prstGeom>
                    <a:noFill/>
                    <a:ln>
                      <a:noFill/>
                    </a:ln>
                  </pic:spPr>
                </pic:pic>
              </a:graphicData>
            </a:graphic>
          </wp:inline>
        </w:drawing>
      </w:r>
    </w:p>
    <w:p w14:paraId="048CB937" w14:textId="5897A3E2" w:rsidR="002C3DBA" w:rsidRDefault="00E371A1" w:rsidP="00E371A1">
      <w:r>
        <w:t xml:space="preserve">Subject to stakeholder views, the Schedule to the LIFD would need to be amended </w:t>
      </w:r>
      <w:r w:rsidR="00167D02">
        <w:t>to give effect to the proposals</w:t>
      </w:r>
      <w:r>
        <w:t xml:space="preserve"> outlined above</w:t>
      </w:r>
      <w:r w:rsidR="00167D02">
        <w:t xml:space="preserve">. </w:t>
      </w:r>
      <w:r w:rsidR="002930A6">
        <w:t xml:space="preserve">The content of the proposed amendment would be consulted on before the Minister amended the LIFD. </w:t>
      </w:r>
      <w:r w:rsidR="002C3DBA">
        <w:t>These proposals would be subject to the primary safety condition outlined earlier, and the other safeguards outlined in this paper and in the powers and immunities framework more generally.</w:t>
      </w:r>
    </w:p>
    <w:p w14:paraId="26C171CF" w14:textId="434F6517" w:rsidR="00453188" w:rsidRDefault="00453188" w:rsidP="007E38F6">
      <w:pPr>
        <w:pStyle w:val="Heading4"/>
        <w:pBdr>
          <w:top w:val="single" w:sz="4" w:space="1" w:color="auto"/>
          <w:left w:val="single" w:sz="4" w:space="4" w:color="auto"/>
          <w:bottom w:val="single" w:sz="4" w:space="1" w:color="auto"/>
          <w:right w:val="single" w:sz="4" w:space="4" w:color="auto"/>
        </w:pBdr>
        <w:shd w:val="clear" w:color="auto" w:fill="D5DCE4"/>
      </w:pPr>
      <w:bookmarkStart w:id="220" w:name="_Toc47090241"/>
      <w:bookmarkStart w:id="221" w:name="_Toc51084863"/>
      <w:r>
        <w:lastRenderedPageBreak/>
        <w:t>Prompt questions</w:t>
      </w:r>
      <w:bookmarkEnd w:id="220"/>
      <w:bookmarkEnd w:id="221"/>
    </w:p>
    <w:p w14:paraId="1121EBE3" w14:textId="7A9C1099" w:rsidR="008B2EDE" w:rsidRDefault="008B2EDE" w:rsidP="002B18A2">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D5DCE4"/>
        <w:ind w:left="567" w:hanging="567"/>
      </w:pPr>
      <w:r>
        <w:t>Are there alternative options that would reduce impact</w:t>
      </w:r>
      <w:r w:rsidR="00E371A1">
        <w:t>s</w:t>
      </w:r>
      <w:r>
        <w:t xml:space="preserve"> to visual amenity while providing necessary coverage for a modern telecommunications service?</w:t>
      </w:r>
    </w:p>
    <w:p w14:paraId="3FC6FFCC" w14:textId="5035A56F" w:rsidR="00AB31B1" w:rsidRDefault="008B2EDE" w:rsidP="002B18A2">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D5DCE4"/>
        <w:ind w:left="567" w:hanging="567"/>
      </w:pPr>
      <w:r>
        <w:t xml:space="preserve">Would these options </w:t>
      </w:r>
      <w:r w:rsidR="00E371A1">
        <w:t xml:space="preserve">strike </w:t>
      </w:r>
      <w:r>
        <w:t>a balance between visual amenity and the need to maintain telecommunications service</w:t>
      </w:r>
      <w:r w:rsidR="0074199E">
        <w:t>s</w:t>
      </w:r>
      <w:r>
        <w:t>?</w:t>
      </w:r>
    </w:p>
    <w:p w14:paraId="7F28F981" w14:textId="228C09D5" w:rsidR="008B2EDE" w:rsidRDefault="008B2EDE" w:rsidP="002B18A2">
      <w:pPr>
        <w:pStyle w:val="ListParagraph"/>
        <w:numPr>
          <w:ilvl w:val="0"/>
          <w:numId w:val="21"/>
        </w:numPr>
        <w:pBdr>
          <w:top w:val="single" w:sz="4" w:space="1" w:color="auto"/>
          <w:left w:val="single" w:sz="4" w:space="4" w:color="auto"/>
          <w:bottom w:val="single" w:sz="4" w:space="1" w:color="auto"/>
          <w:right w:val="single" w:sz="4" w:space="4" w:color="auto"/>
        </w:pBdr>
        <w:shd w:val="clear" w:color="auto" w:fill="D5DCE4"/>
        <w:ind w:left="567" w:hanging="567"/>
      </w:pPr>
      <w:r>
        <w:t>What benefits or disadvantages (financial or non-financial) would occur as a result of implementing these options?</w:t>
      </w:r>
    </w:p>
    <w:p w14:paraId="038FE1B9" w14:textId="05E802B0" w:rsidR="005F6830" w:rsidRDefault="005F6830" w:rsidP="00DD6C9E">
      <w:pPr>
        <w:pStyle w:val="Heading3"/>
        <w:numPr>
          <w:ilvl w:val="0"/>
          <w:numId w:val="20"/>
        </w:numPr>
      </w:pPr>
      <w:bookmarkStart w:id="222" w:name="_Toc45714029"/>
      <w:bookmarkStart w:id="223" w:name="_Toc45545596"/>
      <w:bookmarkStart w:id="224" w:name="_Toc45642096"/>
      <w:bookmarkStart w:id="225" w:name="_Toc45649112"/>
      <w:bookmarkStart w:id="226" w:name="_Toc45713989"/>
      <w:bookmarkStart w:id="227" w:name="_Toc47090242"/>
      <w:bookmarkStart w:id="228" w:name="_Toc51084864"/>
      <w:bookmarkEnd w:id="222"/>
      <w:r>
        <w:t>Improve coverage outcomes through tower extensions</w:t>
      </w:r>
      <w:bookmarkEnd w:id="223"/>
      <w:bookmarkEnd w:id="224"/>
      <w:bookmarkEnd w:id="225"/>
      <w:bookmarkEnd w:id="226"/>
      <w:bookmarkEnd w:id="227"/>
      <w:bookmarkEnd w:id="228"/>
    </w:p>
    <w:p w14:paraId="41D31FCB" w14:textId="77777777" w:rsidR="005F6830" w:rsidRPr="00611A2C" w:rsidRDefault="00B25CBB" w:rsidP="00E80469">
      <w:pPr>
        <w:pStyle w:val="Heading4"/>
      </w:pPr>
      <w:bookmarkStart w:id="229" w:name="_Toc47090243"/>
      <w:bookmarkStart w:id="230" w:name="_Toc51084865"/>
      <w:r>
        <w:t>Issue</w:t>
      </w:r>
      <w:bookmarkEnd w:id="229"/>
      <w:bookmarkEnd w:id="230"/>
    </w:p>
    <w:p w14:paraId="4CBBD9F6" w14:textId="3641B61B" w:rsidR="003708A0" w:rsidRDefault="00B25CBB" w:rsidP="00B25CBB">
      <w:r>
        <w:t>Coverage for mobile services, particularly in regional and remote Australia, is largely dependent on the ability of carriers to deploy towers of sufficient height</w:t>
      </w:r>
      <w:r w:rsidR="00AA242C">
        <w:t>.</w:t>
      </w:r>
      <w:r>
        <w:t xml:space="preserve"> </w:t>
      </w:r>
      <w:r w:rsidR="003708A0">
        <w:t>Submissions to the 2017 consultation process highlighted concern about the potential impact to visual amenity if a</w:t>
      </w:r>
      <w:r>
        <w:t xml:space="preserve"> proposal to allow tower extensions </w:t>
      </w:r>
      <w:r w:rsidR="003708A0">
        <w:t xml:space="preserve">in commercial areas was implemented </w:t>
      </w:r>
      <w:r>
        <w:t xml:space="preserve">to </w:t>
      </w:r>
      <w:r w:rsidR="003708A0">
        <w:t xml:space="preserve">help </w:t>
      </w:r>
      <w:r w:rsidR="002B18A2">
        <w:t>improve coverage outcomes.</w:t>
      </w:r>
    </w:p>
    <w:p w14:paraId="12A8E0B6" w14:textId="187B4D0F" w:rsidR="00B25CBB" w:rsidRDefault="00AA242C" w:rsidP="00B25CBB">
      <w:r>
        <w:lastRenderedPageBreak/>
        <w:t xml:space="preserve">Item 12 in the LIFD </w:t>
      </w:r>
      <w:r w:rsidR="00B25CBB">
        <w:t xml:space="preserve">already provides that the height of towers located in industrial and rural areas can be extended, subject to conditions, </w:t>
      </w:r>
      <w:r w:rsidR="00167D02">
        <w:t>to a maximum of 5 metres</w:t>
      </w:r>
      <w:r w:rsidR="0074199E">
        <w:t>. The</w:t>
      </w:r>
      <w:r w:rsidR="00B25CBB">
        <w:t xml:space="preserve"> proposal</w:t>
      </w:r>
      <w:r w:rsidR="0074199E">
        <w:t xml:space="preserve"> in 2017</w:t>
      </w:r>
      <w:r w:rsidR="00B25CBB">
        <w:t xml:space="preserve"> sought to apply the same provisions to towers in commercial areas (which may be on the outskirts of regional towns).</w:t>
      </w:r>
    </w:p>
    <w:p w14:paraId="73C16940" w14:textId="03DCC096" w:rsidR="00B25CBB" w:rsidRDefault="00B25CBB" w:rsidP="00B25CBB">
      <w:r>
        <w:t>While there may be some impact to visual amenity from higher structures, the improved coverage and co-location of infrastructure that could result from height extensions mean</w:t>
      </w:r>
      <w:r w:rsidR="0074199E">
        <w:t>s</w:t>
      </w:r>
      <w:r>
        <w:t xml:space="preserve"> less telecommunications infrastructure—towers and antennae—need to be deployed overall.</w:t>
      </w:r>
      <w:r w:rsidR="003708A0">
        <w:t xml:space="preserve"> A reduced infrastructure footprint could be considered a net benefit when conside</w:t>
      </w:r>
      <w:r w:rsidR="00D242A8">
        <w:t>ring impacts to visual amenity.</w:t>
      </w:r>
    </w:p>
    <w:p w14:paraId="5DEFB2DC" w14:textId="77777777" w:rsidR="005F6830" w:rsidRDefault="00B25CBB" w:rsidP="00D242A8">
      <w:pPr>
        <w:pStyle w:val="Heading4"/>
      </w:pPr>
      <w:bookmarkStart w:id="231" w:name="_Toc47090244"/>
      <w:bookmarkStart w:id="232" w:name="_Toc51084866"/>
      <w:r>
        <w:t>Proposal</w:t>
      </w:r>
      <w:bookmarkEnd w:id="231"/>
      <w:bookmarkEnd w:id="232"/>
    </w:p>
    <w:p w14:paraId="5E4C47D6" w14:textId="0350B496" w:rsidR="005072C4" w:rsidRDefault="00DC0E68" w:rsidP="00BF78EB">
      <w:r>
        <w:t>We seek your views on whether tower heights (</w:t>
      </w:r>
      <w:r w:rsidR="003708A0">
        <w:t>Item 12 in the Schedule to t</w:t>
      </w:r>
      <w:r w:rsidR="00B25CBB" w:rsidRPr="00B25CBB">
        <w:t>he LIFD</w:t>
      </w:r>
      <w:r>
        <w:t>) should</w:t>
      </w:r>
      <w:r w:rsidR="00B25CBB" w:rsidRPr="00B25CBB">
        <w:t xml:space="preserve"> </w:t>
      </w:r>
      <w:r w:rsidR="003708A0">
        <w:t xml:space="preserve">be amended </w:t>
      </w:r>
      <w:r w:rsidR="00B25CBB" w:rsidRPr="00B25CBB">
        <w:t xml:space="preserve">to allow height extensions up to </w:t>
      </w:r>
      <w:r w:rsidR="0074199E">
        <w:t xml:space="preserve">a maximum of </w:t>
      </w:r>
      <w:r w:rsidR="00B25CBB" w:rsidRPr="00B25CBB">
        <w:t>5</w:t>
      </w:r>
      <w:r w:rsidR="001B6D36">
        <w:t> </w:t>
      </w:r>
      <w:r w:rsidR="00B25CBB" w:rsidRPr="00B25CBB">
        <w:t>metres in commercial areas</w:t>
      </w:r>
      <w:r w:rsidR="005072C4">
        <w:t xml:space="preserve"> in the following circumstances:</w:t>
      </w:r>
    </w:p>
    <w:p w14:paraId="60F00CD3" w14:textId="0B21E9B4" w:rsidR="005072C4" w:rsidRDefault="00533ED6" w:rsidP="00D242A8">
      <w:pPr>
        <w:pStyle w:val="Listparagraphbullets"/>
      </w:pPr>
      <w:r>
        <w:t>t</w:t>
      </w:r>
      <w:r w:rsidR="005072C4">
        <w:t>he height of the extension does not exceed 5 metres</w:t>
      </w:r>
      <w:r w:rsidR="00DC0E68">
        <w:t xml:space="preserve"> (as in current LIFD)</w:t>
      </w:r>
    </w:p>
    <w:p w14:paraId="3E3CD1CF" w14:textId="47F4394A" w:rsidR="005072C4" w:rsidRDefault="00533ED6" w:rsidP="00D242A8">
      <w:pPr>
        <w:pStyle w:val="Listparagraphbullets"/>
      </w:pPr>
      <w:r>
        <w:t>t</w:t>
      </w:r>
      <w:r w:rsidR="005072C4">
        <w:t>here have been no previous extensions to the tower</w:t>
      </w:r>
      <w:r w:rsidR="00DC0E68">
        <w:t xml:space="preserve"> (as in current LIFD)</w:t>
      </w:r>
      <w:r w:rsidR="005072C4">
        <w:t>, or</w:t>
      </w:r>
    </w:p>
    <w:p w14:paraId="65CE1F83" w14:textId="42156679" w:rsidR="005072C4" w:rsidRDefault="00533ED6" w:rsidP="00D242A8">
      <w:pPr>
        <w:pStyle w:val="Listparagraphbullets"/>
      </w:pPr>
      <w:proofErr w:type="gramStart"/>
      <w:r>
        <w:t>t</w:t>
      </w:r>
      <w:r w:rsidR="005072C4">
        <w:t>he</w:t>
      </w:r>
      <w:proofErr w:type="gramEnd"/>
      <w:r w:rsidR="005072C4">
        <w:t xml:space="preserve"> tower was previously extended by less than 5 metres</w:t>
      </w:r>
      <w:r w:rsidR="00DC0E68">
        <w:t xml:space="preserve"> (new suggestion)</w:t>
      </w:r>
      <w:r w:rsidR="005072C4">
        <w:t>.</w:t>
      </w:r>
    </w:p>
    <w:p w14:paraId="5B362F60" w14:textId="77777777" w:rsidR="00533ED6" w:rsidRDefault="00DC0E68" w:rsidP="00167D02">
      <w:r>
        <w:lastRenderedPageBreak/>
        <w:t>If this</w:t>
      </w:r>
      <w:r w:rsidR="003708A0">
        <w:t xml:space="preserve"> amendment</w:t>
      </w:r>
      <w:r w:rsidR="00167D02">
        <w:t xml:space="preserve"> </w:t>
      </w:r>
      <w:r>
        <w:t xml:space="preserve">were supported, it would require a change to the LIFD. </w:t>
      </w:r>
      <w:r w:rsidR="002930A6" w:rsidRPr="002930A6">
        <w:t xml:space="preserve">The content of the proposed amendment would be consulted on before the Minister amended the </w:t>
      </w:r>
      <w:r w:rsidR="002930A6">
        <w:t>LIFD</w:t>
      </w:r>
      <w:r w:rsidR="00533ED6">
        <w:t>.</w:t>
      </w:r>
    </w:p>
    <w:p w14:paraId="6939B031" w14:textId="20579685" w:rsidR="00167D02" w:rsidRDefault="00167D02" w:rsidP="00167D02">
      <w:r>
        <w:t>This proposal would be subject to the primary safety condition outlined earlier, and the other safeguards outlined in this paper and in the powers and immunities framework</w:t>
      </w:r>
      <w:r w:rsidR="00DC0E68">
        <w:t>.</w:t>
      </w:r>
    </w:p>
    <w:p w14:paraId="26583866" w14:textId="49243391" w:rsidR="008B2EDE" w:rsidRDefault="00453188" w:rsidP="007E38F6">
      <w:pPr>
        <w:pStyle w:val="Heading4"/>
        <w:pBdr>
          <w:top w:val="single" w:sz="4" w:space="1" w:color="auto"/>
          <w:left w:val="single" w:sz="4" w:space="4" w:color="auto"/>
          <w:bottom w:val="single" w:sz="4" w:space="1" w:color="auto"/>
          <w:right w:val="single" w:sz="4" w:space="4" w:color="auto"/>
        </w:pBdr>
        <w:shd w:val="clear" w:color="auto" w:fill="D5DCE4"/>
      </w:pPr>
      <w:bookmarkStart w:id="233" w:name="_Toc47090245"/>
      <w:bookmarkStart w:id="234" w:name="_Toc51084867"/>
      <w:r>
        <w:t>Prompt questions</w:t>
      </w:r>
      <w:bookmarkEnd w:id="233"/>
      <w:bookmarkEnd w:id="234"/>
    </w:p>
    <w:p w14:paraId="47EEE9A8" w14:textId="1B5838E9" w:rsidR="008B2EDE" w:rsidRPr="00D242A8" w:rsidRDefault="008B2EDE" w:rsidP="00D242A8">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D5DCE4"/>
        <w:ind w:left="567" w:hanging="567"/>
      </w:pPr>
      <w:r w:rsidRPr="00D242A8">
        <w:t xml:space="preserve">Would the extension to 5m </w:t>
      </w:r>
      <w:r w:rsidR="00AB445D" w:rsidRPr="00D242A8">
        <w:t>main</w:t>
      </w:r>
      <w:r w:rsidRPr="00D242A8">
        <w:t xml:space="preserve">tain </w:t>
      </w:r>
      <w:r w:rsidR="00AB445D" w:rsidRPr="00D242A8">
        <w:t>a</w:t>
      </w:r>
      <w:r w:rsidRPr="00D242A8">
        <w:t xml:space="preserve"> balance between visual amenity and the need to maintain telecommunications service?</w:t>
      </w:r>
    </w:p>
    <w:p w14:paraId="3386AB46" w14:textId="2CA393E4" w:rsidR="008B2EDE" w:rsidRPr="00D242A8" w:rsidRDefault="008B2EDE" w:rsidP="00D242A8">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D5DCE4"/>
        <w:ind w:left="567" w:hanging="567"/>
      </w:pPr>
      <w:r w:rsidRPr="00D242A8">
        <w:t>What benefits or disadvantages (financial or non-financial) would occur as a result of implementing th</w:t>
      </w:r>
      <w:r w:rsidR="00AB445D" w:rsidRPr="00D242A8">
        <w:t>is</w:t>
      </w:r>
      <w:r w:rsidRPr="00D242A8">
        <w:t xml:space="preserve"> option?</w:t>
      </w:r>
    </w:p>
    <w:p w14:paraId="7F8FD7E2" w14:textId="68175C9E" w:rsidR="003708A0" w:rsidRDefault="003708A0" w:rsidP="00D242A8">
      <w:pPr>
        <w:pStyle w:val="ListParagraph"/>
        <w:numPr>
          <w:ilvl w:val="0"/>
          <w:numId w:val="33"/>
        </w:numPr>
        <w:pBdr>
          <w:top w:val="single" w:sz="4" w:space="1" w:color="auto"/>
          <w:left w:val="single" w:sz="4" w:space="4" w:color="auto"/>
          <w:bottom w:val="single" w:sz="4" w:space="1" w:color="auto"/>
          <w:right w:val="single" w:sz="4" w:space="4" w:color="auto"/>
        </w:pBdr>
        <w:shd w:val="clear" w:color="auto" w:fill="D5DCE4"/>
        <w:ind w:left="567" w:hanging="567"/>
      </w:pPr>
      <w:r w:rsidRPr="00D242A8">
        <w:t>Are there any other conditions or issues that should be considered if this proposal was to</w:t>
      </w:r>
      <w:r>
        <w:t xml:space="preserve"> proceed?</w:t>
      </w:r>
    </w:p>
    <w:p w14:paraId="47091083" w14:textId="6554AE04" w:rsidR="005F6830" w:rsidRDefault="005F6830" w:rsidP="000852A2">
      <w:pPr>
        <w:pStyle w:val="Heading3"/>
        <w:numPr>
          <w:ilvl w:val="0"/>
          <w:numId w:val="20"/>
        </w:numPr>
      </w:pPr>
      <w:bookmarkStart w:id="235" w:name="_Toc45706791"/>
      <w:bookmarkStart w:id="236" w:name="_Toc45707822"/>
      <w:bookmarkStart w:id="237" w:name="_Toc45709069"/>
      <w:bookmarkStart w:id="238" w:name="_Toc45709641"/>
      <w:bookmarkStart w:id="239" w:name="_Toc45713753"/>
      <w:bookmarkStart w:id="240" w:name="_Toc45713912"/>
      <w:bookmarkStart w:id="241" w:name="_Toc45713184"/>
      <w:bookmarkStart w:id="242" w:name="_Toc45713792"/>
      <w:bookmarkStart w:id="243" w:name="_Toc45713951"/>
      <w:bookmarkStart w:id="244" w:name="_Toc45713990"/>
      <w:bookmarkStart w:id="245" w:name="_Toc45714031"/>
      <w:bookmarkStart w:id="246" w:name="_Toc45645789"/>
      <w:bookmarkStart w:id="247" w:name="_Toc45649119"/>
      <w:bookmarkStart w:id="248" w:name="_Toc45651247"/>
      <w:bookmarkStart w:id="249" w:name="_Toc45645793"/>
      <w:bookmarkStart w:id="250" w:name="_Toc45649123"/>
      <w:bookmarkStart w:id="251" w:name="_Toc45651251"/>
      <w:bookmarkStart w:id="252" w:name="_Toc45645794"/>
      <w:bookmarkStart w:id="253" w:name="_Toc45649124"/>
      <w:bookmarkStart w:id="254" w:name="_Toc45651252"/>
      <w:bookmarkStart w:id="255" w:name="_Toc45645799"/>
      <w:bookmarkStart w:id="256" w:name="_Toc45649129"/>
      <w:bookmarkStart w:id="257" w:name="_Toc45651257"/>
      <w:bookmarkStart w:id="258" w:name="_Toc45645800"/>
      <w:bookmarkStart w:id="259" w:name="_Toc45649130"/>
      <w:bookmarkStart w:id="260" w:name="_Toc45651258"/>
      <w:bookmarkStart w:id="261" w:name="_Toc45645811"/>
      <w:bookmarkStart w:id="262" w:name="_Toc45649141"/>
      <w:bookmarkStart w:id="263" w:name="_Toc45651269"/>
      <w:bookmarkStart w:id="264" w:name="_Toc45645812"/>
      <w:bookmarkStart w:id="265" w:name="_Toc45649142"/>
      <w:bookmarkStart w:id="266" w:name="_Toc45651270"/>
      <w:bookmarkStart w:id="267" w:name="_Toc45645827"/>
      <w:bookmarkStart w:id="268" w:name="_Toc45649157"/>
      <w:bookmarkStart w:id="269" w:name="_Toc45651285"/>
      <w:bookmarkStart w:id="270" w:name="_Toc45645830"/>
      <w:bookmarkStart w:id="271" w:name="_Toc45649160"/>
      <w:bookmarkStart w:id="272" w:name="_Toc45651288"/>
      <w:bookmarkStart w:id="273" w:name="_Toc45645831"/>
      <w:bookmarkStart w:id="274" w:name="_Toc45649161"/>
      <w:bookmarkStart w:id="275" w:name="_Toc45651289"/>
      <w:bookmarkStart w:id="276" w:name="_Toc45545598"/>
      <w:bookmarkStart w:id="277" w:name="_Toc45642098"/>
      <w:bookmarkStart w:id="278" w:name="_Toc45649162"/>
      <w:bookmarkStart w:id="279" w:name="_Toc45713991"/>
      <w:bookmarkStart w:id="280" w:name="_Toc47090246"/>
      <w:bookmarkStart w:id="281" w:name="_Toc51084868"/>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lastRenderedPageBreak/>
        <w:t>Allowing deployment on poles rather than on utilities</w:t>
      </w:r>
      <w:bookmarkEnd w:id="276"/>
      <w:bookmarkEnd w:id="277"/>
      <w:bookmarkEnd w:id="278"/>
      <w:bookmarkEnd w:id="279"/>
      <w:bookmarkEnd w:id="280"/>
      <w:bookmarkEnd w:id="281"/>
    </w:p>
    <w:p w14:paraId="41CB4463" w14:textId="77777777" w:rsidR="005F6830" w:rsidRDefault="00B25CBB" w:rsidP="00E80469">
      <w:pPr>
        <w:pStyle w:val="Heading4"/>
      </w:pPr>
      <w:bookmarkStart w:id="282" w:name="_Toc47090247"/>
      <w:bookmarkStart w:id="283" w:name="_Toc51084869"/>
      <w:r>
        <w:t>Issue</w:t>
      </w:r>
      <w:bookmarkEnd w:id="282"/>
      <w:bookmarkEnd w:id="283"/>
    </w:p>
    <w:p w14:paraId="289F10B2" w14:textId="527D7919" w:rsidR="000B1F05" w:rsidRDefault="000B1F05" w:rsidP="000B1F05">
      <w:r>
        <w:t xml:space="preserve">There are different regulatory regimes that apply depending on whether a carrier deploys on a building or chooses to deploy on a pole or a tower. Poles and towers are not low-impact facilities and are subject to local planning obligations, meaning a development approval is required. </w:t>
      </w:r>
      <w:r w:rsidR="006213E2">
        <w:t>These obligations ensure that significant infrastructure is subject to safety and visual amenity oversight.</w:t>
      </w:r>
    </w:p>
    <w:p w14:paraId="0692D6C7" w14:textId="21FE5330" w:rsidR="006213E2" w:rsidRDefault="000B1F05" w:rsidP="000B1F05">
      <w:r>
        <w:t xml:space="preserve">5G, and in particular millimetre wave technology, will rely on small cells deployed on existing public </w:t>
      </w:r>
      <w:proofErr w:type="spellStart"/>
      <w:r w:rsidR="00E80469">
        <w:t>infrastructure,</w:t>
      </w:r>
      <w:proofErr w:type="spellEnd"/>
      <w:r>
        <w:t xml:space="preserve"> including electricity poles. However, there are some locations where there is no existing infrastructure or</w:t>
      </w:r>
      <w:r w:rsidR="00187272">
        <w:t>,</w:t>
      </w:r>
      <w:r>
        <w:t xml:space="preserve"> where infrastructure is available, it may have no spare capacity. Telecommunications carriers have developed a new type of telecommunications facility </w:t>
      </w:r>
      <w:r w:rsidR="000852A2">
        <w:t>for</w:t>
      </w:r>
      <w:r>
        <w:t xml:space="preserve"> these circumstances—a smart pole, or a slim pole. Smart or slim poles are slimline </w:t>
      </w:r>
      <w:r w:rsidR="000852A2">
        <w:t>in design and</w:t>
      </w:r>
      <w:r>
        <w:t xml:space="preserve"> able to physically accommodate equipment and anten</w:t>
      </w:r>
      <w:r w:rsidR="002B18A2">
        <w:t>nas on or within the structure.</w:t>
      </w:r>
    </w:p>
    <w:p w14:paraId="7DAFA676" w14:textId="5568F2B1" w:rsidR="000B1F05" w:rsidRDefault="000B1F05" w:rsidP="000B1F05">
      <w:r>
        <w:t xml:space="preserve">The costs to plan and provision a </w:t>
      </w:r>
      <w:r w:rsidR="000852A2">
        <w:t xml:space="preserve">telecommunications </w:t>
      </w:r>
      <w:r>
        <w:t xml:space="preserve">deployment in an area of low </w:t>
      </w:r>
      <w:r w:rsidR="000852A2">
        <w:t xml:space="preserve">volume or </w:t>
      </w:r>
      <w:r>
        <w:t xml:space="preserve">traffic </w:t>
      </w:r>
      <w:r w:rsidR="000852A2">
        <w:t>density</w:t>
      </w:r>
      <w:r>
        <w:t xml:space="preserve"> where a full development approval is required can ma</w:t>
      </w:r>
      <w:r w:rsidR="002B18A2">
        <w:t>ke some deployments unfeasible.</w:t>
      </w:r>
    </w:p>
    <w:p w14:paraId="189C3043" w14:textId="5D557C0D" w:rsidR="006213E2" w:rsidRDefault="000B1F05" w:rsidP="000B1F05">
      <w:r>
        <w:lastRenderedPageBreak/>
        <w:t xml:space="preserve">Specifying smart or slim poles as low-impact facilities could have the effect of reducing capital costs involved in acquiring and rolling out </w:t>
      </w:r>
      <w:r w:rsidR="0019523F">
        <w:t xml:space="preserve">5G </w:t>
      </w:r>
      <w:r>
        <w:t>infrastructure. It means that carriers could roll out new, better mobile services in more locations where it would have been unfeasible to do so previously.</w:t>
      </w:r>
      <w:r w:rsidR="00C102B1">
        <w:t xml:space="preserve"> </w:t>
      </w:r>
      <w:r w:rsidR="0003664C">
        <w:t>Significant economic benefits may be realised if smart or slim poles are specified as low-impact facilities as deployments c</w:t>
      </w:r>
      <w:r w:rsidR="00D860D2">
        <w:t>ould</w:t>
      </w:r>
      <w:r w:rsidR="0003664C">
        <w:t xml:space="preserve"> be undertaken in a nationally consistent way.</w:t>
      </w:r>
    </w:p>
    <w:p w14:paraId="05698E3A" w14:textId="751B55BD" w:rsidR="006213E2" w:rsidRDefault="0067443A" w:rsidP="00D242A8">
      <w:pPr>
        <w:keepNext/>
      </w:pPr>
      <w:r>
        <w:t xml:space="preserve">There is also the potential that smart or slim poles, without </w:t>
      </w:r>
      <w:r w:rsidR="00FA4BD8">
        <w:t xml:space="preserve">limitations on type and application, could go against the low visual impact policy rationale of the powers and immunities framework. </w:t>
      </w:r>
      <w:r w:rsidR="006213E2">
        <w:t>Low-impact facilities are generally telecommunications equipment that:</w:t>
      </w:r>
    </w:p>
    <w:p w14:paraId="3D81F4C7" w14:textId="77777777" w:rsidR="006213E2" w:rsidRDefault="006213E2" w:rsidP="00D242A8">
      <w:pPr>
        <w:pStyle w:val="Listparagraphbullets"/>
      </w:pPr>
      <w:r>
        <w:t>are essential to the efficient operation of telecommunications networks</w:t>
      </w:r>
    </w:p>
    <w:p w14:paraId="3D98487D" w14:textId="77777777" w:rsidR="006213E2" w:rsidRDefault="006213E2" w:rsidP="00D242A8">
      <w:pPr>
        <w:pStyle w:val="Listparagraphbullets"/>
      </w:pPr>
      <w:r>
        <w:t>have low visual impact, and</w:t>
      </w:r>
    </w:p>
    <w:p w14:paraId="1621C738" w14:textId="77777777" w:rsidR="006213E2" w:rsidRDefault="006213E2" w:rsidP="00D242A8">
      <w:pPr>
        <w:pStyle w:val="Listparagraphbullets"/>
      </w:pPr>
      <w:proofErr w:type="gramStart"/>
      <w:r>
        <w:t>are</w:t>
      </w:r>
      <w:proofErr w:type="gramEnd"/>
      <w:r>
        <w:t xml:space="preserve"> unlikely to cause significant community disruption during installation or operation.</w:t>
      </w:r>
    </w:p>
    <w:p w14:paraId="28E460B9" w14:textId="77777777" w:rsidR="006213E2" w:rsidRDefault="006213E2" w:rsidP="006213E2">
      <w:r>
        <w:t>While smart or slim poles may meet this criteria, clause 6(5) of Schedule 3 of the Act provides that towers, including poles or masts, cannot be specified as low-impact facilities unless certain conditions are met. None of the existing conditions outlined in clause 6(5) are applicable to the deployment of smart or slim poles.</w:t>
      </w:r>
    </w:p>
    <w:p w14:paraId="27ABC7AD" w14:textId="77777777" w:rsidR="0003664C" w:rsidRDefault="0003664C" w:rsidP="0003664C">
      <w:r>
        <w:lastRenderedPageBreak/>
        <w:t>Carriers have provided feedback they would prefer that smart or slim poles be specified as low-impact facilities provided that they are of a suitably discrete design, blending in with the surrounding environment or as a feature, such as an art installation for example. Smart or slim poles have been deployed in the Sydney Botanic Gardens to provide small cell coverage and other services to users the area. An example of a slim line pole in the Botanic Gardens is provided below.</w:t>
      </w:r>
    </w:p>
    <w:p w14:paraId="0417ECD3" w14:textId="77777777" w:rsidR="0003664C" w:rsidRDefault="0003664C" w:rsidP="0003664C">
      <w:pPr>
        <w:pStyle w:val="Tablefigureheading"/>
      </w:pPr>
      <w:bookmarkStart w:id="284" w:name="_Toc51084887"/>
      <w:r>
        <w:t>Figure 4: Slim line pole in Sydney Botanic Gardens, Australia</w:t>
      </w:r>
      <w:bookmarkEnd w:id="284"/>
    </w:p>
    <w:p w14:paraId="24E51E3D" w14:textId="77777777" w:rsidR="0003664C" w:rsidRDefault="0003664C" w:rsidP="0003664C">
      <w:r>
        <w:t xml:space="preserve"> </w:t>
      </w:r>
      <w:r>
        <w:rPr>
          <w:noProof/>
          <w:lang w:eastAsia="en-AU"/>
        </w:rPr>
        <w:drawing>
          <wp:inline distT="0" distB="0" distL="0" distR="0" wp14:anchorId="04C5DDDC" wp14:editId="7EBF51D4">
            <wp:extent cx="2806700" cy="2806700"/>
            <wp:effectExtent l="0" t="0" r="0" b="0"/>
            <wp:docPr id="2" name="Picture 2" descr="Example of a slim line structure with telecommunications equipment installed within the cylindrical structure, also referred to as a smart pole, in Sydney Botanic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06700" cy="2806700"/>
                    </a:xfrm>
                    <a:prstGeom prst="rect">
                      <a:avLst/>
                    </a:prstGeom>
                    <a:noFill/>
                  </pic:spPr>
                </pic:pic>
              </a:graphicData>
            </a:graphic>
          </wp:inline>
        </w:drawing>
      </w:r>
    </w:p>
    <w:p w14:paraId="6FABA3C1" w14:textId="77777777" w:rsidR="00B25CBB" w:rsidRDefault="00B25CBB" w:rsidP="00D242A8">
      <w:pPr>
        <w:pStyle w:val="Heading4"/>
      </w:pPr>
      <w:bookmarkStart w:id="285" w:name="_Toc47090248"/>
      <w:bookmarkStart w:id="286" w:name="_Toc51084870"/>
      <w:r>
        <w:lastRenderedPageBreak/>
        <w:t>Proposal</w:t>
      </w:r>
      <w:bookmarkEnd w:id="285"/>
      <w:bookmarkEnd w:id="286"/>
    </w:p>
    <w:p w14:paraId="6A72ED4D" w14:textId="54EA432B" w:rsidR="00B83835" w:rsidRDefault="0003664C" w:rsidP="00EE2DD1">
      <w:r>
        <w:t xml:space="preserve">We </w:t>
      </w:r>
      <w:r w:rsidR="00B83835">
        <w:t xml:space="preserve">are seeking your feedback on whether </w:t>
      </w:r>
      <w:r>
        <w:t>existing planning arrangements provide enough certainty for the community, landowners and carriers in creating a</w:t>
      </w:r>
      <w:r w:rsidR="00B83835">
        <w:t>n effective</w:t>
      </w:r>
      <w:r>
        <w:t xml:space="preserve"> 5G network </w:t>
      </w:r>
      <w:r w:rsidR="00B83835">
        <w:t>that is of low visual impact.</w:t>
      </w:r>
    </w:p>
    <w:p w14:paraId="4072C89B" w14:textId="209AB733" w:rsidR="0003664C" w:rsidRDefault="0003664C" w:rsidP="00EE2DD1">
      <w:r>
        <w:t>Alternative arrangements, such as early engagement with and leveraging support from local governments about planned smart or slim pole deployments may lead to positive development application outcomes.</w:t>
      </w:r>
    </w:p>
    <w:p w14:paraId="4D22F185" w14:textId="7D40BBD1" w:rsidR="0003664C" w:rsidRPr="00C1406E" w:rsidRDefault="0003664C" w:rsidP="00EE2DD1">
      <w:r>
        <w:t xml:space="preserve">We also seek your views on whether the benefits offered by the deployment of smart or slim poles are significant enough </w:t>
      </w:r>
      <w:r w:rsidR="00B83835">
        <w:t xml:space="preserve">to include as a </w:t>
      </w:r>
      <w:r>
        <w:t>low-impact facility; or whether the risk to potential lack of visual amenity means this infrastructure should remain within the current planning processes.</w:t>
      </w:r>
    </w:p>
    <w:p w14:paraId="508DC9A8" w14:textId="68A56AA0" w:rsidR="0003664C" w:rsidRDefault="0003664C" w:rsidP="000B1F05">
      <w:r>
        <w:t xml:space="preserve">If </w:t>
      </w:r>
      <w:r w:rsidR="000B1F05">
        <w:t xml:space="preserve">smart or slim poles </w:t>
      </w:r>
      <w:r>
        <w:t xml:space="preserve">were </w:t>
      </w:r>
      <w:r w:rsidR="000B1F05">
        <w:t>specified as a low-impact facility, a legislative change to the Act would be needed</w:t>
      </w:r>
      <w:r w:rsidR="0019523F">
        <w:t>.</w:t>
      </w:r>
      <w:r w:rsidR="000B1F05">
        <w:t xml:space="preserve"> </w:t>
      </w:r>
      <w:r w:rsidR="00187272">
        <w:t xml:space="preserve">An </w:t>
      </w:r>
      <w:r w:rsidR="000B1F05">
        <w:t>amendment would</w:t>
      </w:r>
      <w:r>
        <w:t xml:space="preserve"> need to</w:t>
      </w:r>
      <w:r w:rsidR="000B1F05">
        <w:t xml:space="preserve"> outline conditions </w:t>
      </w:r>
      <w:r w:rsidR="00187272">
        <w:t xml:space="preserve">for </w:t>
      </w:r>
      <w:r w:rsidR="000B1F05">
        <w:t>the dep</w:t>
      </w:r>
      <w:r w:rsidR="002B18A2">
        <w:t>loyment of smart or slim poles.</w:t>
      </w:r>
    </w:p>
    <w:p w14:paraId="39E2CECF" w14:textId="603F5776" w:rsidR="000B1F05" w:rsidRDefault="00B83835" w:rsidP="000B1F05">
      <w:r>
        <w:lastRenderedPageBreak/>
        <w:t>If you agree that a smart or slim pole could be classified as a low-impact facility, w</w:t>
      </w:r>
      <w:r w:rsidR="0003664C">
        <w:t xml:space="preserve">e are </w:t>
      </w:r>
      <w:r>
        <w:t xml:space="preserve">further </w:t>
      </w:r>
      <w:r w:rsidR="0003664C">
        <w:t xml:space="preserve">seeking your feedback on what conditions for deployment </w:t>
      </w:r>
      <w:r>
        <w:t>could be useful to ensure it remains of low visual impact. For example,</w:t>
      </w:r>
    </w:p>
    <w:p w14:paraId="4D249CD6" w14:textId="790B2DC8" w:rsidR="000B1F05" w:rsidRDefault="000B1F05" w:rsidP="00D242A8">
      <w:pPr>
        <w:pStyle w:val="Listparagraphbullets"/>
      </w:pPr>
      <w:r>
        <w:t xml:space="preserve">a pole </w:t>
      </w:r>
      <w:r w:rsidR="0003664C">
        <w:t xml:space="preserve">could </w:t>
      </w:r>
      <w:r>
        <w:t>only be used to support small cell telecommunications facilities</w:t>
      </w:r>
    </w:p>
    <w:p w14:paraId="10A19C15" w14:textId="77777777" w:rsidR="000B1F05" w:rsidRDefault="000B1F05" w:rsidP="00D242A8">
      <w:pPr>
        <w:pStyle w:val="Listparagraphbullets"/>
      </w:pPr>
      <w:r>
        <w:t>the height of the pole cannot exceed 12 metres</w:t>
      </w:r>
    </w:p>
    <w:p w14:paraId="22ED790B" w14:textId="77777777" w:rsidR="000B1F05" w:rsidRDefault="000B1F05" w:rsidP="00D242A8">
      <w:pPr>
        <w:pStyle w:val="Listparagraphbullets"/>
      </w:pPr>
      <w:r>
        <w:t>a pole can only be installed on public land</w:t>
      </w:r>
    </w:p>
    <w:p w14:paraId="0B49634E" w14:textId="77777777" w:rsidR="000B1F05" w:rsidRDefault="000B1F05" w:rsidP="00D242A8">
      <w:pPr>
        <w:pStyle w:val="Listparagraphbullets"/>
      </w:pPr>
      <w:r>
        <w:t xml:space="preserve">a pole cannot be installed in close proximity to existing public </w:t>
      </w:r>
      <w:proofErr w:type="spellStart"/>
      <w:r>
        <w:t>infrastructure,</w:t>
      </w:r>
      <w:proofErr w:type="spellEnd"/>
      <w:r>
        <w:t xml:space="preserve"> it must replace that item of public infrastructure</w:t>
      </w:r>
    </w:p>
    <w:p w14:paraId="197365AE" w14:textId="77777777" w:rsidR="000B1F05" w:rsidRDefault="000B1F05" w:rsidP="00D242A8">
      <w:pPr>
        <w:pStyle w:val="Listparagraphbullets"/>
      </w:pPr>
      <w:r>
        <w:t>the pole may be supported by an equipment cabinet installed at ground level</w:t>
      </w:r>
    </w:p>
    <w:p w14:paraId="42846455" w14:textId="4FE2E121" w:rsidR="000B1F05" w:rsidRDefault="000B1F05" w:rsidP="00EC0D96">
      <w:pPr>
        <w:pStyle w:val="Listparagraphbullets"/>
        <w:spacing w:after="240"/>
      </w:pPr>
      <w:proofErr w:type="gramStart"/>
      <w:r>
        <w:t>the</w:t>
      </w:r>
      <w:proofErr w:type="gramEnd"/>
      <w:r>
        <w:t xml:space="preserve"> installation of a pole is subject to consultation in accordance with industry codes and standards, as recognised by the ACMA.</w:t>
      </w:r>
    </w:p>
    <w:p w14:paraId="4B9DFACD" w14:textId="77777777" w:rsidR="0067443A" w:rsidRDefault="0067443A" w:rsidP="007E38F6">
      <w:pPr>
        <w:pStyle w:val="Heading4"/>
        <w:pBdr>
          <w:top w:val="single" w:sz="4" w:space="1" w:color="auto"/>
          <w:left w:val="single" w:sz="4" w:space="4" w:color="auto"/>
          <w:bottom w:val="single" w:sz="4" w:space="1" w:color="auto"/>
          <w:right w:val="single" w:sz="4" w:space="4" w:color="auto"/>
        </w:pBdr>
        <w:shd w:val="clear" w:color="auto" w:fill="D5DCE4"/>
      </w:pPr>
      <w:bookmarkStart w:id="287" w:name="_Toc47090249"/>
      <w:bookmarkStart w:id="288" w:name="_Toc51084871"/>
      <w:r>
        <w:t>Prompt questions</w:t>
      </w:r>
      <w:bookmarkEnd w:id="287"/>
      <w:bookmarkEnd w:id="288"/>
    </w:p>
    <w:p w14:paraId="46920BFD" w14:textId="500CF80C" w:rsidR="0019523F" w:rsidRDefault="0003664C" w:rsidP="00D242A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D5DCE4"/>
        <w:ind w:left="567" w:hanging="567"/>
      </w:pPr>
      <w:r>
        <w:t>Should</w:t>
      </w:r>
      <w:r w:rsidRPr="00DD6C9E">
        <w:t xml:space="preserve"> </w:t>
      </w:r>
      <w:r w:rsidR="0019523F">
        <w:t>smart or</w:t>
      </w:r>
      <w:r w:rsidR="0067443A">
        <w:t xml:space="preserve"> </w:t>
      </w:r>
      <w:r w:rsidR="0067443A" w:rsidRPr="00DD6C9E">
        <w:t>slim line poles</w:t>
      </w:r>
      <w:r>
        <w:t>,</w:t>
      </w:r>
      <w:r w:rsidR="00FA4BD8">
        <w:t xml:space="preserve"> </w:t>
      </w:r>
      <w:r>
        <w:t>under certain conditions,</w:t>
      </w:r>
      <w:r w:rsidR="00FA4BD8">
        <w:t xml:space="preserve"> </w:t>
      </w:r>
      <w:r w:rsidR="0067443A" w:rsidRPr="00DD6C9E">
        <w:t xml:space="preserve">be </w:t>
      </w:r>
      <w:r>
        <w:t xml:space="preserve">considered as </w:t>
      </w:r>
      <w:r w:rsidR="0067443A" w:rsidRPr="00DD6C9E">
        <w:t>low visual impact?</w:t>
      </w:r>
      <w:r w:rsidR="00FA4BD8">
        <w:t xml:space="preserve"> </w:t>
      </w:r>
      <w:r w:rsidR="00B31DC9">
        <w:t>If so, what should those conditions be?</w:t>
      </w:r>
    </w:p>
    <w:p w14:paraId="75E87F34" w14:textId="7CBAD228" w:rsidR="00FA4BD8" w:rsidRPr="00DD6C9E" w:rsidRDefault="00FA4BD8" w:rsidP="00D242A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D5DCE4"/>
        <w:ind w:left="567" w:hanging="567"/>
      </w:pPr>
      <w:r>
        <w:t xml:space="preserve">What other suggestions would help to categorise a </w:t>
      </w:r>
      <w:r w:rsidR="0019523F">
        <w:t xml:space="preserve">smart or slim </w:t>
      </w:r>
      <w:r>
        <w:t>pole as of low visual impact?</w:t>
      </w:r>
    </w:p>
    <w:p w14:paraId="1EF1B28E" w14:textId="70A01BE2" w:rsidR="0067443A" w:rsidRPr="00DD6C9E" w:rsidRDefault="0067443A" w:rsidP="00D242A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D5DCE4"/>
        <w:ind w:left="567" w:hanging="567"/>
      </w:pPr>
      <w:r w:rsidRPr="00DD6C9E">
        <w:lastRenderedPageBreak/>
        <w:t>What alternatives to this option better meet the need for a national approach to telecommunications infrastructure investment that balances the need for visual amenity?</w:t>
      </w:r>
    </w:p>
    <w:p w14:paraId="6FF4C818" w14:textId="080A3F1B" w:rsidR="00B31DC9" w:rsidRPr="00FA4BD8" w:rsidRDefault="0067443A" w:rsidP="00D242A8">
      <w:pPr>
        <w:pStyle w:val="ListParagraph"/>
        <w:numPr>
          <w:ilvl w:val="0"/>
          <w:numId w:val="24"/>
        </w:numPr>
        <w:pBdr>
          <w:top w:val="single" w:sz="4" w:space="1" w:color="auto"/>
          <w:left w:val="single" w:sz="4" w:space="4" w:color="auto"/>
          <w:bottom w:val="single" w:sz="4" w:space="1" w:color="auto"/>
          <w:right w:val="single" w:sz="4" w:space="4" w:color="auto"/>
        </w:pBdr>
        <w:shd w:val="clear" w:color="auto" w:fill="D5DCE4"/>
        <w:ind w:left="567" w:hanging="567"/>
      </w:pPr>
      <w:r w:rsidRPr="0067443A">
        <w:t>What benefits or disadvantages (financial or non-financial) would occur as a result of implementing these options?</w:t>
      </w:r>
    </w:p>
    <w:p w14:paraId="395BB435" w14:textId="0AB456D7" w:rsidR="005F6830" w:rsidRPr="00EE2DD1" w:rsidRDefault="005F6830" w:rsidP="00DD6C9E">
      <w:pPr>
        <w:pStyle w:val="Heading3"/>
        <w:numPr>
          <w:ilvl w:val="0"/>
          <w:numId w:val="20"/>
        </w:numPr>
      </w:pPr>
      <w:bookmarkStart w:id="289" w:name="_Toc45714033"/>
      <w:bookmarkStart w:id="290" w:name="_Toc45545599"/>
      <w:bookmarkStart w:id="291" w:name="_Toc45642099"/>
      <w:bookmarkStart w:id="292" w:name="_Toc45649163"/>
      <w:bookmarkStart w:id="293" w:name="_Toc45713992"/>
      <w:bookmarkStart w:id="294" w:name="_Toc47090250"/>
      <w:bookmarkStart w:id="295" w:name="_Toc51084872"/>
      <w:bookmarkEnd w:id="289"/>
      <w:r w:rsidRPr="00EE2DD1">
        <w:t>Encourage the co-location of facilities</w:t>
      </w:r>
      <w:bookmarkEnd w:id="290"/>
      <w:bookmarkEnd w:id="291"/>
      <w:bookmarkEnd w:id="292"/>
      <w:bookmarkEnd w:id="293"/>
      <w:bookmarkEnd w:id="294"/>
      <w:bookmarkEnd w:id="295"/>
    </w:p>
    <w:p w14:paraId="0E1D232F" w14:textId="77777777" w:rsidR="00BF78EB" w:rsidRDefault="00B25CBB" w:rsidP="00E80469">
      <w:pPr>
        <w:pStyle w:val="Heading4"/>
      </w:pPr>
      <w:bookmarkStart w:id="296" w:name="_Toc47090251"/>
      <w:bookmarkStart w:id="297" w:name="_Toc51084873"/>
      <w:r>
        <w:t>Issue</w:t>
      </w:r>
      <w:bookmarkEnd w:id="296"/>
      <w:bookmarkEnd w:id="297"/>
    </w:p>
    <w:p w14:paraId="0EDB71F5" w14:textId="19C0D735" w:rsidR="00B25CBB" w:rsidRDefault="00B25CBB" w:rsidP="00B25CBB">
      <w:r>
        <w:t>The introduction of 5G and other similar technologies into the future will result in more small cells being deployed in areas of high use. To reduce the impact of more deployments and to continue to meet the community’s expectations regarding visual amenity, co-location on existing infrastructure</w:t>
      </w:r>
      <w:r w:rsidR="003B4CB7">
        <w:t xml:space="preserve"> and urban furniture</w:t>
      </w:r>
      <w:r>
        <w:t>, such as utility poles, is desirable.</w:t>
      </w:r>
    </w:p>
    <w:p w14:paraId="2184B436" w14:textId="01F3181A" w:rsidR="003B4CB7" w:rsidRDefault="003B4CB7" w:rsidP="00DD6C9E">
      <w:pPr>
        <w:pStyle w:val="Tablefigureheading"/>
      </w:pPr>
      <w:bookmarkStart w:id="298" w:name="_Toc45545577"/>
      <w:bookmarkStart w:id="299" w:name="_Toc51084888"/>
      <w:r>
        <w:lastRenderedPageBreak/>
        <w:t xml:space="preserve">Figure </w:t>
      </w:r>
      <w:r w:rsidR="00D30FC2">
        <w:t>5</w:t>
      </w:r>
      <w:r>
        <w:t xml:space="preserve">: </w:t>
      </w:r>
      <w:r w:rsidR="00D30FC2">
        <w:t>Example of co-located facilities</w:t>
      </w:r>
      <w:bookmarkEnd w:id="298"/>
      <w:bookmarkEnd w:id="299"/>
    </w:p>
    <w:p w14:paraId="7B025288" w14:textId="07A00E60" w:rsidR="003B4CB7" w:rsidRDefault="003B4CB7" w:rsidP="003B4CB7">
      <w:pPr>
        <w:spacing w:line="259" w:lineRule="auto"/>
      </w:pPr>
      <w:r>
        <w:rPr>
          <w:noProof/>
          <w:lang w:eastAsia="en-AU"/>
        </w:rPr>
        <w:drawing>
          <wp:inline distT="0" distB="0" distL="0" distR="0" wp14:anchorId="23252E9C" wp14:editId="59FA1995">
            <wp:extent cx="1739900" cy="2319868"/>
            <wp:effectExtent l="0" t="0" r="0" b="4445"/>
            <wp:docPr id="3" name="Picture 3" descr="An example of telecommunications equipment co-located on public infrastructure - a light pole in a suburban street in Wright, Canberra,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8889" cy="2358521"/>
                    </a:xfrm>
                    <a:prstGeom prst="rect">
                      <a:avLst/>
                    </a:prstGeom>
                    <a:noFill/>
                  </pic:spPr>
                </pic:pic>
              </a:graphicData>
            </a:graphic>
          </wp:inline>
        </w:drawing>
      </w:r>
      <w:r w:rsidR="005C4D16" w:rsidRPr="005C4D16">
        <w:rPr>
          <w:noProof/>
          <w:lang w:eastAsia="en-AU"/>
        </w:rPr>
        <w:t xml:space="preserve"> </w:t>
      </w:r>
      <w:r w:rsidR="005C4D16" w:rsidRPr="005C4D16">
        <w:rPr>
          <w:noProof/>
          <w:lang w:eastAsia="en-AU"/>
        </w:rPr>
        <w:drawing>
          <wp:inline distT="0" distB="0" distL="0" distR="0" wp14:anchorId="41AAEC67" wp14:editId="67AF6F24">
            <wp:extent cx="1783463" cy="2317750"/>
            <wp:effectExtent l="0" t="0" r="7620" b="6350"/>
            <wp:docPr id="1" name="Picture 1" descr="An example of telecommunications equipment co-located on public infrastructure - a light pole located at the National Zoo and Aquarium, Canberra,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13017" cy="2356158"/>
                    </a:xfrm>
                    <a:prstGeom prst="rect">
                      <a:avLst/>
                    </a:prstGeom>
                  </pic:spPr>
                </pic:pic>
              </a:graphicData>
            </a:graphic>
          </wp:inline>
        </w:drawing>
      </w:r>
    </w:p>
    <w:p w14:paraId="13AF7A1B" w14:textId="17CBB215" w:rsidR="00B25CBB" w:rsidRDefault="00B52E08" w:rsidP="00B25CBB">
      <w:r>
        <w:t xml:space="preserve">Submissions to the </w:t>
      </w:r>
      <w:r w:rsidR="00B25CBB">
        <w:t>2017</w:t>
      </w:r>
      <w:r>
        <w:t xml:space="preserve"> consultation process </w:t>
      </w:r>
      <w:r w:rsidR="00B83835">
        <w:t>raised concerns</w:t>
      </w:r>
      <w:r>
        <w:t xml:space="preserve"> about a proposal to</w:t>
      </w:r>
      <w:r w:rsidR="00E10937">
        <w:t xml:space="preserve"> remov</w:t>
      </w:r>
      <w:r>
        <w:t>e</w:t>
      </w:r>
      <w:r w:rsidR="00E10937">
        <w:t xml:space="preserve"> the 25 per cent co-location limit in commercial areas, and lift the co-location limit from 25 per cent to 50 per cent in residential areas</w:t>
      </w:r>
      <w:r>
        <w:t xml:space="preserve">. Landowners were concerned about </w:t>
      </w:r>
      <w:r w:rsidR="00E10937">
        <w:t>the</w:t>
      </w:r>
      <w:r w:rsidR="00B25CBB">
        <w:t xml:space="preserve"> </w:t>
      </w:r>
      <w:r>
        <w:t xml:space="preserve">potential </w:t>
      </w:r>
      <w:r w:rsidR="00B25CBB">
        <w:t xml:space="preserve">impact </w:t>
      </w:r>
      <w:r w:rsidR="00E10937">
        <w:t xml:space="preserve">the proposal would have </w:t>
      </w:r>
      <w:r w:rsidR="00B25CBB">
        <w:t>on the structural integrity of infrastructure</w:t>
      </w:r>
      <w:r w:rsidR="00E10937">
        <w:t xml:space="preserve"> with larger co-located facilities on assets</w:t>
      </w:r>
      <w:r>
        <w:t>, as well as</w:t>
      </w:r>
      <w:r w:rsidR="00E10937">
        <w:t xml:space="preserve"> the impact on visual amenity.</w:t>
      </w:r>
      <w:r w:rsidR="00B25CBB">
        <w:t xml:space="preserve"> </w:t>
      </w:r>
      <w:r>
        <w:t xml:space="preserve">These risks are acknowledged and suitable mitigations </w:t>
      </w:r>
      <w:r w:rsidR="00B25CBB">
        <w:t>should be put in place.</w:t>
      </w:r>
    </w:p>
    <w:p w14:paraId="31776B85" w14:textId="77777777" w:rsidR="00533ED6" w:rsidRDefault="00B25CBB" w:rsidP="00D54FEB">
      <w:r>
        <w:t>The LIFD applies a volume restriction on co-location of 25 per cent in residential and commercial areas which some stakeholders have identified as limiting the opportunities for co-location</w:t>
      </w:r>
      <w:r w:rsidR="00E10937">
        <w:t xml:space="preserve">, especially for </w:t>
      </w:r>
      <w:r w:rsidR="00E10937">
        <w:lastRenderedPageBreak/>
        <w:t>small cell infrastructure</w:t>
      </w:r>
      <w:r>
        <w:t xml:space="preserve">. </w:t>
      </w:r>
      <w:r w:rsidR="00B52E08">
        <w:t xml:space="preserve">The limitations of co-location can have the perverse result where </w:t>
      </w:r>
      <w:r>
        <w:t>the deployment of new towers and facilities</w:t>
      </w:r>
      <w:r w:rsidR="00B52E08">
        <w:t xml:space="preserve"> are needed</w:t>
      </w:r>
      <w:r>
        <w:t>, increasing both visual impact and cost. The alternative is to lift the existing volume restriction to allow for greater co-l</w:t>
      </w:r>
      <w:r w:rsidR="003B4CB7">
        <w:t>ocation on existing facilities</w:t>
      </w:r>
      <w:r w:rsidR="00533ED6">
        <w:t>.</w:t>
      </w:r>
    </w:p>
    <w:p w14:paraId="27DDED2E" w14:textId="77777777" w:rsidR="00533ED6" w:rsidRDefault="00B83835" w:rsidP="00D54FEB">
      <w:r>
        <w:t>Encouraging</w:t>
      </w:r>
      <w:r w:rsidR="00D54FEB" w:rsidRPr="00B43EC0">
        <w:t xml:space="preserve"> co-location </w:t>
      </w:r>
      <w:r w:rsidR="00D54FEB">
        <w:t xml:space="preserve">can </w:t>
      </w:r>
      <w:r w:rsidR="00D54FEB" w:rsidRPr="00B43EC0">
        <w:t>help minimis</w:t>
      </w:r>
      <w:r w:rsidR="00D54FEB">
        <w:t xml:space="preserve">e the impact on visual amenity. </w:t>
      </w:r>
      <w:r w:rsidR="00D54FEB" w:rsidRPr="00B43EC0">
        <w:t>Telecommunications technology is constantly evolving</w:t>
      </w:r>
      <w:r>
        <w:t xml:space="preserve">. It is possible that future </w:t>
      </w:r>
      <w:r w:rsidR="00D54FEB" w:rsidRPr="00B43EC0">
        <w:t xml:space="preserve">equipment </w:t>
      </w:r>
      <w:r>
        <w:t xml:space="preserve">to be installed on public infrastructure </w:t>
      </w:r>
      <w:r w:rsidR="00D54FEB" w:rsidRPr="00B43EC0">
        <w:t>may be smaller and less obtrusive while still operating efficiently</w:t>
      </w:r>
      <w:r w:rsidR="00533ED6">
        <w:t>.</w:t>
      </w:r>
    </w:p>
    <w:p w14:paraId="4923EB8C" w14:textId="4D649CBD" w:rsidR="00B25CBB" w:rsidRDefault="00B25CBB" w:rsidP="00D242A8">
      <w:pPr>
        <w:pStyle w:val="Heading4"/>
      </w:pPr>
      <w:bookmarkStart w:id="300" w:name="_Toc47090252"/>
      <w:bookmarkStart w:id="301" w:name="_Toc51084874"/>
      <w:r>
        <w:t>Proposal</w:t>
      </w:r>
      <w:bookmarkEnd w:id="300"/>
      <w:bookmarkEnd w:id="301"/>
    </w:p>
    <w:p w14:paraId="3C416733" w14:textId="42AC05FA" w:rsidR="00B83835" w:rsidRDefault="00D54FEB" w:rsidP="00EE2DD1">
      <w:r>
        <w:t>We seek your views on whether co-location volume limits should be updated</w:t>
      </w:r>
      <w:r w:rsidR="00B83835">
        <w:t xml:space="preserve"> and have suggested options below.</w:t>
      </w:r>
    </w:p>
    <w:p w14:paraId="4E370E6B" w14:textId="162AB40A" w:rsidR="00B83835" w:rsidRDefault="007F7A59" w:rsidP="00EE2DD1">
      <w:r>
        <w:t>Some c</w:t>
      </w:r>
      <w:r w:rsidR="00053F1F">
        <w:t xml:space="preserve">arriers </w:t>
      </w:r>
      <w:r w:rsidR="00B83835">
        <w:t>suggest</w:t>
      </w:r>
      <w:r w:rsidR="00053F1F">
        <w:t xml:space="preserve"> </w:t>
      </w:r>
      <w:r w:rsidR="00D11009">
        <w:t xml:space="preserve">the volume restriction </w:t>
      </w:r>
      <w:r w:rsidR="00E10937">
        <w:t>in commercial areas</w:t>
      </w:r>
      <w:r w:rsidR="00053F1F">
        <w:t xml:space="preserve"> </w:t>
      </w:r>
      <w:r>
        <w:t xml:space="preserve">should </w:t>
      </w:r>
      <w:r w:rsidR="00053F1F">
        <w:t>be entirely removed</w:t>
      </w:r>
      <w:r w:rsidR="00D11009">
        <w:t xml:space="preserve">. </w:t>
      </w:r>
      <w:r w:rsidR="00053F1F">
        <w:t>This would mean that commercial areas would be treated in the same way as industri</w:t>
      </w:r>
      <w:r w:rsidR="00D242A8">
        <w:t>al and rural areas in the LIFD.</w:t>
      </w:r>
    </w:p>
    <w:p w14:paraId="4F64B1A6" w14:textId="3F32517A" w:rsidR="00E10937" w:rsidRDefault="005A5713" w:rsidP="00EE2DD1">
      <w:r>
        <w:lastRenderedPageBreak/>
        <w:t xml:space="preserve">Recognising there is a case for some restrictions </w:t>
      </w:r>
      <w:r w:rsidR="00E43BCD">
        <w:t>to continue to apply to</w:t>
      </w:r>
      <w:r>
        <w:t xml:space="preserve"> co-</w:t>
      </w:r>
      <w:r w:rsidR="00053F1F">
        <w:t>location volumes in residential areas</w:t>
      </w:r>
      <w:r w:rsidR="00E43BCD">
        <w:t>, we are seeking views on whether the restriction in residential areas should be lifted f</w:t>
      </w:r>
      <w:r w:rsidR="00D242A8">
        <w:t>rom 25 per cent to 50 per cent.</w:t>
      </w:r>
    </w:p>
    <w:p w14:paraId="682171F4" w14:textId="6373F18F" w:rsidR="009713BD" w:rsidRDefault="009713BD" w:rsidP="00D242A8">
      <w:pPr>
        <w:pStyle w:val="Heading5"/>
      </w:pPr>
      <w:r>
        <w:t>Option 1: Co-location volume to be lifted to 50 per cent in residential and commercial areas</w:t>
      </w:r>
    </w:p>
    <w:p w14:paraId="7887219A" w14:textId="72B37D92" w:rsidR="00E42E06" w:rsidRDefault="00E42E06" w:rsidP="00B25CBB">
      <w:pPr>
        <w:spacing w:line="259" w:lineRule="auto"/>
      </w:pPr>
      <w:r>
        <w:t xml:space="preserve">Item 2 in Part 8 of the Schedule to </w:t>
      </w:r>
      <w:r w:rsidR="00B25CBB">
        <w:t xml:space="preserve">the LIFD </w:t>
      </w:r>
      <w:r w:rsidR="006A76C1">
        <w:t xml:space="preserve">could </w:t>
      </w:r>
      <w:r w:rsidR="00B25CBB">
        <w:t>be amended to lift the</w:t>
      </w:r>
      <w:r>
        <w:t xml:space="preserve"> total co-location</w:t>
      </w:r>
      <w:r w:rsidR="00B25CBB">
        <w:t xml:space="preserve"> volume of co-located facilities from 25 per cent to 50 per cent in re</w:t>
      </w:r>
      <w:r w:rsidR="00D242A8">
        <w:t>sidential and commercial areas.</w:t>
      </w:r>
    </w:p>
    <w:p w14:paraId="1863FA80" w14:textId="77777777" w:rsidR="00B25CBB" w:rsidRDefault="00B25CBB" w:rsidP="00B25CBB">
      <w:pPr>
        <w:spacing w:line="259" w:lineRule="auto"/>
      </w:pPr>
      <w:r>
        <w:t>There are no volume restrictions for co-location in industrial or rural areas and there is no expectation for this to change.</w:t>
      </w:r>
    </w:p>
    <w:p w14:paraId="7125BF6D" w14:textId="529E2B49" w:rsidR="009713BD" w:rsidRDefault="009713BD" w:rsidP="00D242A8">
      <w:pPr>
        <w:pStyle w:val="Heading5"/>
      </w:pPr>
      <w:r>
        <w:t>Option 2: Co-location volume lifted to 50 per cent in residential areas, no limit in commercial areas</w:t>
      </w:r>
    </w:p>
    <w:p w14:paraId="213658E8" w14:textId="05817FC3" w:rsidR="006A76C1" w:rsidRDefault="006A76C1" w:rsidP="00DD6C9E">
      <w:r>
        <w:t xml:space="preserve">Item 2 in </w:t>
      </w:r>
      <w:r w:rsidR="00804496">
        <w:t>P</w:t>
      </w:r>
      <w:r>
        <w:t xml:space="preserve">art 8 of the Schedule to the LIFD </w:t>
      </w:r>
      <w:r w:rsidR="00B83835">
        <w:t xml:space="preserve">could </w:t>
      </w:r>
      <w:r w:rsidR="00804496">
        <w:t xml:space="preserve">be amended </w:t>
      </w:r>
      <w:r>
        <w:t>to lift the volume of co-located facilities to 50 per cent in residential areas, and remove the reference to commercial</w:t>
      </w:r>
      <w:r w:rsidR="00D242A8">
        <w:t xml:space="preserve"> areas.</w:t>
      </w:r>
    </w:p>
    <w:p w14:paraId="3CFD7467" w14:textId="54E74A0F" w:rsidR="006A76C1" w:rsidRDefault="006A76C1" w:rsidP="00DD6C9E">
      <w:r>
        <w:t>Item 1 in Part 8 of the Schedule to the LIFD could be amended to include reference to commercial areas. This would mean there would be no volume restrictions for co-location of facilities in commerci</w:t>
      </w:r>
      <w:r w:rsidR="00D242A8">
        <w:t>al, industrial and rural areas.</w:t>
      </w:r>
    </w:p>
    <w:p w14:paraId="517CE77F" w14:textId="46380F21" w:rsidR="006A76C1" w:rsidRDefault="00804496" w:rsidP="00B25CBB">
      <w:pPr>
        <w:spacing w:line="259" w:lineRule="auto"/>
      </w:pPr>
      <w:r>
        <w:lastRenderedPageBreak/>
        <w:t>Submissions to the 2017 consultation process indicated that</w:t>
      </w:r>
      <w:r w:rsidR="006A76C1">
        <w:t xml:space="preserve"> h</w:t>
      </w:r>
      <w:r w:rsidR="009713BD">
        <w:t xml:space="preserve">igher co-location volume limits may be more acceptable </w:t>
      </w:r>
      <w:r w:rsidR="00D022E6">
        <w:t xml:space="preserve">to landowners </w:t>
      </w:r>
      <w:r w:rsidR="009713BD">
        <w:t xml:space="preserve">in commercial areas </w:t>
      </w:r>
      <w:r w:rsidR="00D022E6">
        <w:t>if</w:t>
      </w:r>
      <w:r w:rsidR="009713BD">
        <w:t xml:space="preserve"> conditions </w:t>
      </w:r>
      <w:r w:rsidR="00D022E6">
        <w:t>are applied</w:t>
      </w:r>
      <w:r w:rsidR="009713BD">
        <w:t xml:space="preserve"> to deployments. For example,</w:t>
      </w:r>
      <w:r w:rsidR="00134799">
        <w:t xml:space="preserve"> local councils suggested that higher co-location volume</w:t>
      </w:r>
      <w:r w:rsidR="00D022E6">
        <w:t xml:space="preserve">s may be more acceptable if </w:t>
      </w:r>
      <w:r w:rsidR="006A76C1">
        <w:t>co-location only occurred on existing telecommunications towers, or not positioned close to residential areas.</w:t>
      </w:r>
    </w:p>
    <w:p w14:paraId="6F31E9BC" w14:textId="4CBF06F6" w:rsidR="00E42E06" w:rsidRDefault="00804496" w:rsidP="00E42E06">
      <w:pPr>
        <w:spacing w:line="259" w:lineRule="auto"/>
      </w:pPr>
      <w:r>
        <w:t>It is also noted</w:t>
      </w:r>
      <w:r w:rsidR="00E42E06">
        <w:t xml:space="preserve"> that co-location volume </w:t>
      </w:r>
      <w:r>
        <w:t xml:space="preserve">can be measured </w:t>
      </w:r>
      <w:r w:rsidR="00E42E06">
        <w:t>in different ways</w:t>
      </w:r>
      <w:r>
        <w:t xml:space="preserve"> and no standard methodology has been developed</w:t>
      </w:r>
      <w:r w:rsidR="00E42E06">
        <w:t>. For example, some carriers measure it on visual amenity while other carriers consider the impact of the weight and other dimensions of the infrastructure on the integrity of the overall structure.</w:t>
      </w:r>
    </w:p>
    <w:p w14:paraId="3E2B2C67" w14:textId="77777777" w:rsidR="008B2EDE" w:rsidRDefault="008B2EDE" w:rsidP="007E38F6">
      <w:pPr>
        <w:pStyle w:val="Heading4"/>
        <w:pBdr>
          <w:top w:val="single" w:sz="4" w:space="1" w:color="auto"/>
          <w:left w:val="single" w:sz="4" w:space="4" w:color="auto"/>
          <w:bottom w:val="single" w:sz="4" w:space="1" w:color="auto"/>
          <w:right w:val="single" w:sz="4" w:space="4" w:color="auto"/>
        </w:pBdr>
        <w:shd w:val="clear" w:color="auto" w:fill="D5DCE4"/>
      </w:pPr>
      <w:bookmarkStart w:id="302" w:name="_Toc47090253"/>
      <w:bookmarkStart w:id="303" w:name="_Toc51084875"/>
      <w:r>
        <w:t>Prompt questions</w:t>
      </w:r>
      <w:bookmarkEnd w:id="302"/>
      <w:bookmarkEnd w:id="303"/>
    </w:p>
    <w:p w14:paraId="41F3C91E" w14:textId="666DCADD" w:rsidR="009713BD" w:rsidRDefault="00FA4BD8" w:rsidP="00D242A8">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5DCE4"/>
        <w:ind w:left="567" w:hanging="567"/>
      </w:pPr>
      <w:r w:rsidRPr="00DD6C9E">
        <w:t xml:space="preserve">Would a consistent approach to measuring co-location </w:t>
      </w:r>
      <w:r w:rsidR="009713BD">
        <w:t xml:space="preserve">volume </w:t>
      </w:r>
      <w:r>
        <w:t xml:space="preserve">assist or hinder the co-location and visual amenity of equipment? </w:t>
      </w:r>
    </w:p>
    <w:p w14:paraId="1D0C7F4B" w14:textId="00033E3E" w:rsidR="00D022E6" w:rsidRDefault="00D022E6" w:rsidP="00D242A8">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5DCE4"/>
        <w:ind w:left="567" w:hanging="567"/>
      </w:pPr>
      <w:r>
        <w:t xml:space="preserve">What methodologies </w:t>
      </w:r>
      <w:r w:rsidR="006A76C1">
        <w:t xml:space="preserve">could be used by carriers </w:t>
      </w:r>
      <w:r>
        <w:t xml:space="preserve">to </w:t>
      </w:r>
      <w:r w:rsidR="006A76C1">
        <w:t xml:space="preserve">determine </w:t>
      </w:r>
      <w:r>
        <w:t>co-location volume?</w:t>
      </w:r>
      <w:r w:rsidR="006A76C1">
        <w:t xml:space="preserve"> Are any of these methodologies agnostic regarding equipment type?</w:t>
      </w:r>
    </w:p>
    <w:p w14:paraId="19533DEB" w14:textId="34FD3F99" w:rsidR="008B2EDE" w:rsidRPr="00DD6C9E" w:rsidRDefault="00FA4BD8" w:rsidP="00D242A8">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5DCE4"/>
        <w:ind w:left="567" w:hanging="567"/>
      </w:pPr>
      <w:r>
        <w:lastRenderedPageBreak/>
        <w:t xml:space="preserve">With safety as </w:t>
      </w:r>
      <w:r w:rsidR="006A76C1">
        <w:t>a</w:t>
      </w:r>
      <w:r>
        <w:t xml:space="preserve"> primary consideration, which would be a preferred approach</w:t>
      </w:r>
      <w:r w:rsidR="00B83835">
        <w:t xml:space="preserve"> to co-location</w:t>
      </w:r>
      <w:r>
        <w:t xml:space="preserve"> and why?</w:t>
      </w:r>
    </w:p>
    <w:p w14:paraId="318ED8D2" w14:textId="38FA8129" w:rsidR="008B2EDE" w:rsidRDefault="008B2EDE" w:rsidP="00D242A8">
      <w:pPr>
        <w:pStyle w:val="ListParagraph"/>
        <w:numPr>
          <w:ilvl w:val="0"/>
          <w:numId w:val="25"/>
        </w:numPr>
        <w:pBdr>
          <w:top w:val="single" w:sz="4" w:space="1" w:color="auto"/>
          <w:left w:val="single" w:sz="4" w:space="4" w:color="auto"/>
          <w:bottom w:val="single" w:sz="4" w:space="1" w:color="auto"/>
          <w:right w:val="single" w:sz="4" w:space="4" w:color="auto"/>
        </w:pBdr>
        <w:shd w:val="clear" w:color="auto" w:fill="D5DCE4"/>
        <w:ind w:left="567" w:hanging="567"/>
      </w:pPr>
      <w:r>
        <w:t>What benefits or disadvantages (financial or non-financial) would occur as a result of implementing these options?</w:t>
      </w:r>
    </w:p>
    <w:p w14:paraId="4A512192" w14:textId="7DBAA7C5" w:rsidR="0069512C" w:rsidRDefault="0069512C" w:rsidP="00D242A8">
      <w:pPr>
        <w:pStyle w:val="Heading2"/>
        <w:pageBreakBefore/>
      </w:pPr>
      <w:bookmarkStart w:id="304" w:name="_Toc45713993"/>
      <w:bookmarkStart w:id="305" w:name="_Toc47090254"/>
      <w:bookmarkStart w:id="306" w:name="_Toc51084876"/>
      <w:r>
        <w:t xml:space="preserve">Next steps and </w:t>
      </w:r>
      <w:r w:rsidR="00A62123">
        <w:t>c</w:t>
      </w:r>
      <w:r>
        <w:t>onclusion</w:t>
      </w:r>
      <w:bookmarkEnd w:id="304"/>
      <w:bookmarkEnd w:id="305"/>
      <w:bookmarkEnd w:id="306"/>
    </w:p>
    <w:p w14:paraId="57443332" w14:textId="77777777" w:rsidR="00533ED6" w:rsidRDefault="0090617E" w:rsidP="0090617E">
      <w:r>
        <w:t>The proposals in this paper seek to improve the powers and immunities framework by addressing concerns of landowners and occupiers and supporting the deployment of telecommunications equipment in a balanced way</w:t>
      </w:r>
      <w:r w:rsidR="00533ED6">
        <w:t>.</w:t>
      </w:r>
    </w:p>
    <w:p w14:paraId="63F5C10A" w14:textId="77777777" w:rsidR="00533ED6" w:rsidRDefault="00364B75" w:rsidP="00364B75">
      <w:r>
        <w:t>A modernised deployment</w:t>
      </w:r>
      <w:r w:rsidRPr="00781741">
        <w:t xml:space="preserve"> fr</w:t>
      </w:r>
      <w:r>
        <w:t xml:space="preserve">amework will </w:t>
      </w:r>
      <w:r w:rsidR="002930A6">
        <w:t>provide greater certainty and transparency to</w:t>
      </w:r>
      <w:r>
        <w:t xml:space="preserve"> landowners</w:t>
      </w:r>
      <w:r w:rsidR="00CE3EB3">
        <w:t>,</w:t>
      </w:r>
      <w:r>
        <w:t xml:space="preserve"> occupiers and communities</w:t>
      </w:r>
      <w:r w:rsidR="002930A6">
        <w:t>, while allowing industry to deploy telecommunications equipment to support new and expanded uses of mobile technologies</w:t>
      </w:r>
      <w:r w:rsidR="00533ED6">
        <w:t>.</w:t>
      </w:r>
    </w:p>
    <w:p w14:paraId="7D47373E" w14:textId="77777777" w:rsidR="00533ED6" w:rsidRDefault="00CE3EB3" w:rsidP="00CE3EB3">
      <w:r>
        <w:t>The Department welcomes your views on these proposals. Each proposal is accompanied by a series of prompt questions to help guide your response. These are not definitive questions and the Department welcomes views on all aspects you consider relevant to the proposals</w:t>
      </w:r>
      <w:r w:rsidR="00533ED6">
        <w:t>.</w:t>
      </w:r>
    </w:p>
    <w:p w14:paraId="7B35549B" w14:textId="3FB082E5" w:rsidR="00CE3EB3" w:rsidRDefault="00A62123" w:rsidP="00CE3EB3">
      <w:r>
        <w:t xml:space="preserve">The consultation period will be open </w:t>
      </w:r>
      <w:r w:rsidRPr="001E5F53">
        <w:t xml:space="preserve">for </w:t>
      </w:r>
      <w:r w:rsidR="004A5CDD" w:rsidRPr="001E5F53">
        <w:t>four</w:t>
      </w:r>
      <w:r>
        <w:t xml:space="preserve"> weeks and submissions will be accepted </w:t>
      </w:r>
      <w:r w:rsidR="00CE3EB3">
        <w:t xml:space="preserve">up until </w:t>
      </w:r>
      <w:r w:rsidR="00962B12" w:rsidRPr="00962B12">
        <w:rPr>
          <w:rStyle w:val="Strong"/>
        </w:rPr>
        <w:t>Friday, </w:t>
      </w:r>
      <w:r w:rsidR="00BE17F8">
        <w:rPr>
          <w:rStyle w:val="Strong"/>
        </w:rPr>
        <w:t>16</w:t>
      </w:r>
      <w:r w:rsidR="00962B12" w:rsidRPr="00962B12">
        <w:rPr>
          <w:rStyle w:val="Strong"/>
        </w:rPr>
        <w:t xml:space="preserve"> October 2020</w:t>
      </w:r>
      <w:r w:rsidR="00CE3EB3">
        <w:t xml:space="preserve">. </w:t>
      </w:r>
      <w:r w:rsidR="00221B40">
        <w:t xml:space="preserve">To provide a written submission, please email </w:t>
      </w:r>
      <w:hyperlink r:id="rId32" w:history="1">
        <w:r w:rsidR="00221B40" w:rsidRPr="00FB0416">
          <w:rPr>
            <w:rStyle w:val="Hyperlink"/>
          </w:rPr>
          <w:t>powersandimmunities@communications.gov.au</w:t>
        </w:r>
      </w:hyperlink>
      <w:r w:rsidR="00221B40">
        <w:t xml:space="preserve">. When </w:t>
      </w:r>
      <w:r>
        <w:t>making a submission, please include:</w:t>
      </w:r>
    </w:p>
    <w:p w14:paraId="11C4248A" w14:textId="31D775F3" w:rsidR="00A62123" w:rsidRDefault="00A62123" w:rsidP="00D242A8">
      <w:pPr>
        <w:pStyle w:val="Listparagraphbullets"/>
      </w:pPr>
      <w:r>
        <w:t>Contact name</w:t>
      </w:r>
    </w:p>
    <w:p w14:paraId="31D4BE60" w14:textId="103B8EB0" w:rsidR="00A62123" w:rsidRDefault="00A62123" w:rsidP="00D242A8">
      <w:pPr>
        <w:pStyle w:val="Listparagraphbullets"/>
      </w:pPr>
      <w:r>
        <w:lastRenderedPageBreak/>
        <w:t>Organisation name, if applicable</w:t>
      </w:r>
    </w:p>
    <w:p w14:paraId="57DDA537" w14:textId="3C6A875F" w:rsidR="00A62123" w:rsidRDefault="00A62123" w:rsidP="00D242A8">
      <w:pPr>
        <w:pStyle w:val="Listparagraphbullets"/>
      </w:pPr>
      <w:r>
        <w:t>Contact details, including telephone number, postal and email addresses</w:t>
      </w:r>
    </w:p>
    <w:p w14:paraId="5DD81B05" w14:textId="5092A7D4" w:rsidR="00A62123" w:rsidRDefault="00A62123" w:rsidP="00D242A8">
      <w:pPr>
        <w:pStyle w:val="Listparagraphbullets"/>
      </w:pPr>
      <w:r>
        <w:t>Confirmation whether or not your submission can be made public</w:t>
      </w:r>
      <w:r w:rsidR="00EC0D96">
        <w:t>—</w:t>
      </w:r>
      <w:r>
        <w:t>published</w:t>
      </w:r>
      <w:r w:rsidR="00EC0D96">
        <w:t>—</w:t>
      </w:r>
      <w:r>
        <w:t>or kept confidential.</w:t>
      </w:r>
    </w:p>
    <w:p w14:paraId="35F450FC" w14:textId="45371F2C" w:rsidR="00A62123" w:rsidRDefault="00A62123" w:rsidP="00A62123">
      <w:r>
        <w:t>All submissions to be made public need to meet the Digital Service Standard for accessibility. Any submission that does not meet this standard may be modified before being made public. If your submission is to be made public, please ensure you do not include any personal information that you don't want to be published. If your submission is confidential, please ensure each page of the submission is marked as confidential</w:t>
      </w:r>
      <w:r w:rsidR="00A34140">
        <w:t>.</w:t>
      </w:r>
    </w:p>
    <w:p w14:paraId="78D3A2D1" w14:textId="1F3999C0" w:rsidR="00A62123" w:rsidRDefault="00A62123" w:rsidP="00A62123">
      <w:r>
        <w:t xml:space="preserve">If you have any questions on the exposure draft or the consultation process, or would like to arrange a meeting with the Department, please send an email to </w:t>
      </w:r>
      <w:hyperlink r:id="rId33" w:history="1">
        <w:r w:rsidRPr="00FB0416">
          <w:rPr>
            <w:rStyle w:val="Hyperlink"/>
          </w:rPr>
          <w:t>powersandimmunities@communications.gov.au</w:t>
        </w:r>
      </w:hyperlink>
      <w:r w:rsidR="00D242A8">
        <w:t xml:space="preserve"> or contact:</w:t>
      </w:r>
    </w:p>
    <w:p w14:paraId="6A1A32DF" w14:textId="77777777" w:rsidR="00A62123" w:rsidRDefault="00A62123" w:rsidP="00A34140">
      <w:pPr>
        <w:spacing w:after="0"/>
        <w:ind w:left="567"/>
      </w:pPr>
      <w:r>
        <w:t>Rachel Blackwood</w:t>
      </w:r>
    </w:p>
    <w:p w14:paraId="0A1E7419" w14:textId="43C4A2A6" w:rsidR="00A62123" w:rsidRDefault="00A62123" w:rsidP="00A34140">
      <w:pPr>
        <w:spacing w:after="0"/>
        <w:ind w:left="567"/>
      </w:pPr>
      <w:r>
        <w:t>Assistant Secretary</w:t>
      </w:r>
    </w:p>
    <w:p w14:paraId="4D58A9D0" w14:textId="77777777" w:rsidR="00A62123" w:rsidRDefault="00A62123" w:rsidP="00A34140">
      <w:pPr>
        <w:spacing w:after="0"/>
        <w:ind w:left="567"/>
      </w:pPr>
      <w:r>
        <w:t>Spectrum &amp; Telecommunications Deployment Policy Branch</w:t>
      </w:r>
    </w:p>
    <w:p w14:paraId="5D777C62" w14:textId="77777777" w:rsidR="00A62123" w:rsidRDefault="00A62123" w:rsidP="00A34140">
      <w:pPr>
        <w:spacing w:after="0"/>
        <w:ind w:left="567"/>
      </w:pPr>
      <w:r>
        <w:lastRenderedPageBreak/>
        <w:t>Department of Infrastructure, Transport, Regional Development and Communications</w:t>
      </w:r>
    </w:p>
    <w:p w14:paraId="4BEBA40D" w14:textId="4A40829F" w:rsidR="00A62123" w:rsidRDefault="00A62123" w:rsidP="00D242A8">
      <w:pPr>
        <w:ind w:left="567"/>
      </w:pPr>
      <w:r>
        <w:t>Telephone (02) 6271 1591</w:t>
      </w:r>
    </w:p>
    <w:p w14:paraId="0E2A713B" w14:textId="50DBA950" w:rsidR="00364B75" w:rsidRDefault="00364B75" w:rsidP="00364B75">
      <w:r>
        <w:t>The outcomes of the consultation process will inform the progression of the proposals included in this paper. As noted earlier, the approach towards some of the proposals is graduated ranging from non-regulatory intervention</w:t>
      </w:r>
      <w:r w:rsidR="00D242A8">
        <w:t xml:space="preserve"> through to legislative change.</w:t>
      </w:r>
    </w:p>
    <w:p w14:paraId="3BFC6244" w14:textId="41FFDDE7" w:rsidR="00A62123" w:rsidRDefault="00A62123" w:rsidP="00364B75">
      <w:r>
        <w:t>The Department expects to publish the outcomes to this consultation process at least four weeks after the consultation period closes outlining the forward approach to be taken for the various proposals set out in this paper.</w:t>
      </w:r>
    </w:p>
    <w:p w14:paraId="32A3D0BF" w14:textId="3134816D" w:rsidR="00BF78EB" w:rsidRDefault="00BF78EB" w:rsidP="00BF78EB">
      <w:pPr>
        <w:pStyle w:val="Heading2"/>
      </w:pPr>
      <w:bookmarkStart w:id="307" w:name="_Toc45545600"/>
      <w:bookmarkStart w:id="308" w:name="_Toc45642100"/>
      <w:bookmarkStart w:id="309" w:name="_Toc45649164"/>
      <w:bookmarkStart w:id="310" w:name="_Toc45713994"/>
      <w:bookmarkStart w:id="311" w:name="_Toc47090255"/>
      <w:bookmarkStart w:id="312" w:name="_Toc51084877"/>
      <w:r>
        <w:t>Glossary</w:t>
      </w:r>
      <w:bookmarkEnd w:id="307"/>
      <w:bookmarkEnd w:id="308"/>
      <w:bookmarkEnd w:id="309"/>
      <w:bookmarkEnd w:id="310"/>
      <w:bookmarkEnd w:id="311"/>
      <w:bookmarkEnd w:id="312"/>
    </w:p>
    <w:p w14:paraId="009072AF" w14:textId="4C5A41C6" w:rsidR="001053AF" w:rsidRDefault="00D242A8" w:rsidP="001053AF">
      <w:pPr>
        <w:pStyle w:val="Tablefigureheading"/>
        <w:keepLines/>
      </w:pPr>
      <w:bookmarkStart w:id="313" w:name="_Toc51084889"/>
      <w:r>
        <w:t>Glossary of terms</w:t>
      </w:r>
      <w:bookmarkEnd w:id="313"/>
    </w:p>
    <w:tbl>
      <w:tblPr>
        <w:tblStyle w:val="PlainTable1"/>
        <w:tblW w:w="9493" w:type="dxa"/>
        <w:tblLook w:val="04A0" w:firstRow="1" w:lastRow="0" w:firstColumn="1" w:lastColumn="0" w:noHBand="0" w:noVBand="1"/>
        <w:tblDescription w:val="Glossary of terms"/>
      </w:tblPr>
      <w:tblGrid>
        <w:gridCol w:w="3681"/>
        <w:gridCol w:w="5812"/>
      </w:tblGrid>
      <w:tr w:rsidR="001053AF" w:rsidRPr="00B54D18" w14:paraId="2706EA02" w14:textId="77777777" w:rsidTr="001053A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681" w:type="dxa"/>
            <w:shd w:val="clear" w:color="auto" w:fill="D5DCE4"/>
          </w:tcPr>
          <w:p w14:paraId="408C49B7" w14:textId="77777777" w:rsidR="001053AF" w:rsidRPr="00217C11" w:rsidRDefault="001053AF" w:rsidP="002A3779">
            <w:pPr>
              <w:pStyle w:val="Tablerowcolumnheading"/>
              <w:rPr>
                <w:b/>
              </w:rPr>
            </w:pPr>
            <w:r>
              <w:rPr>
                <w:b/>
              </w:rPr>
              <w:t>Terms</w:t>
            </w:r>
          </w:p>
        </w:tc>
        <w:tc>
          <w:tcPr>
            <w:tcW w:w="5812" w:type="dxa"/>
            <w:shd w:val="clear" w:color="auto" w:fill="D5DCE4"/>
          </w:tcPr>
          <w:p w14:paraId="60F4B66A" w14:textId="7444D7DA" w:rsidR="001053AF" w:rsidRPr="00217C11" w:rsidRDefault="00D242A8" w:rsidP="001053AF">
            <w:pPr>
              <w:pStyle w:val="Tablerowcolumnheadingcentred"/>
              <w:jc w:val="left"/>
              <w:cnfStyle w:val="100000000000" w:firstRow="1" w:lastRow="0" w:firstColumn="0" w:lastColumn="0" w:oddVBand="0" w:evenVBand="0" w:oddHBand="0" w:evenHBand="0" w:firstRowFirstColumn="0" w:firstRowLastColumn="0" w:lastRowFirstColumn="0" w:lastRowLastColumn="0"/>
              <w:rPr>
                <w:b/>
              </w:rPr>
            </w:pPr>
            <w:r>
              <w:rPr>
                <w:b/>
              </w:rPr>
              <w:t>Meaning</w:t>
            </w:r>
          </w:p>
        </w:tc>
      </w:tr>
      <w:tr w:rsidR="001053AF" w:rsidRPr="00B54D18" w14:paraId="488D81B7" w14:textId="77777777" w:rsidTr="001053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1" w:type="dxa"/>
          </w:tcPr>
          <w:p w14:paraId="4F4C1EF9" w14:textId="77777777" w:rsidR="001053AF" w:rsidRPr="00217C11" w:rsidRDefault="001053AF" w:rsidP="002A3779">
            <w:pPr>
              <w:pStyle w:val="Tabletext"/>
              <w:rPr>
                <w:b w:val="0"/>
              </w:rPr>
            </w:pPr>
            <w:r>
              <w:rPr>
                <w:b w:val="0"/>
              </w:rPr>
              <w:t>ACMA</w:t>
            </w:r>
          </w:p>
        </w:tc>
        <w:tc>
          <w:tcPr>
            <w:tcW w:w="5812" w:type="dxa"/>
          </w:tcPr>
          <w:p w14:paraId="364D24E7" w14:textId="77777777" w:rsidR="001053AF" w:rsidRPr="00217C11" w:rsidRDefault="001053AF" w:rsidP="001053AF">
            <w:pPr>
              <w:pStyle w:val="Tabletextcentred"/>
              <w:jc w:val="left"/>
              <w:cnfStyle w:val="000000100000" w:firstRow="0" w:lastRow="0" w:firstColumn="0" w:lastColumn="0" w:oddVBand="0" w:evenVBand="0" w:oddHBand="1" w:evenHBand="0" w:firstRowFirstColumn="0" w:firstRowLastColumn="0" w:lastRowFirstColumn="0" w:lastRowLastColumn="0"/>
            </w:pPr>
            <w:r w:rsidRPr="00B43EC0">
              <w:t>Australian Communications and Media Authority—the telecommunications-specific industry regulator dealing with carrier powers and immunities issues (</w:t>
            </w:r>
            <w:hyperlink r:id="rId34" w:history="1">
              <w:r w:rsidRPr="0053253B">
                <w:rPr>
                  <w:rStyle w:val="Hyperlink"/>
                </w:rPr>
                <w:t>www.acma.gov.au</w:t>
              </w:r>
            </w:hyperlink>
            <w:r w:rsidRPr="00B43EC0">
              <w:t>).</w:t>
            </w:r>
          </w:p>
        </w:tc>
      </w:tr>
      <w:tr w:rsidR="001053AF" w:rsidRPr="00B54D18" w14:paraId="65148B4B" w14:textId="77777777" w:rsidTr="001053AF">
        <w:trPr>
          <w:cantSplit/>
        </w:trPr>
        <w:tc>
          <w:tcPr>
            <w:cnfStyle w:val="001000000000" w:firstRow="0" w:lastRow="0" w:firstColumn="1" w:lastColumn="0" w:oddVBand="0" w:evenVBand="0" w:oddHBand="0" w:evenHBand="0" w:firstRowFirstColumn="0" w:firstRowLastColumn="0" w:lastRowFirstColumn="0" w:lastRowLastColumn="0"/>
            <w:tcW w:w="3681" w:type="dxa"/>
          </w:tcPr>
          <w:p w14:paraId="77B6347A" w14:textId="77777777" w:rsidR="001053AF" w:rsidRPr="00217C11" w:rsidRDefault="001053AF" w:rsidP="002A3779">
            <w:pPr>
              <w:pStyle w:val="Tabletext"/>
              <w:rPr>
                <w:b w:val="0"/>
              </w:rPr>
            </w:pPr>
            <w:r>
              <w:rPr>
                <w:b w:val="0"/>
              </w:rPr>
              <w:t>The Act</w:t>
            </w:r>
          </w:p>
        </w:tc>
        <w:tc>
          <w:tcPr>
            <w:tcW w:w="5812" w:type="dxa"/>
          </w:tcPr>
          <w:p w14:paraId="240814D9" w14:textId="77777777" w:rsidR="001053AF" w:rsidRPr="00217C11" w:rsidRDefault="001053AF" w:rsidP="001053AF">
            <w:pPr>
              <w:pStyle w:val="Tabletextcentred"/>
              <w:jc w:val="left"/>
              <w:cnfStyle w:val="000000000000" w:firstRow="0" w:lastRow="0" w:firstColumn="0" w:lastColumn="0" w:oddVBand="0" w:evenVBand="0" w:oddHBand="0" w:evenHBand="0" w:firstRowFirstColumn="0" w:firstRowLastColumn="0" w:lastRowFirstColumn="0" w:lastRowLastColumn="0"/>
            </w:pPr>
            <w:r>
              <w:t>Telecommunications Act 1997</w:t>
            </w:r>
          </w:p>
        </w:tc>
      </w:tr>
      <w:tr w:rsidR="001053AF" w:rsidRPr="00B54D18" w14:paraId="0D6D09B3" w14:textId="77777777" w:rsidTr="001053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1" w:type="dxa"/>
          </w:tcPr>
          <w:p w14:paraId="60309A81" w14:textId="77777777" w:rsidR="001053AF" w:rsidRPr="00217C11" w:rsidRDefault="001053AF" w:rsidP="002A3779">
            <w:pPr>
              <w:pStyle w:val="Tabletext"/>
              <w:rPr>
                <w:b w:val="0"/>
              </w:rPr>
            </w:pPr>
            <w:r>
              <w:rPr>
                <w:b w:val="0"/>
              </w:rPr>
              <w:t>Carrier</w:t>
            </w:r>
          </w:p>
        </w:tc>
        <w:tc>
          <w:tcPr>
            <w:tcW w:w="5812" w:type="dxa"/>
          </w:tcPr>
          <w:p w14:paraId="43A43409" w14:textId="77777777" w:rsidR="001053AF" w:rsidRPr="00217C11" w:rsidRDefault="001053AF" w:rsidP="001053AF">
            <w:pPr>
              <w:pStyle w:val="Tabletextcentred"/>
              <w:jc w:val="left"/>
              <w:cnfStyle w:val="000000100000" w:firstRow="0" w:lastRow="0" w:firstColumn="0" w:lastColumn="0" w:oddVBand="0" w:evenVBand="0" w:oddHBand="1" w:evenHBand="0" w:firstRowFirstColumn="0" w:firstRowLastColumn="0" w:lastRowFirstColumn="0" w:lastRowLastColumn="0"/>
            </w:pPr>
            <w:r>
              <w:t>T</w:t>
            </w:r>
            <w:r w:rsidRPr="001053AF">
              <w:t>he owner of a network unit used to supply carriage services—such as telephony or internet—to the public. Must hold a carrier licence from the ACMA in accordance with the Act.</w:t>
            </w:r>
          </w:p>
        </w:tc>
      </w:tr>
      <w:tr w:rsidR="001053AF" w:rsidRPr="00B54D18" w14:paraId="61147ADA" w14:textId="77777777" w:rsidTr="001053AF">
        <w:trPr>
          <w:cantSplit/>
        </w:trPr>
        <w:tc>
          <w:tcPr>
            <w:cnfStyle w:val="001000000000" w:firstRow="0" w:lastRow="0" w:firstColumn="1" w:lastColumn="0" w:oddVBand="0" w:evenVBand="0" w:oddHBand="0" w:evenHBand="0" w:firstRowFirstColumn="0" w:firstRowLastColumn="0" w:lastRowFirstColumn="0" w:lastRowLastColumn="0"/>
            <w:tcW w:w="3681" w:type="dxa"/>
          </w:tcPr>
          <w:p w14:paraId="2B19D5FF" w14:textId="77777777" w:rsidR="001053AF" w:rsidRPr="00217C11" w:rsidRDefault="001053AF" w:rsidP="002A3779">
            <w:pPr>
              <w:pStyle w:val="Tabletext"/>
              <w:rPr>
                <w:b w:val="0"/>
              </w:rPr>
            </w:pPr>
            <w:r>
              <w:rPr>
                <w:b w:val="0"/>
              </w:rPr>
              <w:lastRenderedPageBreak/>
              <w:t>Code of Practice</w:t>
            </w:r>
          </w:p>
        </w:tc>
        <w:tc>
          <w:tcPr>
            <w:tcW w:w="5812" w:type="dxa"/>
          </w:tcPr>
          <w:p w14:paraId="1933536F" w14:textId="77777777" w:rsidR="001053AF" w:rsidRPr="00217C11" w:rsidRDefault="001053AF" w:rsidP="001053AF">
            <w:pPr>
              <w:pStyle w:val="Tabletextcentred"/>
              <w:jc w:val="left"/>
              <w:cnfStyle w:val="000000000000" w:firstRow="0" w:lastRow="0" w:firstColumn="0" w:lastColumn="0" w:oddVBand="0" w:evenVBand="0" w:oddHBand="0" w:evenHBand="0" w:firstRowFirstColumn="0" w:firstRowLastColumn="0" w:lastRowFirstColumn="0" w:lastRowLastColumn="0"/>
            </w:pPr>
            <w:r>
              <w:t>Telecommunications Code of Practice 2018</w:t>
            </w:r>
          </w:p>
        </w:tc>
      </w:tr>
      <w:tr w:rsidR="001053AF" w:rsidRPr="00B54D18" w14:paraId="604AAE55" w14:textId="77777777" w:rsidTr="001053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1" w:type="dxa"/>
          </w:tcPr>
          <w:p w14:paraId="69B9D981" w14:textId="77777777" w:rsidR="001053AF" w:rsidRDefault="001053AF" w:rsidP="002A3779">
            <w:pPr>
              <w:pStyle w:val="Tabletext"/>
              <w:rPr>
                <w:b w:val="0"/>
              </w:rPr>
            </w:pPr>
            <w:r>
              <w:rPr>
                <w:b w:val="0"/>
              </w:rPr>
              <w:t>Commercial area</w:t>
            </w:r>
          </w:p>
        </w:tc>
        <w:tc>
          <w:tcPr>
            <w:tcW w:w="5812" w:type="dxa"/>
          </w:tcPr>
          <w:p w14:paraId="19DA21AD" w14:textId="31E3E8EF" w:rsidR="001053AF" w:rsidRPr="00217C11" w:rsidRDefault="001053AF" w:rsidP="001053AF">
            <w:pPr>
              <w:pStyle w:val="Tabletextcentred"/>
              <w:jc w:val="left"/>
              <w:cnfStyle w:val="000000100000" w:firstRow="0" w:lastRow="0" w:firstColumn="0" w:lastColumn="0" w:oddVBand="0" w:evenVBand="0" w:oddHBand="1" w:evenHBand="0" w:firstRowFirstColumn="0" w:firstRowLastColumn="0" w:lastRowFirstColumn="0" w:lastRowLastColumn="0"/>
            </w:pPr>
            <w:r>
              <w:t>Referred to in the LIFD, an area where its designated use is for commercial purposes</w:t>
            </w:r>
            <w:r w:rsidR="00533ED6">
              <w:t>.</w:t>
            </w:r>
          </w:p>
        </w:tc>
      </w:tr>
      <w:tr w:rsidR="001053AF" w:rsidRPr="00B54D18" w14:paraId="7E9F443F" w14:textId="77777777" w:rsidTr="001053AF">
        <w:trPr>
          <w:cantSplit/>
        </w:trPr>
        <w:tc>
          <w:tcPr>
            <w:cnfStyle w:val="001000000000" w:firstRow="0" w:lastRow="0" w:firstColumn="1" w:lastColumn="0" w:oddVBand="0" w:evenVBand="0" w:oddHBand="0" w:evenHBand="0" w:firstRowFirstColumn="0" w:firstRowLastColumn="0" w:lastRowFirstColumn="0" w:lastRowLastColumn="0"/>
            <w:tcW w:w="3681" w:type="dxa"/>
          </w:tcPr>
          <w:p w14:paraId="2C0ECD78" w14:textId="77777777" w:rsidR="001053AF" w:rsidRDefault="001053AF" w:rsidP="002A3779">
            <w:pPr>
              <w:pStyle w:val="Tabletext"/>
              <w:rPr>
                <w:b w:val="0"/>
              </w:rPr>
            </w:pPr>
            <w:r>
              <w:rPr>
                <w:b w:val="0"/>
              </w:rPr>
              <w:t>The Department</w:t>
            </w:r>
          </w:p>
        </w:tc>
        <w:tc>
          <w:tcPr>
            <w:tcW w:w="5812" w:type="dxa"/>
          </w:tcPr>
          <w:p w14:paraId="4EED3F39" w14:textId="6F573BC0" w:rsidR="001053AF" w:rsidRPr="00217C11" w:rsidRDefault="001053AF" w:rsidP="001053AF">
            <w:pPr>
              <w:pStyle w:val="Tabletextcentred"/>
              <w:jc w:val="left"/>
              <w:cnfStyle w:val="000000000000" w:firstRow="0" w:lastRow="0" w:firstColumn="0" w:lastColumn="0" w:oddVBand="0" w:evenVBand="0" w:oddHBand="0" w:evenHBand="0" w:firstRowFirstColumn="0" w:firstRowLastColumn="0" w:lastRowFirstColumn="0" w:lastRowLastColumn="0"/>
            </w:pPr>
            <w:r>
              <w:t>The Department of Infrastructure, Transport, Regional Development and Communications</w:t>
            </w:r>
            <w:r w:rsidR="00533ED6">
              <w:t>.</w:t>
            </w:r>
          </w:p>
        </w:tc>
      </w:tr>
      <w:tr w:rsidR="001053AF" w:rsidRPr="00B54D18" w14:paraId="367AF828" w14:textId="77777777" w:rsidTr="001053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1" w:type="dxa"/>
          </w:tcPr>
          <w:p w14:paraId="3F0A1D39" w14:textId="77777777" w:rsidR="001053AF" w:rsidRDefault="001053AF" w:rsidP="002A3779">
            <w:pPr>
              <w:pStyle w:val="Tabletext"/>
              <w:rPr>
                <w:b w:val="0"/>
              </w:rPr>
            </w:pPr>
            <w:r>
              <w:rPr>
                <w:b w:val="0"/>
              </w:rPr>
              <w:t>Industrial area</w:t>
            </w:r>
          </w:p>
        </w:tc>
        <w:tc>
          <w:tcPr>
            <w:tcW w:w="5812" w:type="dxa"/>
          </w:tcPr>
          <w:p w14:paraId="020FE2C3" w14:textId="2B28FB12" w:rsidR="001053AF" w:rsidRPr="00217C11" w:rsidRDefault="001053AF" w:rsidP="001053AF">
            <w:pPr>
              <w:pStyle w:val="Tabletextcentred"/>
              <w:jc w:val="left"/>
              <w:cnfStyle w:val="000000100000" w:firstRow="0" w:lastRow="0" w:firstColumn="0" w:lastColumn="0" w:oddVBand="0" w:evenVBand="0" w:oddHBand="1" w:evenHBand="0" w:firstRowFirstColumn="0" w:firstRowLastColumn="0" w:lastRowFirstColumn="0" w:lastRowLastColumn="0"/>
            </w:pPr>
            <w:r>
              <w:t>Referred to in the LIFD, an area where its designated use is for industrial purposes</w:t>
            </w:r>
            <w:r w:rsidR="00533ED6">
              <w:t>.</w:t>
            </w:r>
          </w:p>
        </w:tc>
      </w:tr>
      <w:tr w:rsidR="001053AF" w:rsidRPr="00B54D18" w14:paraId="1861E529" w14:textId="77777777" w:rsidTr="001053AF">
        <w:trPr>
          <w:cantSplit/>
        </w:trPr>
        <w:tc>
          <w:tcPr>
            <w:cnfStyle w:val="001000000000" w:firstRow="0" w:lastRow="0" w:firstColumn="1" w:lastColumn="0" w:oddVBand="0" w:evenVBand="0" w:oddHBand="0" w:evenHBand="0" w:firstRowFirstColumn="0" w:firstRowLastColumn="0" w:lastRowFirstColumn="0" w:lastRowLastColumn="0"/>
            <w:tcW w:w="3681" w:type="dxa"/>
          </w:tcPr>
          <w:p w14:paraId="268EDB8B" w14:textId="77777777" w:rsidR="001053AF" w:rsidRDefault="001053AF" w:rsidP="002A3779">
            <w:pPr>
              <w:pStyle w:val="Tabletext"/>
              <w:rPr>
                <w:b w:val="0"/>
              </w:rPr>
            </w:pPr>
            <w:r>
              <w:rPr>
                <w:b w:val="0"/>
              </w:rPr>
              <w:t>Mobile Base Station Deployment Code</w:t>
            </w:r>
          </w:p>
        </w:tc>
        <w:tc>
          <w:tcPr>
            <w:tcW w:w="5812" w:type="dxa"/>
          </w:tcPr>
          <w:p w14:paraId="51893923" w14:textId="5CDA2783" w:rsidR="001053AF" w:rsidRPr="00217C11" w:rsidRDefault="001053AF" w:rsidP="001053AF">
            <w:pPr>
              <w:pStyle w:val="Tabletextcentred"/>
              <w:jc w:val="left"/>
              <w:cnfStyle w:val="000000000000" w:firstRow="0" w:lastRow="0" w:firstColumn="0" w:lastColumn="0" w:oddVBand="0" w:evenVBand="0" w:oddHBand="0" w:evenHBand="0" w:firstRowFirstColumn="0" w:firstRowLastColumn="0" w:lastRowFirstColumn="0" w:lastRowLastColumn="0"/>
            </w:pPr>
            <w:r>
              <w:t>Mobile Base Stations Deployment</w:t>
            </w:r>
            <w:r w:rsidR="00761CE3">
              <w:t xml:space="preserve"> Code</w:t>
            </w:r>
            <w:r>
              <w:t xml:space="preserve"> C564:2018 </w:t>
            </w:r>
            <w:r w:rsidRPr="00B43EC0">
              <w:rPr>
                <w:i/>
                <w:iCs/>
              </w:rPr>
              <w:t>(</w:t>
            </w:r>
            <w:hyperlink r:id="rId35" w:history="1">
              <w:r w:rsidRPr="004E1AEF">
                <w:rPr>
                  <w:rStyle w:val="Hyperlink"/>
                </w:rPr>
                <w:t>www.commsalliance.com.au/Documents/all/codes/c564</w:t>
              </w:r>
            </w:hyperlink>
            <w:r w:rsidRPr="00B43EC0">
              <w:t>).</w:t>
            </w:r>
          </w:p>
        </w:tc>
      </w:tr>
      <w:tr w:rsidR="001053AF" w:rsidRPr="00B54D18" w14:paraId="5B9DDF3E" w14:textId="77777777" w:rsidTr="001053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1" w:type="dxa"/>
          </w:tcPr>
          <w:p w14:paraId="7EA10984" w14:textId="77777777" w:rsidR="001053AF" w:rsidRDefault="001053AF" w:rsidP="002A3779">
            <w:pPr>
              <w:pStyle w:val="Tabletext"/>
              <w:rPr>
                <w:b w:val="0"/>
              </w:rPr>
            </w:pPr>
            <w:r>
              <w:rPr>
                <w:b w:val="0"/>
              </w:rPr>
              <w:t>LAAN</w:t>
            </w:r>
          </w:p>
        </w:tc>
        <w:tc>
          <w:tcPr>
            <w:tcW w:w="5812" w:type="dxa"/>
          </w:tcPr>
          <w:p w14:paraId="02F712EE" w14:textId="092163B2" w:rsidR="001053AF" w:rsidRPr="00217C11" w:rsidRDefault="001053AF" w:rsidP="001053AF">
            <w:pPr>
              <w:pStyle w:val="Tabletextcentred"/>
              <w:jc w:val="left"/>
              <w:cnfStyle w:val="000000100000" w:firstRow="0" w:lastRow="0" w:firstColumn="0" w:lastColumn="0" w:oddVBand="0" w:evenVBand="0" w:oddHBand="1" w:evenHBand="0" w:firstRowFirstColumn="0" w:firstRowLastColumn="0" w:lastRowFirstColumn="0" w:lastRowLastColumn="0"/>
            </w:pPr>
            <w:r w:rsidRPr="001053AF">
              <w:t>Land Access Activity Notice—a notice issued by telecommunications carriers seeking entry to land to conduct activities authorised by Schedule 3 to the Act</w:t>
            </w:r>
            <w:r w:rsidR="00533ED6">
              <w:t>.</w:t>
            </w:r>
          </w:p>
        </w:tc>
      </w:tr>
      <w:tr w:rsidR="001053AF" w:rsidRPr="00B54D18" w14:paraId="6D246410" w14:textId="77777777" w:rsidTr="001053AF">
        <w:trPr>
          <w:cantSplit/>
        </w:trPr>
        <w:tc>
          <w:tcPr>
            <w:cnfStyle w:val="001000000000" w:firstRow="0" w:lastRow="0" w:firstColumn="1" w:lastColumn="0" w:oddVBand="0" w:evenVBand="0" w:oddHBand="0" w:evenHBand="0" w:firstRowFirstColumn="0" w:firstRowLastColumn="0" w:lastRowFirstColumn="0" w:lastRowLastColumn="0"/>
            <w:tcW w:w="3681" w:type="dxa"/>
          </w:tcPr>
          <w:p w14:paraId="528A42DD" w14:textId="77777777" w:rsidR="001053AF" w:rsidRDefault="001053AF" w:rsidP="002A3779">
            <w:pPr>
              <w:pStyle w:val="Tabletext"/>
              <w:rPr>
                <w:b w:val="0"/>
              </w:rPr>
            </w:pPr>
            <w:r>
              <w:rPr>
                <w:b w:val="0"/>
              </w:rPr>
              <w:t>Landowners</w:t>
            </w:r>
          </w:p>
        </w:tc>
        <w:tc>
          <w:tcPr>
            <w:tcW w:w="5812" w:type="dxa"/>
          </w:tcPr>
          <w:p w14:paraId="1D33F400" w14:textId="77777777" w:rsidR="001053AF" w:rsidRPr="00217C11" w:rsidRDefault="001053AF" w:rsidP="001053AF">
            <w:pPr>
              <w:pStyle w:val="Tabletextcentred"/>
              <w:jc w:val="left"/>
              <w:cnfStyle w:val="000000000000" w:firstRow="0" w:lastRow="0" w:firstColumn="0" w:lastColumn="0" w:oddVBand="0" w:evenVBand="0" w:oddHBand="0" w:evenHBand="0" w:firstRowFirstColumn="0" w:firstRowLastColumn="0" w:lastRowFirstColumn="0" w:lastRowLastColumn="0"/>
            </w:pPr>
            <w:r>
              <w:t>T</w:t>
            </w:r>
            <w:r w:rsidRPr="001053AF">
              <w:t>he owner of a site or an asset where a telecommunications facility is proposed to be deployed. There are many types of landowners including government, utilities, road authorities, commercial entities and homeowners.</w:t>
            </w:r>
          </w:p>
        </w:tc>
      </w:tr>
      <w:tr w:rsidR="001053AF" w:rsidRPr="00B54D18" w14:paraId="57E2A2CA" w14:textId="77777777" w:rsidTr="001053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1" w:type="dxa"/>
          </w:tcPr>
          <w:p w14:paraId="281F9F44" w14:textId="77777777" w:rsidR="001053AF" w:rsidRDefault="001053AF" w:rsidP="002A3779">
            <w:pPr>
              <w:pStyle w:val="Tabletext"/>
              <w:rPr>
                <w:b w:val="0"/>
              </w:rPr>
            </w:pPr>
            <w:r>
              <w:rPr>
                <w:b w:val="0"/>
              </w:rPr>
              <w:t>LIFD</w:t>
            </w:r>
          </w:p>
        </w:tc>
        <w:tc>
          <w:tcPr>
            <w:tcW w:w="5812" w:type="dxa"/>
          </w:tcPr>
          <w:p w14:paraId="602DCB71" w14:textId="76BCE3A1" w:rsidR="001053AF" w:rsidRPr="00217C11" w:rsidRDefault="001053AF" w:rsidP="001053AF">
            <w:pPr>
              <w:pStyle w:val="Tabletextcentred"/>
              <w:jc w:val="left"/>
              <w:cnfStyle w:val="000000100000" w:firstRow="0" w:lastRow="0" w:firstColumn="0" w:lastColumn="0" w:oddVBand="0" w:evenVBand="0" w:oddHBand="1" w:evenHBand="0" w:firstRowFirstColumn="0" w:firstRowLastColumn="0" w:lastRowFirstColumn="0" w:lastRowLastColumn="0"/>
            </w:pPr>
            <w:r>
              <w:t>Telecommunications (Low-impact Facilities) Determination 2018</w:t>
            </w:r>
            <w:r w:rsidR="00533ED6">
              <w:t>.</w:t>
            </w:r>
          </w:p>
        </w:tc>
      </w:tr>
      <w:tr w:rsidR="001053AF" w:rsidRPr="00B54D18" w14:paraId="58B47BD8" w14:textId="77777777" w:rsidTr="001053AF">
        <w:trPr>
          <w:cantSplit/>
        </w:trPr>
        <w:tc>
          <w:tcPr>
            <w:cnfStyle w:val="001000000000" w:firstRow="0" w:lastRow="0" w:firstColumn="1" w:lastColumn="0" w:oddVBand="0" w:evenVBand="0" w:oddHBand="0" w:evenHBand="0" w:firstRowFirstColumn="0" w:firstRowLastColumn="0" w:lastRowFirstColumn="0" w:lastRowLastColumn="0"/>
            <w:tcW w:w="3681" w:type="dxa"/>
          </w:tcPr>
          <w:p w14:paraId="2C8BF913" w14:textId="77777777" w:rsidR="001053AF" w:rsidRDefault="001053AF" w:rsidP="002A3779">
            <w:pPr>
              <w:pStyle w:val="Tabletext"/>
              <w:rPr>
                <w:b w:val="0"/>
              </w:rPr>
            </w:pPr>
            <w:r>
              <w:rPr>
                <w:b w:val="0"/>
              </w:rPr>
              <w:t>NBN Co</w:t>
            </w:r>
          </w:p>
        </w:tc>
        <w:tc>
          <w:tcPr>
            <w:tcW w:w="5812" w:type="dxa"/>
          </w:tcPr>
          <w:p w14:paraId="10DF11A4" w14:textId="579375E7" w:rsidR="001053AF" w:rsidRPr="00217C11" w:rsidRDefault="001053AF" w:rsidP="001053AF">
            <w:pPr>
              <w:pStyle w:val="Tabletextcentred"/>
              <w:jc w:val="left"/>
              <w:cnfStyle w:val="000000000000" w:firstRow="0" w:lastRow="0" w:firstColumn="0" w:lastColumn="0" w:oddVBand="0" w:evenVBand="0" w:oddHBand="0" w:evenHBand="0" w:firstRowFirstColumn="0" w:firstRowLastColumn="0" w:lastRowFirstColumn="0" w:lastRowLastColumn="0"/>
            </w:pPr>
            <w:r>
              <w:t>NBN Co Limited, the company building the National Broadband Network, a high-speed broadband network being constructed for the Australian Government (</w:t>
            </w:r>
            <w:hyperlink r:id="rId36" w:history="1">
              <w:r w:rsidRPr="00661B8C">
                <w:rPr>
                  <w:rStyle w:val="Hyperlink"/>
                </w:rPr>
                <w:t>www.nbnco.com.au</w:t>
              </w:r>
            </w:hyperlink>
            <w:r w:rsidR="00533ED6">
              <w:t>).</w:t>
            </w:r>
          </w:p>
        </w:tc>
      </w:tr>
      <w:tr w:rsidR="001053AF" w:rsidRPr="00B54D18" w14:paraId="32E904F6" w14:textId="77777777" w:rsidTr="001053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1" w:type="dxa"/>
          </w:tcPr>
          <w:p w14:paraId="1F00014F" w14:textId="77777777" w:rsidR="001053AF" w:rsidRDefault="001053AF" w:rsidP="002A3779">
            <w:pPr>
              <w:pStyle w:val="Tabletext"/>
              <w:rPr>
                <w:b w:val="0"/>
              </w:rPr>
            </w:pPr>
            <w:r>
              <w:rPr>
                <w:b w:val="0"/>
              </w:rPr>
              <w:t>Residential area</w:t>
            </w:r>
          </w:p>
        </w:tc>
        <w:tc>
          <w:tcPr>
            <w:tcW w:w="5812" w:type="dxa"/>
          </w:tcPr>
          <w:p w14:paraId="5E3F067E" w14:textId="77777777" w:rsidR="001053AF" w:rsidRPr="00217C11" w:rsidRDefault="001053AF" w:rsidP="001053AF">
            <w:pPr>
              <w:pStyle w:val="Tabletextcentred"/>
              <w:jc w:val="left"/>
              <w:cnfStyle w:val="000000100000" w:firstRow="0" w:lastRow="0" w:firstColumn="0" w:lastColumn="0" w:oddVBand="0" w:evenVBand="0" w:oddHBand="1" w:evenHBand="0" w:firstRowFirstColumn="0" w:firstRowLastColumn="0" w:lastRowFirstColumn="0" w:lastRowLastColumn="0"/>
            </w:pPr>
            <w:r>
              <w:t>Referred to in the LIFD, an area where its designated use is for residential purposes, and parts of built-up areas that cannot otherwise be described as a commercial. Industrial or rural area.</w:t>
            </w:r>
          </w:p>
        </w:tc>
      </w:tr>
      <w:tr w:rsidR="001053AF" w:rsidRPr="00B54D18" w14:paraId="6771CDAD" w14:textId="77777777" w:rsidTr="001053AF">
        <w:trPr>
          <w:cantSplit/>
        </w:trPr>
        <w:tc>
          <w:tcPr>
            <w:cnfStyle w:val="001000000000" w:firstRow="0" w:lastRow="0" w:firstColumn="1" w:lastColumn="0" w:oddVBand="0" w:evenVBand="0" w:oddHBand="0" w:evenHBand="0" w:firstRowFirstColumn="0" w:firstRowLastColumn="0" w:lastRowFirstColumn="0" w:lastRowLastColumn="0"/>
            <w:tcW w:w="3681" w:type="dxa"/>
          </w:tcPr>
          <w:p w14:paraId="30702E81" w14:textId="77777777" w:rsidR="001053AF" w:rsidRDefault="001053AF" w:rsidP="002A3779">
            <w:pPr>
              <w:pStyle w:val="Tabletext"/>
              <w:rPr>
                <w:b w:val="0"/>
              </w:rPr>
            </w:pPr>
            <w:r>
              <w:rPr>
                <w:b w:val="0"/>
              </w:rPr>
              <w:t>Rural area</w:t>
            </w:r>
          </w:p>
        </w:tc>
        <w:tc>
          <w:tcPr>
            <w:tcW w:w="5812" w:type="dxa"/>
          </w:tcPr>
          <w:p w14:paraId="5AB4DC3C" w14:textId="22F8EC11" w:rsidR="001053AF" w:rsidRPr="00217C11" w:rsidRDefault="001053AF" w:rsidP="001053AF">
            <w:pPr>
              <w:pStyle w:val="Tabletextcentred"/>
              <w:jc w:val="left"/>
              <w:cnfStyle w:val="000000000000" w:firstRow="0" w:lastRow="0" w:firstColumn="0" w:lastColumn="0" w:oddVBand="0" w:evenVBand="0" w:oddHBand="0" w:evenHBand="0" w:firstRowFirstColumn="0" w:firstRowLastColumn="0" w:lastRowFirstColumn="0" w:lastRowLastColumn="0"/>
            </w:pPr>
            <w:r>
              <w:t xml:space="preserve">Referred to in the LIFD, an area where its designated use is for rural purposes, and areas not part of built-up areas that cannot </w:t>
            </w:r>
            <w:r>
              <w:lastRenderedPageBreak/>
              <w:t>otherwise be described as a commercial, industrial or residential area</w:t>
            </w:r>
            <w:r w:rsidR="00533ED6">
              <w:t>.</w:t>
            </w:r>
          </w:p>
        </w:tc>
      </w:tr>
      <w:tr w:rsidR="001053AF" w:rsidRPr="00B54D18" w14:paraId="598860F4" w14:textId="77777777" w:rsidTr="001053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681" w:type="dxa"/>
          </w:tcPr>
          <w:p w14:paraId="13EC448F" w14:textId="77777777" w:rsidR="001053AF" w:rsidRDefault="001053AF" w:rsidP="002A3779">
            <w:pPr>
              <w:pStyle w:val="Tabletext"/>
              <w:rPr>
                <w:b w:val="0"/>
              </w:rPr>
            </w:pPr>
            <w:r>
              <w:rPr>
                <w:b w:val="0"/>
              </w:rPr>
              <w:lastRenderedPageBreak/>
              <w:t>Schedule 3</w:t>
            </w:r>
          </w:p>
        </w:tc>
        <w:tc>
          <w:tcPr>
            <w:tcW w:w="5812" w:type="dxa"/>
          </w:tcPr>
          <w:p w14:paraId="6A0EEC33" w14:textId="007DC0B0" w:rsidR="001053AF" w:rsidRPr="00217C11" w:rsidRDefault="001053AF" w:rsidP="001053AF">
            <w:pPr>
              <w:pStyle w:val="Tabletextcentred"/>
              <w:jc w:val="left"/>
              <w:cnfStyle w:val="000000100000" w:firstRow="0" w:lastRow="0" w:firstColumn="0" w:lastColumn="0" w:oddVBand="0" w:evenVBand="0" w:oddHBand="1" w:evenHBand="0" w:firstRowFirstColumn="0" w:firstRowLastColumn="0" w:lastRowFirstColumn="0" w:lastRowLastColumn="0"/>
            </w:pPr>
            <w:r>
              <w:t>Schedule 3 to the Telecommunications Act 1997, which sets out the carriers’ powers and immunities framework</w:t>
            </w:r>
            <w:r w:rsidR="00533ED6">
              <w:t>.</w:t>
            </w:r>
          </w:p>
        </w:tc>
      </w:tr>
      <w:tr w:rsidR="001053AF" w:rsidRPr="00B54D18" w14:paraId="296F27DD" w14:textId="77777777" w:rsidTr="001053AF">
        <w:trPr>
          <w:cantSplit/>
        </w:trPr>
        <w:tc>
          <w:tcPr>
            <w:cnfStyle w:val="001000000000" w:firstRow="0" w:lastRow="0" w:firstColumn="1" w:lastColumn="0" w:oddVBand="0" w:evenVBand="0" w:oddHBand="0" w:evenHBand="0" w:firstRowFirstColumn="0" w:firstRowLastColumn="0" w:lastRowFirstColumn="0" w:lastRowLastColumn="0"/>
            <w:tcW w:w="3681" w:type="dxa"/>
          </w:tcPr>
          <w:p w14:paraId="5FFC5737" w14:textId="77777777" w:rsidR="001053AF" w:rsidRDefault="001053AF" w:rsidP="002A3779">
            <w:pPr>
              <w:pStyle w:val="Tabletext"/>
              <w:rPr>
                <w:b w:val="0"/>
              </w:rPr>
            </w:pPr>
            <w:r>
              <w:rPr>
                <w:b w:val="0"/>
              </w:rPr>
              <w:t>TIO</w:t>
            </w:r>
          </w:p>
        </w:tc>
        <w:tc>
          <w:tcPr>
            <w:tcW w:w="5812" w:type="dxa"/>
          </w:tcPr>
          <w:p w14:paraId="6EAACC5E" w14:textId="211CC412" w:rsidR="001053AF" w:rsidRPr="00217C11" w:rsidRDefault="001053AF" w:rsidP="001053AF">
            <w:pPr>
              <w:pStyle w:val="Tabletextcentred"/>
              <w:jc w:val="left"/>
              <w:cnfStyle w:val="000000000000" w:firstRow="0" w:lastRow="0" w:firstColumn="0" w:lastColumn="0" w:oddVBand="0" w:evenVBand="0" w:oddHBand="0" w:evenHBand="0" w:firstRowFirstColumn="0" w:firstRowLastColumn="0" w:lastRowFirstColumn="0" w:lastRowLastColumn="0"/>
            </w:pPr>
            <w:r>
              <w:t>Telecommunications Industry Ombudsman</w:t>
            </w:r>
            <w:r w:rsidRPr="00B43EC0">
              <w:t>—the</w:t>
            </w:r>
            <w:r>
              <w:t xml:space="preserve"> independent dispute resolution service for telecommunications consumers, which also covers some powers and immunities issues (</w:t>
            </w:r>
            <w:hyperlink r:id="rId37" w:history="1">
              <w:r w:rsidRPr="00661B8C">
                <w:rPr>
                  <w:rStyle w:val="Hyperlink"/>
                </w:rPr>
                <w:t>www.tio.com.au</w:t>
              </w:r>
            </w:hyperlink>
            <w:r w:rsidR="00533ED6">
              <w:t>).</w:t>
            </w:r>
          </w:p>
        </w:tc>
      </w:tr>
    </w:tbl>
    <w:p w14:paraId="5D6814DC" w14:textId="77777777" w:rsidR="002A3779" w:rsidRPr="00EC0D96" w:rsidRDefault="00BF78EB" w:rsidP="00EC0D96">
      <w:pPr>
        <w:pStyle w:val="Heading2"/>
        <w:spacing w:before="0"/>
        <w:rPr>
          <w:sz w:val="32"/>
          <w:szCs w:val="32"/>
        </w:rPr>
      </w:pPr>
      <w:bookmarkStart w:id="314" w:name="_Toc45545601"/>
      <w:bookmarkStart w:id="315" w:name="_Toc45642101"/>
      <w:bookmarkStart w:id="316" w:name="_Toc45649165"/>
      <w:bookmarkStart w:id="317" w:name="_Toc45713995"/>
      <w:bookmarkStart w:id="318" w:name="_Toc47090256"/>
      <w:bookmarkStart w:id="319" w:name="_Toc51084878"/>
      <w:r w:rsidRPr="00EC0D96">
        <w:rPr>
          <w:sz w:val="32"/>
          <w:szCs w:val="32"/>
        </w:rPr>
        <w:t>Attachment A: Outline of the powers and immunities framework</w:t>
      </w:r>
      <w:bookmarkEnd w:id="314"/>
      <w:bookmarkEnd w:id="315"/>
      <w:bookmarkEnd w:id="316"/>
      <w:bookmarkEnd w:id="317"/>
      <w:bookmarkEnd w:id="318"/>
      <w:bookmarkEnd w:id="319"/>
    </w:p>
    <w:p w14:paraId="7CF528CA" w14:textId="77777777" w:rsidR="002A3779" w:rsidRPr="00B43EC0" w:rsidRDefault="002A3779" w:rsidP="00EC0D96">
      <w:r w:rsidRPr="00B43EC0">
        <w:t>Carriers’ powers and immunities are provided in a regulatory framework set out in legislation and an industry code registered by the Australian Communications and Media Authority (the ACMA).</w:t>
      </w:r>
    </w:p>
    <w:p w14:paraId="642ACAA9" w14:textId="77777777" w:rsidR="002A3779" w:rsidRPr="00EC0D96" w:rsidRDefault="002A3779" w:rsidP="00EC0D96">
      <w:pPr>
        <w:pStyle w:val="Heading3"/>
        <w:spacing w:before="0"/>
        <w:rPr>
          <w:sz w:val="26"/>
          <w:szCs w:val="26"/>
        </w:rPr>
      </w:pPr>
      <w:bookmarkStart w:id="320" w:name="_Toc45545602"/>
      <w:bookmarkStart w:id="321" w:name="_Toc45642102"/>
      <w:bookmarkStart w:id="322" w:name="_Toc45649166"/>
      <w:bookmarkStart w:id="323" w:name="_Toc45713996"/>
      <w:bookmarkStart w:id="324" w:name="_Toc47090257"/>
      <w:bookmarkStart w:id="325" w:name="_Toc51084879"/>
      <w:r w:rsidRPr="00EC0D96">
        <w:rPr>
          <w:sz w:val="26"/>
          <w:szCs w:val="26"/>
        </w:rPr>
        <w:t>Schedule 3 to the Telecommunications Act 1997 (the Act)</w:t>
      </w:r>
      <w:bookmarkEnd w:id="320"/>
      <w:bookmarkEnd w:id="321"/>
      <w:bookmarkEnd w:id="322"/>
      <w:bookmarkEnd w:id="323"/>
      <w:bookmarkEnd w:id="324"/>
      <w:bookmarkEnd w:id="325"/>
    </w:p>
    <w:p w14:paraId="58ADAA35" w14:textId="77777777" w:rsidR="002A3779" w:rsidRDefault="002A3779" w:rsidP="00EC0D96">
      <w:r>
        <w:t xml:space="preserve">Schedule 3 to the Act provides carriers with powers to enter land, including public areas of buildings, for inspection and to install and maintain certain types of facilities. Schedule 3 also covers the installation of ‘low-impact facilities’, which are specified further in the LIFD. It also provides certain immunities </w:t>
      </w:r>
      <w:r>
        <w:lastRenderedPageBreak/>
        <w:t>from a range of State and Territory laws when carrying out those activities, such as laws relating to land use, planning, design, construction, siting, tenancy, environmental assessments and protection. These are collectively referred to as ‘planning laws’ in this paper.</w:t>
      </w:r>
    </w:p>
    <w:p w14:paraId="196793EA" w14:textId="77777777" w:rsidR="002A3779" w:rsidRDefault="002A3779" w:rsidP="00EC0D96">
      <w:r>
        <w:t>Where Schedule 3 does not cover a particular telecommunications facility, carriers need to comply with applicable State and Territory planning laws and obtain landowner consent.</w:t>
      </w:r>
    </w:p>
    <w:p w14:paraId="35A2379F" w14:textId="77777777" w:rsidR="002A3779" w:rsidRPr="00EC0D96" w:rsidRDefault="002A3779" w:rsidP="00EC0D96">
      <w:pPr>
        <w:pStyle w:val="Heading3"/>
        <w:spacing w:before="0"/>
        <w:rPr>
          <w:sz w:val="26"/>
          <w:szCs w:val="26"/>
        </w:rPr>
      </w:pPr>
      <w:bookmarkStart w:id="326" w:name="_Toc45545603"/>
      <w:bookmarkStart w:id="327" w:name="_Toc45642103"/>
      <w:bookmarkStart w:id="328" w:name="_Toc45649167"/>
      <w:bookmarkStart w:id="329" w:name="_Toc45713997"/>
      <w:bookmarkStart w:id="330" w:name="_Toc47090258"/>
      <w:bookmarkStart w:id="331" w:name="_Toc51084880"/>
      <w:r w:rsidRPr="00EC0D96">
        <w:rPr>
          <w:sz w:val="26"/>
          <w:szCs w:val="26"/>
        </w:rPr>
        <w:t>The Telecommunications Code of Practice 2018 (the Code of Practice)</w:t>
      </w:r>
      <w:bookmarkEnd w:id="326"/>
      <w:bookmarkEnd w:id="327"/>
      <w:bookmarkEnd w:id="328"/>
      <w:bookmarkEnd w:id="329"/>
      <w:bookmarkEnd w:id="330"/>
      <w:bookmarkEnd w:id="331"/>
    </w:p>
    <w:p w14:paraId="2B3CB0C5" w14:textId="77777777" w:rsidR="002A3779" w:rsidRDefault="002A3779" w:rsidP="00EC0D96">
      <w:r w:rsidRPr="002A3779">
        <w:t>The Code of Practice sets out the notification and objection procedures for carriers using powers and immunities authorised by Schedule 3 to the Act, as well as obligations for carriers when undertaking activities—inspecting land, installing and maintaining facilities—using their powers. Compliance with the Code of Practice is a carrier licence condition.</w:t>
      </w:r>
    </w:p>
    <w:p w14:paraId="52563F85" w14:textId="77777777" w:rsidR="002A3779" w:rsidRPr="00EC0D96" w:rsidRDefault="002A3779" w:rsidP="00EC0D96">
      <w:pPr>
        <w:pStyle w:val="Heading3"/>
        <w:spacing w:before="0"/>
        <w:rPr>
          <w:sz w:val="26"/>
          <w:szCs w:val="26"/>
        </w:rPr>
      </w:pPr>
      <w:bookmarkStart w:id="332" w:name="_Toc45545604"/>
      <w:bookmarkStart w:id="333" w:name="_Toc45642104"/>
      <w:bookmarkStart w:id="334" w:name="_Toc45649168"/>
      <w:bookmarkStart w:id="335" w:name="_Toc45713998"/>
      <w:bookmarkStart w:id="336" w:name="_Toc47090259"/>
      <w:bookmarkStart w:id="337" w:name="_Toc51084881"/>
      <w:r w:rsidRPr="00EC0D96">
        <w:rPr>
          <w:sz w:val="26"/>
          <w:szCs w:val="26"/>
        </w:rPr>
        <w:lastRenderedPageBreak/>
        <w:t>The Telecommunications (Low-impact Facilities) Determination 2018 (LIFD)</w:t>
      </w:r>
      <w:bookmarkEnd w:id="332"/>
      <w:bookmarkEnd w:id="333"/>
      <w:bookmarkEnd w:id="334"/>
      <w:bookmarkEnd w:id="335"/>
      <w:bookmarkEnd w:id="336"/>
      <w:bookmarkEnd w:id="337"/>
    </w:p>
    <w:p w14:paraId="51CFB5DF" w14:textId="77777777" w:rsidR="002A3779" w:rsidRDefault="002A3779" w:rsidP="00EC0D96">
      <w:r>
        <w:t>Schedule 3 to the Act gives the Minister for Communications and the Arts the ability to specify facilities as ‘low-impact facilities’ which can be installed using Schedule 3 powers and immunities. They are the most common type of carrier facilities installed under Schedule 3 and are specified in the LIFD.</w:t>
      </w:r>
    </w:p>
    <w:p w14:paraId="2880FCB6" w14:textId="77777777" w:rsidR="002A3779" w:rsidRDefault="002A3779" w:rsidP="00EC0D96">
      <w:r>
        <w:t>The types of facilities that are currently specified in the LIFD as low-impact are those considered to be essential to the effective and efficient operation of telecommunications networks in providing services to the public, but are considered to be of low visual impact and unlikely to cause significant disruption to the community during installation or operation.</w:t>
      </w:r>
    </w:p>
    <w:p w14:paraId="776B9DA4" w14:textId="77777777" w:rsidR="002A3779" w:rsidRDefault="002A3779" w:rsidP="00EC0D96">
      <w:r>
        <w:t>Low-impact facilities can be radiocommunications facilities, underground and above-ground housing, underground and some aerial cables, public payphones, emergency and co-located facilities. For example, mobile phone network facilities installed on existing towers and buildings can be low-impact facilities listed in the LIFD.</w:t>
      </w:r>
    </w:p>
    <w:p w14:paraId="768BA060" w14:textId="77777777" w:rsidR="002A3779" w:rsidRDefault="002A3779" w:rsidP="00EC0D96">
      <w:r>
        <w:lastRenderedPageBreak/>
        <w:t>As well as specifying the types of facilities, the LIFD can designate the areas in which carriers can install low-impact facilities such as residential, commercial, industrial and rural areas.</w:t>
      </w:r>
    </w:p>
    <w:p w14:paraId="65947032" w14:textId="5BBA8808" w:rsidR="002A3779" w:rsidRPr="00EC0D96" w:rsidRDefault="002A3779" w:rsidP="00EC0D96">
      <w:pPr>
        <w:pStyle w:val="Heading3"/>
        <w:spacing w:before="0"/>
        <w:rPr>
          <w:sz w:val="26"/>
          <w:szCs w:val="26"/>
        </w:rPr>
      </w:pPr>
      <w:bookmarkStart w:id="338" w:name="_Toc45545605"/>
      <w:bookmarkStart w:id="339" w:name="_Toc45642105"/>
      <w:bookmarkStart w:id="340" w:name="_Toc45649169"/>
      <w:bookmarkStart w:id="341" w:name="_Toc45713999"/>
      <w:bookmarkStart w:id="342" w:name="_Toc47090260"/>
      <w:bookmarkStart w:id="343" w:name="_Toc51084882"/>
      <w:r w:rsidRPr="00EC0D96">
        <w:rPr>
          <w:sz w:val="26"/>
          <w:szCs w:val="26"/>
        </w:rPr>
        <w:t xml:space="preserve">The Mobile Base Station Deployment </w:t>
      </w:r>
      <w:r w:rsidR="00761CE3" w:rsidRPr="00EC0D96">
        <w:rPr>
          <w:sz w:val="26"/>
          <w:szCs w:val="26"/>
        </w:rPr>
        <w:t xml:space="preserve">Code </w:t>
      </w:r>
      <w:r w:rsidRPr="00EC0D96">
        <w:rPr>
          <w:sz w:val="26"/>
          <w:szCs w:val="26"/>
        </w:rPr>
        <w:t xml:space="preserve">C564:2018 (the </w:t>
      </w:r>
      <w:r w:rsidR="00761CE3" w:rsidRPr="00EC0D96">
        <w:rPr>
          <w:sz w:val="26"/>
          <w:szCs w:val="26"/>
        </w:rPr>
        <w:t xml:space="preserve">Deployment </w:t>
      </w:r>
      <w:r w:rsidRPr="00EC0D96">
        <w:rPr>
          <w:sz w:val="26"/>
          <w:szCs w:val="26"/>
        </w:rPr>
        <w:t>Code)</w:t>
      </w:r>
      <w:bookmarkEnd w:id="338"/>
      <w:bookmarkEnd w:id="339"/>
      <w:bookmarkEnd w:id="340"/>
      <w:bookmarkEnd w:id="341"/>
      <w:bookmarkEnd w:id="342"/>
      <w:bookmarkEnd w:id="343"/>
    </w:p>
    <w:p w14:paraId="0AA1089B" w14:textId="6FB5D5D1" w:rsidR="00BF78EB" w:rsidRDefault="002A3779" w:rsidP="00EC0D96">
      <w:r w:rsidRPr="002A3779">
        <w:t xml:space="preserve">The </w:t>
      </w:r>
      <w:r w:rsidR="00761CE3">
        <w:t>Deployment</w:t>
      </w:r>
      <w:r w:rsidR="00761CE3" w:rsidRPr="002A3779">
        <w:t xml:space="preserve"> </w:t>
      </w:r>
      <w:r w:rsidRPr="002A3779">
        <w:t xml:space="preserve">Code sets out additional processes and conditions carriers are required to follow when installing mobile </w:t>
      </w:r>
      <w:r w:rsidR="00B31DC9">
        <w:t xml:space="preserve">phone </w:t>
      </w:r>
      <w:r w:rsidRPr="002A3779">
        <w:t xml:space="preserve">base stations. The </w:t>
      </w:r>
      <w:r w:rsidR="00761CE3">
        <w:t>Deployment</w:t>
      </w:r>
      <w:r w:rsidR="00761CE3" w:rsidRPr="002A3779">
        <w:t xml:space="preserve"> </w:t>
      </w:r>
      <w:r w:rsidRPr="002A3779">
        <w:t xml:space="preserve">Code was developed by Communications Alliance and is registered with the ACMA. The ACMA can warn or direct sections of industry to comply with the </w:t>
      </w:r>
      <w:r w:rsidR="00761CE3">
        <w:t>Deployment</w:t>
      </w:r>
      <w:r w:rsidR="00761CE3" w:rsidRPr="002A3779">
        <w:t xml:space="preserve"> </w:t>
      </w:r>
      <w:r w:rsidRPr="002A3779">
        <w:t>Code</w:t>
      </w:r>
      <w:r w:rsidR="00533ED6">
        <w:t>.</w:t>
      </w:r>
    </w:p>
    <w:sectPr w:rsidR="00BF78EB" w:rsidSect="002F1A23">
      <w:headerReference w:type="even" r:id="rId38"/>
      <w:headerReference w:type="default" r:id="rId39"/>
      <w:headerReference w:type="first" r:id="rId40"/>
      <w:pgSz w:w="11906" w:h="16838"/>
      <w:pgMar w:top="2268" w:right="991" w:bottom="1276" w:left="1440"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D5C17" w14:textId="77777777" w:rsidR="009C0149" w:rsidRDefault="009C0149" w:rsidP="00FC413F">
      <w:pPr>
        <w:spacing w:after="0"/>
      </w:pPr>
      <w:r>
        <w:separator/>
      </w:r>
    </w:p>
  </w:endnote>
  <w:endnote w:type="continuationSeparator" w:id="0">
    <w:p w14:paraId="2073A649" w14:textId="77777777" w:rsidR="009C0149" w:rsidRDefault="009C0149" w:rsidP="00FC413F">
      <w:pPr>
        <w:spacing w:after="0"/>
      </w:pPr>
      <w:r>
        <w:continuationSeparator/>
      </w:r>
    </w:p>
  </w:endnote>
  <w:endnote w:type="continuationNotice" w:id="1">
    <w:p w14:paraId="2F5BA703" w14:textId="77777777" w:rsidR="009C0149" w:rsidRDefault="009C014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00000000" w:usb1="28CFFCFA" w:usb2="00000016" w:usb3="00000000" w:csb0="00100001" w:csb1="00000000"/>
  </w:font>
  <w:font w:name="Mangal">
    <w:altName w:val="Courier New"/>
    <w:panose1 w:val="00000400000000000000"/>
    <w:charset w:val="00"/>
    <w:family w:val="roman"/>
    <w:pitch w:val="variable"/>
    <w:sig w:usb0="00000003" w:usb1="00000000" w:usb2="00000000" w:usb3="00000000" w:csb0="00000001" w:csb1="00000000"/>
  </w:font>
  <w:font w:name="Roboto">
    <w:panose1 w:val="00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B562D" w14:textId="77777777" w:rsidR="009C0149" w:rsidRPr="00FC413F" w:rsidRDefault="009C0149" w:rsidP="00A82DAF">
    <w:pPr>
      <w:pStyle w:val="Footer"/>
      <w:tabs>
        <w:tab w:val="clear" w:pos="4513"/>
        <w:tab w:val="clear" w:pos="9026"/>
      </w:tabs>
      <w:ind w:left="-567"/>
      <w:rPr>
        <w:rFonts w:cs="Segoe UI"/>
        <w:szCs w:val="18"/>
      </w:rPr>
    </w:pPr>
    <w:r w:rsidRPr="00FC413F">
      <w:rPr>
        <w:rFonts w:cs="Segoe UI"/>
        <w:szCs w:val="18"/>
      </w:rPr>
      <w:t>________________________________________________________</w:t>
    </w:r>
    <w:r>
      <w:rPr>
        <w:rFonts w:cs="Segoe UI"/>
        <w:szCs w:val="18"/>
      </w:rPr>
      <w:t>___________________________________________</w:t>
    </w:r>
    <w:r w:rsidRPr="00FC413F">
      <w:rPr>
        <w:rFonts w:cs="Segoe UI"/>
        <w:szCs w:val="18"/>
      </w:rPr>
      <w:t>___________________________________</w:t>
    </w:r>
  </w:p>
  <w:p w14:paraId="0565D61E" w14:textId="64747991" w:rsidR="009C0149" w:rsidRPr="00FC413F" w:rsidRDefault="009C0149" w:rsidP="00A82DAF">
    <w:pPr>
      <w:pStyle w:val="Footer"/>
      <w:tabs>
        <w:tab w:val="clear" w:pos="4513"/>
        <w:tab w:val="clear" w:pos="9026"/>
        <w:tab w:val="right" w:pos="9356"/>
      </w:tabs>
      <w:ind w:hanging="567"/>
      <w:rPr>
        <w:rFonts w:cs="Segoe UI"/>
        <w:szCs w:val="18"/>
      </w:rPr>
    </w:pPr>
    <w:r>
      <w:rPr>
        <w:rFonts w:cs="Segoe UI"/>
        <w:szCs w:val="18"/>
      </w:rPr>
      <w:fldChar w:fldCharType="begin"/>
    </w:r>
    <w:r>
      <w:rPr>
        <w:rFonts w:cs="Segoe UI"/>
        <w:szCs w:val="18"/>
      </w:rPr>
      <w:instrText xml:space="preserve"> PAGE  \* Arabic  \* MERGEFORMAT </w:instrText>
    </w:r>
    <w:r>
      <w:rPr>
        <w:rFonts w:cs="Segoe UI"/>
        <w:szCs w:val="18"/>
      </w:rPr>
      <w:fldChar w:fldCharType="separate"/>
    </w:r>
    <w:r w:rsidR="008D5EBF">
      <w:rPr>
        <w:rFonts w:cs="Segoe UI"/>
        <w:noProof/>
        <w:szCs w:val="18"/>
      </w:rPr>
      <w:t>1</w:t>
    </w:r>
    <w:r>
      <w:rPr>
        <w:rFonts w:cs="Segoe UI"/>
        <w:szCs w:val="18"/>
      </w:rPr>
      <w:fldChar w:fldCharType="end"/>
    </w:r>
    <w:r w:rsidRPr="00FC413F">
      <w:rPr>
        <w:rFonts w:cs="Segoe UI"/>
        <w:noProof/>
        <w:szCs w:val="18"/>
      </w:rPr>
      <w:t>.</w:t>
    </w:r>
    <w:r w:rsidRPr="00FC413F">
      <w:rPr>
        <w:rFonts w:cs="Segoe UI"/>
        <w:noProof/>
        <w:szCs w:val="18"/>
      </w:rPr>
      <w:tab/>
    </w:r>
    <w:r>
      <w:rPr>
        <w:rFonts w:cs="Segoe UI"/>
        <w:noProof/>
        <w:szCs w:val="18"/>
      </w:rPr>
      <w:t>Improving the telecommunications powers and immunities framework</w:t>
    </w:r>
  </w:p>
  <w:p w14:paraId="2ED3E13D" w14:textId="77777777" w:rsidR="009C0149" w:rsidRPr="00FC413F" w:rsidRDefault="008D5EBF" w:rsidP="00A82DAF">
    <w:pPr>
      <w:pStyle w:val="Footer"/>
      <w:tabs>
        <w:tab w:val="clear" w:pos="4513"/>
        <w:tab w:val="clear" w:pos="9026"/>
      </w:tabs>
      <w:ind w:left="-567"/>
      <w:jc w:val="center"/>
      <w:rPr>
        <w:rFonts w:cs="Segoe UI"/>
        <w:szCs w:val="18"/>
      </w:rPr>
    </w:pPr>
    <w:hyperlink r:id="rId1" w:history="1">
      <w:r w:rsidR="009C0149" w:rsidRPr="00FC413F">
        <w:rPr>
          <w:rStyle w:val="Hyperlink"/>
          <w:rFonts w:cs="Segoe UI"/>
          <w:szCs w:val="18"/>
        </w:rPr>
        <w:t>infrastructure.gov.au</w:t>
      </w:r>
    </w:hyperlink>
    <w:r w:rsidR="009C0149" w:rsidRPr="00FC413F">
      <w:rPr>
        <w:rFonts w:cs="Segoe UI"/>
        <w:noProof/>
        <w:szCs w:val="18"/>
      </w:rPr>
      <w:t xml:space="preserve"> | </w:t>
    </w:r>
    <w:hyperlink r:id="rId2" w:history="1">
      <w:r w:rsidR="009C0149" w:rsidRPr="00FC413F">
        <w:rPr>
          <w:rStyle w:val="Hyperlink"/>
          <w:rFonts w:cs="Segoe UI"/>
          <w:szCs w:val="18"/>
        </w:rPr>
        <w:t>communications.gov.au</w:t>
      </w:r>
    </w:hyperlink>
    <w:r w:rsidR="009C0149">
      <w:t xml:space="preserve"> | </w:t>
    </w:r>
    <w:hyperlink r:id="rId3" w:history="1">
      <w:r w:rsidR="009C0149" w:rsidRPr="00FC413F">
        <w:rPr>
          <w:rStyle w:val="Hyperlink"/>
          <w:rFonts w:cs="Segoe UI"/>
          <w:szCs w:val="18"/>
        </w:rPr>
        <w:t>arts.gov.au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85A50" w14:textId="77777777" w:rsidR="009C0149" w:rsidRDefault="009C0149" w:rsidP="00FC413F">
      <w:pPr>
        <w:spacing w:after="0"/>
      </w:pPr>
      <w:r>
        <w:separator/>
      </w:r>
    </w:p>
  </w:footnote>
  <w:footnote w:type="continuationSeparator" w:id="0">
    <w:p w14:paraId="2557FAE2" w14:textId="77777777" w:rsidR="009C0149" w:rsidRDefault="009C0149" w:rsidP="00FC413F">
      <w:pPr>
        <w:spacing w:after="0"/>
      </w:pPr>
      <w:r>
        <w:continuationSeparator/>
      </w:r>
    </w:p>
  </w:footnote>
  <w:footnote w:type="continuationNotice" w:id="1">
    <w:p w14:paraId="3107ED21" w14:textId="77777777" w:rsidR="009C0149" w:rsidRDefault="009C0149">
      <w:pPr>
        <w:spacing w:after="0"/>
      </w:pPr>
    </w:p>
  </w:footnote>
  <w:footnote w:id="2">
    <w:p w14:paraId="2403CA7F" w14:textId="4055415A" w:rsidR="009C0149" w:rsidRDefault="009C0149">
      <w:pPr>
        <w:pStyle w:val="FootnoteText"/>
      </w:pPr>
      <w:r>
        <w:rPr>
          <w:rStyle w:val="FootnoteReference"/>
        </w:rPr>
        <w:footnoteRef/>
      </w:r>
      <w:r>
        <w:t xml:space="preserve"> </w:t>
      </w:r>
      <w:r w:rsidRPr="00AB2610">
        <w:t xml:space="preserve">Australian Communications and Media Authority, Communications Report 2018-19, pg. 5, available at </w:t>
      </w:r>
      <w:hyperlink r:id="rId1" w:history="1">
        <w:r w:rsidRPr="00AB2610">
          <w:rPr>
            <w:rStyle w:val="Hyperlink"/>
          </w:rPr>
          <w:t>https://www.acma.gov.au/sites/default/files/2020-04/Communications%20report%202018-19.pdf</w:t>
        </w:r>
      </w:hyperlink>
      <w:r w:rsidRPr="00AB2610">
        <w:t xml:space="preserve"> </w:t>
      </w:r>
    </w:p>
  </w:footnote>
  <w:footnote w:id="3">
    <w:p w14:paraId="78F9738D" w14:textId="21858968" w:rsidR="009C0149" w:rsidRPr="00CF1D77" w:rsidRDefault="009C0149">
      <w:pPr>
        <w:pStyle w:val="FootnoteText"/>
        <w:rPr>
          <w:sz w:val="18"/>
          <w:szCs w:val="18"/>
        </w:rPr>
      </w:pPr>
      <w:r>
        <w:rPr>
          <w:rStyle w:val="FootnoteReference"/>
        </w:rPr>
        <w:footnoteRef/>
      </w:r>
      <w:r>
        <w:t xml:space="preserve"> </w:t>
      </w:r>
      <w:proofErr w:type="spellStart"/>
      <w:r w:rsidRPr="007E2922">
        <w:t>AlphaBeta</w:t>
      </w:r>
      <w:proofErr w:type="spellEnd"/>
      <w:r w:rsidRPr="007E2922">
        <w:t xml:space="preserve">, September 2019, Australia’s Digital Opportunity: Growing a $122 billion a year tech industry, Page 12, </w:t>
      </w:r>
      <w:hyperlink r:id="rId2" w:history="1">
        <w:r w:rsidRPr="007E2922">
          <w:rPr>
            <w:rStyle w:val="Hyperlink"/>
          </w:rPr>
          <w:t>www.alphabeta.com/wp-content/uploads/2019/09/australias-digital-dividend-final.pdf</w:t>
        </w:r>
      </w:hyperlink>
      <w:r w:rsidRPr="007E2922">
        <w:t xml:space="preserve"> </w:t>
      </w:r>
    </w:p>
  </w:footnote>
  <w:footnote w:id="4">
    <w:p w14:paraId="62596789" w14:textId="4568C221" w:rsidR="009C0149" w:rsidRPr="00CF1D77" w:rsidRDefault="009C0149">
      <w:pPr>
        <w:pStyle w:val="FootnoteText"/>
        <w:rPr>
          <w:sz w:val="18"/>
          <w:szCs w:val="18"/>
        </w:rPr>
      </w:pPr>
      <w:r>
        <w:rPr>
          <w:rStyle w:val="FootnoteReference"/>
        </w:rPr>
        <w:footnoteRef/>
      </w:r>
      <w:r>
        <w:t xml:space="preserve"> </w:t>
      </w:r>
      <w:r w:rsidRPr="007E2922">
        <w:t xml:space="preserve">BCAR, 2018, Impacts of 5G on productivity and economic growth: Working paper, Page 1, </w:t>
      </w:r>
      <w:hyperlink r:id="rId3" w:history="1">
        <w:r w:rsidRPr="007E2922">
          <w:rPr>
            <w:rStyle w:val="Hyperlink"/>
          </w:rPr>
          <w:t>www.communications.gov.au/departmental-news/impacts-5g-productivity-and-economic-growth</w:t>
        </w:r>
      </w:hyperlink>
      <w:r>
        <w:t xml:space="preserve"> </w:t>
      </w:r>
    </w:p>
  </w:footnote>
  <w:footnote w:id="5">
    <w:p w14:paraId="3BFFAE97" w14:textId="77777777" w:rsidR="009C0149" w:rsidRDefault="009C0149" w:rsidP="005F6830">
      <w:pPr>
        <w:pStyle w:val="FootnoteText"/>
      </w:pPr>
      <w:r>
        <w:rPr>
          <w:rStyle w:val="FootnoteReference"/>
        </w:rPr>
        <w:footnoteRef/>
      </w:r>
      <w:r>
        <w:t xml:space="preserve"> Schedule 3 of the </w:t>
      </w:r>
      <w:r w:rsidRPr="007B1607">
        <w:rPr>
          <w:i/>
        </w:rPr>
        <w:t>Telecommunications Act 1997</w:t>
      </w:r>
      <w:r>
        <w:t>.</w:t>
      </w:r>
    </w:p>
  </w:footnote>
  <w:footnote w:id="6">
    <w:p w14:paraId="2FFCD73C" w14:textId="1165B788" w:rsidR="009C0149" w:rsidRDefault="009C0149">
      <w:pPr>
        <w:pStyle w:val="FootnoteText"/>
      </w:pPr>
      <w:r>
        <w:rPr>
          <w:rStyle w:val="FootnoteReference"/>
        </w:rPr>
        <w:footnoteRef/>
      </w:r>
      <w:r>
        <w:t xml:space="preserve"> </w:t>
      </w:r>
      <w:r w:rsidRPr="00AB2610">
        <w:t xml:space="preserve">Further information on EME is available at </w:t>
      </w:r>
      <w:hyperlink r:id="rId4" w:history="1">
        <w:r w:rsidRPr="00AB2610">
          <w:rPr>
            <w:rStyle w:val="Hyperlink"/>
          </w:rPr>
          <w:t>https://www.communications.gov.au/what-we-do/spectrum/electromagnetic-energy-eme</w:t>
        </w:r>
      </w:hyperlink>
      <w:r>
        <w:t xml:space="preserve"> </w:t>
      </w:r>
    </w:p>
  </w:footnote>
  <w:footnote w:id="7">
    <w:p w14:paraId="2EFBCA18" w14:textId="03368D9B" w:rsidR="009C0149" w:rsidRDefault="009C0149">
      <w:pPr>
        <w:pStyle w:val="FootnoteText"/>
      </w:pPr>
      <w:r>
        <w:rPr>
          <w:rStyle w:val="FootnoteReference"/>
        </w:rPr>
        <w:footnoteRef/>
      </w:r>
      <w:r>
        <w:t xml:space="preserve"> </w:t>
      </w:r>
      <w:r w:rsidRPr="00AB2610">
        <w:t>Division 5 of Part 1 of Schedule 3 of the Act sets out the conditions carriers must comply with when carrying out activities using the powers and immunities framework.</w:t>
      </w:r>
    </w:p>
  </w:footnote>
  <w:footnote w:id="8">
    <w:p w14:paraId="5AD997D1" w14:textId="77777777" w:rsidR="009C0149" w:rsidRDefault="009C0149" w:rsidP="0083003E">
      <w:pPr>
        <w:pStyle w:val="FootnoteText"/>
      </w:pPr>
      <w:r>
        <w:rPr>
          <w:rStyle w:val="FootnoteReference"/>
        </w:rPr>
        <w:footnoteRef/>
      </w:r>
      <w:r>
        <w:t xml:space="preserve"> Section 42, Schedule 3 of the </w:t>
      </w:r>
      <w:r w:rsidRPr="008F45B4">
        <w:rPr>
          <w:i/>
        </w:rPr>
        <w:t>Telecommunications Act 1997</w:t>
      </w:r>
      <w:r>
        <w:t>.</w:t>
      </w:r>
    </w:p>
  </w:footnote>
  <w:footnote w:id="9">
    <w:p w14:paraId="03A6FEAE" w14:textId="680CDE56" w:rsidR="009C0149" w:rsidRDefault="009C0149">
      <w:pPr>
        <w:pStyle w:val="FootnoteText"/>
      </w:pPr>
      <w:r>
        <w:rPr>
          <w:rStyle w:val="FootnoteReference"/>
        </w:rPr>
        <w:footnoteRef/>
      </w:r>
      <w:r>
        <w:t xml:space="preserve"> Clauses 17 and 19 of Schedule 3 to the Act set out requirements regarding giving notice to landowners and occupiers. </w:t>
      </w:r>
    </w:p>
  </w:footnote>
  <w:footnote w:id="10">
    <w:p w14:paraId="70FD97A3" w14:textId="25C1E4E6" w:rsidR="009C0149" w:rsidRDefault="009C0149">
      <w:pPr>
        <w:pStyle w:val="FootnoteText"/>
      </w:pPr>
      <w:r>
        <w:rPr>
          <w:rStyle w:val="FootnoteReference"/>
        </w:rPr>
        <w:footnoteRef/>
      </w:r>
      <w:r>
        <w:t xml:space="preserve"> Clauses 2.36, 4.36 and 6.36 in the Code of Practice provide information about carriers lodging an objection with the TIO after receiving a request from a landowner or occupier. </w:t>
      </w:r>
    </w:p>
  </w:footnote>
  <w:footnote w:id="11">
    <w:p w14:paraId="558C18D4" w14:textId="77777777" w:rsidR="009C0149" w:rsidRDefault="009C0149" w:rsidP="0022133B">
      <w:pPr>
        <w:pStyle w:val="FootnoteText"/>
        <w:keepNext/>
      </w:pPr>
      <w:r>
        <w:rPr>
          <w:rStyle w:val="FootnoteReference"/>
        </w:rPr>
        <w:footnoteRef/>
      </w:r>
      <w:r>
        <w:t xml:space="preserve"> Information about the 5G inquiry, submissions and the final report can be accessed </w:t>
      </w:r>
      <w:hyperlink r:id="rId5" w:history="1">
        <w:r w:rsidRPr="00120172">
          <w:rPr>
            <w:rStyle w:val="Hyperlink"/>
          </w:rPr>
          <w:t>here</w:t>
        </w:r>
      </w:hyperlink>
      <w:r>
        <w:t>.</w:t>
      </w:r>
    </w:p>
  </w:footnote>
  <w:footnote w:id="12">
    <w:p w14:paraId="0B4E4B95" w14:textId="24081241" w:rsidR="009C0149" w:rsidRDefault="009C0149">
      <w:pPr>
        <w:pStyle w:val="FootnoteText"/>
      </w:pPr>
      <w:r>
        <w:rPr>
          <w:rStyle w:val="FootnoteReference"/>
        </w:rPr>
        <w:footnoteRef/>
      </w:r>
      <w:r>
        <w:t xml:space="preserve"> Information on ACMA’s compliance and enforcement policy is available at </w:t>
      </w:r>
      <w:hyperlink r:id="rId6" w:history="1">
        <w:r w:rsidRPr="00953207">
          <w:rPr>
            <w:rStyle w:val="Hyperlink"/>
          </w:rPr>
          <w:t>https://www.acma.gov.au/compliance-and-enforcement-policy</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5F2E7" w14:textId="51136964" w:rsidR="009C0149" w:rsidRDefault="009C0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39A56" w14:textId="70BEEFB3" w:rsidR="009C0149" w:rsidRDefault="009C0149" w:rsidP="00FC413F">
    <w:pPr>
      <w:pStyle w:val="Header"/>
      <w:tabs>
        <w:tab w:val="right" w:pos="9475"/>
      </w:tabs>
      <w:ind w:left="-1418"/>
    </w:pPr>
    <w:r>
      <w:rPr>
        <w:noProof/>
        <w:lang w:eastAsia="en-AU"/>
      </w:rPr>
      <w:drawing>
        <wp:inline distT="0" distB="0" distL="0" distR="0" wp14:anchorId="0866BA79" wp14:editId="680C7B36">
          <wp:extent cx="7570707" cy="1080198"/>
          <wp:effectExtent l="0" t="0" r="0" b="5715"/>
          <wp:docPr id="4" name="Picture 4"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082" cy="1083961"/>
                  </a:xfrm>
                  <a:prstGeom prst="rect">
                    <a:avLst/>
                  </a:prstGeom>
                </pic:spPr>
              </pic:pic>
            </a:graphicData>
          </a:graphic>
        </wp:inline>
      </w:drawing>
    </w:r>
  </w:p>
  <w:p w14:paraId="5904A484" w14:textId="673074C5" w:rsidR="009C0149" w:rsidRPr="00261FFA" w:rsidRDefault="000D706B" w:rsidP="00D47BFD">
    <w:pPr>
      <w:pStyle w:val="Header"/>
      <w:tabs>
        <w:tab w:val="clear" w:pos="4678"/>
      </w:tabs>
      <w:rPr>
        <w:rFonts w:cs="Segoe UI Light"/>
        <w:color w:val="001C40"/>
        <w:szCs w:val="18"/>
      </w:rPr>
    </w:pPr>
    <w:r>
      <w:rPr>
        <w:rFonts w:cs="Segoe UI Light"/>
        <w:szCs w:val="18"/>
      </w:rPr>
      <w:t>September</w:t>
    </w:r>
    <w:r w:rsidR="009C0149">
      <w:rPr>
        <w:rFonts w:cs="Segoe UI Light"/>
        <w:szCs w:val="18"/>
      </w:rPr>
      <w:t xml:space="preserve"> 2020</w:t>
    </w:r>
    <w:r w:rsidR="009C0149" w:rsidRPr="00261FFA">
      <w:rPr>
        <w:rFonts w:cs="Segoe UI Light"/>
        <w:szCs w:val="18"/>
      </w:rPr>
      <w:tab/>
    </w:r>
    <w:r w:rsidR="009C0149" w:rsidRPr="00261FFA">
      <w:rPr>
        <w:rFonts w:cs="Segoe UI Light"/>
        <w:color w:val="001C40"/>
        <w:szCs w:val="18"/>
      </w:rPr>
      <w:fldChar w:fldCharType="begin"/>
    </w:r>
    <w:r w:rsidR="009C0149" w:rsidRPr="00261FFA">
      <w:rPr>
        <w:rFonts w:cs="Segoe UI Light"/>
        <w:color w:val="001C40"/>
        <w:szCs w:val="18"/>
      </w:rPr>
      <w:instrText xml:space="preserve"> STYLEREF  "Heading 2—not showing"  \* MERGEFORMAT </w:instrText>
    </w:r>
    <w:r w:rsidR="009C0149" w:rsidRPr="00261FFA">
      <w:rPr>
        <w:rFonts w:cs="Segoe UI Light"/>
        <w:color w:val="001C40"/>
        <w:szCs w:val="18"/>
      </w:rPr>
      <w:fldChar w:fldCharType="separate"/>
    </w:r>
    <w:r w:rsidR="008D5EBF" w:rsidRPr="008D5EBF">
      <w:rPr>
        <w:rFonts w:cs="Segoe UI Light"/>
        <w:b/>
        <w:bCs/>
        <w:noProof/>
        <w:color w:val="001C40"/>
        <w:szCs w:val="18"/>
        <w:lang w:val="en-US"/>
      </w:rPr>
      <w:t>Tables</w:t>
    </w:r>
    <w:r w:rsidR="008D5EBF">
      <w:rPr>
        <w:rFonts w:cs="Segoe UI Light"/>
        <w:noProof/>
        <w:color w:val="001C40"/>
        <w:szCs w:val="18"/>
      </w:rPr>
      <w:t xml:space="preserve"> / images</w:t>
    </w:r>
    <w:r w:rsidR="009C0149" w:rsidRPr="00261FFA">
      <w:rPr>
        <w:rFonts w:cs="Segoe UI Light"/>
        <w:color w:val="001C40"/>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AEBC2" w14:textId="34EBB1DE" w:rsidR="009C0149" w:rsidRDefault="009C01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DC6C2" w14:textId="2F363771" w:rsidR="009C0149" w:rsidRDefault="009C01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732C6" w14:textId="4DF9AC49" w:rsidR="009C0149" w:rsidRDefault="009C0149" w:rsidP="00FC413F">
    <w:pPr>
      <w:pStyle w:val="Header"/>
      <w:tabs>
        <w:tab w:val="right" w:pos="9475"/>
      </w:tabs>
      <w:ind w:left="-1418"/>
    </w:pPr>
    <w:r>
      <w:rPr>
        <w:noProof/>
        <w:lang w:eastAsia="en-AU"/>
      </w:rPr>
      <w:drawing>
        <wp:inline distT="0" distB="0" distL="0" distR="0" wp14:anchorId="3F06B24A" wp14:editId="7EF299B5">
          <wp:extent cx="7570707" cy="1080198"/>
          <wp:effectExtent l="0" t="0" r="0" b="5715"/>
          <wp:docPr id="11" name="Picture 11" descr="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TRDC Word Header_Pattern_A4 portrai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082" cy="1083961"/>
                  </a:xfrm>
                  <a:prstGeom prst="rect">
                    <a:avLst/>
                  </a:prstGeom>
                </pic:spPr>
              </pic:pic>
            </a:graphicData>
          </a:graphic>
        </wp:inline>
      </w:drawing>
    </w:r>
  </w:p>
  <w:p w14:paraId="3553E26C" w14:textId="14DBB50F" w:rsidR="009C0149" w:rsidRPr="00261FFA" w:rsidRDefault="000D706B" w:rsidP="00D47BFD">
    <w:pPr>
      <w:pStyle w:val="Header"/>
      <w:tabs>
        <w:tab w:val="clear" w:pos="4678"/>
      </w:tabs>
      <w:rPr>
        <w:rFonts w:cs="Segoe UI Light"/>
        <w:color w:val="001C40"/>
        <w:szCs w:val="18"/>
      </w:rPr>
    </w:pPr>
    <w:r>
      <w:rPr>
        <w:rFonts w:cs="Segoe UI Light"/>
        <w:szCs w:val="18"/>
      </w:rPr>
      <w:t>September</w:t>
    </w:r>
    <w:r w:rsidR="009C0149">
      <w:rPr>
        <w:rFonts w:cs="Segoe UI Light"/>
        <w:szCs w:val="18"/>
      </w:rPr>
      <w:t xml:space="preserve"> 2020</w:t>
    </w:r>
    <w:r w:rsidR="009C0149" w:rsidRPr="00261FFA">
      <w:rPr>
        <w:rFonts w:cs="Segoe UI Light"/>
        <w:szCs w:val="18"/>
      </w:rPr>
      <w:tab/>
    </w:r>
    <w:r w:rsidR="009C0149">
      <w:rPr>
        <w:rFonts w:cs="Segoe UI Light"/>
        <w:color w:val="001C40"/>
        <w:szCs w:val="18"/>
      </w:rPr>
      <w:fldChar w:fldCharType="begin"/>
    </w:r>
    <w:r w:rsidR="009C0149">
      <w:rPr>
        <w:rFonts w:cs="Segoe UI Light"/>
        <w:color w:val="001C40"/>
        <w:szCs w:val="18"/>
      </w:rPr>
      <w:instrText xml:space="preserve"> STYLEREF  "Heading 2"  \* MERGEFORMAT </w:instrText>
    </w:r>
    <w:r w:rsidR="009C0149">
      <w:rPr>
        <w:rFonts w:cs="Segoe UI Light"/>
        <w:color w:val="001C40"/>
        <w:szCs w:val="18"/>
      </w:rPr>
      <w:fldChar w:fldCharType="separate"/>
    </w:r>
    <w:r w:rsidR="008D5EBF">
      <w:rPr>
        <w:rFonts w:cs="Segoe UI Light"/>
        <w:noProof/>
        <w:color w:val="001C40"/>
        <w:szCs w:val="18"/>
      </w:rPr>
      <w:t>Facilitating services in line with community expectations and to support economic growth</w:t>
    </w:r>
    <w:r w:rsidR="009C0149">
      <w:rPr>
        <w:rFonts w:cs="Segoe UI Light"/>
        <w:color w:val="001C40"/>
        <w:szCs w:val="18"/>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1E94BE" w14:textId="67FEA614" w:rsidR="009C0149" w:rsidRDefault="009C01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A1FB4"/>
    <w:multiLevelType w:val="hybridMultilevel"/>
    <w:tmpl w:val="F2E61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38411B"/>
    <w:multiLevelType w:val="hybridMultilevel"/>
    <w:tmpl w:val="628AB612"/>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69A0436"/>
    <w:multiLevelType w:val="hybridMultilevel"/>
    <w:tmpl w:val="B8D2CB0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7DB1066"/>
    <w:multiLevelType w:val="hybridMultilevel"/>
    <w:tmpl w:val="566A7806"/>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04C5543"/>
    <w:multiLevelType w:val="hybridMultilevel"/>
    <w:tmpl w:val="437C4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A82C85"/>
    <w:multiLevelType w:val="hybridMultilevel"/>
    <w:tmpl w:val="C3C4D0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AED2C53"/>
    <w:multiLevelType w:val="hybridMultilevel"/>
    <w:tmpl w:val="EB9A220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CB3057"/>
    <w:multiLevelType w:val="hybridMultilevel"/>
    <w:tmpl w:val="5856663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4E92756"/>
    <w:multiLevelType w:val="hybridMultilevel"/>
    <w:tmpl w:val="7876A416"/>
    <w:lvl w:ilvl="0" w:tplc="88744B8E">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A331B37"/>
    <w:multiLevelType w:val="hybridMultilevel"/>
    <w:tmpl w:val="78886D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F7A1DB5"/>
    <w:multiLevelType w:val="hybridMultilevel"/>
    <w:tmpl w:val="A18AD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FB79D6"/>
    <w:multiLevelType w:val="hybridMultilevel"/>
    <w:tmpl w:val="A4027E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D635FA"/>
    <w:multiLevelType w:val="hybridMultilevel"/>
    <w:tmpl w:val="06AE8E56"/>
    <w:lvl w:ilvl="0" w:tplc="B120A3DA">
      <w:start w:val="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3469E7"/>
    <w:multiLevelType w:val="hybridMultilevel"/>
    <w:tmpl w:val="FDD46492"/>
    <w:lvl w:ilvl="0" w:tplc="872AD448">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C7B3DE5"/>
    <w:multiLevelType w:val="hybridMultilevel"/>
    <w:tmpl w:val="BBE021AA"/>
    <w:lvl w:ilvl="0" w:tplc="DBB693A0">
      <w:start w:val="1"/>
      <w:numFmt w:val="decimal"/>
      <w:pStyle w:val="ListParagraph"/>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528B74EB"/>
    <w:multiLevelType w:val="hybridMultilevel"/>
    <w:tmpl w:val="D730D260"/>
    <w:lvl w:ilvl="0" w:tplc="030C2A5E">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9E0199"/>
    <w:multiLevelType w:val="hybridMultilevel"/>
    <w:tmpl w:val="D07E2C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A53ACA"/>
    <w:multiLevelType w:val="hybridMultilevel"/>
    <w:tmpl w:val="C3C4D0F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BF75305"/>
    <w:multiLevelType w:val="hybridMultilevel"/>
    <w:tmpl w:val="65724D20"/>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6328409F"/>
    <w:multiLevelType w:val="hybridMultilevel"/>
    <w:tmpl w:val="0E8EC36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633E02F2"/>
    <w:multiLevelType w:val="hybridMultilevel"/>
    <w:tmpl w:val="5176A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5860545"/>
    <w:multiLevelType w:val="hybridMultilevel"/>
    <w:tmpl w:val="A7EE09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68827E7D"/>
    <w:multiLevelType w:val="hybridMultilevel"/>
    <w:tmpl w:val="AA168EC0"/>
    <w:lvl w:ilvl="0" w:tplc="E96A464C">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8E3AA3"/>
    <w:multiLevelType w:val="hybridMultilevel"/>
    <w:tmpl w:val="A52056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DA818D0"/>
    <w:multiLevelType w:val="hybridMultilevel"/>
    <w:tmpl w:val="A0C42C2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0111C2A"/>
    <w:multiLevelType w:val="hybridMultilevel"/>
    <w:tmpl w:val="627E1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170344D"/>
    <w:multiLevelType w:val="hybridMultilevel"/>
    <w:tmpl w:val="3BA80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2224D3A"/>
    <w:multiLevelType w:val="hybridMultilevel"/>
    <w:tmpl w:val="3FE80F9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31708B3"/>
    <w:multiLevelType w:val="multilevel"/>
    <w:tmpl w:val="BF64E9C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15:restartNumberingAfterBreak="0">
    <w:nsid w:val="75C9695A"/>
    <w:multiLevelType w:val="hybridMultilevel"/>
    <w:tmpl w:val="27F8D3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820421F"/>
    <w:multiLevelType w:val="hybridMultilevel"/>
    <w:tmpl w:val="130AD62C"/>
    <w:lvl w:ilvl="0" w:tplc="A4CA65C0">
      <w:numFmt w:val="bullet"/>
      <w:lvlText w:val="-"/>
      <w:lvlJc w:val="left"/>
      <w:pPr>
        <w:ind w:left="930" w:hanging="360"/>
      </w:pPr>
      <w:rPr>
        <w:rFonts w:ascii="Segoe UI" w:eastAsiaTheme="minorHAnsi" w:hAnsi="Segoe UI" w:cs="Segoe UI" w:hint="default"/>
      </w:rPr>
    </w:lvl>
    <w:lvl w:ilvl="1" w:tplc="0C090003" w:tentative="1">
      <w:start w:val="1"/>
      <w:numFmt w:val="bullet"/>
      <w:lvlText w:val="o"/>
      <w:lvlJc w:val="left"/>
      <w:pPr>
        <w:ind w:left="1650" w:hanging="360"/>
      </w:pPr>
      <w:rPr>
        <w:rFonts w:ascii="Courier New" w:hAnsi="Courier New" w:cs="Courier New" w:hint="default"/>
      </w:rPr>
    </w:lvl>
    <w:lvl w:ilvl="2" w:tplc="0C090005" w:tentative="1">
      <w:start w:val="1"/>
      <w:numFmt w:val="bullet"/>
      <w:lvlText w:val=""/>
      <w:lvlJc w:val="left"/>
      <w:pPr>
        <w:ind w:left="2370" w:hanging="360"/>
      </w:pPr>
      <w:rPr>
        <w:rFonts w:ascii="Wingdings" w:hAnsi="Wingdings" w:hint="default"/>
      </w:rPr>
    </w:lvl>
    <w:lvl w:ilvl="3" w:tplc="0C090001" w:tentative="1">
      <w:start w:val="1"/>
      <w:numFmt w:val="bullet"/>
      <w:lvlText w:val=""/>
      <w:lvlJc w:val="left"/>
      <w:pPr>
        <w:ind w:left="3090" w:hanging="360"/>
      </w:pPr>
      <w:rPr>
        <w:rFonts w:ascii="Symbol" w:hAnsi="Symbol" w:hint="default"/>
      </w:rPr>
    </w:lvl>
    <w:lvl w:ilvl="4" w:tplc="0C090003" w:tentative="1">
      <w:start w:val="1"/>
      <w:numFmt w:val="bullet"/>
      <w:lvlText w:val="o"/>
      <w:lvlJc w:val="left"/>
      <w:pPr>
        <w:ind w:left="3810" w:hanging="360"/>
      </w:pPr>
      <w:rPr>
        <w:rFonts w:ascii="Courier New" w:hAnsi="Courier New" w:cs="Courier New" w:hint="default"/>
      </w:rPr>
    </w:lvl>
    <w:lvl w:ilvl="5" w:tplc="0C090005" w:tentative="1">
      <w:start w:val="1"/>
      <w:numFmt w:val="bullet"/>
      <w:lvlText w:val=""/>
      <w:lvlJc w:val="left"/>
      <w:pPr>
        <w:ind w:left="4530" w:hanging="360"/>
      </w:pPr>
      <w:rPr>
        <w:rFonts w:ascii="Wingdings" w:hAnsi="Wingdings" w:hint="default"/>
      </w:rPr>
    </w:lvl>
    <w:lvl w:ilvl="6" w:tplc="0C090001" w:tentative="1">
      <w:start w:val="1"/>
      <w:numFmt w:val="bullet"/>
      <w:lvlText w:val=""/>
      <w:lvlJc w:val="left"/>
      <w:pPr>
        <w:ind w:left="5250" w:hanging="360"/>
      </w:pPr>
      <w:rPr>
        <w:rFonts w:ascii="Symbol" w:hAnsi="Symbol" w:hint="default"/>
      </w:rPr>
    </w:lvl>
    <w:lvl w:ilvl="7" w:tplc="0C090003" w:tentative="1">
      <w:start w:val="1"/>
      <w:numFmt w:val="bullet"/>
      <w:lvlText w:val="o"/>
      <w:lvlJc w:val="left"/>
      <w:pPr>
        <w:ind w:left="5970" w:hanging="360"/>
      </w:pPr>
      <w:rPr>
        <w:rFonts w:ascii="Courier New" w:hAnsi="Courier New" w:cs="Courier New" w:hint="default"/>
      </w:rPr>
    </w:lvl>
    <w:lvl w:ilvl="8" w:tplc="0C090005" w:tentative="1">
      <w:start w:val="1"/>
      <w:numFmt w:val="bullet"/>
      <w:lvlText w:val=""/>
      <w:lvlJc w:val="left"/>
      <w:pPr>
        <w:ind w:left="6690" w:hanging="360"/>
      </w:pPr>
      <w:rPr>
        <w:rFonts w:ascii="Wingdings" w:hAnsi="Wingdings" w:hint="default"/>
      </w:rPr>
    </w:lvl>
  </w:abstractNum>
  <w:num w:numId="1">
    <w:abstractNumId w:val="22"/>
  </w:num>
  <w:num w:numId="2">
    <w:abstractNumId w:val="8"/>
  </w:num>
  <w:num w:numId="3">
    <w:abstractNumId w:val="14"/>
  </w:num>
  <w:num w:numId="4">
    <w:abstractNumId w:val="16"/>
  </w:num>
  <w:num w:numId="5">
    <w:abstractNumId w:val="30"/>
  </w:num>
  <w:num w:numId="6">
    <w:abstractNumId w:val="15"/>
  </w:num>
  <w:num w:numId="7">
    <w:abstractNumId w:val="28"/>
  </w:num>
  <w:num w:numId="8">
    <w:abstractNumId w:val="21"/>
  </w:num>
  <w:num w:numId="9">
    <w:abstractNumId w:val="3"/>
  </w:num>
  <w:num w:numId="10">
    <w:abstractNumId w:val="14"/>
    <w:lvlOverride w:ilvl="0">
      <w:startOverride w:val="1"/>
    </w:lvlOverride>
  </w:num>
  <w:num w:numId="11">
    <w:abstractNumId w:val="14"/>
    <w:lvlOverride w:ilvl="0">
      <w:startOverride w:val="1"/>
    </w:lvlOverride>
  </w:num>
  <w:num w:numId="12">
    <w:abstractNumId w:val="14"/>
    <w:lvlOverride w:ilvl="0">
      <w:startOverride w:val="1"/>
    </w:lvlOverride>
  </w:num>
  <w:num w:numId="13">
    <w:abstractNumId w:val="23"/>
  </w:num>
  <w:num w:numId="14">
    <w:abstractNumId w:val="2"/>
  </w:num>
  <w:num w:numId="15">
    <w:abstractNumId w:val="12"/>
  </w:num>
  <w:num w:numId="16">
    <w:abstractNumId w:val="1"/>
  </w:num>
  <w:num w:numId="17">
    <w:abstractNumId w:val="14"/>
    <w:lvlOverride w:ilvl="0">
      <w:startOverride w:val="1"/>
    </w:lvlOverride>
  </w:num>
  <w:num w:numId="18">
    <w:abstractNumId w:val="14"/>
    <w:lvlOverride w:ilvl="0">
      <w:startOverride w:val="1"/>
    </w:lvlOverride>
  </w:num>
  <w:num w:numId="19">
    <w:abstractNumId w:val="14"/>
    <w:lvlOverride w:ilvl="0">
      <w:startOverride w:val="1"/>
    </w:lvlOverride>
  </w:num>
  <w:num w:numId="20">
    <w:abstractNumId w:val="18"/>
  </w:num>
  <w:num w:numId="21">
    <w:abstractNumId w:val="24"/>
  </w:num>
  <w:num w:numId="22">
    <w:abstractNumId w:val="29"/>
  </w:num>
  <w:num w:numId="23">
    <w:abstractNumId w:val="5"/>
  </w:num>
  <w:num w:numId="24">
    <w:abstractNumId w:val="19"/>
  </w:num>
  <w:num w:numId="25">
    <w:abstractNumId w:val="9"/>
  </w:num>
  <w:num w:numId="26">
    <w:abstractNumId w:val="6"/>
  </w:num>
  <w:num w:numId="27">
    <w:abstractNumId w:val="14"/>
    <w:lvlOverride w:ilvl="0">
      <w:startOverride w:val="1"/>
    </w:lvlOverride>
  </w:num>
  <w:num w:numId="28">
    <w:abstractNumId w:val="11"/>
  </w:num>
  <w:num w:numId="29">
    <w:abstractNumId w:val="7"/>
  </w:num>
  <w:num w:numId="30">
    <w:abstractNumId w:val="27"/>
  </w:num>
  <w:num w:numId="31">
    <w:abstractNumId w:val="26"/>
  </w:num>
  <w:num w:numId="32">
    <w:abstractNumId w:val="14"/>
    <w:lvlOverride w:ilvl="0">
      <w:startOverride w:val="1"/>
    </w:lvlOverride>
  </w:num>
  <w:num w:numId="33">
    <w:abstractNumId w:val="14"/>
    <w:lvlOverride w:ilvl="0">
      <w:startOverride w:val="1"/>
    </w:lvlOverride>
  </w:num>
  <w:num w:numId="34">
    <w:abstractNumId w:val="14"/>
    <w:lvlOverride w:ilvl="0">
      <w:startOverride w:val="1"/>
    </w:lvlOverride>
  </w:num>
  <w:num w:numId="35">
    <w:abstractNumId w:val="17"/>
  </w:num>
  <w:num w:numId="36">
    <w:abstractNumId w:val="25"/>
  </w:num>
  <w:num w:numId="37">
    <w:abstractNumId w:val="13"/>
  </w:num>
  <w:num w:numId="38">
    <w:abstractNumId w:val="4"/>
  </w:num>
  <w:num w:numId="39">
    <w:abstractNumId w:val="10"/>
  </w:num>
  <w:num w:numId="40">
    <w:abstractNumId w:val="0"/>
  </w:num>
  <w:num w:numId="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DC3"/>
    <w:rsid w:val="00001845"/>
    <w:rsid w:val="00007AE2"/>
    <w:rsid w:val="00013AA2"/>
    <w:rsid w:val="000271D1"/>
    <w:rsid w:val="0003664C"/>
    <w:rsid w:val="000376CD"/>
    <w:rsid w:val="00047D27"/>
    <w:rsid w:val="00053266"/>
    <w:rsid w:val="00053F1F"/>
    <w:rsid w:val="00057A57"/>
    <w:rsid w:val="000740FB"/>
    <w:rsid w:val="000753DB"/>
    <w:rsid w:val="000777F6"/>
    <w:rsid w:val="000839E7"/>
    <w:rsid w:val="00084E36"/>
    <w:rsid w:val="000852A2"/>
    <w:rsid w:val="00090E62"/>
    <w:rsid w:val="00091982"/>
    <w:rsid w:val="00093728"/>
    <w:rsid w:val="000B1F05"/>
    <w:rsid w:val="000B63DC"/>
    <w:rsid w:val="000C0244"/>
    <w:rsid w:val="000C06DA"/>
    <w:rsid w:val="000C5532"/>
    <w:rsid w:val="000C6341"/>
    <w:rsid w:val="000D706B"/>
    <w:rsid w:val="000D7F8A"/>
    <w:rsid w:val="000E07BD"/>
    <w:rsid w:val="000F2F0D"/>
    <w:rsid w:val="001053AF"/>
    <w:rsid w:val="00105DA4"/>
    <w:rsid w:val="00111300"/>
    <w:rsid w:val="001138AE"/>
    <w:rsid w:val="00134799"/>
    <w:rsid w:val="00137C2D"/>
    <w:rsid w:val="00143648"/>
    <w:rsid w:val="00147ACC"/>
    <w:rsid w:val="00152C67"/>
    <w:rsid w:val="0015457F"/>
    <w:rsid w:val="00155DD7"/>
    <w:rsid w:val="00163505"/>
    <w:rsid w:val="00167D02"/>
    <w:rsid w:val="00180DAA"/>
    <w:rsid w:val="001822F7"/>
    <w:rsid w:val="00183616"/>
    <w:rsid w:val="00187272"/>
    <w:rsid w:val="0019523F"/>
    <w:rsid w:val="0019580D"/>
    <w:rsid w:val="001A2513"/>
    <w:rsid w:val="001B6D36"/>
    <w:rsid w:val="001C1205"/>
    <w:rsid w:val="001C3A9B"/>
    <w:rsid w:val="001C6C49"/>
    <w:rsid w:val="001D70E1"/>
    <w:rsid w:val="001E427A"/>
    <w:rsid w:val="001E5F53"/>
    <w:rsid w:val="001E731E"/>
    <w:rsid w:val="001F28F3"/>
    <w:rsid w:val="00202C4C"/>
    <w:rsid w:val="00204A64"/>
    <w:rsid w:val="00212E30"/>
    <w:rsid w:val="002173DD"/>
    <w:rsid w:val="00217C11"/>
    <w:rsid w:val="0022133B"/>
    <w:rsid w:val="00221B40"/>
    <w:rsid w:val="002269DA"/>
    <w:rsid w:val="00231506"/>
    <w:rsid w:val="00233B86"/>
    <w:rsid w:val="00236F1B"/>
    <w:rsid w:val="0025489A"/>
    <w:rsid w:val="00256AE0"/>
    <w:rsid w:val="00261FFA"/>
    <w:rsid w:val="00270BB4"/>
    <w:rsid w:val="00272982"/>
    <w:rsid w:val="002749B6"/>
    <w:rsid w:val="00275E8C"/>
    <w:rsid w:val="00284EC0"/>
    <w:rsid w:val="00287C7E"/>
    <w:rsid w:val="00291EF9"/>
    <w:rsid w:val="002930A6"/>
    <w:rsid w:val="002A3779"/>
    <w:rsid w:val="002A5876"/>
    <w:rsid w:val="002A5AB5"/>
    <w:rsid w:val="002B18A2"/>
    <w:rsid w:val="002B4E4D"/>
    <w:rsid w:val="002C0A4D"/>
    <w:rsid w:val="002C1B3C"/>
    <w:rsid w:val="002C1B8E"/>
    <w:rsid w:val="002C3DBA"/>
    <w:rsid w:val="002C6867"/>
    <w:rsid w:val="002E4AE0"/>
    <w:rsid w:val="002F0A00"/>
    <w:rsid w:val="002F1A23"/>
    <w:rsid w:val="002F4F20"/>
    <w:rsid w:val="00300077"/>
    <w:rsid w:val="00305269"/>
    <w:rsid w:val="00310148"/>
    <w:rsid w:val="00314264"/>
    <w:rsid w:val="0031543F"/>
    <w:rsid w:val="003155B1"/>
    <w:rsid w:val="003169D1"/>
    <w:rsid w:val="00323710"/>
    <w:rsid w:val="0032685B"/>
    <w:rsid w:val="00326FDB"/>
    <w:rsid w:val="0033089B"/>
    <w:rsid w:val="00336319"/>
    <w:rsid w:val="00342348"/>
    <w:rsid w:val="00344C5B"/>
    <w:rsid w:val="00347D46"/>
    <w:rsid w:val="003576C5"/>
    <w:rsid w:val="00363463"/>
    <w:rsid w:val="003640D3"/>
    <w:rsid w:val="00364B75"/>
    <w:rsid w:val="00365513"/>
    <w:rsid w:val="00366593"/>
    <w:rsid w:val="003708A0"/>
    <w:rsid w:val="00371513"/>
    <w:rsid w:val="0037332A"/>
    <w:rsid w:val="0037626C"/>
    <w:rsid w:val="003768DA"/>
    <w:rsid w:val="003855F1"/>
    <w:rsid w:val="00391F12"/>
    <w:rsid w:val="00392E2F"/>
    <w:rsid w:val="00393628"/>
    <w:rsid w:val="00396D15"/>
    <w:rsid w:val="00396DB3"/>
    <w:rsid w:val="003A5C39"/>
    <w:rsid w:val="003B258E"/>
    <w:rsid w:val="003B4CB7"/>
    <w:rsid w:val="003B550D"/>
    <w:rsid w:val="003B6D01"/>
    <w:rsid w:val="003C3148"/>
    <w:rsid w:val="003C7E70"/>
    <w:rsid w:val="003D0E99"/>
    <w:rsid w:val="003D4209"/>
    <w:rsid w:val="003D4CFA"/>
    <w:rsid w:val="003D5F7B"/>
    <w:rsid w:val="003D71C5"/>
    <w:rsid w:val="003F3816"/>
    <w:rsid w:val="003F6102"/>
    <w:rsid w:val="00427688"/>
    <w:rsid w:val="00431998"/>
    <w:rsid w:val="0043483C"/>
    <w:rsid w:val="00436A63"/>
    <w:rsid w:val="00444C70"/>
    <w:rsid w:val="00446433"/>
    <w:rsid w:val="00453188"/>
    <w:rsid w:val="00456BAB"/>
    <w:rsid w:val="00456F82"/>
    <w:rsid w:val="004640DB"/>
    <w:rsid w:val="004649AC"/>
    <w:rsid w:val="004661BA"/>
    <w:rsid w:val="004738D3"/>
    <w:rsid w:val="004754CB"/>
    <w:rsid w:val="00477C04"/>
    <w:rsid w:val="00485B75"/>
    <w:rsid w:val="004904C2"/>
    <w:rsid w:val="004936A7"/>
    <w:rsid w:val="0049386E"/>
    <w:rsid w:val="004A08A8"/>
    <w:rsid w:val="004A1BCA"/>
    <w:rsid w:val="004A4E59"/>
    <w:rsid w:val="004A5AA8"/>
    <w:rsid w:val="004A5CDD"/>
    <w:rsid w:val="004A6712"/>
    <w:rsid w:val="004B338A"/>
    <w:rsid w:val="004B5167"/>
    <w:rsid w:val="004C35F0"/>
    <w:rsid w:val="004C40EC"/>
    <w:rsid w:val="004D09F0"/>
    <w:rsid w:val="004D2BEE"/>
    <w:rsid w:val="004E13D8"/>
    <w:rsid w:val="00504CF3"/>
    <w:rsid w:val="005072C4"/>
    <w:rsid w:val="00511053"/>
    <w:rsid w:val="00516145"/>
    <w:rsid w:val="005201B8"/>
    <w:rsid w:val="0053084E"/>
    <w:rsid w:val="00531766"/>
    <w:rsid w:val="00533ED6"/>
    <w:rsid w:val="005348EB"/>
    <w:rsid w:val="00535636"/>
    <w:rsid w:val="00565D5E"/>
    <w:rsid w:val="00567763"/>
    <w:rsid w:val="00570E02"/>
    <w:rsid w:val="00571777"/>
    <w:rsid w:val="005872DD"/>
    <w:rsid w:val="00593E22"/>
    <w:rsid w:val="005A09FE"/>
    <w:rsid w:val="005A5713"/>
    <w:rsid w:val="005B2222"/>
    <w:rsid w:val="005B3204"/>
    <w:rsid w:val="005B43F7"/>
    <w:rsid w:val="005B7B23"/>
    <w:rsid w:val="005C4D16"/>
    <w:rsid w:val="005D038B"/>
    <w:rsid w:val="005D36CF"/>
    <w:rsid w:val="005E1F32"/>
    <w:rsid w:val="005F3AD7"/>
    <w:rsid w:val="005F3F86"/>
    <w:rsid w:val="005F6830"/>
    <w:rsid w:val="006045DD"/>
    <w:rsid w:val="00611A2C"/>
    <w:rsid w:val="00613DD3"/>
    <w:rsid w:val="006146E0"/>
    <w:rsid w:val="00616A55"/>
    <w:rsid w:val="006213E2"/>
    <w:rsid w:val="00621B1D"/>
    <w:rsid w:val="00630D43"/>
    <w:rsid w:val="00635902"/>
    <w:rsid w:val="00640867"/>
    <w:rsid w:val="006452B1"/>
    <w:rsid w:val="00652DA2"/>
    <w:rsid w:val="006542FA"/>
    <w:rsid w:val="00661B8D"/>
    <w:rsid w:val="0067443A"/>
    <w:rsid w:val="00674864"/>
    <w:rsid w:val="00674B20"/>
    <w:rsid w:val="006801A2"/>
    <w:rsid w:val="00691FA2"/>
    <w:rsid w:val="0069512C"/>
    <w:rsid w:val="00697211"/>
    <w:rsid w:val="006A36AE"/>
    <w:rsid w:val="006A76C1"/>
    <w:rsid w:val="006B39E8"/>
    <w:rsid w:val="006B5A64"/>
    <w:rsid w:val="006C1E9B"/>
    <w:rsid w:val="006C246A"/>
    <w:rsid w:val="006C3F15"/>
    <w:rsid w:val="006C6C4A"/>
    <w:rsid w:val="006D43C7"/>
    <w:rsid w:val="006E199B"/>
    <w:rsid w:val="006E473B"/>
    <w:rsid w:val="006F2FF6"/>
    <w:rsid w:val="0070097D"/>
    <w:rsid w:val="007041D3"/>
    <w:rsid w:val="00714A09"/>
    <w:rsid w:val="00716EC8"/>
    <w:rsid w:val="007252FB"/>
    <w:rsid w:val="00733214"/>
    <w:rsid w:val="00735889"/>
    <w:rsid w:val="0073594E"/>
    <w:rsid w:val="00736AB6"/>
    <w:rsid w:val="00741470"/>
    <w:rsid w:val="0074199E"/>
    <w:rsid w:val="00750F48"/>
    <w:rsid w:val="00757E98"/>
    <w:rsid w:val="00761CE3"/>
    <w:rsid w:val="00761D81"/>
    <w:rsid w:val="00762FAD"/>
    <w:rsid w:val="00765EFA"/>
    <w:rsid w:val="00766386"/>
    <w:rsid w:val="00772C27"/>
    <w:rsid w:val="007777B3"/>
    <w:rsid w:val="00790F25"/>
    <w:rsid w:val="00793843"/>
    <w:rsid w:val="0079788A"/>
    <w:rsid w:val="007A2ACA"/>
    <w:rsid w:val="007A4696"/>
    <w:rsid w:val="007B0E4F"/>
    <w:rsid w:val="007B2848"/>
    <w:rsid w:val="007B68AB"/>
    <w:rsid w:val="007C1F40"/>
    <w:rsid w:val="007D0989"/>
    <w:rsid w:val="007D63BF"/>
    <w:rsid w:val="007E2922"/>
    <w:rsid w:val="007E38F6"/>
    <w:rsid w:val="007E59C8"/>
    <w:rsid w:val="007F7A59"/>
    <w:rsid w:val="00804122"/>
    <w:rsid w:val="00804496"/>
    <w:rsid w:val="00805FF2"/>
    <w:rsid w:val="00807741"/>
    <w:rsid w:val="00822D4A"/>
    <w:rsid w:val="00822DBF"/>
    <w:rsid w:val="00825D9E"/>
    <w:rsid w:val="00830038"/>
    <w:rsid w:val="0083003E"/>
    <w:rsid w:val="008411FB"/>
    <w:rsid w:val="008514B5"/>
    <w:rsid w:val="00862859"/>
    <w:rsid w:val="00863E20"/>
    <w:rsid w:val="0086472E"/>
    <w:rsid w:val="00866543"/>
    <w:rsid w:val="008676BC"/>
    <w:rsid w:val="00891D89"/>
    <w:rsid w:val="00894C75"/>
    <w:rsid w:val="008A077E"/>
    <w:rsid w:val="008A165D"/>
    <w:rsid w:val="008A74E6"/>
    <w:rsid w:val="008A7B50"/>
    <w:rsid w:val="008A7B93"/>
    <w:rsid w:val="008B2EDE"/>
    <w:rsid w:val="008B60E2"/>
    <w:rsid w:val="008B7B0C"/>
    <w:rsid w:val="008C2D07"/>
    <w:rsid w:val="008C3C3D"/>
    <w:rsid w:val="008C7754"/>
    <w:rsid w:val="008D04D1"/>
    <w:rsid w:val="008D2A2F"/>
    <w:rsid w:val="008D5EBF"/>
    <w:rsid w:val="008F24DE"/>
    <w:rsid w:val="0090020C"/>
    <w:rsid w:val="00900E83"/>
    <w:rsid w:val="00901F83"/>
    <w:rsid w:val="0090617E"/>
    <w:rsid w:val="009101FB"/>
    <w:rsid w:val="009104CC"/>
    <w:rsid w:val="00910515"/>
    <w:rsid w:val="00912D17"/>
    <w:rsid w:val="009170FC"/>
    <w:rsid w:val="009202C3"/>
    <w:rsid w:val="009229F0"/>
    <w:rsid w:val="009237D0"/>
    <w:rsid w:val="00923CB2"/>
    <w:rsid w:val="009276A3"/>
    <w:rsid w:val="009277B3"/>
    <w:rsid w:val="009279AE"/>
    <w:rsid w:val="00933B82"/>
    <w:rsid w:val="00941C26"/>
    <w:rsid w:val="00945359"/>
    <w:rsid w:val="009467E0"/>
    <w:rsid w:val="00961E3D"/>
    <w:rsid w:val="00962B12"/>
    <w:rsid w:val="009713BD"/>
    <w:rsid w:val="00985DD5"/>
    <w:rsid w:val="009A1AB7"/>
    <w:rsid w:val="009B1A0C"/>
    <w:rsid w:val="009C0149"/>
    <w:rsid w:val="009C0DBE"/>
    <w:rsid w:val="009C1425"/>
    <w:rsid w:val="009C1712"/>
    <w:rsid w:val="009C3EFB"/>
    <w:rsid w:val="009D7511"/>
    <w:rsid w:val="009E09D5"/>
    <w:rsid w:val="009E13AB"/>
    <w:rsid w:val="00A00F7B"/>
    <w:rsid w:val="00A03A5F"/>
    <w:rsid w:val="00A05E58"/>
    <w:rsid w:val="00A06AF4"/>
    <w:rsid w:val="00A172EB"/>
    <w:rsid w:val="00A25B5B"/>
    <w:rsid w:val="00A338FC"/>
    <w:rsid w:val="00A34140"/>
    <w:rsid w:val="00A40D00"/>
    <w:rsid w:val="00A4759C"/>
    <w:rsid w:val="00A515E5"/>
    <w:rsid w:val="00A5600C"/>
    <w:rsid w:val="00A57165"/>
    <w:rsid w:val="00A62123"/>
    <w:rsid w:val="00A77495"/>
    <w:rsid w:val="00A8289D"/>
    <w:rsid w:val="00A82BB5"/>
    <w:rsid w:val="00A82BCB"/>
    <w:rsid w:val="00A82DAF"/>
    <w:rsid w:val="00A84AA4"/>
    <w:rsid w:val="00A853C1"/>
    <w:rsid w:val="00A96A37"/>
    <w:rsid w:val="00A97D60"/>
    <w:rsid w:val="00AA0EBA"/>
    <w:rsid w:val="00AA242C"/>
    <w:rsid w:val="00AA45BD"/>
    <w:rsid w:val="00AA48CE"/>
    <w:rsid w:val="00AA4F5A"/>
    <w:rsid w:val="00AA7EF3"/>
    <w:rsid w:val="00AB2610"/>
    <w:rsid w:val="00AB31B1"/>
    <w:rsid w:val="00AB445D"/>
    <w:rsid w:val="00AC2F69"/>
    <w:rsid w:val="00AC6B85"/>
    <w:rsid w:val="00AF1B93"/>
    <w:rsid w:val="00AF23DA"/>
    <w:rsid w:val="00AF4EC7"/>
    <w:rsid w:val="00AF5238"/>
    <w:rsid w:val="00B00D18"/>
    <w:rsid w:val="00B02073"/>
    <w:rsid w:val="00B13B9B"/>
    <w:rsid w:val="00B14FD8"/>
    <w:rsid w:val="00B15E15"/>
    <w:rsid w:val="00B25CBB"/>
    <w:rsid w:val="00B31DC9"/>
    <w:rsid w:val="00B34E66"/>
    <w:rsid w:val="00B52939"/>
    <w:rsid w:val="00B52E08"/>
    <w:rsid w:val="00B5393D"/>
    <w:rsid w:val="00B60139"/>
    <w:rsid w:val="00B6212F"/>
    <w:rsid w:val="00B7002E"/>
    <w:rsid w:val="00B7769E"/>
    <w:rsid w:val="00B83835"/>
    <w:rsid w:val="00B94D3D"/>
    <w:rsid w:val="00BA7060"/>
    <w:rsid w:val="00BB3AC8"/>
    <w:rsid w:val="00BB6F8D"/>
    <w:rsid w:val="00BB7495"/>
    <w:rsid w:val="00BC0598"/>
    <w:rsid w:val="00BC2EC0"/>
    <w:rsid w:val="00BC3EA8"/>
    <w:rsid w:val="00BD5148"/>
    <w:rsid w:val="00BE0921"/>
    <w:rsid w:val="00BE17F8"/>
    <w:rsid w:val="00BE5361"/>
    <w:rsid w:val="00BF614F"/>
    <w:rsid w:val="00BF6D12"/>
    <w:rsid w:val="00BF78EB"/>
    <w:rsid w:val="00C02163"/>
    <w:rsid w:val="00C102B1"/>
    <w:rsid w:val="00C1406E"/>
    <w:rsid w:val="00C15C69"/>
    <w:rsid w:val="00C25EF4"/>
    <w:rsid w:val="00C26097"/>
    <w:rsid w:val="00C36A36"/>
    <w:rsid w:val="00C36E40"/>
    <w:rsid w:val="00C5025E"/>
    <w:rsid w:val="00C528FE"/>
    <w:rsid w:val="00C62177"/>
    <w:rsid w:val="00C73426"/>
    <w:rsid w:val="00C73D63"/>
    <w:rsid w:val="00C76DE8"/>
    <w:rsid w:val="00C9063C"/>
    <w:rsid w:val="00CA6F55"/>
    <w:rsid w:val="00CB0F78"/>
    <w:rsid w:val="00CB62FA"/>
    <w:rsid w:val="00CC303A"/>
    <w:rsid w:val="00CC48B7"/>
    <w:rsid w:val="00CD7269"/>
    <w:rsid w:val="00CE3EB3"/>
    <w:rsid w:val="00CE42E5"/>
    <w:rsid w:val="00CF0B05"/>
    <w:rsid w:val="00CF1D77"/>
    <w:rsid w:val="00CF31D3"/>
    <w:rsid w:val="00CF3F2A"/>
    <w:rsid w:val="00D022E6"/>
    <w:rsid w:val="00D04CA4"/>
    <w:rsid w:val="00D11009"/>
    <w:rsid w:val="00D155E2"/>
    <w:rsid w:val="00D1582B"/>
    <w:rsid w:val="00D21720"/>
    <w:rsid w:val="00D22170"/>
    <w:rsid w:val="00D22683"/>
    <w:rsid w:val="00D242A8"/>
    <w:rsid w:val="00D262ED"/>
    <w:rsid w:val="00D265EE"/>
    <w:rsid w:val="00D30FC2"/>
    <w:rsid w:val="00D34D70"/>
    <w:rsid w:val="00D355FD"/>
    <w:rsid w:val="00D45A90"/>
    <w:rsid w:val="00D4651D"/>
    <w:rsid w:val="00D47BFD"/>
    <w:rsid w:val="00D51E3B"/>
    <w:rsid w:val="00D54FEB"/>
    <w:rsid w:val="00D57360"/>
    <w:rsid w:val="00D6438B"/>
    <w:rsid w:val="00D64922"/>
    <w:rsid w:val="00D66491"/>
    <w:rsid w:val="00D66AFF"/>
    <w:rsid w:val="00D67F07"/>
    <w:rsid w:val="00D82FB5"/>
    <w:rsid w:val="00D860D2"/>
    <w:rsid w:val="00D8667D"/>
    <w:rsid w:val="00D8739D"/>
    <w:rsid w:val="00D90B70"/>
    <w:rsid w:val="00DA041B"/>
    <w:rsid w:val="00DA22DB"/>
    <w:rsid w:val="00DA31E0"/>
    <w:rsid w:val="00DA76DC"/>
    <w:rsid w:val="00DA7C63"/>
    <w:rsid w:val="00DB1A73"/>
    <w:rsid w:val="00DB5479"/>
    <w:rsid w:val="00DB6171"/>
    <w:rsid w:val="00DB7FE7"/>
    <w:rsid w:val="00DC0E68"/>
    <w:rsid w:val="00DD6C9E"/>
    <w:rsid w:val="00DE2EC9"/>
    <w:rsid w:val="00DF2358"/>
    <w:rsid w:val="00DF3E10"/>
    <w:rsid w:val="00DF646E"/>
    <w:rsid w:val="00DF6B02"/>
    <w:rsid w:val="00E0323B"/>
    <w:rsid w:val="00E10937"/>
    <w:rsid w:val="00E11F93"/>
    <w:rsid w:val="00E13D23"/>
    <w:rsid w:val="00E21D2E"/>
    <w:rsid w:val="00E220E4"/>
    <w:rsid w:val="00E24DFC"/>
    <w:rsid w:val="00E34003"/>
    <w:rsid w:val="00E371A1"/>
    <w:rsid w:val="00E42E06"/>
    <w:rsid w:val="00E43BCD"/>
    <w:rsid w:val="00E453EF"/>
    <w:rsid w:val="00E55DB5"/>
    <w:rsid w:val="00E577BA"/>
    <w:rsid w:val="00E7227D"/>
    <w:rsid w:val="00E76BC6"/>
    <w:rsid w:val="00E80469"/>
    <w:rsid w:val="00E80E04"/>
    <w:rsid w:val="00E81DC3"/>
    <w:rsid w:val="00E82807"/>
    <w:rsid w:val="00E83D4A"/>
    <w:rsid w:val="00E86B09"/>
    <w:rsid w:val="00E91F92"/>
    <w:rsid w:val="00EA1EB4"/>
    <w:rsid w:val="00EA2F6B"/>
    <w:rsid w:val="00EB2721"/>
    <w:rsid w:val="00EB5284"/>
    <w:rsid w:val="00EC0D96"/>
    <w:rsid w:val="00EE2DD1"/>
    <w:rsid w:val="00EE548F"/>
    <w:rsid w:val="00EE6D15"/>
    <w:rsid w:val="00EF3E70"/>
    <w:rsid w:val="00F00E93"/>
    <w:rsid w:val="00F110DE"/>
    <w:rsid w:val="00F1575F"/>
    <w:rsid w:val="00F163E1"/>
    <w:rsid w:val="00F173B8"/>
    <w:rsid w:val="00F230DD"/>
    <w:rsid w:val="00F411DD"/>
    <w:rsid w:val="00F46C9A"/>
    <w:rsid w:val="00F50409"/>
    <w:rsid w:val="00F529C7"/>
    <w:rsid w:val="00F55418"/>
    <w:rsid w:val="00F61FA1"/>
    <w:rsid w:val="00F62F0C"/>
    <w:rsid w:val="00F63B60"/>
    <w:rsid w:val="00F7175F"/>
    <w:rsid w:val="00F728BC"/>
    <w:rsid w:val="00F7458F"/>
    <w:rsid w:val="00F759D5"/>
    <w:rsid w:val="00F814AD"/>
    <w:rsid w:val="00F81FE2"/>
    <w:rsid w:val="00F92374"/>
    <w:rsid w:val="00F961CD"/>
    <w:rsid w:val="00FA075E"/>
    <w:rsid w:val="00FA4BD8"/>
    <w:rsid w:val="00FA7F6F"/>
    <w:rsid w:val="00FB7C91"/>
    <w:rsid w:val="00FC413F"/>
    <w:rsid w:val="00FD1A06"/>
    <w:rsid w:val="00FD3DAB"/>
    <w:rsid w:val="00FD5FDF"/>
    <w:rsid w:val="00FD70C5"/>
    <w:rsid w:val="00FE75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4102772"/>
  <w15:chartTrackingRefBased/>
  <w15:docId w15:val="{DFD60D3C-F85F-4BA6-97BE-0544C72F9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0FB"/>
    <w:pPr>
      <w:spacing w:line="240" w:lineRule="auto"/>
    </w:pPr>
    <w:rPr>
      <w:rFonts w:ascii="Segoe UI" w:hAnsi="Segoe UI"/>
      <w:sz w:val="21"/>
    </w:rPr>
  </w:style>
  <w:style w:type="paragraph" w:styleId="Heading1">
    <w:name w:val="heading 1"/>
    <w:basedOn w:val="Normal"/>
    <w:next w:val="Normal"/>
    <w:link w:val="Heading1Char"/>
    <w:uiPriority w:val="9"/>
    <w:qFormat/>
    <w:rsid w:val="002A5AB5"/>
    <w:pPr>
      <w:keepNext/>
      <w:keepLines/>
      <w:shd w:val="clear" w:color="auto" w:fill="002D72"/>
      <w:spacing w:before="1200" w:after="240"/>
      <w:outlineLvl w:val="0"/>
    </w:pPr>
    <w:rPr>
      <w:rFonts w:ascii="Segoe UI Semibold" w:eastAsiaTheme="majorEastAsia" w:hAnsi="Segoe UI Semibold" w:cs="Segoe UI Semibold"/>
      <w:color w:val="FFFFFF" w:themeColor="background1"/>
      <w:sz w:val="48"/>
      <w:szCs w:val="48"/>
    </w:rPr>
  </w:style>
  <w:style w:type="paragraph" w:styleId="Heading2">
    <w:name w:val="heading 2"/>
    <w:basedOn w:val="Normal"/>
    <w:next w:val="Normal"/>
    <w:link w:val="Heading2Char"/>
    <w:uiPriority w:val="9"/>
    <w:unhideWhenUsed/>
    <w:qFormat/>
    <w:rsid w:val="00772C27"/>
    <w:pPr>
      <w:keepNext/>
      <w:spacing w:before="120" w:after="120"/>
      <w:outlineLvl w:val="1"/>
    </w:pPr>
    <w:rPr>
      <w:rFonts w:ascii="Segoe UI Semibold" w:eastAsia="MingLiU" w:hAnsi="Segoe UI Semibold" w:cs="Segoe UI Semibold"/>
      <w:color w:val="002D72"/>
      <w:sz w:val="36"/>
      <w:szCs w:val="26"/>
    </w:rPr>
  </w:style>
  <w:style w:type="paragraph" w:styleId="Heading3">
    <w:name w:val="heading 3"/>
    <w:basedOn w:val="Normal"/>
    <w:next w:val="Normal"/>
    <w:link w:val="Heading3Char"/>
    <w:uiPriority w:val="9"/>
    <w:unhideWhenUsed/>
    <w:qFormat/>
    <w:rsid w:val="00772C27"/>
    <w:pPr>
      <w:keepNext/>
      <w:spacing w:before="120" w:after="120"/>
      <w:outlineLvl w:val="2"/>
    </w:pPr>
    <w:rPr>
      <w:rFonts w:ascii="Segoe UI Semibold" w:eastAsia="MingLiU" w:hAnsi="Segoe UI Semibold" w:cs="Segoe UI Semibold"/>
      <w:color w:val="002D72"/>
      <w:sz w:val="30"/>
      <w:szCs w:val="30"/>
    </w:rPr>
  </w:style>
  <w:style w:type="paragraph" w:styleId="Heading4">
    <w:name w:val="heading 4"/>
    <w:basedOn w:val="Normal"/>
    <w:next w:val="Normal"/>
    <w:link w:val="Heading4Char"/>
    <w:uiPriority w:val="9"/>
    <w:unhideWhenUsed/>
    <w:qFormat/>
    <w:rsid w:val="00C36E40"/>
    <w:pPr>
      <w:keepNext/>
      <w:spacing w:before="120" w:after="120"/>
      <w:outlineLvl w:val="3"/>
    </w:pPr>
    <w:rPr>
      <w:rFonts w:ascii="Segoe UI Semibold" w:eastAsia="MingLiU" w:hAnsi="Segoe UI Semibold" w:cs="Segoe UI Semibold"/>
      <w:color w:val="4C5564"/>
      <w:sz w:val="26"/>
      <w:szCs w:val="26"/>
    </w:rPr>
  </w:style>
  <w:style w:type="paragraph" w:styleId="Heading5">
    <w:name w:val="heading 5"/>
    <w:basedOn w:val="Normal"/>
    <w:next w:val="Normal"/>
    <w:link w:val="Heading5Char"/>
    <w:uiPriority w:val="9"/>
    <w:unhideWhenUsed/>
    <w:qFormat/>
    <w:rsid w:val="00C36E40"/>
    <w:pPr>
      <w:keepNext/>
      <w:spacing w:before="120" w:after="120"/>
      <w:outlineLvl w:val="4"/>
    </w:pPr>
    <w:rPr>
      <w:rFonts w:ascii="Segoe UI Semibold" w:eastAsia="MingLiU" w:hAnsi="Segoe UI Semibold" w:cs="Segoe UI Semibold"/>
      <w:color w:val="4C5564"/>
    </w:rPr>
  </w:style>
  <w:style w:type="paragraph" w:styleId="Heading6">
    <w:name w:val="heading 6"/>
    <w:basedOn w:val="Normal"/>
    <w:next w:val="Normal"/>
    <w:link w:val="Heading6Char"/>
    <w:uiPriority w:val="9"/>
    <w:unhideWhenUsed/>
    <w:qFormat/>
    <w:rsid w:val="00C36E40"/>
    <w:pPr>
      <w:keepNext/>
      <w:spacing w:before="120" w:after="120"/>
      <w:outlineLvl w:val="5"/>
    </w:pPr>
    <w:rPr>
      <w:rFonts w:ascii="Segoe UI Semibold" w:eastAsia="MingLiU" w:hAnsi="Segoe UI Semibold" w:cs="Segoe UI Semibold"/>
      <w:color w:val="4C5564"/>
      <w:sz w:val="20"/>
      <w:szCs w:val="20"/>
    </w:rPr>
  </w:style>
  <w:style w:type="paragraph" w:styleId="Heading7">
    <w:name w:val="heading 7"/>
    <w:basedOn w:val="Normal"/>
    <w:next w:val="Normal"/>
    <w:link w:val="Heading7Char"/>
    <w:uiPriority w:val="9"/>
    <w:unhideWhenUsed/>
    <w:qFormat/>
    <w:rsid w:val="00C36E40"/>
    <w:pPr>
      <w:keepNext/>
      <w:keepLines/>
      <w:spacing w:before="40" w:after="0"/>
      <w:outlineLvl w:val="6"/>
    </w:pPr>
    <w:rPr>
      <w:rFonts w:ascii="Segoe UI Semibold" w:eastAsiaTheme="majorEastAsia" w:hAnsi="Segoe UI Semibold" w:cs="Segoe UI Semibold"/>
      <w:iCs/>
      <w:color w:val="4C5564"/>
      <w:sz w:val="18"/>
      <w:szCs w:val="18"/>
    </w:rPr>
  </w:style>
  <w:style w:type="paragraph" w:styleId="Heading8">
    <w:name w:val="heading 8"/>
    <w:basedOn w:val="Normal"/>
    <w:next w:val="Normal"/>
    <w:link w:val="Heading8Char"/>
    <w:uiPriority w:val="9"/>
    <w:unhideWhenUsed/>
    <w:qFormat/>
    <w:rsid w:val="00090E62"/>
    <w:pPr>
      <w:keepNext/>
      <w:keepLines/>
      <w:spacing w:before="40" w:after="0"/>
      <w:outlineLvl w:val="7"/>
    </w:pPr>
    <w:rPr>
      <w:rFonts w:asciiTheme="majorHAnsi" w:eastAsiaTheme="majorEastAsia" w:hAnsiTheme="majorHAnsi" w:cstheme="majorBid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ulletssecondlevel">
    <w:name w:val="List paragraph—bullets—second level"/>
    <w:basedOn w:val="Listparagraphbullets"/>
    <w:autoRedefine/>
    <w:qFormat/>
    <w:rsid w:val="00985DD5"/>
    <w:pPr>
      <w:numPr>
        <w:numId w:val="1"/>
      </w:numPr>
      <w:ind w:left="1134" w:hanging="567"/>
    </w:pPr>
  </w:style>
  <w:style w:type="paragraph" w:styleId="Header">
    <w:name w:val="header"/>
    <w:basedOn w:val="Normal"/>
    <w:link w:val="HeaderChar"/>
    <w:uiPriority w:val="99"/>
    <w:unhideWhenUsed/>
    <w:rsid w:val="00261FFA"/>
    <w:pPr>
      <w:tabs>
        <w:tab w:val="center" w:pos="4678"/>
        <w:tab w:val="right" w:pos="9356"/>
      </w:tabs>
      <w:spacing w:after="0"/>
    </w:pPr>
    <w:rPr>
      <w:rFonts w:ascii="Segoe UI Light" w:hAnsi="Segoe UI Light"/>
      <w:sz w:val="18"/>
    </w:rPr>
  </w:style>
  <w:style w:type="character" w:customStyle="1" w:styleId="HeaderChar">
    <w:name w:val="Header Char"/>
    <w:basedOn w:val="DefaultParagraphFont"/>
    <w:link w:val="Header"/>
    <w:uiPriority w:val="99"/>
    <w:rsid w:val="00261FFA"/>
    <w:rPr>
      <w:rFonts w:ascii="Segoe UI Light" w:hAnsi="Segoe UI Light"/>
      <w:sz w:val="18"/>
    </w:rPr>
  </w:style>
  <w:style w:type="paragraph" w:styleId="Footer">
    <w:name w:val="footer"/>
    <w:basedOn w:val="Normal"/>
    <w:link w:val="FooterChar"/>
    <w:uiPriority w:val="99"/>
    <w:unhideWhenUsed/>
    <w:rsid w:val="006D43C7"/>
    <w:pPr>
      <w:tabs>
        <w:tab w:val="center" w:pos="4513"/>
        <w:tab w:val="right" w:pos="9026"/>
      </w:tabs>
      <w:spacing w:after="0"/>
    </w:pPr>
    <w:rPr>
      <w:sz w:val="18"/>
    </w:rPr>
  </w:style>
  <w:style w:type="character" w:customStyle="1" w:styleId="FooterChar">
    <w:name w:val="Footer Char"/>
    <w:basedOn w:val="DefaultParagraphFont"/>
    <w:link w:val="Footer"/>
    <w:uiPriority w:val="99"/>
    <w:rsid w:val="006D43C7"/>
    <w:rPr>
      <w:rFonts w:ascii="Segoe UI" w:hAnsi="Segoe UI"/>
      <w:sz w:val="18"/>
    </w:rPr>
  </w:style>
  <w:style w:type="character" w:styleId="Hyperlink">
    <w:name w:val="Hyperlink"/>
    <w:basedOn w:val="DefaultParagraphFont"/>
    <w:uiPriority w:val="99"/>
    <w:unhideWhenUsed/>
    <w:rsid w:val="00FC413F"/>
    <w:rPr>
      <w:color w:val="002D72"/>
      <w:u w:val="single"/>
    </w:rPr>
  </w:style>
  <w:style w:type="character" w:customStyle="1" w:styleId="Heading1Char">
    <w:name w:val="Heading 1 Char"/>
    <w:basedOn w:val="DefaultParagraphFont"/>
    <w:link w:val="Heading1"/>
    <w:uiPriority w:val="9"/>
    <w:rsid w:val="002A5AB5"/>
    <w:rPr>
      <w:rFonts w:ascii="Segoe UI Semibold" w:eastAsiaTheme="majorEastAsia" w:hAnsi="Segoe UI Semibold" w:cs="Segoe UI Semibold"/>
      <w:color w:val="FFFFFF" w:themeColor="background1"/>
      <w:sz w:val="48"/>
      <w:szCs w:val="48"/>
      <w:shd w:val="clear" w:color="auto" w:fill="002D72"/>
    </w:rPr>
  </w:style>
  <w:style w:type="character" w:customStyle="1" w:styleId="Heading2Char">
    <w:name w:val="Heading 2 Char"/>
    <w:basedOn w:val="DefaultParagraphFont"/>
    <w:link w:val="Heading2"/>
    <w:uiPriority w:val="9"/>
    <w:rsid w:val="00772C27"/>
    <w:rPr>
      <w:rFonts w:ascii="Segoe UI Semibold" w:eastAsia="MingLiU" w:hAnsi="Segoe UI Semibold" w:cs="Segoe UI Semibold"/>
      <w:color w:val="002D72"/>
      <w:sz w:val="36"/>
      <w:szCs w:val="26"/>
    </w:rPr>
  </w:style>
  <w:style w:type="character" w:customStyle="1" w:styleId="Heading3Char">
    <w:name w:val="Heading 3 Char"/>
    <w:basedOn w:val="DefaultParagraphFont"/>
    <w:link w:val="Heading3"/>
    <w:uiPriority w:val="9"/>
    <w:rsid w:val="00772C27"/>
    <w:rPr>
      <w:rFonts w:ascii="Segoe UI Semibold" w:eastAsia="MingLiU" w:hAnsi="Segoe UI Semibold" w:cs="Segoe UI Semibold"/>
      <w:color w:val="002D72"/>
      <w:sz w:val="30"/>
      <w:szCs w:val="30"/>
    </w:rPr>
  </w:style>
  <w:style w:type="character" w:customStyle="1" w:styleId="Heading4Char">
    <w:name w:val="Heading 4 Char"/>
    <w:basedOn w:val="DefaultParagraphFont"/>
    <w:link w:val="Heading4"/>
    <w:uiPriority w:val="9"/>
    <w:rsid w:val="00C36E40"/>
    <w:rPr>
      <w:rFonts w:ascii="Segoe UI Semibold" w:eastAsia="MingLiU" w:hAnsi="Segoe UI Semibold" w:cs="Segoe UI Semibold"/>
      <w:color w:val="4C5564"/>
      <w:sz w:val="26"/>
      <w:szCs w:val="26"/>
    </w:rPr>
  </w:style>
  <w:style w:type="character" w:customStyle="1" w:styleId="Heading5Char">
    <w:name w:val="Heading 5 Char"/>
    <w:basedOn w:val="DefaultParagraphFont"/>
    <w:link w:val="Heading5"/>
    <w:uiPriority w:val="9"/>
    <w:rsid w:val="00C36E40"/>
    <w:rPr>
      <w:rFonts w:ascii="Segoe UI Semibold" w:eastAsia="MingLiU" w:hAnsi="Segoe UI Semibold" w:cs="Segoe UI Semibold"/>
      <w:color w:val="4C5564"/>
      <w:sz w:val="21"/>
    </w:rPr>
  </w:style>
  <w:style w:type="character" w:customStyle="1" w:styleId="Heading6Char">
    <w:name w:val="Heading 6 Char"/>
    <w:basedOn w:val="DefaultParagraphFont"/>
    <w:link w:val="Heading6"/>
    <w:uiPriority w:val="9"/>
    <w:rsid w:val="00C36E40"/>
    <w:rPr>
      <w:rFonts w:ascii="Segoe UI Semibold" w:eastAsia="MingLiU" w:hAnsi="Segoe UI Semibold" w:cs="Segoe UI Semibold"/>
      <w:color w:val="4C5564"/>
      <w:sz w:val="20"/>
      <w:szCs w:val="20"/>
    </w:rPr>
  </w:style>
  <w:style w:type="character" w:customStyle="1" w:styleId="Heading7Char">
    <w:name w:val="Heading 7 Char"/>
    <w:basedOn w:val="DefaultParagraphFont"/>
    <w:link w:val="Heading7"/>
    <w:uiPriority w:val="9"/>
    <w:rsid w:val="00C36E40"/>
    <w:rPr>
      <w:rFonts w:ascii="Segoe UI Semibold" w:eastAsiaTheme="majorEastAsia" w:hAnsi="Segoe UI Semibold" w:cs="Segoe UI Semibold"/>
      <w:iCs/>
      <w:color w:val="4C5564"/>
      <w:sz w:val="18"/>
      <w:szCs w:val="18"/>
    </w:rPr>
  </w:style>
  <w:style w:type="paragraph" w:customStyle="1" w:styleId="Heading2notshowing">
    <w:name w:val="Heading 2—not showing"/>
    <w:basedOn w:val="Normal"/>
    <w:next w:val="Normal"/>
    <w:qFormat/>
    <w:rsid w:val="003D71C5"/>
    <w:pPr>
      <w:keepNext/>
      <w:spacing w:after="120"/>
      <w:outlineLvl w:val="1"/>
    </w:pPr>
    <w:rPr>
      <w:rFonts w:ascii="Segoe UI Semibold" w:eastAsia="MingLiU" w:hAnsi="Segoe UI Semibold" w:cs="Segoe UI Semibold"/>
      <w:color w:val="4C5564"/>
      <w:sz w:val="28"/>
      <w:szCs w:val="26"/>
    </w:rPr>
  </w:style>
  <w:style w:type="paragraph" w:customStyle="1" w:styleId="Heading3notshowing">
    <w:name w:val="Heading 3—not showing"/>
    <w:basedOn w:val="Normal"/>
    <w:next w:val="Normal"/>
    <w:qFormat/>
    <w:rsid w:val="00C36E40"/>
    <w:pPr>
      <w:keepNext/>
      <w:spacing w:after="120"/>
      <w:outlineLvl w:val="2"/>
    </w:pPr>
    <w:rPr>
      <w:rFonts w:ascii="Segoe UI Semibold" w:eastAsia="MingLiU" w:hAnsi="Segoe UI Semibold" w:cs="Segoe UI Semibold"/>
      <w:color w:val="4C5564"/>
      <w:sz w:val="24"/>
      <w:szCs w:val="30"/>
    </w:rPr>
  </w:style>
  <w:style w:type="paragraph" w:styleId="Quote">
    <w:name w:val="Quote"/>
    <w:basedOn w:val="Normal"/>
    <w:next w:val="Normal"/>
    <w:link w:val="QuoteChar"/>
    <w:uiPriority w:val="29"/>
    <w:qFormat/>
    <w:rsid w:val="00C36E40"/>
    <w:pPr>
      <w:tabs>
        <w:tab w:val="right" w:pos="9072"/>
      </w:tabs>
      <w:ind w:left="567"/>
    </w:pPr>
    <w:rPr>
      <w:b/>
      <w:color w:val="4C5564"/>
      <w:sz w:val="20"/>
      <w:szCs w:val="20"/>
    </w:rPr>
  </w:style>
  <w:style w:type="character" w:customStyle="1" w:styleId="QuoteChar">
    <w:name w:val="Quote Char"/>
    <w:basedOn w:val="DefaultParagraphFont"/>
    <w:link w:val="Quote"/>
    <w:uiPriority w:val="29"/>
    <w:rsid w:val="00C36E40"/>
    <w:rPr>
      <w:rFonts w:ascii="Segoe UI" w:hAnsi="Segoe UI"/>
      <w:b/>
      <w:color w:val="4C5564"/>
      <w:sz w:val="20"/>
      <w:szCs w:val="20"/>
    </w:rPr>
  </w:style>
  <w:style w:type="character" w:customStyle="1" w:styleId="Heading8Char">
    <w:name w:val="Heading 8 Char"/>
    <w:basedOn w:val="DefaultParagraphFont"/>
    <w:link w:val="Heading8"/>
    <w:uiPriority w:val="9"/>
    <w:rsid w:val="00090E62"/>
    <w:rPr>
      <w:rFonts w:asciiTheme="majorHAnsi" w:eastAsiaTheme="majorEastAsia" w:hAnsiTheme="majorHAnsi" w:cstheme="majorBidi"/>
      <w:color w:val="272727" w:themeColor="text1" w:themeTint="D8"/>
      <w:sz w:val="21"/>
      <w:szCs w:val="21"/>
    </w:rPr>
  </w:style>
  <w:style w:type="paragraph" w:customStyle="1" w:styleId="Listparagraphbullets">
    <w:name w:val="List paragraph—bullets"/>
    <w:basedOn w:val="ListParagraph"/>
    <w:qFormat/>
    <w:rsid w:val="00C102B1"/>
    <w:pPr>
      <w:numPr>
        <w:numId w:val="2"/>
      </w:numPr>
      <w:ind w:left="567" w:hanging="567"/>
    </w:pPr>
    <w:rPr>
      <w:lang w:eastAsia="zh-TW"/>
    </w:rPr>
  </w:style>
  <w:style w:type="paragraph" w:styleId="ListParagraph">
    <w:name w:val="List Paragraph"/>
    <w:basedOn w:val="Normal"/>
    <w:uiPriority w:val="34"/>
    <w:qFormat/>
    <w:rsid w:val="00D242A8"/>
    <w:pPr>
      <w:numPr>
        <w:numId w:val="3"/>
      </w:numPr>
      <w:ind w:left="567" w:hanging="567"/>
      <w:contextualSpacing/>
    </w:pPr>
  </w:style>
  <w:style w:type="paragraph" w:customStyle="1" w:styleId="Tabletext">
    <w:name w:val="Table text"/>
    <w:basedOn w:val="Normal"/>
    <w:qFormat/>
    <w:rsid w:val="00217C11"/>
    <w:pPr>
      <w:spacing w:after="0"/>
    </w:pPr>
    <w:rPr>
      <w:rFonts w:eastAsia="Times New Roman" w:cs="Times New Roman"/>
      <w:sz w:val="20"/>
      <w:szCs w:val="20"/>
    </w:rPr>
  </w:style>
  <w:style w:type="paragraph" w:customStyle="1" w:styleId="Tablerowcolumnheading">
    <w:name w:val="Table row/column heading"/>
    <w:basedOn w:val="Normal"/>
    <w:next w:val="Normal"/>
    <w:rsid w:val="00323710"/>
    <w:pPr>
      <w:spacing w:after="0"/>
    </w:pPr>
    <w:rPr>
      <w:rFonts w:eastAsia="Times New Roman" w:cs="Times New Roman"/>
      <w:b/>
      <w:bCs/>
      <w:color w:val="002D72"/>
      <w:sz w:val="20"/>
      <w:szCs w:val="20"/>
    </w:rPr>
  </w:style>
  <w:style w:type="paragraph" w:styleId="FootnoteText">
    <w:name w:val="footnote text"/>
    <w:basedOn w:val="Normal"/>
    <w:link w:val="FootnoteTextChar"/>
    <w:uiPriority w:val="99"/>
    <w:semiHidden/>
    <w:unhideWhenUsed/>
    <w:rsid w:val="00217C11"/>
    <w:pPr>
      <w:spacing w:after="0"/>
    </w:pPr>
    <w:rPr>
      <w:sz w:val="20"/>
      <w:szCs w:val="20"/>
    </w:rPr>
  </w:style>
  <w:style w:type="character" w:customStyle="1" w:styleId="FootnoteTextChar">
    <w:name w:val="Footnote Text Char"/>
    <w:basedOn w:val="DefaultParagraphFont"/>
    <w:link w:val="FootnoteText"/>
    <w:uiPriority w:val="99"/>
    <w:semiHidden/>
    <w:rsid w:val="00217C11"/>
    <w:rPr>
      <w:rFonts w:ascii="Segoe UI" w:hAnsi="Segoe UI"/>
      <w:sz w:val="20"/>
      <w:szCs w:val="20"/>
    </w:rPr>
  </w:style>
  <w:style w:type="character" w:styleId="FootnoteReference">
    <w:name w:val="footnote reference"/>
    <w:basedOn w:val="DefaultParagraphFont"/>
    <w:uiPriority w:val="99"/>
    <w:semiHidden/>
    <w:unhideWhenUsed/>
    <w:rsid w:val="00217C11"/>
    <w:rPr>
      <w:vertAlign w:val="superscript"/>
    </w:rPr>
  </w:style>
  <w:style w:type="paragraph" w:customStyle="1" w:styleId="Tablefigureheading">
    <w:name w:val="Table/figure heading"/>
    <w:basedOn w:val="Normal"/>
    <w:next w:val="Normal"/>
    <w:qFormat/>
    <w:rsid w:val="00E80E04"/>
    <w:pPr>
      <w:keepNext/>
      <w:spacing w:after="0"/>
    </w:pPr>
    <w:rPr>
      <w:rFonts w:ascii="Segoe UI Semibold" w:hAnsi="Segoe UI Semibold"/>
      <w:color w:val="002D72"/>
      <w:sz w:val="20"/>
    </w:rPr>
  </w:style>
  <w:style w:type="paragraph" w:customStyle="1" w:styleId="Tabletextcentred">
    <w:name w:val="Table text centred"/>
    <w:basedOn w:val="Tabletext"/>
    <w:next w:val="NoSpacing"/>
    <w:rsid w:val="00217C11"/>
    <w:pPr>
      <w:jc w:val="center"/>
    </w:pPr>
  </w:style>
  <w:style w:type="paragraph" w:customStyle="1" w:styleId="Tablerowcolumnheadingcentred">
    <w:name w:val="Table row/column heading centred"/>
    <w:basedOn w:val="Tablerowcolumnheading"/>
    <w:next w:val="Normal"/>
    <w:rsid w:val="00217C11"/>
    <w:pPr>
      <w:jc w:val="center"/>
    </w:pPr>
    <w:rPr>
      <w:bCs w:val="0"/>
    </w:rPr>
  </w:style>
  <w:style w:type="paragraph" w:customStyle="1" w:styleId="Sourcenote">
    <w:name w:val="Source / note"/>
    <w:basedOn w:val="Normal"/>
    <w:qFormat/>
    <w:rsid w:val="00C36E40"/>
    <w:rPr>
      <w:rFonts w:eastAsia="PMingLiU" w:cs="Mangal"/>
      <w:color w:val="4C5564"/>
      <w:sz w:val="20"/>
      <w:szCs w:val="20"/>
      <w:lang w:eastAsia="zh-TW"/>
    </w:rPr>
  </w:style>
  <w:style w:type="table" w:styleId="PlainTable1">
    <w:name w:val="Plain Table 1"/>
    <w:basedOn w:val="TableNormal"/>
    <w:uiPriority w:val="41"/>
    <w:rsid w:val="00217C1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17C11"/>
    <w:pPr>
      <w:spacing w:after="0" w:line="240" w:lineRule="auto"/>
    </w:pPr>
    <w:rPr>
      <w:rFonts w:ascii="Segoe UI" w:hAnsi="Segoe UI"/>
      <w:sz w:val="21"/>
    </w:rPr>
  </w:style>
  <w:style w:type="paragraph" w:styleId="TOC4">
    <w:name w:val="toc 4"/>
    <w:basedOn w:val="Normal"/>
    <w:next w:val="Normal"/>
    <w:autoRedefine/>
    <w:uiPriority w:val="39"/>
    <w:unhideWhenUsed/>
    <w:rsid w:val="000740FB"/>
    <w:pPr>
      <w:tabs>
        <w:tab w:val="right" w:leader="dot" w:pos="9072"/>
      </w:tabs>
      <w:spacing w:after="0"/>
      <w:ind w:left="567" w:right="567" w:hanging="567"/>
    </w:pPr>
    <w:rPr>
      <w:sz w:val="20"/>
    </w:rPr>
  </w:style>
  <w:style w:type="paragraph" w:styleId="TOC1">
    <w:name w:val="toc 1"/>
    <w:basedOn w:val="Normal"/>
    <w:next w:val="Normal"/>
    <w:autoRedefine/>
    <w:uiPriority w:val="39"/>
    <w:unhideWhenUsed/>
    <w:rsid w:val="00E80469"/>
    <w:pPr>
      <w:keepNext/>
      <w:tabs>
        <w:tab w:val="right" w:leader="dot" w:pos="9072"/>
      </w:tabs>
      <w:spacing w:before="120" w:after="0"/>
      <w:ind w:left="567" w:right="567" w:hanging="567"/>
    </w:pPr>
    <w:rPr>
      <w:b/>
      <w:color w:val="002D72"/>
    </w:rPr>
  </w:style>
  <w:style w:type="paragraph" w:styleId="TOC2">
    <w:name w:val="toc 2"/>
    <w:basedOn w:val="Normal"/>
    <w:next w:val="Normal"/>
    <w:autoRedefine/>
    <w:uiPriority w:val="39"/>
    <w:unhideWhenUsed/>
    <w:rsid w:val="006C6C4A"/>
    <w:pPr>
      <w:tabs>
        <w:tab w:val="left" w:pos="567"/>
        <w:tab w:val="right" w:leader="dot" w:pos="9072"/>
      </w:tabs>
      <w:spacing w:after="0"/>
      <w:ind w:left="1134" w:right="567" w:hanging="567"/>
    </w:pPr>
    <w:rPr>
      <w:sz w:val="20"/>
    </w:rPr>
  </w:style>
  <w:style w:type="paragraph" w:styleId="TOC3">
    <w:name w:val="toc 3"/>
    <w:basedOn w:val="Normal"/>
    <w:next w:val="Normal"/>
    <w:autoRedefine/>
    <w:uiPriority w:val="39"/>
    <w:unhideWhenUsed/>
    <w:rsid w:val="00E80469"/>
    <w:pPr>
      <w:tabs>
        <w:tab w:val="right" w:leader="dot" w:pos="9072"/>
      </w:tabs>
      <w:spacing w:after="0"/>
      <w:ind w:left="1701" w:right="567" w:hanging="567"/>
    </w:pPr>
    <w:rPr>
      <w:noProof/>
      <w:sz w:val="20"/>
    </w:rPr>
  </w:style>
  <w:style w:type="paragraph" w:customStyle="1" w:styleId="Normaldisclaimerpage">
    <w:name w:val="Normal—disclaimer page"/>
    <w:basedOn w:val="Normal"/>
    <w:qFormat/>
    <w:rsid w:val="002F1A23"/>
    <w:pPr>
      <w:spacing w:after="120"/>
    </w:pPr>
    <w:rPr>
      <w:sz w:val="20"/>
      <w:szCs w:val="20"/>
    </w:rPr>
  </w:style>
  <w:style w:type="character" w:styleId="CommentReference">
    <w:name w:val="annotation reference"/>
    <w:basedOn w:val="DefaultParagraphFont"/>
    <w:uiPriority w:val="99"/>
    <w:semiHidden/>
    <w:unhideWhenUsed/>
    <w:rsid w:val="004754CB"/>
    <w:rPr>
      <w:sz w:val="16"/>
      <w:szCs w:val="16"/>
    </w:rPr>
  </w:style>
  <w:style w:type="paragraph" w:styleId="CommentText">
    <w:name w:val="annotation text"/>
    <w:basedOn w:val="Normal"/>
    <w:link w:val="CommentTextChar"/>
    <w:uiPriority w:val="99"/>
    <w:semiHidden/>
    <w:unhideWhenUsed/>
    <w:rsid w:val="004754CB"/>
    <w:rPr>
      <w:sz w:val="20"/>
      <w:szCs w:val="20"/>
    </w:rPr>
  </w:style>
  <w:style w:type="character" w:customStyle="1" w:styleId="CommentTextChar">
    <w:name w:val="Comment Text Char"/>
    <w:basedOn w:val="DefaultParagraphFont"/>
    <w:link w:val="CommentText"/>
    <w:uiPriority w:val="99"/>
    <w:semiHidden/>
    <w:rsid w:val="004754CB"/>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754CB"/>
    <w:rPr>
      <w:b/>
      <w:bCs/>
    </w:rPr>
  </w:style>
  <w:style w:type="character" w:customStyle="1" w:styleId="CommentSubjectChar">
    <w:name w:val="Comment Subject Char"/>
    <w:basedOn w:val="CommentTextChar"/>
    <w:link w:val="CommentSubject"/>
    <w:uiPriority w:val="99"/>
    <w:semiHidden/>
    <w:rsid w:val="004754CB"/>
    <w:rPr>
      <w:rFonts w:ascii="Segoe UI" w:hAnsi="Segoe UI"/>
      <w:b/>
      <w:bCs/>
      <w:sz w:val="20"/>
      <w:szCs w:val="20"/>
    </w:rPr>
  </w:style>
  <w:style w:type="paragraph" w:styleId="BalloonText">
    <w:name w:val="Balloon Text"/>
    <w:basedOn w:val="Normal"/>
    <w:link w:val="BalloonTextChar"/>
    <w:uiPriority w:val="99"/>
    <w:semiHidden/>
    <w:unhideWhenUsed/>
    <w:rsid w:val="004754CB"/>
    <w:pPr>
      <w:spacing w:after="0"/>
    </w:pPr>
    <w:rPr>
      <w:rFonts w:cs="Segoe UI"/>
      <w:sz w:val="18"/>
      <w:szCs w:val="18"/>
    </w:rPr>
  </w:style>
  <w:style w:type="character" w:customStyle="1" w:styleId="BalloonTextChar">
    <w:name w:val="Balloon Text Char"/>
    <w:basedOn w:val="DefaultParagraphFont"/>
    <w:link w:val="BalloonText"/>
    <w:uiPriority w:val="99"/>
    <w:semiHidden/>
    <w:rsid w:val="004754CB"/>
    <w:rPr>
      <w:rFonts w:ascii="Segoe UI" w:hAnsi="Segoe UI" w:cs="Segoe UI"/>
      <w:sz w:val="18"/>
      <w:szCs w:val="18"/>
    </w:rPr>
  </w:style>
  <w:style w:type="table" w:styleId="TableGrid">
    <w:name w:val="Table Grid"/>
    <w:basedOn w:val="TableNormal"/>
    <w:uiPriority w:val="39"/>
    <w:rsid w:val="00674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202C3"/>
    <w:pPr>
      <w:spacing w:after="0" w:line="240" w:lineRule="auto"/>
    </w:pPr>
    <w:rPr>
      <w:rFonts w:ascii="Segoe UI" w:hAnsi="Segoe UI"/>
      <w:sz w:val="21"/>
    </w:rPr>
  </w:style>
  <w:style w:type="paragraph" w:styleId="NormalWeb">
    <w:name w:val="Normal (Web)"/>
    <w:basedOn w:val="Normal"/>
    <w:uiPriority w:val="99"/>
    <w:semiHidden/>
    <w:unhideWhenUsed/>
    <w:rsid w:val="00364B75"/>
    <w:pPr>
      <w:spacing w:before="100" w:beforeAutospacing="1" w:after="100" w:afterAutospacing="1"/>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DB7FE7"/>
    <w:rPr>
      <w:color w:val="954F72" w:themeColor="followedHyperlink"/>
      <w:u w:val="single"/>
    </w:rPr>
  </w:style>
  <w:style w:type="character" w:styleId="Strong">
    <w:name w:val="Strong"/>
    <w:basedOn w:val="DefaultParagraphFont"/>
    <w:uiPriority w:val="22"/>
    <w:qFormat/>
    <w:rsid w:val="00962B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 TargetMode="External"/><Relationship Id="rId18" Type="http://schemas.openxmlformats.org/officeDocument/2006/relationships/hyperlink" Target="http://www.arts.gov.au" TargetMode="External"/><Relationship Id="rId26" Type="http://schemas.openxmlformats.org/officeDocument/2006/relationships/image" Target="media/image4.jpe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www.acma.gov.au"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communications.gov.au" TargetMode="External"/><Relationship Id="rId25" Type="http://schemas.openxmlformats.org/officeDocument/2006/relationships/hyperlink" Target="https://www.google.com/imgres?imgurl=x-raw-image%3A%2F%2F%2F42b0e5f0bd6c540c9795683ae6ce4bd9314ba8b0e98b9f45739be0d105c03d1f&amp;imgrefurl=https%3A%2F%2Fwww.communications.gov.au%2Ffile%2F27676%2Fdownload%3Ftoken%3D0QzB9Ye6&amp;tbnid=DFRsvfDlsEIhTM&amp;vet=12ahUKEwiktLDQgLrqAhWWGCsKHaepCH8QMyhCegQIARBL..i&amp;docid=gy0qsYsWp62EJM&amp;w=211&amp;h=171&amp;q=panel%20antenna%20protrusion&amp;ved=2ahUKEwiktLDQgLrqAhWWGCsKHaepCH8QMyhCegQIARBL" TargetMode="External"/><Relationship Id="rId33" Type="http://schemas.openxmlformats.org/officeDocument/2006/relationships/hyperlink" Target="mailto:powersandimmunities@communications.gov.au"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www.infrastructure.gov.au" TargetMode="External"/><Relationship Id="rId20" Type="http://schemas.openxmlformats.org/officeDocument/2006/relationships/header" Target="header2.xm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jpeg"/><Relationship Id="rId32" Type="http://schemas.openxmlformats.org/officeDocument/2006/relationships/hyperlink" Target="mailto:powersandimmunities@communications.gov.au" TargetMode="External"/><Relationship Id="rId37" Type="http://schemas.openxmlformats.org/officeDocument/2006/relationships/hyperlink" Target="http://www.tio.com.au" TargetMode="External"/><Relationship Id="rId40"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yperlink" Target="mailto:publishing@communications.gov.au" TargetMode="External"/><Relationship Id="rId23" Type="http://schemas.openxmlformats.org/officeDocument/2006/relationships/hyperlink" Target="https://www.google.com/url?sa=i&amp;url=https%3A%2F%2Fwww.communications.gov.au%2Ffile%2F27676%2Fdownload%3Ftoken%3D0QzB9Ye6&amp;psig=AOvVaw2BBlRd02bAqIkAlkDl1XxW&amp;ust=1594172270409000&amp;source=images&amp;cd=vfe&amp;ved=0CAIQjRxqFwoTCJi5-deAuuoCFQAAAAAdAAAAABAD" TargetMode="External"/><Relationship Id="rId28" Type="http://schemas.openxmlformats.org/officeDocument/2006/relationships/image" Target="media/image5.jpeg"/><Relationship Id="rId36" Type="http://schemas.openxmlformats.org/officeDocument/2006/relationships/hyperlink" Target="http://www.nbnco.com.au"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mc.gov.au" TargetMode="External"/><Relationship Id="rId22" Type="http://schemas.openxmlformats.org/officeDocument/2006/relationships/hyperlink" Target="mailto:powersandimmunities@communications.gov.au" TargetMode="External"/><Relationship Id="rId27" Type="http://schemas.openxmlformats.org/officeDocument/2006/relationships/hyperlink" Target="https://www.google.com/imgres?imgurl=x-raw-image%3A%2F%2F%2F3b3c2440fba9f9a4ab70a860072c9722b863753058ba68b8744681b7f45655cf&amp;imgrefurl=https%3A%2F%2Fwww.communications.gov.au%2Ffile%2F27676%2Fdownload%3Ftoken%3D0QzB9Ye6&amp;tbnid=pPmp-0AkPDtwHM&amp;vet=12ahUKEwiktLDQgLrqAhWWGCsKHaepCH8QMygUegUIARC7AQ..i&amp;docid=gy0qsYsWp62EJM&amp;w=197&amp;h=281&amp;q=panel%20antenna%20protrusion&amp;ved=2ahUKEwiktLDQgLrqAhWWGCsKHaepCH8QMygUegUIARC7AQ" TargetMode="External"/><Relationship Id="rId30" Type="http://schemas.openxmlformats.org/officeDocument/2006/relationships/image" Target="media/image7.png"/><Relationship Id="rId35" Type="http://schemas.openxmlformats.org/officeDocument/2006/relationships/hyperlink" Target="http://www.commsalliance.com.au/Documents/all/codes/c564"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hyperlink" Target="http://www.infrastructure.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communications.gov.au/departmental-news/impacts-5g-productivity-and-economic-growth" TargetMode="External"/><Relationship Id="rId2" Type="http://schemas.openxmlformats.org/officeDocument/2006/relationships/hyperlink" Target="http://www.alphabeta.com/wp-content/uploads/2019/09/australias-digital-dividend-final.pdf" TargetMode="External"/><Relationship Id="rId1" Type="http://schemas.openxmlformats.org/officeDocument/2006/relationships/hyperlink" Target="https://www.acma.gov.au/sites/default/files/2020-04/Communications%20report%202018-19.pdf" TargetMode="External"/><Relationship Id="rId6" Type="http://schemas.openxmlformats.org/officeDocument/2006/relationships/hyperlink" Target="https://www.acma.gov.au/compliance-and-enforcement-policy" TargetMode="External"/><Relationship Id="rId5" Type="http://schemas.openxmlformats.org/officeDocument/2006/relationships/hyperlink" Target="https://www.aph.gov.au/Parliamentary_Business/Committees/House/Communications/5G" TargetMode="External"/><Relationship Id="rId4" Type="http://schemas.openxmlformats.org/officeDocument/2006/relationships/hyperlink" Target="https://www.communications.gov.au/what-we-do/spectrum/electromagnetic-energy-em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DEPT\department--report--accessible--6may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114246585D4894B9D40EFAD94E5DB34" ma:contentTypeVersion="0" ma:contentTypeDescription="Create a new document." ma:contentTypeScope="" ma:versionID="31192786814247b29cc23339ab259dd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D17D0-B984-4AFE-BE4A-92187AA8807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7E2CE07-DB7B-40FB-AAB6-35313DC2E478}">
  <ds:schemaRefs>
    <ds:schemaRef ds:uri="http://schemas.microsoft.com/sharepoint/v3/contenttype/forms"/>
  </ds:schemaRefs>
</ds:datastoreItem>
</file>

<file path=customXml/itemProps3.xml><?xml version="1.0" encoding="utf-8"?>
<ds:datastoreItem xmlns:ds="http://schemas.openxmlformats.org/officeDocument/2006/customXml" ds:itemID="{F1BA2E1B-10BF-4449-B345-A5645EC2B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B0ED89B-3F62-4607-96F5-46EA749BE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department--report--accessible--6may2020.dotx</Template>
  <TotalTime>11</TotalTime>
  <Pages>31</Pages>
  <Words>11294</Words>
  <Characters>64382</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150920-improving-the-telecommunications-powers-and-immunities-framework.docx</vt:lpstr>
    </vt:vector>
  </TitlesOfParts>
  <Company>Department of Infrastructure, Transport, Regional Development and Communications</Company>
  <LinksUpToDate>false</LinksUpToDate>
  <CharactersWithSpaces>75525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Improving the telecommunications powers and immunities framework</dc:title>
  <dc:subject/>
  <dc:creator>Department of Infrastructure, Transport, Regional Development and Communications</dc:creator>
  <cp:keywords/>
  <dc:description>6 May 2020</dc:description>
  <cp:lastModifiedBy>Hall, Theresa</cp:lastModifiedBy>
  <cp:revision>5</cp:revision>
  <dcterms:created xsi:type="dcterms:W3CDTF">2020-09-15T07:52:00Z</dcterms:created>
  <dcterms:modified xsi:type="dcterms:W3CDTF">2020-09-15T07:54:00Z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0x0101008114246585D4894B9D40EFAD94E5DB34</vt:lpwstr>
  </property>
  <property fmtid="{D5CDD505-2E9C-101B-9397-08002B2CF9AE}" pid="3" name="TrimRevisionNumber">
    <vt:i4>3</vt:i4>
  </property>
</Properties>
</file>