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FrontPage"/>
    <w:p w14:paraId="5E4744ED" w14:textId="22C3DEC6" w:rsidR="006D2A03" w:rsidRPr="005764FC" w:rsidRDefault="002467BB" w:rsidP="006D2A03">
      <w:pPr>
        <w:pStyle w:val="ClientName"/>
      </w:pPr>
      <w:r w:rsidRPr="005764FC">
        <w:fldChar w:fldCharType="begin"/>
      </w:r>
      <w:r w:rsidRPr="005764FC">
        <w:instrText xml:space="preserve"> KEYWORDS   \* MERGEFORMAT </w:instrText>
      </w:r>
      <w:r w:rsidRPr="005764FC">
        <w:fldChar w:fldCharType="separate"/>
      </w:r>
      <w:r w:rsidR="001428F9">
        <w:t>Department of Infrastructure, Transport, Regional Development and Communications</w:t>
      </w:r>
      <w:r w:rsidRPr="005764FC">
        <w:fldChar w:fldCharType="end"/>
      </w:r>
    </w:p>
    <w:p w14:paraId="6F2C124F" w14:textId="4C97D4F6" w:rsidR="00215E03" w:rsidRPr="005764FC" w:rsidRDefault="00792D42" w:rsidP="00215E03">
      <w:pPr>
        <w:pStyle w:val="Title"/>
        <w:rPr>
          <w:sz w:val="48"/>
          <w:szCs w:val="36"/>
        </w:rPr>
      </w:pPr>
      <w:r w:rsidRPr="005764FC">
        <w:rPr>
          <w:sz w:val="48"/>
          <w:szCs w:val="36"/>
        </w:rPr>
        <w:fldChar w:fldCharType="begin"/>
      </w:r>
      <w:r w:rsidRPr="005764FC">
        <w:rPr>
          <w:sz w:val="48"/>
          <w:szCs w:val="36"/>
        </w:rPr>
        <w:instrText>TITLE   \* MERGEFORMAT</w:instrText>
      </w:r>
      <w:r w:rsidRPr="005764FC">
        <w:rPr>
          <w:sz w:val="48"/>
          <w:szCs w:val="36"/>
        </w:rPr>
        <w:fldChar w:fldCharType="separate"/>
      </w:r>
      <w:r w:rsidR="001428F9">
        <w:rPr>
          <w:sz w:val="48"/>
          <w:szCs w:val="36"/>
        </w:rPr>
        <w:t>Advice on Strategies to Support C-ITS</w:t>
      </w:r>
      <w:r w:rsidR="001428F9" w:rsidRPr="001428F9">
        <w:rPr>
          <w:rFonts w:ascii="Cambria Math" w:hAnsi="Cambria Math" w:cs="Cambria Math"/>
          <w:sz w:val="48"/>
          <w:szCs w:val="36"/>
        </w:rPr>
        <w:t xml:space="preserve"> </w:t>
      </w:r>
      <w:r w:rsidR="001428F9">
        <w:rPr>
          <w:sz w:val="48"/>
          <w:szCs w:val="36"/>
        </w:rPr>
        <w:t>Deployment</w:t>
      </w:r>
      <w:r w:rsidRPr="005764FC">
        <w:rPr>
          <w:sz w:val="48"/>
          <w:szCs w:val="36"/>
        </w:rPr>
        <w:fldChar w:fldCharType="end"/>
      </w:r>
    </w:p>
    <w:p w14:paraId="08C75537" w14:textId="44890C1B" w:rsidR="00F05169" w:rsidRPr="005764FC" w:rsidRDefault="00AA78D4" w:rsidP="00B10BC5">
      <w:pPr>
        <w:pStyle w:val="Subtitle"/>
      </w:pPr>
      <w:fldSimple w:instr="DOCPROPERTY  xSubtitle  \* MERGEFORMAT">
        <w:r w:rsidR="001428F9">
          <w:t>Findings</w:t>
        </w:r>
      </w:fldSimple>
    </w:p>
    <w:tbl>
      <w:tblPr>
        <w:tblStyle w:val="TablePlaceholder"/>
        <w:tblpPr w:leftFromText="142" w:rightFromText="142" w:vertAnchor="page" w:horzAnchor="margin" w:tblpY="5813"/>
        <w:tblW w:w="5125" w:type="pct"/>
        <w:tblLook w:val="04A0" w:firstRow="1" w:lastRow="0" w:firstColumn="1" w:lastColumn="0" w:noHBand="0" w:noVBand="1"/>
      </w:tblPr>
      <w:tblGrid>
        <w:gridCol w:w="6895"/>
        <w:gridCol w:w="2358"/>
      </w:tblGrid>
      <w:tr w:rsidR="00334D9A" w:rsidRPr="005764FC" w14:paraId="687AD40A" w14:textId="77777777" w:rsidTr="00137B66">
        <w:trPr>
          <w:trHeight w:val="273"/>
        </w:trPr>
        <w:tc>
          <w:tcPr>
            <w:tcW w:w="3726" w:type="pct"/>
          </w:tcPr>
          <w:bookmarkStart w:id="1" w:name="FrontPageTable"/>
          <w:bookmarkEnd w:id="1"/>
          <w:p w14:paraId="3F676C3C" w14:textId="64A344A1" w:rsidR="00334D9A" w:rsidRPr="005764FC" w:rsidRDefault="00334D9A" w:rsidP="00137B66">
            <w:pPr>
              <w:pStyle w:val="RefWSP"/>
            </w:pPr>
            <w:r w:rsidRPr="005764FC">
              <w:fldChar w:fldCharType="begin"/>
            </w:r>
            <w:r w:rsidRPr="005764FC">
              <w:instrText xml:space="preserve"> COMMENTS   \* MERGEFORMAT </w:instrText>
            </w:r>
            <w:r w:rsidRPr="005764FC">
              <w:fldChar w:fldCharType="separate"/>
            </w:r>
            <w:r w:rsidR="001428F9">
              <w:t>March 2022</w:t>
            </w:r>
            <w:r w:rsidRPr="005764FC">
              <w:fldChar w:fldCharType="end"/>
            </w:r>
          </w:p>
        </w:tc>
        <w:tc>
          <w:tcPr>
            <w:tcW w:w="1274" w:type="pct"/>
          </w:tcPr>
          <w:p w14:paraId="7DB01DF9" w14:textId="4F6A6C2D" w:rsidR="00334D9A" w:rsidRPr="00AF4E8C" w:rsidRDefault="003251DE" w:rsidP="00137B66">
            <w:pPr>
              <w:pStyle w:val="RefWSP"/>
              <w:jc w:val="right"/>
              <w:rPr>
                <w:szCs w:val="16"/>
              </w:rPr>
            </w:pPr>
            <w:sdt>
              <w:sdtPr>
                <w:rPr>
                  <w:szCs w:val="16"/>
                </w:rPr>
                <w:alias w:val="Confidentiality"/>
                <w:tag w:val="Confidentiality"/>
                <w:id w:val="-1380775613"/>
                <w:lock w:val="contentLocked"/>
                <w:placeholder>
                  <w:docPart w:val="5A2C8C937EA6473CBA027ED6CEAE9029"/>
                </w:placeholder>
                <w:text/>
              </w:sdtPr>
              <w:sdtContent>
                <w:r w:rsidR="001428F9">
                  <w:rPr>
                    <w:szCs w:val="16"/>
                  </w:rPr>
                  <w:t>Confidential</w:t>
                </w:r>
              </w:sdtContent>
            </w:sdt>
          </w:p>
        </w:tc>
      </w:tr>
      <w:tr w:rsidR="00334D9A" w:rsidRPr="005764FC" w14:paraId="4063D650" w14:textId="77777777" w:rsidTr="00137B66">
        <w:trPr>
          <w:trHeight w:hRule="exact" w:val="3982"/>
        </w:trPr>
        <w:tc>
          <w:tcPr>
            <w:tcW w:w="5000" w:type="pct"/>
            <w:gridSpan w:val="2"/>
            <w:tcMar>
              <w:left w:w="0" w:type="dxa"/>
              <w:right w:w="0" w:type="dxa"/>
            </w:tcMar>
          </w:tcPr>
          <w:tbl>
            <w:tblPr>
              <w:tblStyle w:val="TablePlaceholder"/>
              <w:tblpPr w:leftFromText="180" w:rightFromText="180" w:vertAnchor="page" w:horzAnchor="margin" w:tblpXSpec="center" w:tblpY="66"/>
              <w:tblOverlap w:val="never"/>
              <w:tblW w:w="0" w:type="auto"/>
              <w:tblLook w:val="04A0" w:firstRow="1" w:lastRow="0" w:firstColumn="1" w:lastColumn="0" w:noHBand="0" w:noVBand="1"/>
            </w:tblPr>
            <w:tblGrid>
              <w:gridCol w:w="3852"/>
              <w:gridCol w:w="4397"/>
            </w:tblGrid>
            <w:tr w:rsidR="00334D9A" w:rsidRPr="005764FC" w14:paraId="747131C3" w14:textId="77777777" w:rsidTr="00A811F5">
              <w:trPr>
                <w:trHeight w:val="1506"/>
              </w:trPr>
              <w:tc>
                <w:tcPr>
                  <w:tcW w:w="8249" w:type="dxa"/>
                  <w:gridSpan w:val="2"/>
                  <w:vAlign w:val="center"/>
                </w:tcPr>
                <w:p w14:paraId="4FA1D4AB" w14:textId="77777777" w:rsidR="00334D9A" w:rsidRPr="005764FC" w:rsidRDefault="00334D9A" w:rsidP="00137B66">
                  <w:pPr>
                    <w:pStyle w:val="BodyText"/>
                    <w:jc w:val="center"/>
                  </w:pPr>
                  <w:r w:rsidRPr="005764FC">
                    <w:rPr>
                      <w:noProof/>
                    </w:rPr>
                    <w:drawing>
                      <wp:inline distT="0" distB="0" distL="0" distR="0" wp14:anchorId="5121A41C" wp14:editId="77340723">
                        <wp:extent cx="2232073" cy="1062892"/>
                        <wp:effectExtent l="0" t="0" r="0" b="4445"/>
                        <wp:docPr id="28" name="WSP Logo" descr="WS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 Logo"/>
                                <pic:cNvPicPr/>
                              </pic:nvPicPr>
                              <pic:blipFill>
                                <a:blip r:embed="rId11">
                                  <a:extLst>
                                    <a:ext uri="{28A0092B-C50C-407E-A947-70E740481C1C}">
                                      <a14:useLocalDpi xmlns:a14="http://schemas.microsoft.com/office/drawing/2010/main" val="0"/>
                                    </a:ext>
                                  </a:extLst>
                                </a:blip>
                                <a:stretch>
                                  <a:fillRect/>
                                </a:stretch>
                              </pic:blipFill>
                              <pic:spPr>
                                <a:xfrm>
                                  <a:off x="0" y="0"/>
                                  <a:ext cx="2270142" cy="1081020"/>
                                </a:xfrm>
                                <a:prstGeom prst="rect">
                                  <a:avLst/>
                                </a:prstGeom>
                              </pic:spPr>
                            </pic:pic>
                          </a:graphicData>
                        </a:graphic>
                      </wp:inline>
                    </w:drawing>
                  </w:r>
                </w:p>
                <w:p w14:paraId="4B2563C4" w14:textId="236AB4AB" w:rsidR="00334D9A" w:rsidRPr="005764FC" w:rsidRDefault="00334D9A" w:rsidP="00137B66">
                  <w:pPr>
                    <w:pStyle w:val="BodyText"/>
                  </w:pPr>
                </w:p>
              </w:tc>
            </w:tr>
            <w:tr w:rsidR="00334D9A" w:rsidRPr="005764FC" w14:paraId="72DAD859" w14:textId="77777777" w:rsidTr="00A811F5">
              <w:trPr>
                <w:trHeight w:val="1300"/>
              </w:trPr>
              <w:tc>
                <w:tcPr>
                  <w:tcW w:w="3852" w:type="dxa"/>
                  <w:vAlign w:val="center"/>
                </w:tcPr>
                <w:p w14:paraId="358F04B2" w14:textId="01CA8A8C" w:rsidR="00334D9A" w:rsidRPr="005764FC" w:rsidRDefault="00334D9A" w:rsidP="009630B5">
                  <w:pPr>
                    <w:pStyle w:val="BodyText"/>
                  </w:pPr>
                  <w:r w:rsidRPr="005764FC">
                    <w:rPr>
                      <w:noProof/>
                    </w:rPr>
                    <w:drawing>
                      <wp:inline distT="0" distB="0" distL="0" distR="0" wp14:anchorId="614FF90C" wp14:editId="0120CC2A">
                        <wp:extent cx="2304288" cy="605796"/>
                        <wp:effectExtent l="0" t="0" r="1270" b="3810"/>
                        <wp:docPr id="1948033276" name="Picture 1948033276" descr="Deloitt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680" cy="607477"/>
                                </a:xfrm>
                                <a:prstGeom prst="rect">
                                  <a:avLst/>
                                </a:prstGeom>
                                <a:noFill/>
                                <a:ln>
                                  <a:noFill/>
                                </a:ln>
                              </pic:spPr>
                            </pic:pic>
                          </a:graphicData>
                        </a:graphic>
                      </wp:inline>
                    </w:drawing>
                  </w:r>
                </w:p>
              </w:tc>
              <w:tc>
                <w:tcPr>
                  <w:tcW w:w="4397" w:type="dxa"/>
                  <w:vAlign w:val="center"/>
                </w:tcPr>
                <w:p w14:paraId="4AB3E812" w14:textId="334071A1" w:rsidR="00334D9A" w:rsidRPr="005764FC" w:rsidRDefault="00334D9A" w:rsidP="009630B5">
                  <w:pPr>
                    <w:pStyle w:val="BodyText"/>
                  </w:pPr>
                  <w:r w:rsidRPr="005764FC">
                    <w:rPr>
                      <w:noProof/>
                    </w:rPr>
                    <w:drawing>
                      <wp:inline distT="0" distB="0" distL="0" distR="0" wp14:anchorId="59929831" wp14:editId="597311D8">
                        <wp:extent cx="2664456" cy="886306"/>
                        <wp:effectExtent l="0" t="0" r="3175" b="9525"/>
                        <wp:docPr id="1948033278" name="Picture 1948033278" descr="The University of Melbourn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851" cy="898413"/>
                                </a:xfrm>
                                <a:prstGeom prst="rect">
                                  <a:avLst/>
                                </a:prstGeom>
                                <a:noFill/>
                                <a:ln>
                                  <a:noFill/>
                                </a:ln>
                              </pic:spPr>
                            </pic:pic>
                          </a:graphicData>
                        </a:graphic>
                      </wp:inline>
                    </w:drawing>
                  </w:r>
                </w:p>
              </w:tc>
            </w:tr>
          </w:tbl>
          <w:p w14:paraId="50AAB80E" w14:textId="39C9F2A0" w:rsidR="00334D9A" w:rsidRPr="005764FC" w:rsidRDefault="00334D9A" w:rsidP="00137B66">
            <w:pPr>
              <w:pStyle w:val="RefWSP"/>
              <w:jc w:val="center"/>
            </w:pPr>
          </w:p>
        </w:tc>
      </w:tr>
    </w:tbl>
    <w:p w14:paraId="5D9B191A" w14:textId="79A20854" w:rsidR="00F05169" w:rsidRPr="005764FC" w:rsidRDefault="00137B66" w:rsidP="00E1332C">
      <w:r w:rsidRPr="005764FC">
        <w:rPr>
          <w:noProof/>
          <w:lang w:eastAsia="en-AU"/>
        </w:rPr>
        <w:drawing>
          <wp:anchor distT="0" distB="0" distL="114300" distR="114300" simplePos="0" relativeHeight="251658240" behindDoc="0" locked="0" layoutInCell="1" allowOverlap="1" wp14:anchorId="7F132E58" wp14:editId="7A8520C9">
            <wp:simplePos x="0" y="0"/>
            <wp:positionH relativeFrom="page">
              <wp:align>right</wp:align>
            </wp:positionH>
            <wp:positionV relativeFrom="paragraph">
              <wp:posOffset>3113405</wp:posOffset>
            </wp:positionV>
            <wp:extent cx="7572375" cy="4018280"/>
            <wp:effectExtent l="0" t="0" r="9525" b="1270"/>
            <wp:wrapNone/>
            <wp:docPr id="24" name="Picture 24">
              <a:extLst xmlns:a="http://schemas.openxmlformats.org/drawingml/2006/main">
                <a:ext uri="{FF2B5EF4-FFF2-40B4-BE49-F238E27FC236}">
                  <a16:creationId xmlns:a16="http://schemas.microsoft.com/office/drawing/2014/main" id="{D7EA7D65-7AB0-4E4E-A4B1-2F16F6831BB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D7EA7D65-7AB0-4E4E-A4B1-2F16F6831BBA}"/>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21129" r="15204" b="11392"/>
                    <a:stretch/>
                  </pic:blipFill>
                  <pic:spPr bwMode="auto">
                    <a:xfrm>
                      <a:off x="0" y="0"/>
                      <a:ext cx="7572375" cy="401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26679" w14:textId="22A8B676" w:rsidR="00137B66" w:rsidRPr="005764FC" w:rsidRDefault="00137B66" w:rsidP="00E1332C"/>
    <w:p w14:paraId="55DAD688" w14:textId="1291ACE2" w:rsidR="00137B66" w:rsidRPr="005764FC" w:rsidRDefault="00137B66" w:rsidP="00E1332C"/>
    <w:p w14:paraId="66721E9E" w14:textId="36AF3F95" w:rsidR="00137B66" w:rsidRPr="005764FC" w:rsidRDefault="00137B66" w:rsidP="00E1332C"/>
    <w:p w14:paraId="63114868" w14:textId="11FEF1A0" w:rsidR="00A07DDE" w:rsidRPr="005764FC" w:rsidRDefault="00A07DDE" w:rsidP="00E1332C"/>
    <w:p w14:paraId="610341B3" w14:textId="5FC5E4A6" w:rsidR="009B4C23" w:rsidRPr="005764FC" w:rsidRDefault="009B4C23" w:rsidP="00E1332C"/>
    <w:p w14:paraId="34CA72B9" w14:textId="53DEF7AF" w:rsidR="009B4C23" w:rsidRPr="005764FC" w:rsidRDefault="009B4C23" w:rsidP="00E1332C"/>
    <w:p w14:paraId="39887418" w14:textId="467FB459" w:rsidR="009B4C23" w:rsidRPr="005764FC" w:rsidRDefault="009B4C23" w:rsidP="00E1332C"/>
    <w:p w14:paraId="5756604E" w14:textId="6FFF7D0D" w:rsidR="009B4C23" w:rsidRPr="005764FC" w:rsidRDefault="009B4C23" w:rsidP="00E1332C"/>
    <w:p w14:paraId="0F8FAD7F" w14:textId="303BC163" w:rsidR="009B4C23" w:rsidRPr="005764FC" w:rsidRDefault="009B4C23" w:rsidP="00E1332C"/>
    <w:p w14:paraId="0A456D94" w14:textId="0AB20504" w:rsidR="009B4C23" w:rsidRPr="005764FC" w:rsidRDefault="009B4C23" w:rsidP="00E1332C"/>
    <w:p w14:paraId="4B8D7264" w14:textId="145B2369" w:rsidR="009B4C23" w:rsidRPr="005764FC" w:rsidRDefault="009B4C23" w:rsidP="00E1332C"/>
    <w:p w14:paraId="628E6A67" w14:textId="55467C69" w:rsidR="009B4C23" w:rsidRPr="005764FC" w:rsidRDefault="009B4C23" w:rsidP="00E1332C"/>
    <w:p w14:paraId="486DD94A" w14:textId="1BFFF839" w:rsidR="009B4C23" w:rsidRPr="005764FC" w:rsidRDefault="009B4C23" w:rsidP="00E1332C"/>
    <w:p w14:paraId="5D1A90F5" w14:textId="53284F98" w:rsidR="009B4C23" w:rsidRPr="005764FC" w:rsidRDefault="009B4C23" w:rsidP="00E1332C"/>
    <w:p w14:paraId="00968F2B" w14:textId="21560324" w:rsidR="009B4C23" w:rsidRPr="005764FC" w:rsidRDefault="009B4C23" w:rsidP="00E1332C"/>
    <w:p w14:paraId="14F94387" w14:textId="1AAFB120" w:rsidR="009B4C23" w:rsidRPr="005764FC" w:rsidRDefault="009B4C23" w:rsidP="00E1332C"/>
    <w:p w14:paraId="579B9E43" w14:textId="708BDC07" w:rsidR="009B4C23" w:rsidRPr="005764FC" w:rsidRDefault="009B4C23" w:rsidP="00E1332C"/>
    <w:p w14:paraId="6AC90D93" w14:textId="77777777" w:rsidR="009B4C23" w:rsidRPr="005764FC" w:rsidRDefault="009B4C23" w:rsidP="00E1332C"/>
    <w:p w14:paraId="2017519E" w14:textId="77777777" w:rsidR="009B4C23" w:rsidRPr="005764FC" w:rsidRDefault="009B4C23" w:rsidP="00E1332C"/>
    <w:p w14:paraId="369283B9" w14:textId="77777777" w:rsidR="009B4C23" w:rsidRPr="005764FC" w:rsidRDefault="009B4C23" w:rsidP="00A87F03">
      <w:pPr>
        <w:pStyle w:val="BodyText"/>
      </w:pPr>
    </w:p>
    <w:p w14:paraId="0D95A55B" w14:textId="77777777" w:rsidR="009B4C23" w:rsidRPr="005764FC" w:rsidRDefault="009B4C23" w:rsidP="00A87F03">
      <w:pPr>
        <w:pStyle w:val="BodyText"/>
      </w:pPr>
    </w:p>
    <w:p w14:paraId="03BFF7FA" w14:textId="77777777" w:rsidR="009B4C23" w:rsidRPr="005764FC" w:rsidRDefault="009B4C23" w:rsidP="00A87F03">
      <w:pPr>
        <w:pStyle w:val="BodyText"/>
      </w:pPr>
    </w:p>
    <w:p w14:paraId="61A276FC" w14:textId="65983E01" w:rsidR="009B4C23" w:rsidRPr="005764FC" w:rsidRDefault="009B4C23" w:rsidP="001D466B">
      <w:pPr>
        <w:pStyle w:val="BodyText"/>
        <w:jc w:val="center"/>
      </w:pPr>
      <w:r w:rsidRPr="005764FC">
        <w:rPr>
          <w:noProof/>
          <w:lang w:eastAsia="en-AU"/>
        </w:rPr>
        <w:drawing>
          <wp:inline distT="0" distB="0" distL="0" distR="0" wp14:anchorId="6FDCF499" wp14:editId="5075C079">
            <wp:extent cx="1390650" cy="662215"/>
            <wp:effectExtent l="0" t="0" r="0" b="5080"/>
            <wp:docPr id="1948033258" name="WSP Logo" descr="W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8309" cy="699195"/>
                    </a:xfrm>
                    <a:prstGeom prst="rect">
                      <a:avLst/>
                    </a:prstGeom>
                  </pic:spPr>
                </pic:pic>
              </a:graphicData>
            </a:graphic>
          </wp:inline>
        </w:drawing>
      </w:r>
    </w:p>
    <w:p w14:paraId="734DC786" w14:textId="015006CA" w:rsidR="009B4C23" w:rsidRPr="005764FC" w:rsidRDefault="009B4C23" w:rsidP="00A87F03">
      <w:pPr>
        <w:pStyle w:val="BodyText"/>
      </w:pPr>
    </w:p>
    <w:p w14:paraId="4CD10018" w14:textId="77777777" w:rsidR="009B4C23" w:rsidRPr="005764FC" w:rsidRDefault="009B4C23" w:rsidP="00A87F03">
      <w:pPr>
        <w:pStyle w:val="BodyText"/>
      </w:pPr>
    </w:p>
    <w:p w14:paraId="625EF4A9" w14:textId="7EFD45F7" w:rsidR="009B4C23" w:rsidRPr="005764FC" w:rsidRDefault="00773586" w:rsidP="00A87F03">
      <w:pPr>
        <w:pStyle w:val="BodyText"/>
      </w:pPr>
      <w:r w:rsidRPr="005764FC">
        <w:t xml:space="preserve">          </w:t>
      </w:r>
      <w:r w:rsidR="009B4C23" w:rsidRPr="005764FC">
        <w:rPr>
          <w:noProof/>
          <w:lang w:eastAsia="en-AU"/>
        </w:rPr>
        <w:drawing>
          <wp:inline distT="0" distB="0" distL="0" distR="0" wp14:anchorId="4A455D87" wp14:editId="2DA29DB3">
            <wp:extent cx="2183944" cy="574158"/>
            <wp:effectExtent l="0" t="0" r="6985" b="0"/>
            <wp:docPr id="3" name="Picture 3" descr="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9584" cy="578270"/>
                    </a:xfrm>
                    <a:prstGeom prst="rect">
                      <a:avLst/>
                    </a:prstGeom>
                    <a:noFill/>
                    <a:ln>
                      <a:noFill/>
                    </a:ln>
                  </pic:spPr>
                </pic:pic>
              </a:graphicData>
            </a:graphic>
          </wp:inline>
        </w:drawing>
      </w:r>
      <w:r w:rsidR="009B4C23" w:rsidRPr="005764FC">
        <w:t xml:space="preserve">                    </w:t>
      </w:r>
      <w:r w:rsidR="009B4C23" w:rsidRPr="005764FC">
        <w:rPr>
          <w:noProof/>
          <w:lang w:eastAsia="en-AU"/>
        </w:rPr>
        <w:drawing>
          <wp:inline distT="0" distB="0" distL="0" distR="0" wp14:anchorId="46642EA1" wp14:editId="20F931C3">
            <wp:extent cx="1566240" cy="520995"/>
            <wp:effectExtent l="0" t="0" r="0" b="0"/>
            <wp:docPr id="1948033272" name="Picture 1948033272" descr="The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9441" cy="551998"/>
                    </a:xfrm>
                    <a:prstGeom prst="rect">
                      <a:avLst/>
                    </a:prstGeom>
                    <a:noFill/>
                    <a:ln>
                      <a:noFill/>
                    </a:ln>
                  </pic:spPr>
                </pic:pic>
              </a:graphicData>
            </a:graphic>
          </wp:inline>
        </w:drawing>
      </w:r>
    </w:p>
    <w:p w14:paraId="372DEBA0" w14:textId="77777777" w:rsidR="009B4C23" w:rsidRPr="005764FC" w:rsidRDefault="009B4C23" w:rsidP="00E1332C"/>
    <w:p w14:paraId="7E43FC84" w14:textId="77777777" w:rsidR="00A07DDE" w:rsidRPr="005764FC" w:rsidRDefault="00A07DDE" w:rsidP="00E1332C"/>
    <w:p w14:paraId="5A5FCCE3" w14:textId="77777777" w:rsidR="009237E7" w:rsidRPr="005764FC" w:rsidRDefault="009237E7" w:rsidP="00E1332C"/>
    <w:p w14:paraId="2CCC2600" w14:textId="77777777" w:rsidR="00AE2B72" w:rsidRPr="005764FC" w:rsidRDefault="00AE2B72" w:rsidP="00E1332C"/>
    <w:p w14:paraId="54730229" w14:textId="77777777" w:rsidR="009237E7" w:rsidRPr="005764FC" w:rsidRDefault="009237E7" w:rsidP="00E1332C"/>
    <w:p w14:paraId="292476BE" w14:textId="77777777" w:rsidR="00074048" w:rsidRPr="005764FC" w:rsidRDefault="00074048" w:rsidP="00E1332C"/>
    <w:p w14:paraId="368D3CCD" w14:textId="77777777" w:rsidR="00074048" w:rsidRPr="005764FC" w:rsidRDefault="00074048" w:rsidP="00E1332C"/>
    <w:p w14:paraId="1BD7FB75" w14:textId="013CBF7A" w:rsidR="005C576A" w:rsidRPr="005764FC" w:rsidRDefault="00074048" w:rsidP="00074048">
      <w:pPr>
        <w:pStyle w:val="BodyText"/>
      </w:pPr>
      <w:r w:rsidRPr="005764FC">
        <w:t xml:space="preserve">WSP, </w:t>
      </w:r>
      <w:r w:rsidR="003B57D5" w:rsidRPr="003B57D5">
        <w:t xml:space="preserve">Deloitte Financial Advisory Pty Ltd (Deloitte) </w:t>
      </w:r>
      <w:r w:rsidRPr="005764FC">
        <w:t xml:space="preserve">and University of Melbourne acknowledge and thank the wider input received for this </w:t>
      </w:r>
      <w:r w:rsidR="00947CF1" w:rsidRPr="005764FC">
        <w:t xml:space="preserve">project </w:t>
      </w:r>
      <w:r w:rsidRPr="005764FC">
        <w:t>from Knut Evensen, the project board (including TMR, TfNSW and Austroads), the project team</w:t>
      </w:r>
      <w:r w:rsidR="006C4E28" w:rsidRPr="005764FC">
        <w:t>,</w:t>
      </w:r>
      <w:r w:rsidRPr="005764FC">
        <w:t xml:space="preserve"> and stakeholders from government and industry.</w:t>
      </w:r>
      <w:r w:rsidR="00C829EC" w:rsidRPr="005764FC">
        <w:t xml:space="preserve"> </w:t>
      </w:r>
    </w:p>
    <w:p w14:paraId="2A314113" w14:textId="77777777" w:rsidR="006E7BE2" w:rsidRPr="005764FC" w:rsidRDefault="006E7BE2" w:rsidP="00074048">
      <w:pPr>
        <w:pStyle w:val="BodyText"/>
      </w:pPr>
    </w:p>
    <w:p w14:paraId="3112B3CE" w14:textId="77777777" w:rsidR="00E23D61" w:rsidRPr="005764FC" w:rsidRDefault="00E23D61" w:rsidP="00074048">
      <w:pPr>
        <w:pStyle w:val="BodyText"/>
      </w:pPr>
    </w:p>
    <w:p w14:paraId="597BE989" w14:textId="77777777" w:rsidR="00E23D61" w:rsidRPr="005764FC" w:rsidRDefault="00E23D61" w:rsidP="00074048">
      <w:pPr>
        <w:pStyle w:val="BodyText"/>
      </w:pPr>
    </w:p>
    <w:p w14:paraId="0169AD32" w14:textId="77777777" w:rsidR="006E7BE2" w:rsidRPr="005764FC" w:rsidRDefault="006E7BE2" w:rsidP="00074048">
      <w:pPr>
        <w:pStyle w:val="BodyText"/>
        <w:sectPr w:rsidR="006E7BE2" w:rsidRPr="005764FC" w:rsidSect="001428F9">
          <w:footerReference w:type="default" r:id="rId16"/>
          <w:pgSz w:w="11907" w:h="16839" w:code="9"/>
          <w:pgMar w:top="2880" w:right="1440" w:bottom="1440" w:left="1440" w:header="720" w:footer="720" w:gutter="0"/>
          <w:cols w:space="708"/>
          <w:docGrid w:linePitch="360"/>
        </w:sectPr>
      </w:pPr>
    </w:p>
    <w:p w14:paraId="3A6E1CEB" w14:textId="19FC0FD8" w:rsidR="006E7BE2" w:rsidRPr="005764FC" w:rsidRDefault="00AA78D4" w:rsidP="00A77DC2">
      <w:pPr>
        <w:pStyle w:val="InsideCoverHeading"/>
      </w:pPr>
      <w:fldSimple w:instr=" TITLE   \* MERGEFORMAT ">
        <w:r w:rsidR="001428F9">
          <w:t>Advice on Strategies to Support C-ITS</w:t>
        </w:r>
        <w:r w:rsidR="001428F9" w:rsidRPr="001428F9">
          <w:rPr>
            <w:rFonts w:ascii="Cambria Math" w:hAnsi="Cambria Math" w:cs="Cambria Math"/>
          </w:rPr>
          <w:t xml:space="preserve"> </w:t>
        </w:r>
        <w:r w:rsidR="001428F9">
          <w:t>Deployment</w:t>
        </w:r>
      </w:fldSimple>
    </w:p>
    <w:p w14:paraId="2D582828" w14:textId="5B3BFC22" w:rsidR="006E7BE2" w:rsidRPr="005764FC" w:rsidRDefault="00AA78D4" w:rsidP="00A77DC2">
      <w:pPr>
        <w:pStyle w:val="InsideCoverHeading"/>
      </w:pPr>
      <w:fldSimple w:instr="DOCPROPERTY  xSubtitle  \* MERGEFORMAT">
        <w:r w:rsidR="001428F9">
          <w:t>Findings</w:t>
        </w:r>
      </w:fldSimple>
    </w:p>
    <w:p w14:paraId="2A0956A2" w14:textId="1719514B" w:rsidR="006E7BE2" w:rsidRPr="005764FC" w:rsidRDefault="006E7BE2" w:rsidP="00A77DC2">
      <w:pPr>
        <w:pStyle w:val="InsideCoverHeading"/>
        <w:spacing w:before="120"/>
        <w:rPr>
          <w:sz w:val="18"/>
          <w:szCs w:val="18"/>
        </w:rPr>
      </w:pPr>
      <w:r w:rsidRPr="005764FC">
        <w:rPr>
          <w:sz w:val="18"/>
          <w:szCs w:val="18"/>
        </w:rPr>
        <w:fldChar w:fldCharType="begin"/>
      </w:r>
      <w:r w:rsidRPr="005764FC">
        <w:rPr>
          <w:sz w:val="18"/>
          <w:szCs w:val="18"/>
        </w:rPr>
        <w:instrText xml:space="preserve"> KEYWORDS   \* MERGEFORMAT </w:instrText>
      </w:r>
      <w:r w:rsidRPr="005764FC">
        <w:rPr>
          <w:sz w:val="18"/>
          <w:szCs w:val="18"/>
        </w:rPr>
        <w:fldChar w:fldCharType="separate"/>
      </w:r>
      <w:r w:rsidR="001428F9">
        <w:rPr>
          <w:sz w:val="18"/>
          <w:szCs w:val="18"/>
        </w:rPr>
        <w:t>Department of Infrastructure, Transport, Regional Development and Communications</w:t>
      </w:r>
      <w:r w:rsidRPr="005764FC">
        <w:rPr>
          <w:sz w:val="18"/>
          <w:szCs w:val="18"/>
        </w:rPr>
        <w:fldChar w:fldCharType="end"/>
      </w:r>
    </w:p>
    <w:p w14:paraId="434D3EFF" w14:textId="77777777" w:rsidR="006E7BE2" w:rsidRPr="005764FC" w:rsidRDefault="006E7BE2" w:rsidP="00A77DC2">
      <w:pPr>
        <w:pStyle w:val="InsideCoverText"/>
      </w:pPr>
    </w:p>
    <w:p w14:paraId="057694AE" w14:textId="77777777" w:rsidR="006E7BE2" w:rsidRPr="005764FC" w:rsidRDefault="006E7BE2" w:rsidP="00A77DC2">
      <w:pPr>
        <w:pStyle w:val="InsideCoverText"/>
      </w:pPr>
      <w:r w:rsidRPr="005764FC">
        <w:t>WSP</w:t>
      </w:r>
    </w:p>
    <w:sdt>
      <w:sdtPr>
        <w:alias w:val="OfficeCoord"/>
        <w:tag w:val="OfficeCoord"/>
        <w:id w:val="-1795514682"/>
        <w:lock w:val="sdtContentLocked"/>
        <w:placeholder>
          <w:docPart w:val="FED4B32C751147E9829590435159F08E"/>
        </w:placeholder>
      </w:sdtPr>
      <w:sdtContent>
        <w:p w14:paraId="31329B19" w14:textId="77777777" w:rsidR="006E7BE2" w:rsidRDefault="006E7BE2" w:rsidP="00A77DC2">
          <w:pPr>
            <w:pStyle w:val="InsideCoverText"/>
          </w:pPr>
          <w:r>
            <w:t xml:space="preserve">Level 12, 900 Ann Street </w:t>
          </w:r>
          <w:r>
            <w:br/>
            <w:t>Fortitude Valley QLD 4006</w:t>
          </w:r>
          <w:r>
            <w:br/>
            <w:t xml:space="preserve">GPO Box 2907 </w:t>
          </w:r>
          <w:r>
            <w:br/>
            <w:t>Brisbane QLD 4001</w:t>
          </w:r>
          <w:r>
            <w:br/>
          </w:r>
          <w:r>
            <w:br/>
            <w:t>Tel: +61 7 3854 6200</w:t>
          </w:r>
          <w:r>
            <w:br/>
            <w:t>Fax: +61 7 3854 6500</w:t>
          </w:r>
        </w:p>
      </w:sdtContent>
    </w:sdt>
    <w:p w14:paraId="7D74D749" w14:textId="77777777" w:rsidR="006E7BE2" w:rsidRPr="005764FC" w:rsidRDefault="006E7BE2" w:rsidP="00A77DC2">
      <w:pPr>
        <w:pStyle w:val="InsideCoverText"/>
      </w:pPr>
      <w:r w:rsidRPr="005764FC">
        <w:t>wsp.com</w:t>
      </w:r>
    </w:p>
    <w:p w14:paraId="0673F71F" w14:textId="77777777" w:rsidR="006E7BE2" w:rsidRPr="002F2909" w:rsidRDefault="006E7BE2" w:rsidP="00A77DC2">
      <w:pPr>
        <w:pStyle w:val="InsideCoverText"/>
        <w:rPr>
          <w:sz w:val="18"/>
          <w:szCs w:val="18"/>
        </w:rPr>
      </w:pPr>
    </w:p>
    <w:tbl>
      <w:tblPr>
        <w:tblStyle w:val="Table1"/>
        <w:tblW w:w="5003" w:type="pct"/>
        <w:tblInd w:w="-3" w:type="dxa"/>
        <w:tblBorders>
          <w:left w:val="none" w:sz="0" w:space="0" w:color="auto"/>
          <w:right w:val="none" w:sz="0" w:space="0" w:color="auto"/>
        </w:tblBorders>
        <w:tblLook w:val="0420" w:firstRow="1" w:lastRow="0" w:firstColumn="0" w:lastColumn="0" w:noHBand="0" w:noVBand="1"/>
      </w:tblPr>
      <w:tblGrid>
        <w:gridCol w:w="986"/>
        <w:gridCol w:w="1900"/>
        <w:gridCol w:w="6759"/>
      </w:tblGrid>
      <w:tr w:rsidR="006E7BE2" w:rsidRPr="005764FC" w14:paraId="22A1F556" w14:textId="77777777" w:rsidTr="00A34B27">
        <w:trPr>
          <w:cnfStyle w:val="100000000000" w:firstRow="1" w:lastRow="0" w:firstColumn="0" w:lastColumn="0" w:oddVBand="0" w:evenVBand="0" w:oddHBand="0" w:evenHBand="0" w:firstRowFirstColumn="0" w:firstRowLastColumn="0" w:lastRowFirstColumn="0" w:lastRowLastColumn="0"/>
        </w:trPr>
        <w:tc>
          <w:tcPr>
            <w:tcW w:w="511" w:type="pct"/>
            <w:tcBorders>
              <w:left w:val="nil"/>
            </w:tcBorders>
          </w:tcPr>
          <w:p w14:paraId="29DC0D72" w14:textId="77777777" w:rsidR="006E7BE2" w:rsidRPr="005764FC" w:rsidRDefault="006E7BE2" w:rsidP="00A77DC2">
            <w:pPr>
              <w:pStyle w:val="TableHeading"/>
              <w:rPr>
                <w:rFonts w:eastAsia="Calibri"/>
              </w:rPr>
            </w:pPr>
            <w:r w:rsidRPr="005764FC">
              <w:rPr>
                <w:rFonts w:eastAsia="Calibri"/>
              </w:rPr>
              <w:t>REV</w:t>
            </w:r>
          </w:p>
        </w:tc>
        <w:tc>
          <w:tcPr>
            <w:tcW w:w="985" w:type="pct"/>
            <w:hideMark/>
          </w:tcPr>
          <w:p w14:paraId="79FC9631" w14:textId="77777777" w:rsidR="006E7BE2" w:rsidRPr="005764FC" w:rsidRDefault="006E7BE2" w:rsidP="00A77DC2">
            <w:pPr>
              <w:pStyle w:val="TableHeading"/>
              <w:rPr>
                <w:rFonts w:eastAsia="Calibri"/>
              </w:rPr>
            </w:pPr>
            <w:r w:rsidRPr="005764FC">
              <w:rPr>
                <w:rFonts w:eastAsia="Calibri"/>
              </w:rPr>
              <w:t>DATE</w:t>
            </w:r>
          </w:p>
        </w:tc>
        <w:tc>
          <w:tcPr>
            <w:tcW w:w="3504" w:type="pct"/>
            <w:tcBorders>
              <w:right w:val="nil"/>
            </w:tcBorders>
            <w:hideMark/>
          </w:tcPr>
          <w:p w14:paraId="6A1AD673" w14:textId="77777777" w:rsidR="006E7BE2" w:rsidRPr="005764FC" w:rsidRDefault="006E7BE2" w:rsidP="00A77DC2">
            <w:pPr>
              <w:pStyle w:val="TableHeading"/>
              <w:rPr>
                <w:rFonts w:eastAsia="Calibri"/>
              </w:rPr>
            </w:pPr>
            <w:r w:rsidRPr="005764FC">
              <w:rPr>
                <w:rFonts w:eastAsia="Calibri"/>
              </w:rPr>
              <w:t>DETAILS</w:t>
            </w:r>
          </w:p>
        </w:tc>
      </w:tr>
      <w:tr w:rsidR="006E7BE2" w:rsidRPr="005764FC" w14:paraId="3C1138BD" w14:textId="77777777" w:rsidTr="005D218B">
        <w:tc>
          <w:tcPr>
            <w:tcW w:w="511" w:type="pct"/>
          </w:tcPr>
          <w:p w14:paraId="3A4DABE0" w14:textId="77777777" w:rsidR="006E7BE2" w:rsidRPr="005764FC" w:rsidRDefault="006E7BE2" w:rsidP="00A77DC2">
            <w:pPr>
              <w:pStyle w:val="TableText"/>
              <w:rPr>
                <w:rFonts w:eastAsia="Calibri"/>
              </w:rPr>
            </w:pPr>
            <w:r w:rsidRPr="005764FC">
              <w:rPr>
                <w:rFonts w:eastAsia="Calibri"/>
              </w:rPr>
              <w:t>A</w:t>
            </w:r>
          </w:p>
        </w:tc>
        <w:tc>
          <w:tcPr>
            <w:tcW w:w="985" w:type="pct"/>
          </w:tcPr>
          <w:p w14:paraId="50C77CBA" w14:textId="77777777" w:rsidR="006E7BE2" w:rsidRPr="005764FC" w:rsidRDefault="006E7BE2" w:rsidP="00A77DC2">
            <w:pPr>
              <w:pStyle w:val="TableText"/>
              <w:rPr>
                <w:rFonts w:eastAsia="Calibri"/>
              </w:rPr>
            </w:pPr>
            <w:r w:rsidRPr="005764FC">
              <w:rPr>
                <w:rFonts w:eastAsia="Calibri"/>
              </w:rPr>
              <w:t>18/11/2021</w:t>
            </w:r>
          </w:p>
        </w:tc>
        <w:tc>
          <w:tcPr>
            <w:tcW w:w="3504" w:type="pct"/>
          </w:tcPr>
          <w:p w14:paraId="1008C8EF" w14:textId="77777777" w:rsidR="006E7BE2" w:rsidRPr="005764FC" w:rsidRDefault="006E7BE2" w:rsidP="00A77DC2">
            <w:pPr>
              <w:pStyle w:val="TableText"/>
              <w:rPr>
                <w:rFonts w:eastAsia="Calibri"/>
              </w:rPr>
            </w:pPr>
            <w:r w:rsidRPr="005764FC">
              <w:rPr>
                <w:rFonts w:eastAsia="Calibri"/>
              </w:rPr>
              <w:t>First Draft</w:t>
            </w:r>
          </w:p>
        </w:tc>
      </w:tr>
      <w:tr w:rsidR="006E7BE2" w:rsidRPr="005764FC" w14:paraId="479AFBAF" w14:textId="77777777" w:rsidTr="005D218B">
        <w:tc>
          <w:tcPr>
            <w:tcW w:w="511" w:type="pct"/>
            <w:shd w:val="clear" w:color="auto" w:fill="auto"/>
          </w:tcPr>
          <w:p w14:paraId="7BBA822C" w14:textId="77777777" w:rsidR="006E7BE2" w:rsidRPr="005764FC" w:rsidRDefault="006E7BE2" w:rsidP="00A77DC2">
            <w:pPr>
              <w:pStyle w:val="TableText"/>
              <w:rPr>
                <w:rFonts w:eastAsia="Calibri"/>
              </w:rPr>
            </w:pPr>
            <w:r w:rsidRPr="005764FC">
              <w:rPr>
                <w:rFonts w:eastAsia="Calibri"/>
              </w:rPr>
              <w:t>B</w:t>
            </w:r>
          </w:p>
        </w:tc>
        <w:tc>
          <w:tcPr>
            <w:tcW w:w="985" w:type="pct"/>
          </w:tcPr>
          <w:p w14:paraId="3D20D82E" w14:textId="77777777" w:rsidR="006E7BE2" w:rsidRPr="005764FC" w:rsidRDefault="006E7BE2" w:rsidP="00A77DC2">
            <w:pPr>
              <w:pStyle w:val="TableText"/>
              <w:rPr>
                <w:rFonts w:eastAsia="Calibri"/>
              </w:rPr>
            </w:pPr>
            <w:r w:rsidRPr="005764FC">
              <w:rPr>
                <w:rFonts w:eastAsia="Calibri"/>
              </w:rPr>
              <w:t>01/02/2022</w:t>
            </w:r>
          </w:p>
        </w:tc>
        <w:tc>
          <w:tcPr>
            <w:tcW w:w="3504" w:type="pct"/>
          </w:tcPr>
          <w:p w14:paraId="301242D7" w14:textId="77777777" w:rsidR="006E7BE2" w:rsidRPr="005764FC" w:rsidRDefault="006E7BE2" w:rsidP="00A77DC2">
            <w:pPr>
              <w:pStyle w:val="TableText"/>
              <w:rPr>
                <w:rFonts w:eastAsia="Calibri"/>
              </w:rPr>
            </w:pPr>
            <w:r w:rsidRPr="005764FC">
              <w:rPr>
                <w:rFonts w:eastAsia="Calibri"/>
              </w:rPr>
              <w:t>Second Draft with addition of policy analysis and rework from feedback</w:t>
            </w:r>
          </w:p>
        </w:tc>
      </w:tr>
      <w:tr w:rsidR="00BC7E64" w:rsidRPr="005764FC" w14:paraId="56010C1E" w14:textId="77777777" w:rsidTr="005D218B">
        <w:tc>
          <w:tcPr>
            <w:tcW w:w="511" w:type="pct"/>
            <w:shd w:val="clear" w:color="auto" w:fill="auto"/>
          </w:tcPr>
          <w:p w14:paraId="75FDC35C" w14:textId="59AD5473" w:rsidR="00BC7E64" w:rsidRPr="005764FC" w:rsidRDefault="00BC7E64" w:rsidP="00A77DC2">
            <w:pPr>
              <w:pStyle w:val="TableText"/>
              <w:rPr>
                <w:rFonts w:eastAsia="Calibri"/>
              </w:rPr>
            </w:pPr>
            <w:r w:rsidRPr="005764FC">
              <w:rPr>
                <w:rFonts w:eastAsia="Calibri"/>
              </w:rPr>
              <w:t>C</w:t>
            </w:r>
          </w:p>
        </w:tc>
        <w:tc>
          <w:tcPr>
            <w:tcW w:w="985" w:type="pct"/>
          </w:tcPr>
          <w:p w14:paraId="233C9F6D" w14:textId="4E1C82D9" w:rsidR="00BC7E64" w:rsidRPr="005764FC" w:rsidRDefault="00917B7D" w:rsidP="00A77DC2">
            <w:pPr>
              <w:pStyle w:val="TableText"/>
              <w:rPr>
                <w:rFonts w:eastAsia="Calibri"/>
              </w:rPr>
            </w:pPr>
            <w:r w:rsidRPr="005764FC">
              <w:rPr>
                <w:rFonts w:eastAsia="Calibri"/>
              </w:rPr>
              <w:t>2</w:t>
            </w:r>
            <w:r w:rsidR="00472ECA" w:rsidRPr="005764FC">
              <w:rPr>
                <w:rFonts w:eastAsia="Calibri"/>
              </w:rPr>
              <w:t>1</w:t>
            </w:r>
            <w:r w:rsidR="00CD0FD4" w:rsidRPr="005764FC">
              <w:rPr>
                <w:rFonts w:eastAsia="Calibri"/>
              </w:rPr>
              <w:t>/02/2022</w:t>
            </w:r>
          </w:p>
        </w:tc>
        <w:tc>
          <w:tcPr>
            <w:tcW w:w="3504" w:type="pct"/>
          </w:tcPr>
          <w:p w14:paraId="67BCEDF0" w14:textId="7E996AFD" w:rsidR="00BC7E64" w:rsidRPr="005764FC" w:rsidRDefault="00CD0FD4" w:rsidP="00A77DC2">
            <w:pPr>
              <w:pStyle w:val="TableText"/>
              <w:rPr>
                <w:rFonts w:eastAsia="Calibri"/>
              </w:rPr>
            </w:pPr>
            <w:r w:rsidRPr="005764FC">
              <w:rPr>
                <w:rFonts w:eastAsia="Calibri"/>
              </w:rPr>
              <w:t xml:space="preserve">Inclusion of final feedback </w:t>
            </w:r>
            <w:r w:rsidR="00472ECA" w:rsidRPr="005764FC">
              <w:rPr>
                <w:rFonts w:eastAsia="Calibri"/>
              </w:rPr>
              <w:t>(text)</w:t>
            </w:r>
          </w:p>
        </w:tc>
      </w:tr>
      <w:tr w:rsidR="008D541C" w:rsidRPr="005764FC" w14:paraId="139A5F73" w14:textId="77777777" w:rsidTr="005D218B">
        <w:tc>
          <w:tcPr>
            <w:tcW w:w="511" w:type="pct"/>
            <w:shd w:val="clear" w:color="auto" w:fill="auto"/>
          </w:tcPr>
          <w:p w14:paraId="4D8FB434" w14:textId="3D4C36D5" w:rsidR="008D541C" w:rsidRPr="005764FC" w:rsidRDefault="008D541C" w:rsidP="00A77DC2">
            <w:pPr>
              <w:pStyle w:val="TableText"/>
              <w:rPr>
                <w:rFonts w:eastAsia="Calibri"/>
              </w:rPr>
            </w:pPr>
            <w:r w:rsidRPr="005764FC">
              <w:rPr>
                <w:rFonts w:eastAsia="Calibri"/>
              </w:rPr>
              <w:t>D</w:t>
            </w:r>
          </w:p>
        </w:tc>
        <w:tc>
          <w:tcPr>
            <w:tcW w:w="985" w:type="pct"/>
          </w:tcPr>
          <w:p w14:paraId="1D0102BD" w14:textId="221241BE" w:rsidR="008D541C" w:rsidRPr="005764FC" w:rsidRDefault="008D541C" w:rsidP="00A77DC2">
            <w:pPr>
              <w:pStyle w:val="TableText"/>
              <w:rPr>
                <w:rFonts w:eastAsia="Calibri"/>
              </w:rPr>
            </w:pPr>
            <w:r w:rsidRPr="005764FC">
              <w:rPr>
                <w:rFonts w:eastAsia="Calibri"/>
              </w:rPr>
              <w:t>23/02/2022</w:t>
            </w:r>
          </w:p>
        </w:tc>
        <w:tc>
          <w:tcPr>
            <w:tcW w:w="3504" w:type="pct"/>
          </w:tcPr>
          <w:p w14:paraId="4AD2C9F3" w14:textId="4E905D74" w:rsidR="008D541C" w:rsidRPr="005764FC" w:rsidRDefault="001B2764" w:rsidP="00A77DC2">
            <w:pPr>
              <w:pStyle w:val="TableText"/>
              <w:rPr>
                <w:rFonts w:eastAsia="Calibri"/>
              </w:rPr>
            </w:pPr>
            <w:r>
              <w:rPr>
                <w:rFonts w:eastAsia="Calibri"/>
              </w:rPr>
              <w:t>Clean document for review</w:t>
            </w:r>
          </w:p>
        </w:tc>
      </w:tr>
      <w:tr w:rsidR="0065405F" w:rsidRPr="005764FC" w14:paraId="472A13E4" w14:textId="77777777" w:rsidTr="005D218B">
        <w:tc>
          <w:tcPr>
            <w:tcW w:w="511" w:type="pct"/>
            <w:shd w:val="clear" w:color="auto" w:fill="auto"/>
          </w:tcPr>
          <w:p w14:paraId="7211F293" w14:textId="215622E9" w:rsidR="0065405F" w:rsidRPr="005764FC" w:rsidRDefault="0065405F" w:rsidP="00A77DC2">
            <w:pPr>
              <w:pStyle w:val="TableText"/>
              <w:rPr>
                <w:rFonts w:eastAsia="Calibri"/>
              </w:rPr>
            </w:pPr>
            <w:r>
              <w:rPr>
                <w:rFonts w:eastAsia="Calibri"/>
              </w:rPr>
              <w:t>E</w:t>
            </w:r>
          </w:p>
        </w:tc>
        <w:tc>
          <w:tcPr>
            <w:tcW w:w="985" w:type="pct"/>
          </w:tcPr>
          <w:p w14:paraId="3593D967" w14:textId="4A10BC88" w:rsidR="0065405F" w:rsidRPr="005764FC" w:rsidRDefault="00830FE5" w:rsidP="00A77DC2">
            <w:pPr>
              <w:pStyle w:val="TableText"/>
              <w:rPr>
                <w:rFonts w:eastAsia="Calibri"/>
              </w:rPr>
            </w:pPr>
            <w:r>
              <w:rPr>
                <w:rFonts w:eastAsia="Calibri"/>
              </w:rPr>
              <w:t>10</w:t>
            </w:r>
            <w:r w:rsidR="0065405F">
              <w:rPr>
                <w:rFonts w:eastAsia="Calibri"/>
              </w:rPr>
              <w:t>/03/</w:t>
            </w:r>
            <w:r w:rsidR="00A72E62">
              <w:rPr>
                <w:rFonts w:eastAsia="Calibri"/>
              </w:rPr>
              <w:t>2022</w:t>
            </w:r>
          </w:p>
        </w:tc>
        <w:tc>
          <w:tcPr>
            <w:tcW w:w="3504" w:type="pct"/>
          </w:tcPr>
          <w:p w14:paraId="040822C2" w14:textId="58FADFEE" w:rsidR="0065405F" w:rsidRPr="005764FC" w:rsidRDefault="00A72E62" w:rsidP="00A77DC2">
            <w:pPr>
              <w:pStyle w:val="TableText"/>
              <w:rPr>
                <w:rFonts w:eastAsia="Calibri"/>
              </w:rPr>
            </w:pPr>
            <w:r w:rsidRPr="005764FC">
              <w:rPr>
                <w:rFonts w:eastAsia="Calibri"/>
              </w:rPr>
              <w:t>Final edits for release</w:t>
            </w:r>
          </w:p>
        </w:tc>
      </w:tr>
    </w:tbl>
    <w:p w14:paraId="0E4A5C01" w14:textId="77777777" w:rsidR="005D218B" w:rsidRPr="002F2909" w:rsidRDefault="005D218B" w:rsidP="005D218B">
      <w:pPr>
        <w:pStyle w:val="InsideCoverText"/>
        <w:rPr>
          <w:sz w:val="18"/>
          <w:szCs w:val="18"/>
        </w:rPr>
      </w:pPr>
      <w:bookmarkStart w:id="2" w:name="Here"/>
      <w:bookmarkEnd w:id="2"/>
    </w:p>
    <w:tbl>
      <w:tblPr>
        <w:tblStyle w:val="Table1"/>
        <w:tblW w:w="5000" w:type="pct"/>
        <w:tblLook w:val="04A0" w:firstRow="1" w:lastRow="0" w:firstColumn="1" w:lastColumn="0" w:noHBand="0" w:noVBand="1"/>
      </w:tblPr>
      <w:tblGrid>
        <w:gridCol w:w="1403"/>
        <w:gridCol w:w="2569"/>
        <w:gridCol w:w="1274"/>
        <w:gridCol w:w="4393"/>
      </w:tblGrid>
      <w:tr w:rsidR="005D218B" w:rsidRPr="005764FC" w14:paraId="700C3A2C" w14:textId="77777777" w:rsidTr="00D32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Borders>
              <w:left w:val="nil"/>
            </w:tcBorders>
            <w:shd w:val="clear" w:color="auto" w:fill="auto"/>
            <w:vAlign w:val="bottom"/>
          </w:tcPr>
          <w:p w14:paraId="55B84CBB" w14:textId="77777777" w:rsidR="005D218B" w:rsidRPr="005764FC" w:rsidRDefault="005D218B" w:rsidP="00D32EA7">
            <w:pPr>
              <w:pStyle w:val="TableHeading"/>
              <w:rPr>
                <w:rFonts w:eastAsia="Calibri"/>
              </w:rPr>
            </w:pPr>
          </w:p>
        </w:tc>
        <w:tc>
          <w:tcPr>
            <w:tcW w:w="1332" w:type="pct"/>
            <w:shd w:val="clear" w:color="auto" w:fill="auto"/>
            <w:vAlign w:val="bottom"/>
            <w:hideMark/>
          </w:tcPr>
          <w:p w14:paraId="1A648EE2" w14:textId="77777777" w:rsidR="005D218B" w:rsidRPr="005764FC" w:rsidRDefault="005D218B" w:rsidP="00D32EA7">
            <w:pPr>
              <w:pStyle w:val="TableHeading"/>
              <w:cnfStyle w:val="100000000000" w:firstRow="1" w:lastRow="0" w:firstColumn="0" w:lastColumn="0" w:oddVBand="0" w:evenVBand="0" w:oddHBand="0" w:evenHBand="0" w:firstRowFirstColumn="0" w:firstRowLastColumn="0" w:lastRowFirstColumn="0" w:lastRowLastColumn="0"/>
              <w:rPr>
                <w:rFonts w:eastAsia="Calibri"/>
              </w:rPr>
            </w:pPr>
            <w:r w:rsidRPr="005764FC">
              <w:rPr>
                <w:rFonts w:eastAsia="Calibri"/>
              </w:rPr>
              <w:t>Name</w:t>
            </w:r>
          </w:p>
        </w:tc>
        <w:tc>
          <w:tcPr>
            <w:tcW w:w="661" w:type="pct"/>
            <w:shd w:val="clear" w:color="auto" w:fill="auto"/>
            <w:vAlign w:val="bottom"/>
            <w:hideMark/>
          </w:tcPr>
          <w:p w14:paraId="1ECA2BA0" w14:textId="77777777" w:rsidR="005D218B" w:rsidRPr="005764FC" w:rsidRDefault="005D218B" w:rsidP="00D32EA7">
            <w:pPr>
              <w:pStyle w:val="TableHeading"/>
              <w:cnfStyle w:val="100000000000" w:firstRow="1" w:lastRow="0" w:firstColumn="0" w:lastColumn="0" w:oddVBand="0" w:evenVBand="0" w:oddHBand="0" w:evenHBand="0" w:firstRowFirstColumn="0" w:firstRowLastColumn="0" w:lastRowFirstColumn="0" w:lastRowLastColumn="0"/>
              <w:rPr>
                <w:rFonts w:eastAsia="Calibri"/>
              </w:rPr>
            </w:pPr>
            <w:r w:rsidRPr="005764FC">
              <w:rPr>
                <w:rFonts w:eastAsia="Calibri"/>
              </w:rPr>
              <w:t>date</w:t>
            </w:r>
          </w:p>
        </w:tc>
        <w:tc>
          <w:tcPr>
            <w:tcW w:w="2279" w:type="pct"/>
            <w:tcBorders>
              <w:right w:val="nil"/>
            </w:tcBorders>
            <w:shd w:val="clear" w:color="auto" w:fill="auto"/>
            <w:vAlign w:val="bottom"/>
            <w:hideMark/>
          </w:tcPr>
          <w:p w14:paraId="4CF86374" w14:textId="77777777" w:rsidR="005D218B" w:rsidRPr="005764FC" w:rsidRDefault="005D218B" w:rsidP="00D32EA7">
            <w:pPr>
              <w:pStyle w:val="TableHeading"/>
              <w:cnfStyle w:val="100000000000" w:firstRow="1" w:lastRow="0" w:firstColumn="0" w:lastColumn="0" w:oddVBand="0" w:evenVBand="0" w:oddHBand="0" w:evenHBand="0" w:firstRowFirstColumn="0" w:firstRowLastColumn="0" w:lastRowFirstColumn="0" w:lastRowLastColumn="0"/>
              <w:rPr>
                <w:rFonts w:eastAsia="Calibri"/>
              </w:rPr>
            </w:pPr>
            <w:r w:rsidRPr="005764FC">
              <w:rPr>
                <w:rFonts w:eastAsia="Calibri"/>
              </w:rPr>
              <w:t>signature</w:t>
            </w:r>
          </w:p>
        </w:tc>
      </w:tr>
      <w:tr w:rsidR="005D218B" w:rsidRPr="005764FC" w14:paraId="1CA332CD" w14:textId="77777777" w:rsidTr="00D32EA7">
        <w:tc>
          <w:tcPr>
            <w:cnfStyle w:val="001000000000" w:firstRow="0" w:lastRow="0" w:firstColumn="1" w:lastColumn="0" w:oddVBand="0" w:evenVBand="0" w:oddHBand="0" w:evenHBand="0" w:firstRowFirstColumn="0" w:firstRowLastColumn="0" w:lastRowFirstColumn="0" w:lastRowLastColumn="0"/>
            <w:tcW w:w="727" w:type="pct"/>
            <w:tcBorders>
              <w:left w:val="nil"/>
            </w:tcBorders>
            <w:shd w:val="clear" w:color="auto" w:fill="auto"/>
            <w:vAlign w:val="center"/>
            <w:hideMark/>
          </w:tcPr>
          <w:p w14:paraId="20208C71" w14:textId="77777777" w:rsidR="005D218B" w:rsidRPr="005764FC" w:rsidRDefault="005D218B" w:rsidP="00D32EA7">
            <w:pPr>
              <w:pStyle w:val="TableText"/>
              <w:rPr>
                <w:rFonts w:eastAsia="Calibri"/>
              </w:rPr>
            </w:pPr>
            <w:r w:rsidRPr="005764FC">
              <w:rPr>
                <w:rFonts w:eastAsia="Calibri"/>
              </w:rPr>
              <w:t>Prepared by:</w:t>
            </w:r>
          </w:p>
        </w:tc>
        <w:tc>
          <w:tcPr>
            <w:tcW w:w="1332" w:type="pct"/>
            <w:shd w:val="clear" w:color="auto" w:fill="FFFFFF"/>
            <w:vAlign w:val="center"/>
          </w:tcPr>
          <w:p w14:paraId="1BB8989B" w14:textId="77777777" w:rsidR="005D218B" w:rsidRPr="00F42FDD" w:rsidRDefault="005D218B" w:rsidP="00D32EA7">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F42FDD">
              <w:rPr>
                <w:rFonts w:eastAsia="Calibri"/>
              </w:rPr>
              <w:t>David Alderson, Jessica Tong, Shivaani Polley</w:t>
            </w:r>
          </w:p>
        </w:tc>
        <w:tc>
          <w:tcPr>
            <w:tcW w:w="661" w:type="pct"/>
            <w:shd w:val="clear" w:color="auto" w:fill="FFFFFF"/>
          </w:tcPr>
          <w:p w14:paraId="13C325B6" w14:textId="77777777" w:rsidR="005D218B" w:rsidRPr="005764FC" w:rsidRDefault="005D218B" w:rsidP="00D32EA7">
            <w:pPr>
              <w:pStyle w:val="TableTex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10/03/2022</w:t>
            </w:r>
          </w:p>
        </w:tc>
        <w:tc>
          <w:tcPr>
            <w:tcW w:w="2279" w:type="pct"/>
            <w:tcBorders>
              <w:right w:val="nil"/>
            </w:tcBorders>
            <w:shd w:val="clear" w:color="auto" w:fill="FFFFFF"/>
            <w:vAlign w:val="center"/>
          </w:tcPr>
          <w:p w14:paraId="408A81D2" w14:textId="03DDD28F" w:rsidR="005D218B" w:rsidRPr="005764FC" w:rsidRDefault="005D218B" w:rsidP="00D32EA7">
            <w:pPr>
              <w:pStyle w:val="TableText"/>
              <w:cnfStyle w:val="000000000000" w:firstRow="0" w:lastRow="0" w:firstColumn="0" w:lastColumn="0" w:oddVBand="0" w:evenVBand="0" w:oddHBand="0" w:evenHBand="0" w:firstRowFirstColumn="0" w:firstRowLastColumn="0" w:lastRowFirstColumn="0" w:lastRowLastColumn="0"/>
              <w:rPr>
                <w:rFonts w:eastAsia="Calibri"/>
              </w:rPr>
            </w:pPr>
          </w:p>
        </w:tc>
      </w:tr>
      <w:tr w:rsidR="005D218B" w:rsidRPr="005764FC" w14:paraId="7C0BA0F8" w14:textId="77777777" w:rsidTr="00D32EA7">
        <w:tc>
          <w:tcPr>
            <w:cnfStyle w:val="001000000000" w:firstRow="0" w:lastRow="0" w:firstColumn="1" w:lastColumn="0" w:oddVBand="0" w:evenVBand="0" w:oddHBand="0" w:evenHBand="0" w:firstRowFirstColumn="0" w:firstRowLastColumn="0" w:lastRowFirstColumn="0" w:lastRowLastColumn="0"/>
            <w:tcW w:w="727" w:type="pct"/>
            <w:tcBorders>
              <w:left w:val="nil"/>
            </w:tcBorders>
            <w:shd w:val="clear" w:color="auto" w:fill="auto"/>
            <w:vAlign w:val="center"/>
            <w:hideMark/>
          </w:tcPr>
          <w:p w14:paraId="3BE0B053" w14:textId="77777777" w:rsidR="005D218B" w:rsidRPr="005764FC" w:rsidRDefault="005D218B" w:rsidP="00D32EA7">
            <w:pPr>
              <w:pStyle w:val="TableText"/>
              <w:rPr>
                <w:rFonts w:eastAsia="Calibri"/>
              </w:rPr>
            </w:pPr>
            <w:r w:rsidRPr="005764FC">
              <w:rPr>
                <w:rFonts w:eastAsia="Calibri"/>
              </w:rPr>
              <w:t>Reviewed by:</w:t>
            </w:r>
          </w:p>
        </w:tc>
        <w:tc>
          <w:tcPr>
            <w:tcW w:w="1332" w:type="pct"/>
            <w:shd w:val="clear" w:color="auto" w:fill="FFFFFF"/>
            <w:vAlign w:val="center"/>
          </w:tcPr>
          <w:p w14:paraId="35D92F6D" w14:textId="77777777" w:rsidR="005D218B" w:rsidRPr="00F42FDD" w:rsidRDefault="005D218B" w:rsidP="00D32EA7">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F42FDD">
              <w:rPr>
                <w:rFonts w:eastAsia="Calibri"/>
              </w:rPr>
              <w:t>Scott Benjamin</w:t>
            </w:r>
          </w:p>
        </w:tc>
        <w:tc>
          <w:tcPr>
            <w:tcW w:w="661" w:type="pct"/>
            <w:shd w:val="clear" w:color="auto" w:fill="FFFFFF"/>
          </w:tcPr>
          <w:p w14:paraId="67FD492E" w14:textId="77777777" w:rsidR="005D218B" w:rsidRPr="005764FC" w:rsidRDefault="005D218B" w:rsidP="00D32EA7">
            <w:pPr>
              <w:pStyle w:val="TableTex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10/03/2022</w:t>
            </w:r>
          </w:p>
        </w:tc>
        <w:tc>
          <w:tcPr>
            <w:tcW w:w="2279" w:type="pct"/>
            <w:tcBorders>
              <w:right w:val="nil"/>
            </w:tcBorders>
            <w:shd w:val="clear" w:color="auto" w:fill="FFFFFF"/>
            <w:vAlign w:val="center"/>
          </w:tcPr>
          <w:p w14:paraId="7AED48B7" w14:textId="36F53B67" w:rsidR="005D218B" w:rsidRPr="005764FC" w:rsidRDefault="005D218B" w:rsidP="00D32EA7">
            <w:pPr>
              <w:pStyle w:val="TableText"/>
              <w:cnfStyle w:val="000000000000" w:firstRow="0" w:lastRow="0" w:firstColumn="0" w:lastColumn="0" w:oddVBand="0" w:evenVBand="0" w:oddHBand="0" w:evenHBand="0" w:firstRowFirstColumn="0" w:firstRowLastColumn="0" w:lastRowFirstColumn="0" w:lastRowLastColumn="0"/>
              <w:rPr>
                <w:rFonts w:eastAsia="Calibri"/>
              </w:rPr>
            </w:pPr>
          </w:p>
        </w:tc>
      </w:tr>
      <w:tr w:rsidR="005D218B" w:rsidRPr="005764FC" w14:paraId="1EA7233F" w14:textId="77777777" w:rsidTr="00D32EA7">
        <w:tc>
          <w:tcPr>
            <w:cnfStyle w:val="001000000000" w:firstRow="0" w:lastRow="0" w:firstColumn="1" w:lastColumn="0" w:oddVBand="0" w:evenVBand="0" w:oddHBand="0" w:evenHBand="0" w:firstRowFirstColumn="0" w:firstRowLastColumn="0" w:lastRowFirstColumn="0" w:lastRowLastColumn="0"/>
            <w:tcW w:w="727" w:type="pct"/>
            <w:tcBorders>
              <w:left w:val="nil"/>
            </w:tcBorders>
            <w:shd w:val="clear" w:color="auto" w:fill="auto"/>
            <w:vAlign w:val="center"/>
            <w:hideMark/>
          </w:tcPr>
          <w:p w14:paraId="652B3A1C" w14:textId="77777777" w:rsidR="005D218B" w:rsidRPr="005764FC" w:rsidRDefault="005D218B" w:rsidP="00D32EA7">
            <w:pPr>
              <w:pStyle w:val="TableText"/>
              <w:rPr>
                <w:rFonts w:eastAsia="Calibri"/>
              </w:rPr>
            </w:pPr>
            <w:r w:rsidRPr="005764FC">
              <w:rPr>
                <w:rFonts w:eastAsia="Calibri"/>
              </w:rPr>
              <w:t>Approved by:</w:t>
            </w:r>
          </w:p>
        </w:tc>
        <w:tc>
          <w:tcPr>
            <w:tcW w:w="1332" w:type="pct"/>
            <w:shd w:val="clear" w:color="auto" w:fill="FFFFFF"/>
            <w:vAlign w:val="center"/>
          </w:tcPr>
          <w:p w14:paraId="4661334A" w14:textId="77777777" w:rsidR="005D218B" w:rsidRPr="00F42FDD" w:rsidRDefault="005D218B" w:rsidP="00D32EA7">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F42FDD">
              <w:rPr>
                <w:rFonts w:eastAsia="Calibri"/>
              </w:rPr>
              <w:t>James Smithers</w:t>
            </w:r>
          </w:p>
        </w:tc>
        <w:tc>
          <w:tcPr>
            <w:tcW w:w="661" w:type="pct"/>
            <w:shd w:val="clear" w:color="auto" w:fill="FFFFFF"/>
          </w:tcPr>
          <w:p w14:paraId="19F98609" w14:textId="77777777" w:rsidR="005D218B" w:rsidRPr="005764FC" w:rsidRDefault="005D218B" w:rsidP="00D32EA7">
            <w:pPr>
              <w:pStyle w:val="TableTex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10/03/2022</w:t>
            </w:r>
          </w:p>
        </w:tc>
        <w:tc>
          <w:tcPr>
            <w:tcW w:w="2279" w:type="pct"/>
            <w:tcBorders>
              <w:right w:val="nil"/>
            </w:tcBorders>
            <w:shd w:val="clear" w:color="auto" w:fill="FFFFFF"/>
            <w:vAlign w:val="center"/>
          </w:tcPr>
          <w:p w14:paraId="1497CD2E" w14:textId="7067762D" w:rsidR="005D218B" w:rsidRPr="005764FC" w:rsidRDefault="005D218B" w:rsidP="00D32EA7">
            <w:pPr>
              <w:pStyle w:val="TableText"/>
              <w:cnfStyle w:val="000000000000" w:firstRow="0" w:lastRow="0" w:firstColumn="0" w:lastColumn="0" w:oddVBand="0" w:evenVBand="0" w:oddHBand="0" w:evenHBand="0" w:firstRowFirstColumn="0" w:firstRowLastColumn="0" w:lastRowFirstColumn="0" w:lastRowLastColumn="0"/>
              <w:rPr>
                <w:rFonts w:eastAsia="Calibri"/>
              </w:rPr>
            </w:pPr>
          </w:p>
        </w:tc>
      </w:tr>
    </w:tbl>
    <w:p w14:paraId="0512CFDE" w14:textId="77777777" w:rsidR="002F2909" w:rsidRPr="002F2909" w:rsidRDefault="002F2909" w:rsidP="002F2909">
      <w:pPr>
        <w:rPr>
          <w:sz w:val="6"/>
          <w:szCs w:val="6"/>
        </w:rPr>
      </w:pPr>
    </w:p>
    <w:p w14:paraId="52F75C9B" w14:textId="747D46D2" w:rsidR="002F2909" w:rsidRPr="002F2909" w:rsidRDefault="002F2909" w:rsidP="002F2909">
      <w:pPr>
        <w:rPr>
          <w:sz w:val="6"/>
          <w:szCs w:val="6"/>
        </w:rPr>
        <w:sectPr w:rsidR="002F2909" w:rsidRPr="002F2909" w:rsidSect="001428F9">
          <w:headerReference w:type="even" r:id="rId17"/>
          <w:headerReference w:type="default" r:id="rId18"/>
          <w:footerReference w:type="even" r:id="rId19"/>
          <w:footerReference w:type="default" r:id="rId20"/>
          <w:headerReference w:type="first" r:id="rId21"/>
          <w:footerReference w:type="first" r:id="rId22"/>
          <w:pgSz w:w="11907" w:h="16839" w:code="9"/>
          <w:pgMar w:top="5897" w:right="1134" w:bottom="720" w:left="1134" w:header="720" w:footer="170" w:gutter="0"/>
          <w:cols w:space="708"/>
          <w:titlePg/>
          <w:docGrid w:linePitch="360"/>
        </w:sectPr>
      </w:pPr>
    </w:p>
    <w:p w14:paraId="014BBFA2" w14:textId="053BFFBA" w:rsidR="002C6E87" w:rsidRPr="005764FC" w:rsidRDefault="00455536" w:rsidP="00E06268">
      <w:pPr>
        <w:pStyle w:val="TOCHeading"/>
        <w:framePr w:wrap="around"/>
      </w:pPr>
      <w:bookmarkStart w:id="3" w:name="TOC_Main"/>
      <w:bookmarkEnd w:id="0"/>
      <w:r w:rsidRPr="005764FC">
        <w:t xml:space="preserve">Table </w:t>
      </w:r>
      <w:r w:rsidR="004C73CE" w:rsidRPr="005764FC">
        <w:t xml:space="preserve">of </w:t>
      </w:r>
      <w:r w:rsidR="0086141F" w:rsidRPr="005764FC">
        <w:t>c</w:t>
      </w:r>
      <w:r w:rsidR="004C73CE" w:rsidRPr="005764FC">
        <w:t>ontents</w:t>
      </w:r>
      <w:bookmarkStart w:id="4" w:name="_TOCMarker"/>
      <w:bookmarkEnd w:id="4"/>
    </w:p>
    <w:bookmarkEnd w:id="3"/>
    <w:p w14:paraId="07B7261A" w14:textId="56445F7B" w:rsidR="00226730" w:rsidRDefault="00495E71">
      <w:pPr>
        <w:pStyle w:val="TOC1"/>
        <w:rPr>
          <w:rFonts w:asciiTheme="minorHAnsi" w:eastAsiaTheme="minorEastAsia" w:hAnsiTheme="minorHAnsi" w:cstheme="minorBidi"/>
          <w:b w:val="0"/>
          <w:caps w:val="0"/>
          <w:color w:val="auto"/>
          <w:spacing w:val="0"/>
          <w:sz w:val="22"/>
          <w:szCs w:val="22"/>
          <w:lang w:eastAsia="en-AU"/>
        </w:rPr>
      </w:pPr>
      <w:r w:rsidRPr="005764FC">
        <w:rPr>
          <w:rFonts w:eastAsiaTheme="minorHAnsi"/>
          <w:noProof w:val="0"/>
        </w:rPr>
        <w:fldChar w:fldCharType="begin"/>
      </w:r>
      <w:r w:rsidRPr="005764FC">
        <w:rPr>
          <w:rFonts w:eastAsiaTheme="minorHAnsi"/>
          <w:noProof w:val="0"/>
        </w:rPr>
        <w:instrText xml:space="preserve"> TOC \O "1-2" \H \Z \T "Heading 1,1,Heading 1 No Number,1,Heading 2,2 </w:instrText>
      </w:r>
      <w:r w:rsidRPr="005764FC">
        <w:rPr>
          <w:rFonts w:eastAsiaTheme="minorHAnsi"/>
          <w:noProof w:val="0"/>
        </w:rPr>
        <w:fldChar w:fldCharType="separate"/>
      </w:r>
      <w:hyperlink w:anchor="_Toc97807779" w:history="1">
        <w:r w:rsidR="00226730" w:rsidRPr="00C80444">
          <w:rPr>
            <w:rStyle w:val="Hyperlink"/>
          </w:rPr>
          <w:t>Abbreviations</w:t>
        </w:r>
        <w:r w:rsidR="00226730">
          <w:rPr>
            <w:webHidden/>
          </w:rPr>
          <w:tab/>
        </w:r>
        <w:r w:rsidR="00226730">
          <w:rPr>
            <w:webHidden/>
          </w:rPr>
          <w:fldChar w:fldCharType="begin"/>
        </w:r>
        <w:r w:rsidR="00226730">
          <w:rPr>
            <w:webHidden/>
          </w:rPr>
          <w:instrText xml:space="preserve"> PAGEREF _Toc97807779 \h </w:instrText>
        </w:r>
        <w:r w:rsidR="00226730">
          <w:rPr>
            <w:webHidden/>
          </w:rPr>
        </w:r>
        <w:r w:rsidR="00226730">
          <w:rPr>
            <w:webHidden/>
          </w:rPr>
          <w:fldChar w:fldCharType="separate"/>
        </w:r>
        <w:r w:rsidR="00A34B27">
          <w:rPr>
            <w:webHidden/>
          </w:rPr>
          <w:t>v</w:t>
        </w:r>
        <w:r w:rsidR="00226730">
          <w:rPr>
            <w:webHidden/>
          </w:rPr>
          <w:fldChar w:fldCharType="end"/>
        </w:r>
      </w:hyperlink>
    </w:p>
    <w:p w14:paraId="183D59A9" w14:textId="70FCAE31" w:rsidR="00226730" w:rsidRDefault="003251DE">
      <w:pPr>
        <w:pStyle w:val="TOC1"/>
        <w:rPr>
          <w:rFonts w:asciiTheme="minorHAnsi" w:eastAsiaTheme="minorEastAsia" w:hAnsiTheme="minorHAnsi" w:cstheme="minorBidi"/>
          <w:b w:val="0"/>
          <w:caps w:val="0"/>
          <w:color w:val="auto"/>
          <w:spacing w:val="0"/>
          <w:sz w:val="22"/>
          <w:szCs w:val="22"/>
          <w:lang w:eastAsia="en-AU"/>
        </w:rPr>
      </w:pPr>
      <w:hyperlink w:anchor="_Toc97807780" w:history="1">
        <w:r w:rsidR="00226730" w:rsidRPr="00C80444">
          <w:rPr>
            <w:rStyle w:val="Hyperlink"/>
          </w:rPr>
          <w:t>Use case Definitions</w:t>
        </w:r>
        <w:r w:rsidR="00226730">
          <w:rPr>
            <w:webHidden/>
          </w:rPr>
          <w:tab/>
        </w:r>
        <w:r w:rsidR="00226730">
          <w:rPr>
            <w:webHidden/>
          </w:rPr>
          <w:fldChar w:fldCharType="begin"/>
        </w:r>
        <w:r w:rsidR="00226730">
          <w:rPr>
            <w:webHidden/>
          </w:rPr>
          <w:instrText xml:space="preserve"> PAGEREF _Toc97807780 \h </w:instrText>
        </w:r>
        <w:r w:rsidR="00226730">
          <w:rPr>
            <w:webHidden/>
          </w:rPr>
        </w:r>
        <w:r w:rsidR="00226730">
          <w:rPr>
            <w:webHidden/>
          </w:rPr>
          <w:fldChar w:fldCharType="separate"/>
        </w:r>
        <w:r w:rsidR="00A34B27">
          <w:rPr>
            <w:webHidden/>
          </w:rPr>
          <w:t>vii</w:t>
        </w:r>
        <w:r w:rsidR="00226730">
          <w:rPr>
            <w:webHidden/>
          </w:rPr>
          <w:fldChar w:fldCharType="end"/>
        </w:r>
      </w:hyperlink>
    </w:p>
    <w:p w14:paraId="04A5744D" w14:textId="07C0D7B4" w:rsidR="00226730" w:rsidRDefault="003251DE">
      <w:pPr>
        <w:pStyle w:val="TOC1"/>
        <w:rPr>
          <w:rFonts w:asciiTheme="minorHAnsi" w:eastAsiaTheme="minorEastAsia" w:hAnsiTheme="minorHAnsi" w:cstheme="minorBidi"/>
          <w:b w:val="0"/>
          <w:caps w:val="0"/>
          <w:color w:val="auto"/>
          <w:spacing w:val="0"/>
          <w:sz w:val="22"/>
          <w:szCs w:val="22"/>
          <w:lang w:eastAsia="en-AU"/>
        </w:rPr>
      </w:pPr>
      <w:hyperlink w:anchor="_Toc97807781" w:history="1">
        <w:r w:rsidR="00226730" w:rsidRPr="00C80444">
          <w:rPr>
            <w:rStyle w:val="Hyperlink"/>
          </w:rPr>
          <w:t>Executive Summary</w:t>
        </w:r>
        <w:r w:rsidR="00226730">
          <w:rPr>
            <w:webHidden/>
          </w:rPr>
          <w:tab/>
        </w:r>
        <w:r w:rsidR="00226730">
          <w:rPr>
            <w:webHidden/>
          </w:rPr>
          <w:fldChar w:fldCharType="begin"/>
        </w:r>
        <w:r w:rsidR="00226730">
          <w:rPr>
            <w:webHidden/>
          </w:rPr>
          <w:instrText xml:space="preserve"> PAGEREF _Toc97807781 \h </w:instrText>
        </w:r>
        <w:r w:rsidR="00226730">
          <w:rPr>
            <w:webHidden/>
          </w:rPr>
        </w:r>
        <w:r w:rsidR="00226730">
          <w:rPr>
            <w:webHidden/>
          </w:rPr>
          <w:fldChar w:fldCharType="separate"/>
        </w:r>
        <w:r w:rsidR="00A34B27">
          <w:rPr>
            <w:webHidden/>
          </w:rPr>
          <w:t>xiv</w:t>
        </w:r>
        <w:r w:rsidR="00226730">
          <w:rPr>
            <w:webHidden/>
          </w:rPr>
          <w:fldChar w:fldCharType="end"/>
        </w:r>
      </w:hyperlink>
    </w:p>
    <w:p w14:paraId="5A6B6186" w14:textId="394F0C50" w:rsidR="00226730" w:rsidRDefault="003251DE">
      <w:pPr>
        <w:pStyle w:val="TOC1"/>
        <w:rPr>
          <w:rFonts w:asciiTheme="minorHAnsi" w:eastAsiaTheme="minorEastAsia" w:hAnsiTheme="minorHAnsi" w:cstheme="minorBidi"/>
          <w:b w:val="0"/>
          <w:caps w:val="0"/>
          <w:color w:val="auto"/>
          <w:spacing w:val="0"/>
          <w:sz w:val="22"/>
          <w:szCs w:val="22"/>
          <w:lang w:eastAsia="en-AU"/>
        </w:rPr>
      </w:pPr>
      <w:hyperlink w:anchor="_Toc97807782" w:history="1">
        <w:r w:rsidR="00226730" w:rsidRPr="00C80444">
          <w:rPr>
            <w:rStyle w:val="Hyperlink"/>
          </w:rPr>
          <w:t>1</w:t>
        </w:r>
        <w:r w:rsidR="00226730">
          <w:rPr>
            <w:rFonts w:asciiTheme="minorHAnsi" w:eastAsiaTheme="minorEastAsia" w:hAnsiTheme="minorHAnsi" w:cstheme="minorBidi"/>
            <w:b w:val="0"/>
            <w:caps w:val="0"/>
            <w:color w:val="auto"/>
            <w:spacing w:val="0"/>
            <w:sz w:val="22"/>
            <w:szCs w:val="22"/>
            <w:lang w:eastAsia="en-AU"/>
          </w:rPr>
          <w:tab/>
        </w:r>
        <w:r w:rsidR="00226730" w:rsidRPr="00C80444">
          <w:rPr>
            <w:rStyle w:val="Hyperlink"/>
          </w:rPr>
          <w:t>C</w:t>
        </w:r>
        <w:r w:rsidR="00226730" w:rsidRPr="00C80444">
          <w:rPr>
            <w:rStyle w:val="Hyperlink"/>
            <w:rFonts w:ascii="Cambria Math" w:hAnsi="Cambria Math" w:cs="Cambria Math"/>
          </w:rPr>
          <w:t>‑</w:t>
        </w:r>
        <w:r w:rsidR="00226730" w:rsidRPr="00C80444">
          <w:rPr>
            <w:rStyle w:val="Hyperlink"/>
          </w:rPr>
          <w:t>ITS In Australia</w:t>
        </w:r>
        <w:r w:rsidR="00226730">
          <w:rPr>
            <w:webHidden/>
          </w:rPr>
          <w:tab/>
        </w:r>
        <w:r w:rsidR="00226730">
          <w:rPr>
            <w:webHidden/>
          </w:rPr>
          <w:fldChar w:fldCharType="begin"/>
        </w:r>
        <w:r w:rsidR="00226730">
          <w:rPr>
            <w:webHidden/>
          </w:rPr>
          <w:instrText xml:space="preserve"> PAGEREF _Toc97807782 \h </w:instrText>
        </w:r>
        <w:r w:rsidR="00226730">
          <w:rPr>
            <w:webHidden/>
          </w:rPr>
        </w:r>
        <w:r w:rsidR="00226730">
          <w:rPr>
            <w:webHidden/>
          </w:rPr>
          <w:fldChar w:fldCharType="separate"/>
        </w:r>
        <w:r w:rsidR="00A34B27">
          <w:rPr>
            <w:webHidden/>
          </w:rPr>
          <w:t>1</w:t>
        </w:r>
        <w:r w:rsidR="00226730">
          <w:rPr>
            <w:webHidden/>
          </w:rPr>
          <w:fldChar w:fldCharType="end"/>
        </w:r>
      </w:hyperlink>
    </w:p>
    <w:p w14:paraId="64892A51" w14:textId="7294F1B3"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83" w:history="1">
        <w:r w:rsidR="00226730" w:rsidRPr="00C80444">
          <w:rPr>
            <w:rStyle w:val="Hyperlink"/>
          </w:rPr>
          <w:t>1.1</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What is C</w:t>
        </w:r>
        <w:r w:rsidR="00226730" w:rsidRPr="00C80444">
          <w:rPr>
            <w:rStyle w:val="Hyperlink"/>
            <w:rFonts w:ascii="Cambria Math" w:hAnsi="Cambria Math" w:cs="Cambria Math"/>
          </w:rPr>
          <w:t>‑</w:t>
        </w:r>
        <w:r w:rsidR="00226730" w:rsidRPr="00C80444">
          <w:rPr>
            <w:rStyle w:val="Hyperlink"/>
          </w:rPr>
          <w:t>ITS?</w:t>
        </w:r>
        <w:r w:rsidR="00226730">
          <w:rPr>
            <w:webHidden/>
          </w:rPr>
          <w:tab/>
        </w:r>
        <w:r w:rsidR="00226730">
          <w:rPr>
            <w:webHidden/>
          </w:rPr>
          <w:fldChar w:fldCharType="begin"/>
        </w:r>
        <w:r w:rsidR="00226730">
          <w:rPr>
            <w:webHidden/>
          </w:rPr>
          <w:instrText xml:space="preserve"> PAGEREF _Toc97807783 \h </w:instrText>
        </w:r>
        <w:r w:rsidR="00226730">
          <w:rPr>
            <w:webHidden/>
          </w:rPr>
        </w:r>
        <w:r w:rsidR="00226730">
          <w:rPr>
            <w:webHidden/>
          </w:rPr>
          <w:fldChar w:fldCharType="separate"/>
        </w:r>
        <w:r w:rsidR="00A34B27">
          <w:rPr>
            <w:webHidden/>
          </w:rPr>
          <w:t>1</w:t>
        </w:r>
        <w:r w:rsidR="00226730">
          <w:rPr>
            <w:webHidden/>
          </w:rPr>
          <w:fldChar w:fldCharType="end"/>
        </w:r>
      </w:hyperlink>
    </w:p>
    <w:p w14:paraId="7D29610E" w14:textId="1A7ECEA2"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84" w:history="1">
        <w:r w:rsidR="00226730" w:rsidRPr="00C80444">
          <w:rPr>
            <w:rStyle w:val="Hyperlink"/>
          </w:rPr>
          <w:t>1.2</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Land Transport Issues for Australia</w:t>
        </w:r>
        <w:r w:rsidR="00226730">
          <w:rPr>
            <w:webHidden/>
          </w:rPr>
          <w:tab/>
        </w:r>
        <w:r w:rsidR="00226730">
          <w:rPr>
            <w:webHidden/>
          </w:rPr>
          <w:fldChar w:fldCharType="begin"/>
        </w:r>
        <w:r w:rsidR="00226730">
          <w:rPr>
            <w:webHidden/>
          </w:rPr>
          <w:instrText xml:space="preserve"> PAGEREF _Toc97807784 \h </w:instrText>
        </w:r>
        <w:r w:rsidR="00226730">
          <w:rPr>
            <w:webHidden/>
          </w:rPr>
        </w:r>
        <w:r w:rsidR="00226730">
          <w:rPr>
            <w:webHidden/>
          </w:rPr>
          <w:fldChar w:fldCharType="separate"/>
        </w:r>
        <w:r w:rsidR="00A34B27">
          <w:rPr>
            <w:webHidden/>
          </w:rPr>
          <w:t>2</w:t>
        </w:r>
        <w:r w:rsidR="00226730">
          <w:rPr>
            <w:webHidden/>
          </w:rPr>
          <w:fldChar w:fldCharType="end"/>
        </w:r>
      </w:hyperlink>
    </w:p>
    <w:p w14:paraId="377D4B0D" w14:textId="14917DF0"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85" w:history="1">
        <w:r w:rsidR="00226730" w:rsidRPr="00C80444">
          <w:rPr>
            <w:rStyle w:val="Hyperlink"/>
          </w:rPr>
          <w:t>1.3</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Policy Context</w:t>
        </w:r>
        <w:r w:rsidR="00226730">
          <w:rPr>
            <w:webHidden/>
          </w:rPr>
          <w:tab/>
        </w:r>
        <w:r w:rsidR="00226730">
          <w:rPr>
            <w:webHidden/>
          </w:rPr>
          <w:fldChar w:fldCharType="begin"/>
        </w:r>
        <w:r w:rsidR="00226730">
          <w:rPr>
            <w:webHidden/>
          </w:rPr>
          <w:instrText xml:space="preserve"> PAGEREF _Toc97807785 \h </w:instrText>
        </w:r>
        <w:r w:rsidR="00226730">
          <w:rPr>
            <w:webHidden/>
          </w:rPr>
        </w:r>
        <w:r w:rsidR="00226730">
          <w:rPr>
            <w:webHidden/>
          </w:rPr>
          <w:fldChar w:fldCharType="separate"/>
        </w:r>
        <w:r w:rsidR="00A34B27">
          <w:rPr>
            <w:webHidden/>
          </w:rPr>
          <w:t>5</w:t>
        </w:r>
        <w:r w:rsidR="00226730">
          <w:rPr>
            <w:webHidden/>
          </w:rPr>
          <w:fldChar w:fldCharType="end"/>
        </w:r>
      </w:hyperlink>
    </w:p>
    <w:p w14:paraId="5CB4FA07" w14:textId="089F8668"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86" w:history="1">
        <w:r w:rsidR="00226730" w:rsidRPr="00C80444">
          <w:rPr>
            <w:rStyle w:val="Hyperlink"/>
          </w:rPr>
          <w:t>1.4</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C</w:t>
        </w:r>
        <w:r w:rsidR="00226730" w:rsidRPr="00C80444">
          <w:rPr>
            <w:rStyle w:val="Hyperlink"/>
            <w:rFonts w:ascii="Cambria Math" w:hAnsi="Cambria Math" w:cs="Cambria Math"/>
          </w:rPr>
          <w:t>‑</w:t>
        </w:r>
        <w:r w:rsidR="00226730" w:rsidRPr="00C80444">
          <w:rPr>
            <w:rStyle w:val="Hyperlink"/>
          </w:rPr>
          <w:t>ITS is an Ecosystem</w:t>
        </w:r>
        <w:r w:rsidR="00226730">
          <w:rPr>
            <w:webHidden/>
          </w:rPr>
          <w:tab/>
        </w:r>
        <w:r w:rsidR="00226730">
          <w:rPr>
            <w:webHidden/>
          </w:rPr>
          <w:fldChar w:fldCharType="begin"/>
        </w:r>
        <w:r w:rsidR="00226730">
          <w:rPr>
            <w:webHidden/>
          </w:rPr>
          <w:instrText xml:space="preserve"> PAGEREF _Toc97807786 \h </w:instrText>
        </w:r>
        <w:r w:rsidR="00226730">
          <w:rPr>
            <w:webHidden/>
          </w:rPr>
        </w:r>
        <w:r w:rsidR="00226730">
          <w:rPr>
            <w:webHidden/>
          </w:rPr>
          <w:fldChar w:fldCharType="separate"/>
        </w:r>
        <w:r w:rsidR="00A34B27">
          <w:rPr>
            <w:webHidden/>
          </w:rPr>
          <w:t>6</w:t>
        </w:r>
        <w:r w:rsidR="00226730">
          <w:rPr>
            <w:webHidden/>
          </w:rPr>
          <w:fldChar w:fldCharType="end"/>
        </w:r>
      </w:hyperlink>
    </w:p>
    <w:p w14:paraId="25E8C340" w14:textId="2C5E90C7"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87" w:history="1">
        <w:r w:rsidR="00226730" w:rsidRPr="00C80444">
          <w:rPr>
            <w:rStyle w:val="Hyperlink"/>
          </w:rPr>
          <w:t>1.5</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Project Execution and Results</w:t>
        </w:r>
        <w:r w:rsidR="00226730">
          <w:rPr>
            <w:webHidden/>
          </w:rPr>
          <w:tab/>
        </w:r>
        <w:r w:rsidR="00226730">
          <w:rPr>
            <w:webHidden/>
          </w:rPr>
          <w:fldChar w:fldCharType="begin"/>
        </w:r>
        <w:r w:rsidR="00226730">
          <w:rPr>
            <w:webHidden/>
          </w:rPr>
          <w:instrText xml:space="preserve"> PAGEREF _Toc97807787 \h </w:instrText>
        </w:r>
        <w:r w:rsidR="00226730">
          <w:rPr>
            <w:webHidden/>
          </w:rPr>
        </w:r>
        <w:r w:rsidR="00226730">
          <w:rPr>
            <w:webHidden/>
          </w:rPr>
          <w:fldChar w:fldCharType="separate"/>
        </w:r>
        <w:r w:rsidR="00A34B27">
          <w:rPr>
            <w:webHidden/>
          </w:rPr>
          <w:t>8</w:t>
        </w:r>
        <w:r w:rsidR="00226730">
          <w:rPr>
            <w:webHidden/>
          </w:rPr>
          <w:fldChar w:fldCharType="end"/>
        </w:r>
      </w:hyperlink>
    </w:p>
    <w:p w14:paraId="6D972685" w14:textId="66392F8E"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88" w:history="1">
        <w:r w:rsidR="00226730" w:rsidRPr="00C80444">
          <w:rPr>
            <w:rStyle w:val="Hyperlink"/>
          </w:rPr>
          <w:t>1.6</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Current State of C</w:t>
        </w:r>
        <w:r w:rsidR="00226730" w:rsidRPr="00C80444">
          <w:rPr>
            <w:rStyle w:val="Hyperlink"/>
            <w:rFonts w:ascii="Cambria Math" w:hAnsi="Cambria Math" w:cs="Cambria Math"/>
          </w:rPr>
          <w:t>‑</w:t>
        </w:r>
        <w:r w:rsidR="00226730" w:rsidRPr="00C80444">
          <w:rPr>
            <w:rStyle w:val="Hyperlink"/>
          </w:rPr>
          <w:t>ITS</w:t>
        </w:r>
        <w:r w:rsidR="00226730">
          <w:rPr>
            <w:webHidden/>
          </w:rPr>
          <w:tab/>
        </w:r>
        <w:r w:rsidR="00226730">
          <w:rPr>
            <w:webHidden/>
          </w:rPr>
          <w:fldChar w:fldCharType="begin"/>
        </w:r>
        <w:r w:rsidR="00226730">
          <w:rPr>
            <w:webHidden/>
          </w:rPr>
          <w:instrText xml:space="preserve"> PAGEREF _Toc97807788 \h </w:instrText>
        </w:r>
        <w:r w:rsidR="00226730">
          <w:rPr>
            <w:webHidden/>
          </w:rPr>
        </w:r>
        <w:r w:rsidR="00226730">
          <w:rPr>
            <w:webHidden/>
          </w:rPr>
          <w:fldChar w:fldCharType="separate"/>
        </w:r>
        <w:r w:rsidR="00A34B27">
          <w:rPr>
            <w:webHidden/>
          </w:rPr>
          <w:t>18</w:t>
        </w:r>
        <w:r w:rsidR="00226730">
          <w:rPr>
            <w:webHidden/>
          </w:rPr>
          <w:fldChar w:fldCharType="end"/>
        </w:r>
      </w:hyperlink>
    </w:p>
    <w:p w14:paraId="5AADA5F7" w14:textId="168E6268" w:rsidR="00226730" w:rsidRDefault="003251DE">
      <w:pPr>
        <w:pStyle w:val="TOC1"/>
        <w:rPr>
          <w:rFonts w:asciiTheme="minorHAnsi" w:eastAsiaTheme="minorEastAsia" w:hAnsiTheme="minorHAnsi" w:cstheme="minorBidi"/>
          <w:b w:val="0"/>
          <w:caps w:val="0"/>
          <w:color w:val="auto"/>
          <w:spacing w:val="0"/>
          <w:sz w:val="22"/>
          <w:szCs w:val="22"/>
          <w:lang w:eastAsia="en-AU"/>
        </w:rPr>
      </w:pPr>
      <w:hyperlink w:anchor="_Toc97807789" w:history="1">
        <w:r w:rsidR="00226730" w:rsidRPr="00C80444">
          <w:rPr>
            <w:rStyle w:val="Hyperlink"/>
          </w:rPr>
          <w:t>2</w:t>
        </w:r>
        <w:r w:rsidR="00226730">
          <w:rPr>
            <w:rFonts w:asciiTheme="minorHAnsi" w:eastAsiaTheme="minorEastAsia" w:hAnsiTheme="minorHAnsi" w:cstheme="minorBidi"/>
            <w:b w:val="0"/>
            <w:caps w:val="0"/>
            <w:color w:val="auto"/>
            <w:spacing w:val="0"/>
            <w:sz w:val="22"/>
            <w:szCs w:val="22"/>
            <w:lang w:eastAsia="en-AU"/>
          </w:rPr>
          <w:tab/>
        </w:r>
        <w:r w:rsidR="00226730" w:rsidRPr="00C80444">
          <w:rPr>
            <w:rStyle w:val="Hyperlink"/>
          </w:rPr>
          <w:t>Policy Impact Analysis</w:t>
        </w:r>
        <w:r w:rsidR="00226730">
          <w:rPr>
            <w:webHidden/>
          </w:rPr>
          <w:tab/>
        </w:r>
        <w:r w:rsidR="00226730">
          <w:rPr>
            <w:webHidden/>
          </w:rPr>
          <w:fldChar w:fldCharType="begin"/>
        </w:r>
        <w:r w:rsidR="00226730">
          <w:rPr>
            <w:webHidden/>
          </w:rPr>
          <w:instrText xml:space="preserve"> PAGEREF _Toc97807789 \h </w:instrText>
        </w:r>
        <w:r w:rsidR="00226730">
          <w:rPr>
            <w:webHidden/>
          </w:rPr>
        </w:r>
        <w:r w:rsidR="00226730">
          <w:rPr>
            <w:webHidden/>
          </w:rPr>
          <w:fldChar w:fldCharType="separate"/>
        </w:r>
        <w:r w:rsidR="00A34B27">
          <w:rPr>
            <w:webHidden/>
          </w:rPr>
          <w:t>25</w:t>
        </w:r>
        <w:r w:rsidR="00226730">
          <w:rPr>
            <w:webHidden/>
          </w:rPr>
          <w:fldChar w:fldCharType="end"/>
        </w:r>
      </w:hyperlink>
    </w:p>
    <w:p w14:paraId="52C4D310" w14:textId="199769CE"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90" w:history="1">
        <w:r w:rsidR="00226730" w:rsidRPr="00C80444">
          <w:rPr>
            <w:rStyle w:val="Hyperlink"/>
          </w:rPr>
          <w:t>2.1</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The Issue (challenge)</w:t>
        </w:r>
        <w:r w:rsidR="00226730">
          <w:rPr>
            <w:webHidden/>
          </w:rPr>
          <w:tab/>
        </w:r>
        <w:r w:rsidR="00226730">
          <w:rPr>
            <w:webHidden/>
          </w:rPr>
          <w:fldChar w:fldCharType="begin"/>
        </w:r>
        <w:r w:rsidR="00226730">
          <w:rPr>
            <w:webHidden/>
          </w:rPr>
          <w:instrText xml:space="preserve"> PAGEREF _Toc97807790 \h </w:instrText>
        </w:r>
        <w:r w:rsidR="00226730">
          <w:rPr>
            <w:webHidden/>
          </w:rPr>
        </w:r>
        <w:r w:rsidR="00226730">
          <w:rPr>
            <w:webHidden/>
          </w:rPr>
          <w:fldChar w:fldCharType="separate"/>
        </w:r>
        <w:r w:rsidR="00A34B27">
          <w:rPr>
            <w:webHidden/>
          </w:rPr>
          <w:t>25</w:t>
        </w:r>
        <w:r w:rsidR="00226730">
          <w:rPr>
            <w:webHidden/>
          </w:rPr>
          <w:fldChar w:fldCharType="end"/>
        </w:r>
      </w:hyperlink>
    </w:p>
    <w:p w14:paraId="63E200F3" w14:textId="2C97205A"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91" w:history="1">
        <w:r w:rsidR="00226730" w:rsidRPr="00C80444">
          <w:rPr>
            <w:rStyle w:val="Hyperlink"/>
          </w:rPr>
          <w:t>2.2</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Policy approaches</w:t>
        </w:r>
        <w:r w:rsidR="00226730">
          <w:rPr>
            <w:webHidden/>
          </w:rPr>
          <w:tab/>
        </w:r>
        <w:r w:rsidR="00226730">
          <w:rPr>
            <w:webHidden/>
          </w:rPr>
          <w:fldChar w:fldCharType="begin"/>
        </w:r>
        <w:r w:rsidR="00226730">
          <w:rPr>
            <w:webHidden/>
          </w:rPr>
          <w:instrText xml:space="preserve"> PAGEREF _Toc97807791 \h </w:instrText>
        </w:r>
        <w:r w:rsidR="00226730">
          <w:rPr>
            <w:webHidden/>
          </w:rPr>
        </w:r>
        <w:r w:rsidR="00226730">
          <w:rPr>
            <w:webHidden/>
          </w:rPr>
          <w:fldChar w:fldCharType="separate"/>
        </w:r>
        <w:r w:rsidR="00A34B27">
          <w:rPr>
            <w:webHidden/>
          </w:rPr>
          <w:t>26</w:t>
        </w:r>
        <w:r w:rsidR="00226730">
          <w:rPr>
            <w:webHidden/>
          </w:rPr>
          <w:fldChar w:fldCharType="end"/>
        </w:r>
      </w:hyperlink>
    </w:p>
    <w:p w14:paraId="704B58F2" w14:textId="4F85910C"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92" w:history="1">
        <w:r w:rsidR="00226730" w:rsidRPr="00C80444">
          <w:rPr>
            <w:rStyle w:val="Hyperlink"/>
          </w:rPr>
          <w:t>2.3</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Policy Impact Analysis</w:t>
        </w:r>
        <w:r w:rsidR="00226730">
          <w:rPr>
            <w:webHidden/>
          </w:rPr>
          <w:tab/>
        </w:r>
        <w:r w:rsidR="00226730">
          <w:rPr>
            <w:webHidden/>
          </w:rPr>
          <w:fldChar w:fldCharType="begin"/>
        </w:r>
        <w:r w:rsidR="00226730">
          <w:rPr>
            <w:webHidden/>
          </w:rPr>
          <w:instrText xml:space="preserve"> PAGEREF _Toc97807792 \h </w:instrText>
        </w:r>
        <w:r w:rsidR="00226730">
          <w:rPr>
            <w:webHidden/>
          </w:rPr>
        </w:r>
        <w:r w:rsidR="00226730">
          <w:rPr>
            <w:webHidden/>
          </w:rPr>
          <w:fldChar w:fldCharType="separate"/>
        </w:r>
        <w:r w:rsidR="00A34B27">
          <w:rPr>
            <w:webHidden/>
          </w:rPr>
          <w:t>27</w:t>
        </w:r>
        <w:r w:rsidR="00226730">
          <w:rPr>
            <w:webHidden/>
          </w:rPr>
          <w:fldChar w:fldCharType="end"/>
        </w:r>
      </w:hyperlink>
    </w:p>
    <w:p w14:paraId="15A0209F" w14:textId="58720C21" w:rsidR="00226730" w:rsidRDefault="003251DE">
      <w:pPr>
        <w:pStyle w:val="TOC1"/>
        <w:rPr>
          <w:rFonts w:asciiTheme="minorHAnsi" w:eastAsiaTheme="minorEastAsia" w:hAnsiTheme="minorHAnsi" w:cstheme="minorBidi"/>
          <w:b w:val="0"/>
          <w:caps w:val="0"/>
          <w:color w:val="auto"/>
          <w:spacing w:val="0"/>
          <w:sz w:val="22"/>
          <w:szCs w:val="22"/>
          <w:lang w:eastAsia="en-AU"/>
        </w:rPr>
      </w:pPr>
      <w:hyperlink w:anchor="_Toc97807793" w:history="1">
        <w:r w:rsidR="00226730" w:rsidRPr="00C80444">
          <w:rPr>
            <w:rStyle w:val="Hyperlink"/>
          </w:rPr>
          <w:t>3</w:t>
        </w:r>
        <w:r w:rsidR="00226730">
          <w:rPr>
            <w:rFonts w:asciiTheme="minorHAnsi" w:eastAsiaTheme="minorEastAsia" w:hAnsiTheme="minorHAnsi" w:cstheme="minorBidi"/>
            <w:b w:val="0"/>
            <w:caps w:val="0"/>
            <w:color w:val="auto"/>
            <w:spacing w:val="0"/>
            <w:sz w:val="22"/>
            <w:szCs w:val="22"/>
            <w:lang w:eastAsia="en-AU"/>
          </w:rPr>
          <w:tab/>
        </w:r>
        <w:r w:rsidR="00226730" w:rsidRPr="00C80444">
          <w:rPr>
            <w:rStyle w:val="Hyperlink"/>
          </w:rPr>
          <w:t>Key Findings</w:t>
        </w:r>
        <w:r w:rsidR="00226730">
          <w:rPr>
            <w:webHidden/>
          </w:rPr>
          <w:tab/>
        </w:r>
        <w:r w:rsidR="00226730">
          <w:rPr>
            <w:webHidden/>
          </w:rPr>
          <w:fldChar w:fldCharType="begin"/>
        </w:r>
        <w:r w:rsidR="00226730">
          <w:rPr>
            <w:webHidden/>
          </w:rPr>
          <w:instrText xml:space="preserve"> PAGEREF _Toc97807793 \h </w:instrText>
        </w:r>
        <w:r w:rsidR="00226730">
          <w:rPr>
            <w:webHidden/>
          </w:rPr>
        </w:r>
        <w:r w:rsidR="00226730">
          <w:rPr>
            <w:webHidden/>
          </w:rPr>
          <w:fldChar w:fldCharType="separate"/>
        </w:r>
        <w:r w:rsidR="00A34B27">
          <w:rPr>
            <w:webHidden/>
          </w:rPr>
          <w:t>39</w:t>
        </w:r>
        <w:r w:rsidR="00226730">
          <w:rPr>
            <w:webHidden/>
          </w:rPr>
          <w:fldChar w:fldCharType="end"/>
        </w:r>
      </w:hyperlink>
    </w:p>
    <w:p w14:paraId="3B102C09" w14:textId="2C130E5D"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94" w:history="1">
        <w:r w:rsidR="00226730" w:rsidRPr="00C80444">
          <w:rPr>
            <w:rStyle w:val="Hyperlink"/>
          </w:rPr>
          <w:t>3.1</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Problem aspect: Harmonised ecosystem for all</w:t>
        </w:r>
        <w:r w:rsidR="00226730">
          <w:rPr>
            <w:webHidden/>
          </w:rPr>
          <w:tab/>
        </w:r>
        <w:r w:rsidR="00226730">
          <w:rPr>
            <w:webHidden/>
          </w:rPr>
          <w:fldChar w:fldCharType="begin"/>
        </w:r>
        <w:r w:rsidR="00226730">
          <w:rPr>
            <w:webHidden/>
          </w:rPr>
          <w:instrText xml:space="preserve"> PAGEREF _Toc97807794 \h </w:instrText>
        </w:r>
        <w:r w:rsidR="00226730">
          <w:rPr>
            <w:webHidden/>
          </w:rPr>
        </w:r>
        <w:r w:rsidR="00226730">
          <w:rPr>
            <w:webHidden/>
          </w:rPr>
          <w:fldChar w:fldCharType="separate"/>
        </w:r>
        <w:r w:rsidR="00A34B27">
          <w:rPr>
            <w:webHidden/>
          </w:rPr>
          <w:t>39</w:t>
        </w:r>
        <w:r w:rsidR="00226730">
          <w:rPr>
            <w:webHidden/>
          </w:rPr>
          <w:fldChar w:fldCharType="end"/>
        </w:r>
      </w:hyperlink>
    </w:p>
    <w:p w14:paraId="7676188D" w14:textId="0938EEE0"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95" w:history="1">
        <w:r w:rsidR="00226730" w:rsidRPr="00C80444">
          <w:rPr>
            <w:rStyle w:val="Hyperlink"/>
          </w:rPr>
          <w:t>3.2</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Problem aspect: Delivery of road safety, efficiency, sustainability, and accessibility benefits</w:t>
        </w:r>
        <w:r w:rsidR="00226730">
          <w:rPr>
            <w:webHidden/>
          </w:rPr>
          <w:tab/>
        </w:r>
        <w:r w:rsidR="00226730">
          <w:rPr>
            <w:webHidden/>
          </w:rPr>
          <w:fldChar w:fldCharType="begin"/>
        </w:r>
        <w:r w:rsidR="00226730">
          <w:rPr>
            <w:webHidden/>
          </w:rPr>
          <w:instrText xml:space="preserve"> PAGEREF _Toc97807795 \h </w:instrText>
        </w:r>
        <w:r w:rsidR="00226730">
          <w:rPr>
            <w:webHidden/>
          </w:rPr>
        </w:r>
        <w:r w:rsidR="00226730">
          <w:rPr>
            <w:webHidden/>
          </w:rPr>
          <w:fldChar w:fldCharType="separate"/>
        </w:r>
        <w:r w:rsidR="00A34B27">
          <w:rPr>
            <w:webHidden/>
          </w:rPr>
          <w:t>40</w:t>
        </w:r>
        <w:r w:rsidR="00226730">
          <w:rPr>
            <w:webHidden/>
          </w:rPr>
          <w:fldChar w:fldCharType="end"/>
        </w:r>
      </w:hyperlink>
    </w:p>
    <w:p w14:paraId="2B98DDC6" w14:textId="2E60A72F" w:rsidR="00226730" w:rsidRDefault="003251DE">
      <w:pPr>
        <w:pStyle w:val="TOC2"/>
        <w:rPr>
          <w:rStyle w:val="Hyperlink"/>
        </w:rPr>
      </w:pPr>
      <w:hyperlink w:anchor="_Toc97807796" w:history="1">
        <w:r w:rsidR="00226730" w:rsidRPr="00C80444">
          <w:rPr>
            <w:rStyle w:val="Hyperlink"/>
          </w:rPr>
          <w:t>3.3</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Summary of Findings</w:t>
        </w:r>
        <w:r w:rsidR="00226730">
          <w:rPr>
            <w:webHidden/>
          </w:rPr>
          <w:tab/>
        </w:r>
        <w:r w:rsidR="00226730">
          <w:rPr>
            <w:webHidden/>
          </w:rPr>
          <w:fldChar w:fldCharType="begin"/>
        </w:r>
        <w:r w:rsidR="00226730">
          <w:rPr>
            <w:webHidden/>
          </w:rPr>
          <w:instrText xml:space="preserve"> PAGEREF _Toc97807796 \h </w:instrText>
        </w:r>
        <w:r w:rsidR="00226730">
          <w:rPr>
            <w:webHidden/>
          </w:rPr>
        </w:r>
        <w:r w:rsidR="00226730">
          <w:rPr>
            <w:webHidden/>
          </w:rPr>
          <w:fldChar w:fldCharType="separate"/>
        </w:r>
        <w:r w:rsidR="00A34B27">
          <w:rPr>
            <w:webHidden/>
          </w:rPr>
          <w:t>40</w:t>
        </w:r>
        <w:r w:rsidR="00226730">
          <w:rPr>
            <w:webHidden/>
          </w:rPr>
          <w:fldChar w:fldCharType="end"/>
        </w:r>
      </w:hyperlink>
    </w:p>
    <w:p w14:paraId="693E046D" w14:textId="77777777" w:rsidR="00226730" w:rsidRPr="00540929" w:rsidRDefault="00226730" w:rsidP="00D32EA7">
      <w:pPr>
        <w:pStyle w:val="TOCContinued"/>
      </w:pPr>
      <w:r>
        <w:t>CONTENTS</w:t>
      </w:r>
      <w:r w:rsidRPr="00540929">
        <w:t xml:space="preserve"> (Continued)</w:t>
      </w:r>
    </w:p>
    <w:p w14:paraId="2280B4D8" w14:textId="3EBE4BBD" w:rsidR="00226730" w:rsidRDefault="003251DE">
      <w:pPr>
        <w:pStyle w:val="TOC1"/>
        <w:rPr>
          <w:rFonts w:asciiTheme="minorHAnsi" w:eastAsiaTheme="minorEastAsia" w:hAnsiTheme="minorHAnsi" w:cstheme="minorBidi"/>
          <w:b w:val="0"/>
          <w:caps w:val="0"/>
          <w:color w:val="auto"/>
          <w:spacing w:val="0"/>
          <w:sz w:val="22"/>
          <w:szCs w:val="22"/>
          <w:lang w:eastAsia="en-AU"/>
        </w:rPr>
      </w:pPr>
      <w:hyperlink w:anchor="_Toc97807797" w:history="1">
        <w:r w:rsidR="00226730" w:rsidRPr="00C80444">
          <w:rPr>
            <w:rStyle w:val="Hyperlink"/>
          </w:rPr>
          <w:t>4</w:t>
        </w:r>
        <w:r w:rsidR="00226730">
          <w:rPr>
            <w:rFonts w:asciiTheme="minorHAnsi" w:eastAsiaTheme="minorEastAsia" w:hAnsiTheme="minorHAnsi" w:cstheme="minorBidi"/>
            <w:b w:val="0"/>
            <w:caps w:val="0"/>
            <w:color w:val="auto"/>
            <w:spacing w:val="0"/>
            <w:sz w:val="22"/>
            <w:szCs w:val="22"/>
            <w:lang w:eastAsia="en-AU"/>
          </w:rPr>
          <w:tab/>
        </w:r>
        <w:r w:rsidR="00226730" w:rsidRPr="00C80444">
          <w:rPr>
            <w:rStyle w:val="Hyperlink"/>
          </w:rPr>
          <w:t>Principles For National Approach</w:t>
        </w:r>
        <w:r w:rsidR="00226730">
          <w:rPr>
            <w:webHidden/>
          </w:rPr>
          <w:tab/>
        </w:r>
        <w:r w:rsidR="00226730">
          <w:rPr>
            <w:webHidden/>
          </w:rPr>
          <w:fldChar w:fldCharType="begin"/>
        </w:r>
        <w:r w:rsidR="00226730">
          <w:rPr>
            <w:webHidden/>
          </w:rPr>
          <w:instrText xml:space="preserve"> PAGEREF _Toc97807797 \h </w:instrText>
        </w:r>
        <w:r w:rsidR="00226730">
          <w:rPr>
            <w:webHidden/>
          </w:rPr>
        </w:r>
        <w:r w:rsidR="00226730">
          <w:rPr>
            <w:webHidden/>
          </w:rPr>
          <w:fldChar w:fldCharType="separate"/>
        </w:r>
        <w:r w:rsidR="00A34B27">
          <w:rPr>
            <w:webHidden/>
          </w:rPr>
          <w:t>42</w:t>
        </w:r>
        <w:r w:rsidR="00226730">
          <w:rPr>
            <w:webHidden/>
          </w:rPr>
          <w:fldChar w:fldCharType="end"/>
        </w:r>
      </w:hyperlink>
    </w:p>
    <w:p w14:paraId="3EA699FC" w14:textId="4AC3E66A"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98" w:history="1">
        <w:r w:rsidR="00226730" w:rsidRPr="00C80444">
          <w:rPr>
            <w:rStyle w:val="Hyperlink"/>
          </w:rPr>
          <w:t>A.</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Engagement between governments and industry (specifically vehicle manufacturers), and agreement built on shared understanding of issues, are key to developing an interoperable C-ITS ecosystem</w:t>
        </w:r>
        <w:r w:rsidR="00226730">
          <w:rPr>
            <w:webHidden/>
          </w:rPr>
          <w:tab/>
        </w:r>
        <w:r w:rsidR="00226730">
          <w:rPr>
            <w:webHidden/>
          </w:rPr>
          <w:fldChar w:fldCharType="begin"/>
        </w:r>
        <w:r w:rsidR="00226730">
          <w:rPr>
            <w:webHidden/>
          </w:rPr>
          <w:instrText xml:space="preserve"> PAGEREF _Toc97807798 \h </w:instrText>
        </w:r>
        <w:r w:rsidR="00226730">
          <w:rPr>
            <w:webHidden/>
          </w:rPr>
        </w:r>
        <w:r w:rsidR="00226730">
          <w:rPr>
            <w:webHidden/>
          </w:rPr>
          <w:fldChar w:fldCharType="separate"/>
        </w:r>
        <w:r w:rsidR="00A34B27">
          <w:rPr>
            <w:webHidden/>
          </w:rPr>
          <w:t>43</w:t>
        </w:r>
        <w:r w:rsidR="00226730">
          <w:rPr>
            <w:webHidden/>
          </w:rPr>
          <w:fldChar w:fldCharType="end"/>
        </w:r>
      </w:hyperlink>
    </w:p>
    <w:p w14:paraId="186E3862" w14:textId="2715C9BF"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799" w:history="1">
        <w:r w:rsidR="00226730" w:rsidRPr="00C80444">
          <w:rPr>
            <w:rStyle w:val="Hyperlink"/>
          </w:rPr>
          <w:t>B.</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Uplifting digital capability in people and infrastructure will support informed agencies, service providers and road users</w:t>
        </w:r>
        <w:r w:rsidR="00226730">
          <w:rPr>
            <w:webHidden/>
          </w:rPr>
          <w:tab/>
        </w:r>
        <w:r w:rsidR="00226730">
          <w:rPr>
            <w:webHidden/>
          </w:rPr>
          <w:fldChar w:fldCharType="begin"/>
        </w:r>
        <w:r w:rsidR="00226730">
          <w:rPr>
            <w:webHidden/>
          </w:rPr>
          <w:instrText xml:space="preserve"> PAGEREF _Toc97807799 \h </w:instrText>
        </w:r>
        <w:r w:rsidR="00226730">
          <w:rPr>
            <w:webHidden/>
          </w:rPr>
        </w:r>
        <w:r w:rsidR="00226730">
          <w:rPr>
            <w:webHidden/>
          </w:rPr>
          <w:fldChar w:fldCharType="separate"/>
        </w:r>
        <w:r w:rsidR="00A34B27">
          <w:rPr>
            <w:webHidden/>
          </w:rPr>
          <w:t>44</w:t>
        </w:r>
        <w:r w:rsidR="00226730">
          <w:rPr>
            <w:webHidden/>
          </w:rPr>
          <w:fldChar w:fldCharType="end"/>
        </w:r>
      </w:hyperlink>
    </w:p>
    <w:p w14:paraId="5775C74A" w14:textId="5C4ED7BE"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800" w:history="1">
        <w:r w:rsidR="00226730" w:rsidRPr="00C80444">
          <w:rPr>
            <w:rStyle w:val="Hyperlink"/>
          </w:rPr>
          <w:t>C.</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Standards combined with infrastructure availability provide a platform for interoperability and long-term operational deployment</w:t>
        </w:r>
        <w:r w:rsidR="00226730">
          <w:rPr>
            <w:webHidden/>
          </w:rPr>
          <w:tab/>
        </w:r>
        <w:r w:rsidR="00226730">
          <w:rPr>
            <w:webHidden/>
          </w:rPr>
          <w:fldChar w:fldCharType="begin"/>
        </w:r>
        <w:r w:rsidR="00226730">
          <w:rPr>
            <w:webHidden/>
          </w:rPr>
          <w:instrText xml:space="preserve"> PAGEREF _Toc97807800 \h </w:instrText>
        </w:r>
        <w:r w:rsidR="00226730">
          <w:rPr>
            <w:webHidden/>
          </w:rPr>
        </w:r>
        <w:r w:rsidR="00226730">
          <w:rPr>
            <w:webHidden/>
          </w:rPr>
          <w:fldChar w:fldCharType="separate"/>
        </w:r>
        <w:r w:rsidR="00A34B27">
          <w:rPr>
            <w:webHidden/>
          </w:rPr>
          <w:t>45</w:t>
        </w:r>
        <w:r w:rsidR="00226730">
          <w:rPr>
            <w:webHidden/>
          </w:rPr>
          <w:fldChar w:fldCharType="end"/>
        </w:r>
      </w:hyperlink>
    </w:p>
    <w:p w14:paraId="5C6B4ADB" w14:textId="3593AB37"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801" w:history="1">
        <w:r w:rsidR="00226730" w:rsidRPr="00C80444">
          <w:rPr>
            <w:rStyle w:val="Hyperlink"/>
          </w:rPr>
          <w:t>D.</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Early focus on specific public benefit use cases can realise targeted benefits and help accelerate establishment of the ecosystem</w:t>
        </w:r>
        <w:r w:rsidR="00226730">
          <w:rPr>
            <w:webHidden/>
          </w:rPr>
          <w:tab/>
        </w:r>
        <w:r w:rsidR="00226730">
          <w:rPr>
            <w:webHidden/>
          </w:rPr>
          <w:fldChar w:fldCharType="begin"/>
        </w:r>
        <w:r w:rsidR="00226730">
          <w:rPr>
            <w:webHidden/>
          </w:rPr>
          <w:instrText xml:space="preserve"> PAGEREF _Toc97807801 \h </w:instrText>
        </w:r>
        <w:r w:rsidR="00226730">
          <w:rPr>
            <w:webHidden/>
          </w:rPr>
        </w:r>
        <w:r w:rsidR="00226730">
          <w:rPr>
            <w:webHidden/>
          </w:rPr>
          <w:fldChar w:fldCharType="separate"/>
        </w:r>
        <w:r w:rsidR="00A34B27">
          <w:rPr>
            <w:webHidden/>
          </w:rPr>
          <w:t>47</w:t>
        </w:r>
        <w:r w:rsidR="00226730">
          <w:rPr>
            <w:webHidden/>
          </w:rPr>
          <w:fldChar w:fldCharType="end"/>
        </w:r>
      </w:hyperlink>
    </w:p>
    <w:p w14:paraId="1B239FC2" w14:textId="3A4E178E"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802" w:history="1">
        <w:r w:rsidR="00226730" w:rsidRPr="00C80444">
          <w:rPr>
            <w:rStyle w:val="Hyperlink"/>
          </w:rPr>
          <w:t>E.</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A foundational ecosystem should allow for future growth and flexibility to accommodate a range of business models</w:t>
        </w:r>
        <w:r w:rsidR="00226730">
          <w:rPr>
            <w:webHidden/>
          </w:rPr>
          <w:tab/>
        </w:r>
        <w:r w:rsidR="00226730">
          <w:rPr>
            <w:webHidden/>
          </w:rPr>
          <w:fldChar w:fldCharType="begin"/>
        </w:r>
        <w:r w:rsidR="00226730">
          <w:rPr>
            <w:webHidden/>
          </w:rPr>
          <w:instrText xml:space="preserve"> PAGEREF _Toc97807802 \h </w:instrText>
        </w:r>
        <w:r w:rsidR="00226730">
          <w:rPr>
            <w:webHidden/>
          </w:rPr>
        </w:r>
        <w:r w:rsidR="00226730">
          <w:rPr>
            <w:webHidden/>
          </w:rPr>
          <w:fldChar w:fldCharType="separate"/>
        </w:r>
        <w:r w:rsidR="00A34B27">
          <w:rPr>
            <w:webHidden/>
          </w:rPr>
          <w:t>49</w:t>
        </w:r>
        <w:r w:rsidR="00226730">
          <w:rPr>
            <w:webHidden/>
          </w:rPr>
          <w:fldChar w:fldCharType="end"/>
        </w:r>
      </w:hyperlink>
    </w:p>
    <w:p w14:paraId="40B4940B" w14:textId="1BF6D2D4" w:rsidR="00226730" w:rsidRDefault="003251DE">
      <w:pPr>
        <w:pStyle w:val="TOC1"/>
        <w:rPr>
          <w:rFonts w:asciiTheme="minorHAnsi" w:eastAsiaTheme="minorEastAsia" w:hAnsiTheme="minorHAnsi" w:cstheme="minorBidi"/>
          <w:b w:val="0"/>
          <w:caps w:val="0"/>
          <w:color w:val="auto"/>
          <w:spacing w:val="0"/>
          <w:sz w:val="22"/>
          <w:szCs w:val="22"/>
          <w:lang w:eastAsia="en-AU"/>
        </w:rPr>
      </w:pPr>
      <w:hyperlink w:anchor="_Toc97807803" w:history="1">
        <w:r w:rsidR="00226730" w:rsidRPr="00C80444">
          <w:rPr>
            <w:rStyle w:val="Hyperlink"/>
          </w:rPr>
          <w:t>5</w:t>
        </w:r>
        <w:r w:rsidR="00226730">
          <w:rPr>
            <w:rFonts w:asciiTheme="minorHAnsi" w:eastAsiaTheme="minorEastAsia" w:hAnsiTheme="minorHAnsi" w:cstheme="minorBidi"/>
            <w:b w:val="0"/>
            <w:caps w:val="0"/>
            <w:color w:val="auto"/>
            <w:spacing w:val="0"/>
            <w:sz w:val="22"/>
            <w:szCs w:val="22"/>
            <w:lang w:eastAsia="en-AU"/>
          </w:rPr>
          <w:tab/>
        </w:r>
        <w:r w:rsidR="00226730" w:rsidRPr="00C80444">
          <w:rPr>
            <w:rStyle w:val="Hyperlink"/>
          </w:rPr>
          <w:t>The Road Ahead</w:t>
        </w:r>
        <w:r w:rsidR="00226730">
          <w:rPr>
            <w:webHidden/>
          </w:rPr>
          <w:tab/>
        </w:r>
        <w:r w:rsidR="00226730">
          <w:rPr>
            <w:webHidden/>
          </w:rPr>
          <w:fldChar w:fldCharType="begin"/>
        </w:r>
        <w:r w:rsidR="00226730">
          <w:rPr>
            <w:webHidden/>
          </w:rPr>
          <w:instrText xml:space="preserve"> PAGEREF _Toc97807803 \h </w:instrText>
        </w:r>
        <w:r w:rsidR="00226730">
          <w:rPr>
            <w:webHidden/>
          </w:rPr>
        </w:r>
        <w:r w:rsidR="00226730">
          <w:rPr>
            <w:webHidden/>
          </w:rPr>
          <w:fldChar w:fldCharType="separate"/>
        </w:r>
        <w:r w:rsidR="00A34B27">
          <w:rPr>
            <w:webHidden/>
          </w:rPr>
          <w:t>50</w:t>
        </w:r>
        <w:r w:rsidR="00226730">
          <w:rPr>
            <w:webHidden/>
          </w:rPr>
          <w:fldChar w:fldCharType="end"/>
        </w:r>
      </w:hyperlink>
    </w:p>
    <w:p w14:paraId="6AA0372C" w14:textId="71116040"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804" w:history="1">
        <w:r w:rsidR="00226730" w:rsidRPr="00C80444">
          <w:rPr>
            <w:rStyle w:val="Hyperlink"/>
          </w:rPr>
          <w:t>5.1</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National Framework and Shared Understanding</w:t>
        </w:r>
        <w:r w:rsidR="00226730">
          <w:rPr>
            <w:webHidden/>
          </w:rPr>
          <w:tab/>
        </w:r>
        <w:r w:rsidR="00226730">
          <w:rPr>
            <w:webHidden/>
          </w:rPr>
          <w:fldChar w:fldCharType="begin"/>
        </w:r>
        <w:r w:rsidR="00226730">
          <w:rPr>
            <w:webHidden/>
          </w:rPr>
          <w:instrText xml:space="preserve"> PAGEREF _Toc97807804 \h </w:instrText>
        </w:r>
        <w:r w:rsidR="00226730">
          <w:rPr>
            <w:webHidden/>
          </w:rPr>
        </w:r>
        <w:r w:rsidR="00226730">
          <w:rPr>
            <w:webHidden/>
          </w:rPr>
          <w:fldChar w:fldCharType="separate"/>
        </w:r>
        <w:r w:rsidR="00A34B27">
          <w:rPr>
            <w:webHidden/>
          </w:rPr>
          <w:t>51</w:t>
        </w:r>
        <w:r w:rsidR="00226730">
          <w:rPr>
            <w:webHidden/>
          </w:rPr>
          <w:fldChar w:fldCharType="end"/>
        </w:r>
      </w:hyperlink>
    </w:p>
    <w:p w14:paraId="1F717046" w14:textId="076F6CD2"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805" w:history="1">
        <w:r w:rsidR="00226730" w:rsidRPr="00C80444">
          <w:rPr>
            <w:rStyle w:val="Hyperlink"/>
          </w:rPr>
          <w:t>5.2</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Technical Certainty</w:t>
        </w:r>
        <w:r w:rsidR="00226730">
          <w:rPr>
            <w:webHidden/>
          </w:rPr>
          <w:tab/>
        </w:r>
        <w:r w:rsidR="00226730">
          <w:rPr>
            <w:webHidden/>
          </w:rPr>
          <w:fldChar w:fldCharType="begin"/>
        </w:r>
        <w:r w:rsidR="00226730">
          <w:rPr>
            <w:webHidden/>
          </w:rPr>
          <w:instrText xml:space="preserve"> PAGEREF _Toc97807805 \h </w:instrText>
        </w:r>
        <w:r w:rsidR="00226730">
          <w:rPr>
            <w:webHidden/>
          </w:rPr>
        </w:r>
        <w:r w:rsidR="00226730">
          <w:rPr>
            <w:webHidden/>
          </w:rPr>
          <w:fldChar w:fldCharType="separate"/>
        </w:r>
        <w:r w:rsidR="00A34B27">
          <w:rPr>
            <w:webHidden/>
          </w:rPr>
          <w:t>52</w:t>
        </w:r>
        <w:r w:rsidR="00226730">
          <w:rPr>
            <w:webHidden/>
          </w:rPr>
          <w:fldChar w:fldCharType="end"/>
        </w:r>
      </w:hyperlink>
    </w:p>
    <w:p w14:paraId="5DECE660" w14:textId="38679E00"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806" w:history="1">
        <w:r w:rsidR="00226730" w:rsidRPr="00C80444">
          <w:rPr>
            <w:rStyle w:val="Hyperlink"/>
          </w:rPr>
          <w:t>5.3</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No Regrets Use Cases</w:t>
        </w:r>
        <w:r w:rsidR="00226730">
          <w:rPr>
            <w:webHidden/>
          </w:rPr>
          <w:tab/>
        </w:r>
        <w:r w:rsidR="00226730">
          <w:rPr>
            <w:webHidden/>
          </w:rPr>
          <w:fldChar w:fldCharType="begin"/>
        </w:r>
        <w:r w:rsidR="00226730">
          <w:rPr>
            <w:webHidden/>
          </w:rPr>
          <w:instrText xml:space="preserve"> PAGEREF _Toc97807806 \h </w:instrText>
        </w:r>
        <w:r w:rsidR="00226730">
          <w:rPr>
            <w:webHidden/>
          </w:rPr>
        </w:r>
        <w:r w:rsidR="00226730">
          <w:rPr>
            <w:webHidden/>
          </w:rPr>
          <w:fldChar w:fldCharType="separate"/>
        </w:r>
        <w:r w:rsidR="00A34B27">
          <w:rPr>
            <w:webHidden/>
          </w:rPr>
          <w:t>55</w:t>
        </w:r>
        <w:r w:rsidR="00226730">
          <w:rPr>
            <w:webHidden/>
          </w:rPr>
          <w:fldChar w:fldCharType="end"/>
        </w:r>
      </w:hyperlink>
    </w:p>
    <w:p w14:paraId="644ECC83" w14:textId="030EC145"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807" w:history="1">
        <w:r w:rsidR="00226730" w:rsidRPr="00C80444">
          <w:rPr>
            <w:rStyle w:val="Hyperlink"/>
          </w:rPr>
          <w:t>5.4</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The role of Government</w:t>
        </w:r>
        <w:r w:rsidR="00226730">
          <w:rPr>
            <w:webHidden/>
          </w:rPr>
          <w:tab/>
        </w:r>
        <w:r w:rsidR="00226730">
          <w:rPr>
            <w:webHidden/>
          </w:rPr>
          <w:fldChar w:fldCharType="begin"/>
        </w:r>
        <w:r w:rsidR="00226730">
          <w:rPr>
            <w:webHidden/>
          </w:rPr>
          <w:instrText xml:space="preserve"> PAGEREF _Toc97807807 \h </w:instrText>
        </w:r>
        <w:r w:rsidR="00226730">
          <w:rPr>
            <w:webHidden/>
          </w:rPr>
        </w:r>
        <w:r w:rsidR="00226730">
          <w:rPr>
            <w:webHidden/>
          </w:rPr>
          <w:fldChar w:fldCharType="separate"/>
        </w:r>
        <w:r w:rsidR="00A34B27">
          <w:rPr>
            <w:webHidden/>
          </w:rPr>
          <w:t>56</w:t>
        </w:r>
        <w:r w:rsidR="00226730">
          <w:rPr>
            <w:webHidden/>
          </w:rPr>
          <w:fldChar w:fldCharType="end"/>
        </w:r>
      </w:hyperlink>
    </w:p>
    <w:p w14:paraId="3E089D0D" w14:textId="2A8734B8" w:rsidR="00226730" w:rsidRDefault="003251DE">
      <w:pPr>
        <w:pStyle w:val="TOC2"/>
        <w:rPr>
          <w:rFonts w:asciiTheme="minorHAnsi" w:eastAsiaTheme="minorEastAsia" w:hAnsiTheme="minorHAnsi" w:cstheme="minorBidi"/>
          <w:b w:val="0"/>
          <w:caps w:val="0"/>
          <w:color w:val="auto"/>
          <w:sz w:val="22"/>
          <w:szCs w:val="22"/>
          <w:lang w:eastAsia="en-AU"/>
        </w:rPr>
      </w:pPr>
      <w:hyperlink w:anchor="_Toc97807808" w:history="1">
        <w:r w:rsidR="00226730" w:rsidRPr="00C80444">
          <w:rPr>
            <w:rStyle w:val="Hyperlink"/>
          </w:rPr>
          <w:t>5.5</w:t>
        </w:r>
        <w:r w:rsidR="00226730">
          <w:rPr>
            <w:rFonts w:asciiTheme="minorHAnsi" w:eastAsiaTheme="minorEastAsia" w:hAnsiTheme="minorHAnsi" w:cstheme="minorBidi"/>
            <w:b w:val="0"/>
            <w:caps w:val="0"/>
            <w:color w:val="auto"/>
            <w:sz w:val="22"/>
            <w:szCs w:val="22"/>
            <w:lang w:eastAsia="en-AU"/>
          </w:rPr>
          <w:tab/>
        </w:r>
        <w:r w:rsidR="00226730" w:rsidRPr="00C80444">
          <w:rPr>
            <w:rStyle w:val="Hyperlink"/>
          </w:rPr>
          <w:t>Kickstarting A National C-ITS Ecosystem</w:t>
        </w:r>
        <w:r w:rsidR="00226730">
          <w:rPr>
            <w:webHidden/>
          </w:rPr>
          <w:tab/>
        </w:r>
        <w:r w:rsidR="00226730">
          <w:rPr>
            <w:webHidden/>
          </w:rPr>
          <w:fldChar w:fldCharType="begin"/>
        </w:r>
        <w:r w:rsidR="00226730">
          <w:rPr>
            <w:webHidden/>
          </w:rPr>
          <w:instrText xml:space="preserve"> PAGEREF _Toc97807808 \h </w:instrText>
        </w:r>
        <w:r w:rsidR="00226730">
          <w:rPr>
            <w:webHidden/>
          </w:rPr>
        </w:r>
        <w:r w:rsidR="00226730">
          <w:rPr>
            <w:webHidden/>
          </w:rPr>
          <w:fldChar w:fldCharType="separate"/>
        </w:r>
        <w:r w:rsidR="00A34B27">
          <w:rPr>
            <w:webHidden/>
          </w:rPr>
          <w:t>57</w:t>
        </w:r>
        <w:r w:rsidR="00226730">
          <w:rPr>
            <w:webHidden/>
          </w:rPr>
          <w:fldChar w:fldCharType="end"/>
        </w:r>
      </w:hyperlink>
    </w:p>
    <w:p w14:paraId="6B7DBEEE" w14:textId="7A27FE38" w:rsidR="00226730" w:rsidRDefault="003251DE">
      <w:pPr>
        <w:pStyle w:val="TOC1"/>
        <w:rPr>
          <w:rFonts w:asciiTheme="minorHAnsi" w:eastAsiaTheme="minorEastAsia" w:hAnsiTheme="minorHAnsi" w:cstheme="minorBidi"/>
          <w:b w:val="0"/>
          <w:caps w:val="0"/>
          <w:color w:val="auto"/>
          <w:spacing w:val="0"/>
          <w:sz w:val="22"/>
          <w:szCs w:val="22"/>
          <w:lang w:eastAsia="en-AU"/>
        </w:rPr>
      </w:pPr>
      <w:hyperlink w:anchor="_Toc97807809" w:history="1">
        <w:r w:rsidR="00226730" w:rsidRPr="00C80444">
          <w:rPr>
            <w:rStyle w:val="Hyperlink"/>
          </w:rPr>
          <w:t>6</w:t>
        </w:r>
        <w:r w:rsidR="00226730">
          <w:rPr>
            <w:rFonts w:asciiTheme="minorHAnsi" w:eastAsiaTheme="minorEastAsia" w:hAnsiTheme="minorHAnsi" w:cstheme="minorBidi"/>
            <w:b w:val="0"/>
            <w:caps w:val="0"/>
            <w:color w:val="auto"/>
            <w:spacing w:val="0"/>
            <w:sz w:val="22"/>
            <w:szCs w:val="22"/>
            <w:lang w:eastAsia="en-AU"/>
          </w:rPr>
          <w:tab/>
        </w:r>
        <w:r w:rsidR="00226730" w:rsidRPr="00C80444">
          <w:rPr>
            <w:rStyle w:val="Hyperlink"/>
          </w:rPr>
          <w:t>Conclusion</w:t>
        </w:r>
        <w:r w:rsidR="00226730">
          <w:rPr>
            <w:webHidden/>
          </w:rPr>
          <w:tab/>
        </w:r>
        <w:r w:rsidR="00226730">
          <w:rPr>
            <w:webHidden/>
          </w:rPr>
          <w:fldChar w:fldCharType="begin"/>
        </w:r>
        <w:r w:rsidR="00226730">
          <w:rPr>
            <w:webHidden/>
          </w:rPr>
          <w:instrText xml:space="preserve"> PAGEREF _Toc97807809 \h </w:instrText>
        </w:r>
        <w:r w:rsidR="00226730">
          <w:rPr>
            <w:webHidden/>
          </w:rPr>
        </w:r>
        <w:r w:rsidR="00226730">
          <w:rPr>
            <w:webHidden/>
          </w:rPr>
          <w:fldChar w:fldCharType="separate"/>
        </w:r>
        <w:r w:rsidR="00A34B27">
          <w:rPr>
            <w:webHidden/>
          </w:rPr>
          <w:t>59</w:t>
        </w:r>
        <w:r w:rsidR="00226730">
          <w:rPr>
            <w:webHidden/>
          </w:rPr>
          <w:fldChar w:fldCharType="end"/>
        </w:r>
      </w:hyperlink>
    </w:p>
    <w:p w14:paraId="5212AE0A" w14:textId="0D8F5282" w:rsidR="00226730" w:rsidRDefault="003251DE">
      <w:pPr>
        <w:pStyle w:val="TOC1"/>
        <w:rPr>
          <w:rFonts w:asciiTheme="minorHAnsi" w:eastAsiaTheme="minorEastAsia" w:hAnsiTheme="minorHAnsi" w:cstheme="minorBidi"/>
          <w:b w:val="0"/>
          <w:caps w:val="0"/>
          <w:color w:val="auto"/>
          <w:spacing w:val="0"/>
          <w:sz w:val="22"/>
          <w:szCs w:val="22"/>
          <w:lang w:eastAsia="en-AU"/>
        </w:rPr>
      </w:pPr>
      <w:hyperlink w:anchor="_Toc97807810" w:history="1">
        <w:r w:rsidR="00226730" w:rsidRPr="00C80444">
          <w:rPr>
            <w:rStyle w:val="Hyperlink"/>
          </w:rPr>
          <w:t>References</w:t>
        </w:r>
        <w:r w:rsidR="00226730">
          <w:rPr>
            <w:webHidden/>
          </w:rPr>
          <w:tab/>
        </w:r>
        <w:r w:rsidR="00226730">
          <w:rPr>
            <w:webHidden/>
          </w:rPr>
          <w:fldChar w:fldCharType="begin"/>
        </w:r>
        <w:r w:rsidR="00226730">
          <w:rPr>
            <w:webHidden/>
          </w:rPr>
          <w:instrText xml:space="preserve"> PAGEREF _Toc97807810 \h </w:instrText>
        </w:r>
        <w:r w:rsidR="00226730">
          <w:rPr>
            <w:webHidden/>
          </w:rPr>
        </w:r>
        <w:r w:rsidR="00226730">
          <w:rPr>
            <w:webHidden/>
          </w:rPr>
          <w:fldChar w:fldCharType="separate"/>
        </w:r>
        <w:r w:rsidR="00A34B27">
          <w:rPr>
            <w:webHidden/>
          </w:rPr>
          <w:t>60</w:t>
        </w:r>
        <w:r w:rsidR="00226730">
          <w:rPr>
            <w:webHidden/>
          </w:rPr>
          <w:fldChar w:fldCharType="end"/>
        </w:r>
      </w:hyperlink>
    </w:p>
    <w:p w14:paraId="670C2791" w14:textId="31AB9FF5" w:rsidR="00D74941" w:rsidRPr="005764FC" w:rsidRDefault="00495E71" w:rsidP="00A87F03">
      <w:pPr>
        <w:pStyle w:val="BodyText"/>
        <w:rPr>
          <w:rFonts w:asciiTheme="majorHAnsi" w:eastAsiaTheme="minorHAnsi" w:hAnsiTheme="majorHAnsi"/>
          <w:color w:val="F9423A" w:themeColor="text2"/>
          <w:spacing w:val="-10"/>
          <w:szCs w:val="24"/>
          <w:lang w:eastAsia="fr-CA"/>
        </w:rPr>
      </w:pPr>
      <w:r w:rsidRPr="005764FC">
        <w:rPr>
          <w:rFonts w:asciiTheme="majorHAnsi" w:eastAsiaTheme="minorHAnsi" w:hAnsiTheme="majorHAnsi"/>
          <w:color w:val="F9423A" w:themeColor="text2"/>
          <w:spacing w:val="-10"/>
          <w:szCs w:val="24"/>
          <w:lang w:eastAsia="fr-CA"/>
        </w:rPr>
        <w:fldChar w:fldCharType="end"/>
      </w:r>
    </w:p>
    <w:p w14:paraId="46CD66C7" w14:textId="4C47E0F8" w:rsidR="009D38F4" w:rsidRPr="005764FC" w:rsidRDefault="009D38F4">
      <w:pPr>
        <w:rPr>
          <w:rFonts w:eastAsiaTheme="minorHAnsi"/>
        </w:rPr>
      </w:pPr>
      <w:bookmarkStart w:id="5" w:name="_LOF"/>
      <w:r w:rsidRPr="005764FC">
        <w:rPr>
          <w:rFonts w:eastAsiaTheme="minorHAnsi"/>
        </w:rPr>
        <w:br w:type="page"/>
      </w:r>
    </w:p>
    <w:p w14:paraId="7F0F961E" w14:textId="628C98C3" w:rsidR="00495E71" w:rsidRPr="005764FC" w:rsidRDefault="00495E71" w:rsidP="00495E71">
      <w:pPr>
        <w:pStyle w:val="TOFHeading"/>
        <w:rPr>
          <w:rFonts w:eastAsiaTheme="minorHAnsi"/>
        </w:rPr>
      </w:pPr>
      <w:r w:rsidRPr="005764FC">
        <w:rPr>
          <w:rFonts w:eastAsiaTheme="minorHAnsi"/>
        </w:rPr>
        <w:t>List of tables</w:t>
      </w:r>
    </w:p>
    <w:p w14:paraId="1D7649DF" w14:textId="19D6164A" w:rsidR="00226730" w:rsidRDefault="00495E71">
      <w:pPr>
        <w:pStyle w:val="TableofFigures"/>
        <w:rPr>
          <w:rFonts w:asciiTheme="minorHAnsi" w:eastAsiaTheme="minorEastAsia" w:hAnsiTheme="minorHAnsi" w:cstheme="minorBidi"/>
          <w:caps w:val="0"/>
          <w:sz w:val="22"/>
          <w:szCs w:val="22"/>
          <w:lang w:eastAsia="en-AU"/>
        </w:rPr>
      </w:pPr>
      <w:r w:rsidRPr="005764FC">
        <w:rPr>
          <w:rFonts w:eastAsiaTheme="minorHAnsi"/>
          <w:noProof w:val="0"/>
        </w:rPr>
        <w:fldChar w:fldCharType="begin"/>
      </w:r>
      <w:r w:rsidRPr="005764FC">
        <w:rPr>
          <w:rFonts w:eastAsiaTheme="minorHAnsi"/>
          <w:noProof w:val="0"/>
        </w:rPr>
        <w:instrText xml:space="preserve"> TOC \c "Table" \w \h \* MERGEFORMAT </w:instrText>
      </w:r>
      <w:r w:rsidRPr="005764FC">
        <w:rPr>
          <w:rFonts w:eastAsiaTheme="minorHAnsi"/>
          <w:noProof w:val="0"/>
        </w:rPr>
        <w:fldChar w:fldCharType="separate"/>
      </w:r>
      <w:hyperlink w:anchor="_Toc97807811" w:history="1">
        <w:r w:rsidR="00226730" w:rsidRPr="00496B9E">
          <w:rPr>
            <w:rStyle w:val="Hyperlink"/>
          </w:rPr>
          <w:t>Table 1.1</w:t>
        </w:r>
        <w:r w:rsidR="00226730" w:rsidRPr="00496B9E">
          <w:rPr>
            <w:rStyle w:val="Hyperlink"/>
          </w:rPr>
          <w:tab/>
          <w:t>Major Australian C</w:t>
        </w:r>
        <w:r w:rsidR="00226730" w:rsidRPr="00496B9E">
          <w:rPr>
            <w:rStyle w:val="Hyperlink"/>
            <w:rFonts w:ascii="Cambria Math" w:hAnsi="Cambria Math" w:cs="Cambria Math"/>
          </w:rPr>
          <w:t>‑</w:t>
        </w:r>
        <w:r w:rsidR="00226730" w:rsidRPr="00496B9E">
          <w:rPr>
            <w:rStyle w:val="Hyperlink"/>
          </w:rPr>
          <w:t>ITS trials</w:t>
        </w:r>
        <w:r w:rsidR="00226730">
          <w:tab/>
        </w:r>
        <w:r w:rsidR="00226730">
          <w:fldChar w:fldCharType="begin"/>
        </w:r>
        <w:r w:rsidR="00226730">
          <w:instrText xml:space="preserve"> PAGEREF _Toc97807811 \h </w:instrText>
        </w:r>
        <w:r w:rsidR="00226730">
          <w:fldChar w:fldCharType="separate"/>
        </w:r>
        <w:r w:rsidR="00A34B27">
          <w:t>18</w:t>
        </w:r>
        <w:r w:rsidR="00226730">
          <w:fldChar w:fldCharType="end"/>
        </w:r>
      </w:hyperlink>
    </w:p>
    <w:p w14:paraId="5DFCB11F" w14:textId="3CDC59E9" w:rsidR="00226730" w:rsidRDefault="003251DE">
      <w:pPr>
        <w:pStyle w:val="TableofFigures"/>
        <w:rPr>
          <w:rFonts w:asciiTheme="minorHAnsi" w:eastAsiaTheme="minorEastAsia" w:hAnsiTheme="minorHAnsi" w:cstheme="minorBidi"/>
          <w:caps w:val="0"/>
          <w:sz w:val="22"/>
          <w:szCs w:val="22"/>
          <w:lang w:eastAsia="en-AU"/>
        </w:rPr>
      </w:pPr>
      <w:hyperlink w:anchor="_Toc97807812" w:history="1">
        <w:r w:rsidR="00226730" w:rsidRPr="00496B9E">
          <w:rPr>
            <w:rStyle w:val="Hyperlink"/>
          </w:rPr>
          <w:t>Table 1.2</w:t>
        </w:r>
        <w:r w:rsidR="00226730" w:rsidRPr="00496B9E">
          <w:rPr>
            <w:rStyle w:val="Hyperlink"/>
          </w:rPr>
          <w:tab/>
          <w:t>Deployment status of C</w:t>
        </w:r>
        <w:r w:rsidR="00226730" w:rsidRPr="00496B9E">
          <w:rPr>
            <w:rStyle w:val="Hyperlink"/>
            <w:rFonts w:ascii="Cambria Math" w:hAnsi="Cambria Math" w:cs="Cambria Math"/>
          </w:rPr>
          <w:t>‑</w:t>
        </w:r>
        <w:r w:rsidR="00226730" w:rsidRPr="00496B9E">
          <w:rPr>
            <w:rStyle w:val="Hyperlink"/>
          </w:rPr>
          <w:t>ITS</w:t>
        </w:r>
        <w:r w:rsidR="00226730">
          <w:tab/>
        </w:r>
        <w:r w:rsidR="00226730">
          <w:fldChar w:fldCharType="begin"/>
        </w:r>
        <w:r w:rsidR="00226730">
          <w:instrText xml:space="preserve"> PAGEREF _Toc97807812 \h </w:instrText>
        </w:r>
        <w:r w:rsidR="00226730">
          <w:fldChar w:fldCharType="separate"/>
        </w:r>
        <w:r w:rsidR="00A34B27">
          <w:t>19</w:t>
        </w:r>
        <w:r w:rsidR="00226730">
          <w:fldChar w:fldCharType="end"/>
        </w:r>
      </w:hyperlink>
    </w:p>
    <w:p w14:paraId="4223EC8B" w14:textId="725C43CA" w:rsidR="00226730" w:rsidRDefault="003251DE">
      <w:pPr>
        <w:pStyle w:val="TableofFigures"/>
        <w:rPr>
          <w:rFonts w:asciiTheme="minorHAnsi" w:eastAsiaTheme="minorEastAsia" w:hAnsiTheme="minorHAnsi" w:cstheme="minorBidi"/>
          <w:caps w:val="0"/>
          <w:sz w:val="22"/>
          <w:szCs w:val="22"/>
          <w:lang w:eastAsia="en-AU"/>
        </w:rPr>
      </w:pPr>
      <w:hyperlink w:anchor="_Toc97807813" w:history="1">
        <w:r w:rsidR="00226730" w:rsidRPr="00496B9E">
          <w:rPr>
            <w:rStyle w:val="Hyperlink"/>
          </w:rPr>
          <w:t>Table 1.3</w:t>
        </w:r>
        <w:r w:rsidR="00226730" w:rsidRPr="00496B9E">
          <w:rPr>
            <w:rStyle w:val="Hyperlink"/>
          </w:rPr>
          <w:tab/>
          <w:t>Current technical challenges</w:t>
        </w:r>
        <w:r w:rsidR="00226730">
          <w:tab/>
        </w:r>
        <w:r w:rsidR="00226730">
          <w:fldChar w:fldCharType="begin"/>
        </w:r>
        <w:r w:rsidR="00226730">
          <w:instrText xml:space="preserve"> PAGEREF _Toc97807813 \h </w:instrText>
        </w:r>
        <w:r w:rsidR="00226730">
          <w:fldChar w:fldCharType="separate"/>
        </w:r>
        <w:r w:rsidR="00A34B27">
          <w:t>22</w:t>
        </w:r>
        <w:r w:rsidR="00226730">
          <w:fldChar w:fldCharType="end"/>
        </w:r>
      </w:hyperlink>
    </w:p>
    <w:p w14:paraId="77367B1E" w14:textId="4BAD707B" w:rsidR="00226730" w:rsidRDefault="003251DE">
      <w:pPr>
        <w:pStyle w:val="TableofFigures"/>
        <w:rPr>
          <w:rFonts w:asciiTheme="minorHAnsi" w:eastAsiaTheme="minorEastAsia" w:hAnsiTheme="minorHAnsi" w:cstheme="minorBidi"/>
          <w:caps w:val="0"/>
          <w:sz w:val="22"/>
          <w:szCs w:val="22"/>
          <w:lang w:eastAsia="en-AU"/>
        </w:rPr>
      </w:pPr>
      <w:hyperlink w:anchor="_Toc97807814" w:history="1">
        <w:r w:rsidR="00226730" w:rsidRPr="00496B9E">
          <w:rPr>
            <w:rStyle w:val="Hyperlink"/>
          </w:rPr>
          <w:t>Table 2.1</w:t>
        </w:r>
        <w:r w:rsidR="00226730" w:rsidRPr="00496B9E">
          <w:rPr>
            <w:rStyle w:val="Hyperlink"/>
          </w:rPr>
          <w:tab/>
          <w:t>Options comparison</w:t>
        </w:r>
        <w:r w:rsidR="00226730">
          <w:tab/>
        </w:r>
        <w:r w:rsidR="00226730">
          <w:fldChar w:fldCharType="begin"/>
        </w:r>
        <w:r w:rsidR="00226730">
          <w:instrText xml:space="preserve"> PAGEREF _Toc97807814 \h </w:instrText>
        </w:r>
        <w:r w:rsidR="00226730">
          <w:fldChar w:fldCharType="separate"/>
        </w:r>
        <w:r w:rsidR="00A34B27">
          <w:t>30</w:t>
        </w:r>
        <w:r w:rsidR="00226730">
          <w:fldChar w:fldCharType="end"/>
        </w:r>
      </w:hyperlink>
    </w:p>
    <w:p w14:paraId="001E19F3" w14:textId="1F75B097" w:rsidR="00226730" w:rsidRDefault="003251DE">
      <w:pPr>
        <w:pStyle w:val="TableofFigures"/>
        <w:rPr>
          <w:rFonts w:asciiTheme="minorHAnsi" w:eastAsiaTheme="minorEastAsia" w:hAnsiTheme="minorHAnsi" w:cstheme="minorBidi"/>
          <w:caps w:val="0"/>
          <w:sz w:val="22"/>
          <w:szCs w:val="22"/>
          <w:lang w:eastAsia="en-AU"/>
        </w:rPr>
      </w:pPr>
      <w:hyperlink w:anchor="_Toc97807815" w:history="1">
        <w:r w:rsidR="00226730" w:rsidRPr="00496B9E">
          <w:rPr>
            <w:rStyle w:val="Hyperlink"/>
          </w:rPr>
          <w:t>Table 2.2</w:t>
        </w:r>
        <w:r w:rsidR="00226730" w:rsidRPr="00496B9E">
          <w:rPr>
            <w:rStyle w:val="Hyperlink"/>
          </w:rPr>
          <w:tab/>
          <w:t>Intervention findings</w:t>
        </w:r>
        <w:r w:rsidR="00226730">
          <w:tab/>
        </w:r>
        <w:r w:rsidR="00226730">
          <w:fldChar w:fldCharType="begin"/>
        </w:r>
        <w:r w:rsidR="00226730">
          <w:instrText xml:space="preserve"> PAGEREF _Toc97807815 \h </w:instrText>
        </w:r>
        <w:r w:rsidR="00226730">
          <w:fldChar w:fldCharType="separate"/>
        </w:r>
        <w:r w:rsidR="00A34B27">
          <w:t>31</w:t>
        </w:r>
        <w:r w:rsidR="00226730">
          <w:fldChar w:fldCharType="end"/>
        </w:r>
      </w:hyperlink>
    </w:p>
    <w:p w14:paraId="1DD6300F" w14:textId="1C8499A1" w:rsidR="00226730" w:rsidRDefault="003251DE">
      <w:pPr>
        <w:pStyle w:val="TableofFigures"/>
        <w:rPr>
          <w:rFonts w:asciiTheme="minorHAnsi" w:eastAsiaTheme="minorEastAsia" w:hAnsiTheme="minorHAnsi" w:cstheme="minorBidi"/>
          <w:caps w:val="0"/>
          <w:sz w:val="22"/>
          <w:szCs w:val="22"/>
          <w:lang w:eastAsia="en-AU"/>
        </w:rPr>
      </w:pPr>
      <w:hyperlink w:anchor="_Toc97807816" w:history="1">
        <w:r w:rsidR="00226730" w:rsidRPr="00496B9E">
          <w:rPr>
            <w:rStyle w:val="Hyperlink"/>
          </w:rPr>
          <w:t>Table 2.3</w:t>
        </w:r>
        <w:r w:rsidR="00226730" w:rsidRPr="00496B9E">
          <w:rPr>
            <w:rStyle w:val="Hyperlink"/>
          </w:rPr>
          <w:tab/>
          <w:t>Standards comparison</w:t>
        </w:r>
        <w:r w:rsidR="00226730">
          <w:tab/>
        </w:r>
        <w:r w:rsidR="00226730">
          <w:fldChar w:fldCharType="begin"/>
        </w:r>
        <w:r w:rsidR="00226730">
          <w:instrText xml:space="preserve"> PAGEREF _Toc97807816 \h </w:instrText>
        </w:r>
        <w:r w:rsidR="00226730">
          <w:fldChar w:fldCharType="separate"/>
        </w:r>
        <w:r w:rsidR="00A34B27">
          <w:t>34</w:t>
        </w:r>
        <w:r w:rsidR="00226730">
          <w:fldChar w:fldCharType="end"/>
        </w:r>
      </w:hyperlink>
    </w:p>
    <w:p w14:paraId="3CFE6C71" w14:textId="6245A2C0" w:rsidR="00226730" w:rsidRDefault="003251DE">
      <w:pPr>
        <w:pStyle w:val="TableofFigures"/>
        <w:rPr>
          <w:rFonts w:asciiTheme="minorHAnsi" w:eastAsiaTheme="minorEastAsia" w:hAnsiTheme="minorHAnsi" w:cstheme="minorBidi"/>
          <w:caps w:val="0"/>
          <w:sz w:val="22"/>
          <w:szCs w:val="22"/>
          <w:lang w:eastAsia="en-AU"/>
        </w:rPr>
      </w:pPr>
      <w:hyperlink w:anchor="_Toc97807817" w:history="1">
        <w:r w:rsidR="00226730" w:rsidRPr="00496B9E">
          <w:rPr>
            <w:rStyle w:val="Hyperlink"/>
          </w:rPr>
          <w:t>Table 2.4</w:t>
        </w:r>
        <w:r w:rsidR="00226730" w:rsidRPr="00496B9E">
          <w:rPr>
            <w:rStyle w:val="Hyperlink"/>
          </w:rPr>
          <w:tab/>
          <w:t>Standards findings</w:t>
        </w:r>
        <w:r w:rsidR="00226730">
          <w:tab/>
        </w:r>
        <w:r w:rsidR="00226730">
          <w:fldChar w:fldCharType="begin"/>
        </w:r>
        <w:r w:rsidR="00226730">
          <w:instrText xml:space="preserve"> PAGEREF _Toc97807817 \h </w:instrText>
        </w:r>
        <w:r w:rsidR="00226730">
          <w:fldChar w:fldCharType="separate"/>
        </w:r>
        <w:r w:rsidR="00A34B27">
          <w:t>35</w:t>
        </w:r>
        <w:r w:rsidR="00226730">
          <w:fldChar w:fldCharType="end"/>
        </w:r>
      </w:hyperlink>
    </w:p>
    <w:p w14:paraId="07930DBC" w14:textId="1A0C2A6C" w:rsidR="00226730" w:rsidRDefault="003251DE">
      <w:pPr>
        <w:pStyle w:val="TableofFigures"/>
        <w:rPr>
          <w:rFonts w:asciiTheme="minorHAnsi" w:eastAsiaTheme="minorEastAsia" w:hAnsiTheme="minorHAnsi" w:cstheme="minorBidi"/>
          <w:caps w:val="0"/>
          <w:sz w:val="22"/>
          <w:szCs w:val="22"/>
          <w:lang w:eastAsia="en-AU"/>
        </w:rPr>
      </w:pPr>
      <w:hyperlink w:anchor="_Toc97807818" w:history="1">
        <w:r w:rsidR="00226730" w:rsidRPr="00496B9E">
          <w:rPr>
            <w:rStyle w:val="Hyperlink"/>
          </w:rPr>
          <w:t>Table 2.5</w:t>
        </w:r>
        <w:r w:rsidR="00226730" w:rsidRPr="00496B9E">
          <w:rPr>
            <w:rStyle w:val="Hyperlink"/>
          </w:rPr>
          <w:tab/>
          <w:t>Options Comparison</w:t>
        </w:r>
        <w:r w:rsidR="00226730">
          <w:tab/>
        </w:r>
        <w:r w:rsidR="00226730">
          <w:fldChar w:fldCharType="begin"/>
        </w:r>
        <w:r w:rsidR="00226730">
          <w:instrText xml:space="preserve"> PAGEREF _Toc97807818 \h </w:instrText>
        </w:r>
        <w:r w:rsidR="00226730">
          <w:fldChar w:fldCharType="separate"/>
        </w:r>
        <w:r w:rsidR="00A34B27">
          <w:t>38</w:t>
        </w:r>
        <w:r w:rsidR="00226730">
          <w:fldChar w:fldCharType="end"/>
        </w:r>
      </w:hyperlink>
    </w:p>
    <w:p w14:paraId="2F82A13E" w14:textId="05678D46" w:rsidR="00226730" w:rsidRDefault="003251DE">
      <w:pPr>
        <w:pStyle w:val="TableofFigures"/>
        <w:rPr>
          <w:rFonts w:asciiTheme="minorHAnsi" w:eastAsiaTheme="minorEastAsia" w:hAnsiTheme="minorHAnsi" w:cstheme="minorBidi"/>
          <w:caps w:val="0"/>
          <w:sz w:val="22"/>
          <w:szCs w:val="22"/>
          <w:lang w:eastAsia="en-AU"/>
        </w:rPr>
      </w:pPr>
      <w:hyperlink w:anchor="_Toc97807819" w:history="1">
        <w:r w:rsidR="00226730" w:rsidRPr="00496B9E">
          <w:rPr>
            <w:rStyle w:val="Hyperlink"/>
          </w:rPr>
          <w:t>Table 2.6</w:t>
        </w:r>
        <w:r w:rsidR="00226730" w:rsidRPr="00496B9E">
          <w:rPr>
            <w:rStyle w:val="Hyperlink"/>
          </w:rPr>
          <w:tab/>
          <w:t>Short-range communication Findings</w:t>
        </w:r>
        <w:r w:rsidR="00226730">
          <w:tab/>
        </w:r>
        <w:r w:rsidR="00226730">
          <w:fldChar w:fldCharType="begin"/>
        </w:r>
        <w:r w:rsidR="00226730">
          <w:instrText xml:space="preserve"> PAGEREF _Toc97807819 \h </w:instrText>
        </w:r>
        <w:r w:rsidR="00226730">
          <w:fldChar w:fldCharType="separate"/>
        </w:r>
        <w:r w:rsidR="00A34B27">
          <w:t>38</w:t>
        </w:r>
        <w:r w:rsidR="00226730">
          <w:fldChar w:fldCharType="end"/>
        </w:r>
      </w:hyperlink>
    </w:p>
    <w:p w14:paraId="417086FD" w14:textId="460C1302" w:rsidR="00226730" w:rsidRDefault="003251DE">
      <w:pPr>
        <w:pStyle w:val="TableofFigures"/>
        <w:rPr>
          <w:rFonts w:asciiTheme="minorHAnsi" w:eastAsiaTheme="minorEastAsia" w:hAnsiTheme="minorHAnsi" w:cstheme="minorBidi"/>
          <w:caps w:val="0"/>
          <w:sz w:val="22"/>
          <w:szCs w:val="22"/>
          <w:lang w:eastAsia="en-AU"/>
        </w:rPr>
      </w:pPr>
      <w:hyperlink w:anchor="_Toc97807820" w:history="1">
        <w:r w:rsidR="00226730" w:rsidRPr="00496B9E">
          <w:rPr>
            <w:rStyle w:val="Hyperlink"/>
          </w:rPr>
          <w:t>Table 3.1</w:t>
        </w:r>
        <w:r w:rsidR="00226730" w:rsidRPr="00496B9E">
          <w:rPr>
            <w:rStyle w:val="Hyperlink"/>
          </w:rPr>
          <w:tab/>
          <w:t>Findings</w:t>
        </w:r>
        <w:r w:rsidR="00226730">
          <w:tab/>
        </w:r>
        <w:r w:rsidR="00226730">
          <w:fldChar w:fldCharType="begin"/>
        </w:r>
        <w:r w:rsidR="00226730">
          <w:instrText xml:space="preserve"> PAGEREF _Toc97807820 \h </w:instrText>
        </w:r>
        <w:r w:rsidR="00226730">
          <w:fldChar w:fldCharType="separate"/>
        </w:r>
        <w:r w:rsidR="00A34B27">
          <w:t>40</w:t>
        </w:r>
        <w:r w:rsidR="00226730">
          <w:fldChar w:fldCharType="end"/>
        </w:r>
      </w:hyperlink>
    </w:p>
    <w:p w14:paraId="14F76BFC" w14:textId="78E1476A" w:rsidR="00226730" w:rsidRDefault="003251DE">
      <w:pPr>
        <w:pStyle w:val="TableofFigures"/>
        <w:rPr>
          <w:rFonts w:asciiTheme="minorHAnsi" w:eastAsiaTheme="minorEastAsia" w:hAnsiTheme="minorHAnsi" w:cstheme="minorBidi"/>
          <w:caps w:val="0"/>
          <w:sz w:val="22"/>
          <w:szCs w:val="22"/>
          <w:lang w:eastAsia="en-AU"/>
        </w:rPr>
      </w:pPr>
      <w:hyperlink w:anchor="_Toc97807821" w:history="1">
        <w:r w:rsidR="00226730" w:rsidRPr="00496B9E">
          <w:rPr>
            <w:rStyle w:val="Hyperlink"/>
          </w:rPr>
          <w:t>Table 5.1</w:t>
        </w:r>
        <w:r w:rsidR="00226730" w:rsidRPr="00496B9E">
          <w:rPr>
            <w:rStyle w:val="Hyperlink"/>
          </w:rPr>
          <w:tab/>
          <w:t>Technical next steps</w:t>
        </w:r>
        <w:r w:rsidR="00226730">
          <w:tab/>
        </w:r>
        <w:r w:rsidR="00226730">
          <w:fldChar w:fldCharType="begin"/>
        </w:r>
        <w:r w:rsidR="00226730">
          <w:instrText xml:space="preserve"> PAGEREF _Toc97807821 \h </w:instrText>
        </w:r>
        <w:r w:rsidR="00226730">
          <w:fldChar w:fldCharType="separate"/>
        </w:r>
        <w:r w:rsidR="00A34B27">
          <w:t>52</w:t>
        </w:r>
        <w:r w:rsidR="00226730">
          <w:fldChar w:fldCharType="end"/>
        </w:r>
      </w:hyperlink>
    </w:p>
    <w:p w14:paraId="24A8E03F" w14:textId="72F64E61" w:rsidR="00495E71" w:rsidRPr="005764FC" w:rsidRDefault="00495E71" w:rsidP="00495E71">
      <w:pPr>
        <w:rPr>
          <w:rFonts w:eastAsiaTheme="minorHAnsi"/>
        </w:rPr>
      </w:pPr>
      <w:r w:rsidRPr="005764FC">
        <w:rPr>
          <w:rFonts w:eastAsiaTheme="minorHAnsi"/>
        </w:rPr>
        <w:fldChar w:fldCharType="end"/>
      </w:r>
    </w:p>
    <w:p w14:paraId="61B5EC80" w14:textId="1B3EE802" w:rsidR="00495E71" w:rsidRPr="005764FC" w:rsidRDefault="00495E71" w:rsidP="00495E71">
      <w:pPr>
        <w:pStyle w:val="TOFHeading"/>
        <w:rPr>
          <w:rFonts w:eastAsiaTheme="minorHAnsi"/>
        </w:rPr>
      </w:pPr>
      <w:r w:rsidRPr="005764FC">
        <w:rPr>
          <w:rFonts w:eastAsiaTheme="minorHAnsi"/>
        </w:rPr>
        <w:t>List of figures</w:t>
      </w:r>
    </w:p>
    <w:p w14:paraId="03FEB1C4" w14:textId="6FCEC443" w:rsidR="00226730" w:rsidRDefault="00495E71">
      <w:pPr>
        <w:pStyle w:val="TableofFigures"/>
        <w:rPr>
          <w:rFonts w:asciiTheme="minorHAnsi" w:eastAsiaTheme="minorEastAsia" w:hAnsiTheme="minorHAnsi" w:cstheme="minorBidi"/>
          <w:caps w:val="0"/>
          <w:sz w:val="22"/>
          <w:szCs w:val="22"/>
          <w:lang w:eastAsia="en-AU"/>
        </w:rPr>
      </w:pPr>
      <w:r w:rsidRPr="005764FC">
        <w:rPr>
          <w:rFonts w:eastAsiaTheme="minorHAnsi"/>
          <w:noProof w:val="0"/>
        </w:rPr>
        <w:fldChar w:fldCharType="begin"/>
      </w:r>
      <w:r w:rsidRPr="005764FC">
        <w:rPr>
          <w:rFonts w:eastAsiaTheme="minorHAnsi"/>
          <w:noProof w:val="0"/>
        </w:rPr>
        <w:instrText xml:space="preserve"> TOC \c "Figure" \w \h \* MERGEFORMAT </w:instrText>
      </w:r>
      <w:r w:rsidRPr="005764FC">
        <w:rPr>
          <w:rFonts w:eastAsiaTheme="minorHAnsi"/>
          <w:noProof w:val="0"/>
        </w:rPr>
        <w:fldChar w:fldCharType="separate"/>
      </w:r>
      <w:hyperlink w:anchor="_Toc97807822" w:history="1">
        <w:r w:rsidR="00226730" w:rsidRPr="00F318FC">
          <w:rPr>
            <w:rStyle w:val="Hyperlink"/>
          </w:rPr>
          <w:t>Figure 1.1</w:t>
        </w:r>
        <w:r w:rsidR="00226730" w:rsidRPr="00F318FC">
          <w:rPr>
            <w:rStyle w:val="Hyperlink"/>
          </w:rPr>
          <w:tab/>
          <w:t>Example C-ITS roadworks use case</w:t>
        </w:r>
        <w:r w:rsidR="00226730">
          <w:tab/>
        </w:r>
        <w:r w:rsidR="00226730">
          <w:fldChar w:fldCharType="begin"/>
        </w:r>
        <w:r w:rsidR="00226730">
          <w:instrText xml:space="preserve"> PAGEREF _Toc97807822 \h </w:instrText>
        </w:r>
        <w:r w:rsidR="00226730">
          <w:fldChar w:fldCharType="separate"/>
        </w:r>
        <w:r w:rsidR="00A34B27">
          <w:t>2</w:t>
        </w:r>
        <w:r w:rsidR="00226730">
          <w:fldChar w:fldCharType="end"/>
        </w:r>
      </w:hyperlink>
    </w:p>
    <w:p w14:paraId="5CF65C9B" w14:textId="05EC1B94" w:rsidR="00226730" w:rsidRDefault="003251DE">
      <w:pPr>
        <w:pStyle w:val="TableofFigures"/>
        <w:rPr>
          <w:rFonts w:asciiTheme="minorHAnsi" w:eastAsiaTheme="minorEastAsia" w:hAnsiTheme="minorHAnsi" w:cstheme="minorBidi"/>
          <w:caps w:val="0"/>
          <w:sz w:val="22"/>
          <w:szCs w:val="22"/>
          <w:lang w:eastAsia="en-AU"/>
        </w:rPr>
      </w:pPr>
      <w:hyperlink w:anchor="_Toc97807823" w:history="1">
        <w:r w:rsidR="00226730" w:rsidRPr="00F318FC">
          <w:rPr>
            <w:rStyle w:val="Hyperlink"/>
          </w:rPr>
          <w:t>Figure 1.2</w:t>
        </w:r>
        <w:r w:rsidR="00226730" w:rsidRPr="00F318FC">
          <w:rPr>
            <w:rStyle w:val="Hyperlink"/>
          </w:rPr>
          <w:tab/>
          <w:t>All road deaths (left) and number of deaths by road user (right): 12-month total Australia</w:t>
        </w:r>
        <w:r w:rsidR="00226730">
          <w:tab/>
        </w:r>
        <w:r w:rsidR="00226730">
          <w:fldChar w:fldCharType="begin"/>
        </w:r>
        <w:r w:rsidR="00226730">
          <w:instrText xml:space="preserve"> PAGEREF _Toc97807823 \h </w:instrText>
        </w:r>
        <w:r w:rsidR="00226730">
          <w:fldChar w:fldCharType="separate"/>
        </w:r>
        <w:r w:rsidR="00A34B27">
          <w:t>3</w:t>
        </w:r>
        <w:r w:rsidR="00226730">
          <w:fldChar w:fldCharType="end"/>
        </w:r>
      </w:hyperlink>
    </w:p>
    <w:p w14:paraId="724B8D2F" w14:textId="4243CBFE" w:rsidR="00226730" w:rsidRDefault="003251DE">
      <w:pPr>
        <w:pStyle w:val="TableofFigures"/>
        <w:rPr>
          <w:rFonts w:asciiTheme="minorHAnsi" w:eastAsiaTheme="minorEastAsia" w:hAnsiTheme="minorHAnsi" w:cstheme="minorBidi"/>
          <w:caps w:val="0"/>
          <w:sz w:val="22"/>
          <w:szCs w:val="22"/>
          <w:lang w:eastAsia="en-AU"/>
        </w:rPr>
      </w:pPr>
      <w:hyperlink w:anchor="_Toc97807824" w:history="1">
        <w:r w:rsidR="00226730" w:rsidRPr="00F318FC">
          <w:rPr>
            <w:rStyle w:val="Hyperlink"/>
          </w:rPr>
          <w:t>Figure 1.3</w:t>
        </w:r>
        <w:r w:rsidR="00226730" w:rsidRPr="00F318FC">
          <w:rPr>
            <w:rStyle w:val="Hyperlink"/>
          </w:rPr>
          <w:tab/>
          <w:t>National Road Safety Strategy 2011–2020 statistical progress towards fatality target</w:t>
        </w:r>
        <w:r w:rsidR="00226730">
          <w:tab/>
        </w:r>
        <w:r w:rsidR="00226730">
          <w:fldChar w:fldCharType="begin"/>
        </w:r>
        <w:r w:rsidR="00226730">
          <w:instrText xml:space="preserve"> PAGEREF _Toc97807824 \h </w:instrText>
        </w:r>
        <w:r w:rsidR="00226730">
          <w:fldChar w:fldCharType="separate"/>
        </w:r>
        <w:r w:rsidR="00A34B27">
          <w:t>3</w:t>
        </w:r>
        <w:r w:rsidR="00226730">
          <w:fldChar w:fldCharType="end"/>
        </w:r>
      </w:hyperlink>
    </w:p>
    <w:p w14:paraId="57742CF9" w14:textId="15C71F4E" w:rsidR="00226730" w:rsidRDefault="003251DE">
      <w:pPr>
        <w:pStyle w:val="TableofFigures"/>
        <w:rPr>
          <w:rFonts w:asciiTheme="minorHAnsi" w:eastAsiaTheme="minorEastAsia" w:hAnsiTheme="minorHAnsi" w:cstheme="minorBidi"/>
          <w:caps w:val="0"/>
          <w:sz w:val="22"/>
          <w:szCs w:val="22"/>
          <w:lang w:eastAsia="en-AU"/>
        </w:rPr>
      </w:pPr>
      <w:hyperlink w:anchor="_Toc97807825" w:history="1">
        <w:r w:rsidR="00226730" w:rsidRPr="00F318FC">
          <w:rPr>
            <w:rStyle w:val="Hyperlink"/>
          </w:rPr>
          <w:t>Figure 1.4</w:t>
        </w:r>
        <w:r w:rsidR="00226730" w:rsidRPr="00F318FC">
          <w:rPr>
            <w:rStyle w:val="Hyperlink"/>
          </w:rPr>
          <w:tab/>
          <w:t>Private-vehicle passenger kilometres travelled in capital cities since 1999–2000</w:t>
        </w:r>
        <w:r w:rsidR="00226730">
          <w:tab/>
        </w:r>
        <w:r w:rsidR="00226730">
          <w:fldChar w:fldCharType="begin"/>
        </w:r>
        <w:r w:rsidR="00226730">
          <w:instrText xml:space="preserve"> PAGEREF _Toc97807825 \h </w:instrText>
        </w:r>
        <w:r w:rsidR="00226730">
          <w:fldChar w:fldCharType="separate"/>
        </w:r>
        <w:r w:rsidR="00A34B27">
          <w:t>4</w:t>
        </w:r>
        <w:r w:rsidR="00226730">
          <w:fldChar w:fldCharType="end"/>
        </w:r>
      </w:hyperlink>
    </w:p>
    <w:p w14:paraId="1EEE31B0" w14:textId="4CA9BA1B" w:rsidR="00226730" w:rsidRDefault="003251DE">
      <w:pPr>
        <w:pStyle w:val="TableofFigures"/>
        <w:rPr>
          <w:rFonts w:asciiTheme="minorHAnsi" w:eastAsiaTheme="minorEastAsia" w:hAnsiTheme="minorHAnsi" w:cstheme="minorBidi"/>
          <w:caps w:val="0"/>
          <w:sz w:val="22"/>
          <w:szCs w:val="22"/>
          <w:lang w:eastAsia="en-AU"/>
        </w:rPr>
      </w:pPr>
      <w:hyperlink w:anchor="_Toc97807826" w:history="1">
        <w:r w:rsidR="00226730" w:rsidRPr="00F318FC">
          <w:rPr>
            <w:rStyle w:val="Hyperlink"/>
          </w:rPr>
          <w:t>Figure 1.5</w:t>
        </w:r>
        <w:r w:rsidR="00226730" w:rsidRPr="00F318FC">
          <w:rPr>
            <w:rStyle w:val="Hyperlink"/>
          </w:rPr>
          <w:tab/>
          <w:t>Average travel speeds across arterial networks in major capital cities 2013-2018 (all hours by year)</w:t>
        </w:r>
        <w:r w:rsidR="00226730">
          <w:tab/>
        </w:r>
        <w:r w:rsidR="00226730">
          <w:fldChar w:fldCharType="begin"/>
        </w:r>
        <w:r w:rsidR="00226730">
          <w:instrText xml:space="preserve"> PAGEREF _Toc97807826 \h </w:instrText>
        </w:r>
        <w:r w:rsidR="00226730">
          <w:fldChar w:fldCharType="separate"/>
        </w:r>
        <w:r w:rsidR="00A34B27">
          <w:t>4</w:t>
        </w:r>
        <w:r w:rsidR="00226730">
          <w:fldChar w:fldCharType="end"/>
        </w:r>
      </w:hyperlink>
    </w:p>
    <w:p w14:paraId="32F4EFA0" w14:textId="39D2F658" w:rsidR="00226730" w:rsidRDefault="003251DE">
      <w:pPr>
        <w:pStyle w:val="TableofFigures"/>
        <w:rPr>
          <w:rFonts w:asciiTheme="minorHAnsi" w:eastAsiaTheme="minorEastAsia" w:hAnsiTheme="minorHAnsi" w:cstheme="minorBidi"/>
          <w:caps w:val="0"/>
          <w:sz w:val="22"/>
          <w:szCs w:val="22"/>
          <w:lang w:eastAsia="en-AU"/>
        </w:rPr>
      </w:pPr>
      <w:hyperlink w:anchor="_Toc97807827" w:history="1">
        <w:r w:rsidR="00226730" w:rsidRPr="00F318FC">
          <w:rPr>
            <w:rStyle w:val="Hyperlink"/>
          </w:rPr>
          <w:t>Figure 1.6</w:t>
        </w:r>
        <w:r w:rsidR="00226730" w:rsidRPr="00F318FC">
          <w:rPr>
            <w:rStyle w:val="Hyperlink"/>
          </w:rPr>
          <w:tab/>
          <w:t>National Road Safety Strategy Priorities</w:t>
        </w:r>
        <w:r w:rsidR="00226730">
          <w:tab/>
        </w:r>
        <w:r w:rsidR="00226730">
          <w:fldChar w:fldCharType="begin"/>
        </w:r>
        <w:r w:rsidR="00226730">
          <w:instrText xml:space="preserve"> PAGEREF _Toc97807827 \h </w:instrText>
        </w:r>
        <w:r w:rsidR="00226730">
          <w:fldChar w:fldCharType="separate"/>
        </w:r>
        <w:r w:rsidR="00A34B27">
          <w:t>5</w:t>
        </w:r>
        <w:r w:rsidR="00226730">
          <w:fldChar w:fldCharType="end"/>
        </w:r>
      </w:hyperlink>
    </w:p>
    <w:p w14:paraId="799999EC" w14:textId="024F1555" w:rsidR="00226730" w:rsidRDefault="003251DE">
      <w:pPr>
        <w:pStyle w:val="TableofFigures"/>
        <w:rPr>
          <w:rFonts w:asciiTheme="minorHAnsi" w:eastAsiaTheme="minorEastAsia" w:hAnsiTheme="minorHAnsi" w:cstheme="minorBidi"/>
          <w:caps w:val="0"/>
          <w:sz w:val="22"/>
          <w:szCs w:val="22"/>
          <w:lang w:eastAsia="en-AU"/>
        </w:rPr>
      </w:pPr>
      <w:hyperlink w:anchor="_Toc97807828" w:history="1">
        <w:r w:rsidR="00226730" w:rsidRPr="00F318FC">
          <w:rPr>
            <w:rStyle w:val="Hyperlink"/>
          </w:rPr>
          <w:t>Figure 1.7</w:t>
        </w:r>
        <w:r w:rsidR="00226730" w:rsidRPr="00F318FC">
          <w:rPr>
            <w:rStyle w:val="Hyperlink"/>
          </w:rPr>
          <w:tab/>
          <w:t>Key Challenge Areas for C</w:t>
        </w:r>
        <w:r w:rsidR="00226730" w:rsidRPr="00F318FC">
          <w:rPr>
            <w:rStyle w:val="Hyperlink"/>
            <w:rFonts w:ascii="Cambria Math" w:hAnsi="Cambria Math" w:cs="Cambria Math"/>
          </w:rPr>
          <w:t>‑</w:t>
        </w:r>
        <w:r w:rsidR="00226730" w:rsidRPr="00F318FC">
          <w:rPr>
            <w:rStyle w:val="Hyperlink"/>
          </w:rPr>
          <w:t>ITS</w:t>
        </w:r>
        <w:r w:rsidR="00226730">
          <w:tab/>
        </w:r>
        <w:r w:rsidR="00226730">
          <w:fldChar w:fldCharType="begin"/>
        </w:r>
        <w:r w:rsidR="00226730">
          <w:instrText xml:space="preserve"> PAGEREF _Toc97807828 \h </w:instrText>
        </w:r>
        <w:r w:rsidR="00226730">
          <w:fldChar w:fldCharType="separate"/>
        </w:r>
        <w:r w:rsidR="00A34B27">
          <w:t>6</w:t>
        </w:r>
        <w:r w:rsidR="00226730">
          <w:fldChar w:fldCharType="end"/>
        </w:r>
      </w:hyperlink>
    </w:p>
    <w:p w14:paraId="14B2F9E8" w14:textId="15183E30" w:rsidR="00226730" w:rsidRDefault="003251DE">
      <w:pPr>
        <w:pStyle w:val="TableofFigures"/>
        <w:rPr>
          <w:rFonts w:asciiTheme="minorHAnsi" w:eastAsiaTheme="minorEastAsia" w:hAnsiTheme="minorHAnsi" w:cstheme="minorBidi"/>
          <w:caps w:val="0"/>
          <w:sz w:val="22"/>
          <w:szCs w:val="22"/>
          <w:lang w:eastAsia="en-AU"/>
        </w:rPr>
      </w:pPr>
      <w:hyperlink w:anchor="_Toc97807829" w:history="1">
        <w:r w:rsidR="00226730" w:rsidRPr="00F318FC">
          <w:rPr>
            <w:rStyle w:val="Hyperlink"/>
          </w:rPr>
          <w:t>Figure 1.8</w:t>
        </w:r>
        <w:r w:rsidR="00226730" w:rsidRPr="00F318FC">
          <w:rPr>
            <w:rStyle w:val="Hyperlink"/>
          </w:rPr>
          <w:tab/>
          <w:t>The hybrid model with capability to share data through short-range and long-range communications</w:t>
        </w:r>
        <w:r w:rsidR="00226730">
          <w:tab/>
        </w:r>
        <w:r w:rsidR="00226730">
          <w:fldChar w:fldCharType="begin"/>
        </w:r>
        <w:r w:rsidR="00226730">
          <w:instrText xml:space="preserve"> PAGEREF _Toc97807829 \h </w:instrText>
        </w:r>
        <w:r w:rsidR="00226730">
          <w:fldChar w:fldCharType="separate"/>
        </w:r>
        <w:r w:rsidR="00A34B27">
          <w:t>8</w:t>
        </w:r>
        <w:r w:rsidR="00226730">
          <w:fldChar w:fldCharType="end"/>
        </w:r>
      </w:hyperlink>
    </w:p>
    <w:p w14:paraId="312A06D5" w14:textId="1E553611" w:rsidR="00226730" w:rsidRDefault="003251DE">
      <w:pPr>
        <w:pStyle w:val="TableofFigures"/>
        <w:rPr>
          <w:rFonts w:asciiTheme="minorHAnsi" w:eastAsiaTheme="minorEastAsia" w:hAnsiTheme="minorHAnsi" w:cstheme="minorBidi"/>
          <w:caps w:val="0"/>
          <w:sz w:val="22"/>
          <w:szCs w:val="22"/>
          <w:lang w:eastAsia="en-AU"/>
        </w:rPr>
      </w:pPr>
      <w:hyperlink w:anchor="_Toc97807830" w:history="1">
        <w:r w:rsidR="00226730" w:rsidRPr="00F318FC">
          <w:rPr>
            <w:rStyle w:val="Hyperlink"/>
          </w:rPr>
          <w:t>Figure 1.9</w:t>
        </w:r>
        <w:r w:rsidR="00226730" w:rsidRPr="00F318FC">
          <w:rPr>
            <w:rStyle w:val="Hyperlink"/>
          </w:rPr>
          <w:tab/>
          <w:t>Project methodology</w:t>
        </w:r>
        <w:r w:rsidR="00226730">
          <w:tab/>
        </w:r>
        <w:r w:rsidR="00226730">
          <w:fldChar w:fldCharType="begin"/>
        </w:r>
        <w:r w:rsidR="00226730">
          <w:instrText xml:space="preserve"> PAGEREF _Toc97807830 \h </w:instrText>
        </w:r>
        <w:r w:rsidR="00226730">
          <w:fldChar w:fldCharType="separate"/>
        </w:r>
        <w:r w:rsidR="00A34B27">
          <w:t>8</w:t>
        </w:r>
        <w:r w:rsidR="00226730">
          <w:fldChar w:fldCharType="end"/>
        </w:r>
      </w:hyperlink>
    </w:p>
    <w:p w14:paraId="3454F325" w14:textId="3BB18915" w:rsidR="00226730" w:rsidRDefault="003251DE">
      <w:pPr>
        <w:pStyle w:val="TableofFigures"/>
        <w:rPr>
          <w:rFonts w:asciiTheme="minorHAnsi" w:eastAsiaTheme="minorEastAsia" w:hAnsiTheme="minorHAnsi" w:cstheme="minorBidi"/>
          <w:caps w:val="0"/>
          <w:sz w:val="22"/>
          <w:szCs w:val="22"/>
          <w:lang w:eastAsia="en-AU"/>
        </w:rPr>
      </w:pPr>
      <w:hyperlink w:anchor="_Toc97807831" w:history="1">
        <w:r w:rsidR="00226730" w:rsidRPr="00F318FC">
          <w:rPr>
            <w:rStyle w:val="Hyperlink"/>
          </w:rPr>
          <w:t>Figure 1.10</w:t>
        </w:r>
        <w:r w:rsidR="00226730" w:rsidRPr="00F318FC">
          <w:rPr>
            <w:rStyle w:val="Hyperlink"/>
          </w:rPr>
          <w:tab/>
          <w:t>Use cases considered (definitions provided in Section B)</w:t>
        </w:r>
        <w:r w:rsidR="00226730">
          <w:tab/>
        </w:r>
        <w:r w:rsidR="00226730">
          <w:fldChar w:fldCharType="begin"/>
        </w:r>
        <w:r w:rsidR="00226730">
          <w:instrText xml:space="preserve"> PAGEREF _Toc97807831 \h </w:instrText>
        </w:r>
        <w:r w:rsidR="00226730">
          <w:fldChar w:fldCharType="separate"/>
        </w:r>
        <w:r w:rsidR="00A34B27">
          <w:t>9</w:t>
        </w:r>
        <w:r w:rsidR="00226730">
          <w:fldChar w:fldCharType="end"/>
        </w:r>
      </w:hyperlink>
    </w:p>
    <w:p w14:paraId="3A009D25" w14:textId="78D05010" w:rsidR="00226730" w:rsidRDefault="003251DE">
      <w:pPr>
        <w:pStyle w:val="TableofFigures"/>
        <w:rPr>
          <w:rFonts w:asciiTheme="minorHAnsi" w:eastAsiaTheme="minorEastAsia" w:hAnsiTheme="minorHAnsi" w:cstheme="minorBidi"/>
          <w:caps w:val="0"/>
          <w:sz w:val="22"/>
          <w:szCs w:val="22"/>
          <w:lang w:eastAsia="en-AU"/>
        </w:rPr>
      </w:pPr>
      <w:hyperlink w:anchor="_Toc97807832" w:history="1">
        <w:r w:rsidR="00226730" w:rsidRPr="00F318FC">
          <w:rPr>
            <w:rStyle w:val="Hyperlink"/>
          </w:rPr>
          <w:t>Figure 1.11</w:t>
        </w:r>
        <w:r w:rsidR="00226730" w:rsidRPr="00F318FC">
          <w:rPr>
            <w:rStyle w:val="Hyperlink"/>
          </w:rPr>
          <w:tab/>
          <w:t>Progressive deployment of C</w:t>
        </w:r>
        <w:r w:rsidR="00226730" w:rsidRPr="00F318FC">
          <w:rPr>
            <w:rStyle w:val="Hyperlink"/>
            <w:rFonts w:ascii="Cambria Math" w:hAnsi="Cambria Math" w:cs="Cambria Math"/>
          </w:rPr>
          <w:t>‑</w:t>
        </w:r>
        <w:r w:rsidR="00226730" w:rsidRPr="00F318FC">
          <w:rPr>
            <w:rStyle w:val="Hyperlink"/>
          </w:rPr>
          <w:t>ITS</w:t>
        </w:r>
        <w:r w:rsidR="00226730">
          <w:tab/>
        </w:r>
        <w:r w:rsidR="00226730">
          <w:fldChar w:fldCharType="begin"/>
        </w:r>
        <w:r w:rsidR="00226730">
          <w:instrText xml:space="preserve"> PAGEREF _Toc97807832 \h </w:instrText>
        </w:r>
        <w:r w:rsidR="00226730">
          <w:fldChar w:fldCharType="separate"/>
        </w:r>
        <w:r w:rsidR="00A34B27">
          <w:t>10</w:t>
        </w:r>
        <w:r w:rsidR="00226730">
          <w:fldChar w:fldCharType="end"/>
        </w:r>
      </w:hyperlink>
    </w:p>
    <w:p w14:paraId="449971F4" w14:textId="0DB07D11" w:rsidR="00226730" w:rsidRDefault="003251DE">
      <w:pPr>
        <w:pStyle w:val="TableofFigures"/>
        <w:rPr>
          <w:rFonts w:asciiTheme="minorHAnsi" w:eastAsiaTheme="minorEastAsia" w:hAnsiTheme="minorHAnsi" w:cstheme="minorBidi"/>
          <w:caps w:val="0"/>
          <w:sz w:val="22"/>
          <w:szCs w:val="22"/>
          <w:lang w:eastAsia="en-AU"/>
        </w:rPr>
      </w:pPr>
      <w:hyperlink w:anchor="_Toc97807833" w:history="1">
        <w:r w:rsidR="00226730" w:rsidRPr="00F318FC">
          <w:rPr>
            <w:rStyle w:val="Hyperlink"/>
          </w:rPr>
          <w:t>Figure 1.12</w:t>
        </w:r>
        <w:r w:rsidR="00226730" w:rsidRPr="00F318FC">
          <w:rPr>
            <w:rStyle w:val="Hyperlink"/>
          </w:rPr>
          <w:tab/>
          <w:t>Components of C</w:t>
        </w:r>
        <w:r w:rsidR="00226730" w:rsidRPr="00F318FC">
          <w:rPr>
            <w:rStyle w:val="Hyperlink"/>
            <w:rFonts w:ascii="Cambria Math" w:hAnsi="Cambria Math" w:cs="Cambria Math"/>
          </w:rPr>
          <w:t>‑</w:t>
        </w:r>
        <w:r w:rsidR="00226730" w:rsidRPr="00F318FC">
          <w:rPr>
            <w:rStyle w:val="Hyperlink"/>
          </w:rPr>
          <w:t>ITS</w:t>
        </w:r>
        <w:r w:rsidR="00226730">
          <w:tab/>
        </w:r>
        <w:r w:rsidR="00226730">
          <w:fldChar w:fldCharType="begin"/>
        </w:r>
        <w:r w:rsidR="00226730">
          <w:instrText xml:space="preserve"> PAGEREF _Toc97807833 \h </w:instrText>
        </w:r>
        <w:r w:rsidR="00226730">
          <w:fldChar w:fldCharType="separate"/>
        </w:r>
        <w:r w:rsidR="00A34B27">
          <w:t>11</w:t>
        </w:r>
        <w:r w:rsidR="00226730">
          <w:fldChar w:fldCharType="end"/>
        </w:r>
      </w:hyperlink>
    </w:p>
    <w:p w14:paraId="4DB56B7E" w14:textId="00AB8E71" w:rsidR="00226730" w:rsidRDefault="003251DE">
      <w:pPr>
        <w:pStyle w:val="TableofFigures"/>
        <w:rPr>
          <w:rFonts w:asciiTheme="minorHAnsi" w:eastAsiaTheme="minorEastAsia" w:hAnsiTheme="minorHAnsi" w:cstheme="minorBidi"/>
          <w:caps w:val="0"/>
          <w:sz w:val="22"/>
          <w:szCs w:val="22"/>
          <w:lang w:eastAsia="en-AU"/>
        </w:rPr>
      </w:pPr>
      <w:hyperlink w:anchor="_Toc97807834" w:history="1">
        <w:r w:rsidR="00226730" w:rsidRPr="00F318FC">
          <w:rPr>
            <w:rStyle w:val="Hyperlink"/>
          </w:rPr>
          <w:t>Figure 1.13</w:t>
        </w:r>
        <w:r w:rsidR="00226730" w:rsidRPr="00F318FC">
          <w:rPr>
            <w:rStyle w:val="Hyperlink"/>
          </w:rPr>
          <w:tab/>
          <w:t>High-Level Causal Loop</w:t>
        </w:r>
        <w:r w:rsidR="00226730">
          <w:tab/>
        </w:r>
        <w:r w:rsidR="00226730">
          <w:fldChar w:fldCharType="begin"/>
        </w:r>
        <w:r w:rsidR="00226730">
          <w:instrText xml:space="preserve"> PAGEREF _Toc97807834 \h </w:instrText>
        </w:r>
        <w:r w:rsidR="00226730">
          <w:fldChar w:fldCharType="separate"/>
        </w:r>
        <w:r w:rsidR="00A34B27">
          <w:t>13</w:t>
        </w:r>
        <w:r w:rsidR="00226730">
          <w:fldChar w:fldCharType="end"/>
        </w:r>
      </w:hyperlink>
    </w:p>
    <w:p w14:paraId="43E9900C" w14:textId="79BBD8C2" w:rsidR="00226730" w:rsidRDefault="003251DE">
      <w:pPr>
        <w:pStyle w:val="TableofFigures"/>
        <w:rPr>
          <w:rFonts w:asciiTheme="minorHAnsi" w:eastAsiaTheme="minorEastAsia" w:hAnsiTheme="minorHAnsi" w:cstheme="minorBidi"/>
          <w:caps w:val="0"/>
          <w:sz w:val="22"/>
          <w:szCs w:val="22"/>
          <w:lang w:eastAsia="en-AU"/>
        </w:rPr>
      </w:pPr>
      <w:hyperlink w:anchor="_Toc97807835" w:history="1">
        <w:r w:rsidR="00226730" w:rsidRPr="00F318FC">
          <w:rPr>
            <w:rStyle w:val="Hyperlink"/>
          </w:rPr>
          <w:t>Figure 1.14</w:t>
        </w:r>
        <w:r w:rsidR="00226730" w:rsidRPr="00F318FC">
          <w:rPr>
            <w:rStyle w:val="Hyperlink"/>
          </w:rPr>
          <w:tab/>
          <w:t>Starting point for potential C</w:t>
        </w:r>
        <w:r w:rsidR="00226730" w:rsidRPr="00F318FC">
          <w:rPr>
            <w:rStyle w:val="Hyperlink"/>
            <w:rFonts w:ascii="Cambria Math" w:hAnsi="Cambria Math" w:cs="Cambria Math"/>
          </w:rPr>
          <w:t>‑</w:t>
        </w:r>
        <w:r w:rsidR="00226730" w:rsidRPr="00F318FC">
          <w:rPr>
            <w:rStyle w:val="Hyperlink"/>
          </w:rPr>
          <w:t>ITS options (freight scenario)</w:t>
        </w:r>
        <w:r w:rsidR="00226730">
          <w:tab/>
        </w:r>
        <w:r w:rsidR="00226730">
          <w:fldChar w:fldCharType="begin"/>
        </w:r>
        <w:r w:rsidR="00226730">
          <w:instrText xml:space="preserve"> PAGEREF _Toc97807835 \h </w:instrText>
        </w:r>
        <w:r w:rsidR="00226730">
          <w:fldChar w:fldCharType="separate"/>
        </w:r>
        <w:r w:rsidR="00A34B27">
          <w:t>13</w:t>
        </w:r>
        <w:r w:rsidR="00226730">
          <w:fldChar w:fldCharType="end"/>
        </w:r>
      </w:hyperlink>
    </w:p>
    <w:p w14:paraId="7247FCF0" w14:textId="22B40B19" w:rsidR="00226730" w:rsidRDefault="003251DE">
      <w:pPr>
        <w:pStyle w:val="TableofFigures"/>
        <w:rPr>
          <w:rFonts w:asciiTheme="minorHAnsi" w:eastAsiaTheme="minorEastAsia" w:hAnsiTheme="minorHAnsi" w:cstheme="minorBidi"/>
          <w:caps w:val="0"/>
          <w:sz w:val="22"/>
          <w:szCs w:val="22"/>
          <w:lang w:eastAsia="en-AU"/>
        </w:rPr>
      </w:pPr>
      <w:hyperlink w:anchor="_Toc97807836" w:history="1">
        <w:r w:rsidR="00226730" w:rsidRPr="00F318FC">
          <w:rPr>
            <w:rStyle w:val="Hyperlink"/>
          </w:rPr>
          <w:t>Figure 1.15</w:t>
        </w:r>
        <w:r w:rsidR="00226730" w:rsidRPr="00F318FC">
          <w:rPr>
            <w:rStyle w:val="Hyperlink"/>
          </w:rPr>
          <w:tab/>
          <w:t>Cost-Benefit analysis options and results</w:t>
        </w:r>
        <w:r w:rsidR="00226730">
          <w:tab/>
        </w:r>
        <w:r w:rsidR="00226730">
          <w:fldChar w:fldCharType="begin"/>
        </w:r>
        <w:r w:rsidR="00226730">
          <w:instrText xml:space="preserve"> PAGEREF _Toc97807836 \h </w:instrText>
        </w:r>
        <w:r w:rsidR="00226730">
          <w:fldChar w:fldCharType="separate"/>
        </w:r>
        <w:r w:rsidR="00A34B27">
          <w:t>15</w:t>
        </w:r>
        <w:r w:rsidR="00226730">
          <w:fldChar w:fldCharType="end"/>
        </w:r>
      </w:hyperlink>
    </w:p>
    <w:p w14:paraId="4EBF888F" w14:textId="45014467" w:rsidR="00226730" w:rsidRDefault="003251DE">
      <w:pPr>
        <w:pStyle w:val="TableofFigures"/>
        <w:rPr>
          <w:rStyle w:val="Hyperlink"/>
        </w:rPr>
      </w:pPr>
      <w:hyperlink w:anchor="_Toc97807837" w:history="1">
        <w:r w:rsidR="00226730" w:rsidRPr="00F318FC">
          <w:rPr>
            <w:rStyle w:val="Hyperlink"/>
          </w:rPr>
          <w:t>Figure 1.16</w:t>
        </w:r>
        <w:r w:rsidR="00226730" w:rsidRPr="00F318FC">
          <w:rPr>
            <w:rStyle w:val="Hyperlink"/>
          </w:rPr>
          <w:tab/>
          <w:t>Total cost by option (all values in $2021 AUD)</w:t>
        </w:r>
        <w:r w:rsidR="00226730">
          <w:tab/>
        </w:r>
        <w:r w:rsidR="00226730">
          <w:fldChar w:fldCharType="begin"/>
        </w:r>
        <w:r w:rsidR="00226730">
          <w:instrText xml:space="preserve"> PAGEREF _Toc97807837 \h </w:instrText>
        </w:r>
        <w:r w:rsidR="00226730">
          <w:fldChar w:fldCharType="separate"/>
        </w:r>
        <w:r w:rsidR="00A34B27">
          <w:t>15</w:t>
        </w:r>
        <w:r w:rsidR="00226730">
          <w:fldChar w:fldCharType="end"/>
        </w:r>
      </w:hyperlink>
    </w:p>
    <w:p w14:paraId="1202601E" w14:textId="77777777" w:rsidR="00226730" w:rsidRPr="005764FC" w:rsidRDefault="00226730" w:rsidP="00226730">
      <w:pPr>
        <w:pStyle w:val="TOFHeading"/>
        <w:rPr>
          <w:rFonts w:eastAsiaTheme="minorHAnsi"/>
          <w:noProof/>
        </w:rPr>
      </w:pPr>
      <w:r w:rsidRPr="005764FC">
        <w:rPr>
          <w:rFonts w:eastAsiaTheme="minorHAnsi"/>
          <w:noProof/>
        </w:rPr>
        <w:t>List of figures</w:t>
      </w:r>
      <w:r>
        <w:rPr>
          <w:rFonts w:eastAsiaTheme="minorHAnsi"/>
          <w:noProof/>
        </w:rPr>
        <w:t xml:space="preserve"> (continued)</w:t>
      </w:r>
    </w:p>
    <w:p w14:paraId="24E6BC14" w14:textId="7DFE7A52" w:rsidR="00226730" w:rsidRDefault="003251DE">
      <w:pPr>
        <w:pStyle w:val="TableofFigures"/>
        <w:rPr>
          <w:rFonts w:asciiTheme="minorHAnsi" w:eastAsiaTheme="minorEastAsia" w:hAnsiTheme="minorHAnsi" w:cstheme="minorBidi"/>
          <w:caps w:val="0"/>
          <w:sz w:val="22"/>
          <w:szCs w:val="22"/>
          <w:lang w:eastAsia="en-AU"/>
        </w:rPr>
      </w:pPr>
      <w:hyperlink w:anchor="_Toc97807838" w:history="1">
        <w:r w:rsidR="00226730" w:rsidRPr="00F318FC">
          <w:rPr>
            <w:rStyle w:val="Hyperlink"/>
          </w:rPr>
          <w:t>Figure 1.17</w:t>
        </w:r>
        <w:r w:rsidR="00226730" w:rsidRPr="00F318FC">
          <w:rPr>
            <w:rStyle w:val="Hyperlink"/>
          </w:rPr>
          <w:tab/>
          <w:t>Maximum annual safety benefit by project option and vehicle type (2021 dollars)</w:t>
        </w:r>
        <w:r w:rsidR="00226730">
          <w:tab/>
        </w:r>
        <w:r w:rsidR="00226730">
          <w:fldChar w:fldCharType="begin"/>
        </w:r>
        <w:r w:rsidR="00226730">
          <w:instrText xml:space="preserve"> PAGEREF _Toc97807838 \h </w:instrText>
        </w:r>
        <w:r w:rsidR="00226730">
          <w:fldChar w:fldCharType="separate"/>
        </w:r>
        <w:r w:rsidR="00A34B27">
          <w:t>16</w:t>
        </w:r>
        <w:r w:rsidR="00226730">
          <w:fldChar w:fldCharType="end"/>
        </w:r>
      </w:hyperlink>
    </w:p>
    <w:p w14:paraId="42CA14D8" w14:textId="06F5B293" w:rsidR="00226730" w:rsidRDefault="003251DE">
      <w:pPr>
        <w:pStyle w:val="TableofFigures"/>
        <w:rPr>
          <w:rFonts w:asciiTheme="minorHAnsi" w:eastAsiaTheme="minorEastAsia" w:hAnsiTheme="minorHAnsi" w:cstheme="minorBidi"/>
          <w:caps w:val="0"/>
          <w:sz w:val="22"/>
          <w:szCs w:val="22"/>
          <w:lang w:eastAsia="en-AU"/>
        </w:rPr>
      </w:pPr>
      <w:hyperlink w:anchor="_Toc97807839" w:history="1">
        <w:r w:rsidR="00226730" w:rsidRPr="00F318FC">
          <w:rPr>
            <w:rStyle w:val="Hyperlink"/>
          </w:rPr>
          <w:t>Figure 1.18</w:t>
        </w:r>
        <w:r w:rsidR="00226730" w:rsidRPr="00F318FC">
          <w:rPr>
            <w:rStyle w:val="Hyperlink"/>
          </w:rPr>
          <w:tab/>
          <w:t>Maximum benefit from travel time savings in 2032 by project option and vehicle type (2021 dollars)</w:t>
        </w:r>
        <w:r w:rsidR="00226730">
          <w:tab/>
        </w:r>
        <w:r w:rsidR="00226730">
          <w:fldChar w:fldCharType="begin"/>
        </w:r>
        <w:r w:rsidR="00226730">
          <w:instrText xml:space="preserve"> PAGEREF _Toc97807839 \h </w:instrText>
        </w:r>
        <w:r w:rsidR="00226730">
          <w:fldChar w:fldCharType="separate"/>
        </w:r>
        <w:r w:rsidR="00A34B27">
          <w:t>16</w:t>
        </w:r>
        <w:r w:rsidR="00226730">
          <w:fldChar w:fldCharType="end"/>
        </w:r>
      </w:hyperlink>
    </w:p>
    <w:p w14:paraId="5D8E8A8B" w14:textId="4A5E5F05" w:rsidR="00226730" w:rsidRDefault="003251DE">
      <w:pPr>
        <w:pStyle w:val="TableofFigures"/>
        <w:rPr>
          <w:rFonts w:asciiTheme="minorHAnsi" w:eastAsiaTheme="minorEastAsia" w:hAnsiTheme="minorHAnsi" w:cstheme="minorBidi"/>
          <w:caps w:val="0"/>
          <w:sz w:val="22"/>
          <w:szCs w:val="22"/>
          <w:lang w:eastAsia="en-AU"/>
        </w:rPr>
      </w:pPr>
      <w:hyperlink w:anchor="_Toc97807840" w:history="1">
        <w:r w:rsidR="00226730" w:rsidRPr="00F318FC">
          <w:rPr>
            <w:rStyle w:val="Hyperlink"/>
          </w:rPr>
          <w:t>Figure 1.19</w:t>
        </w:r>
        <w:r w:rsidR="00226730" w:rsidRPr="00F318FC">
          <w:rPr>
            <w:rStyle w:val="Hyperlink"/>
          </w:rPr>
          <w:tab/>
          <w:t>Comparisons of costs and benefits – consideration of stepping stones</w:t>
        </w:r>
        <w:r w:rsidR="00226730">
          <w:tab/>
        </w:r>
        <w:r w:rsidR="00226730">
          <w:fldChar w:fldCharType="begin"/>
        </w:r>
        <w:r w:rsidR="00226730">
          <w:instrText xml:space="preserve"> PAGEREF _Toc97807840 \h </w:instrText>
        </w:r>
        <w:r w:rsidR="00226730">
          <w:fldChar w:fldCharType="separate"/>
        </w:r>
        <w:r w:rsidR="00A34B27">
          <w:t>17</w:t>
        </w:r>
        <w:r w:rsidR="00226730">
          <w:fldChar w:fldCharType="end"/>
        </w:r>
      </w:hyperlink>
    </w:p>
    <w:p w14:paraId="4065DBCD" w14:textId="638F9BA5" w:rsidR="00226730" w:rsidRDefault="003251DE">
      <w:pPr>
        <w:pStyle w:val="TableofFigures"/>
        <w:rPr>
          <w:rFonts w:asciiTheme="minorHAnsi" w:eastAsiaTheme="minorEastAsia" w:hAnsiTheme="minorHAnsi" w:cstheme="minorBidi"/>
          <w:caps w:val="0"/>
          <w:sz w:val="22"/>
          <w:szCs w:val="22"/>
          <w:lang w:eastAsia="en-AU"/>
        </w:rPr>
      </w:pPr>
      <w:hyperlink w:anchor="_Toc97807841" w:history="1">
        <w:r w:rsidR="00226730" w:rsidRPr="00F318FC">
          <w:rPr>
            <w:rStyle w:val="Hyperlink"/>
          </w:rPr>
          <w:t>Figure 1.20</w:t>
        </w:r>
        <w:r w:rsidR="00226730" w:rsidRPr="00F318FC">
          <w:rPr>
            <w:rStyle w:val="Hyperlink"/>
          </w:rPr>
          <w:tab/>
          <w:t>Europe Deployment Map</w:t>
        </w:r>
        <w:r w:rsidR="00226730">
          <w:tab/>
        </w:r>
        <w:r w:rsidR="00226730">
          <w:fldChar w:fldCharType="begin"/>
        </w:r>
        <w:r w:rsidR="00226730">
          <w:instrText xml:space="preserve"> PAGEREF _Toc97807841 \h </w:instrText>
        </w:r>
        <w:r w:rsidR="00226730">
          <w:fldChar w:fldCharType="separate"/>
        </w:r>
        <w:r w:rsidR="00A34B27">
          <w:t>21</w:t>
        </w:r>
        <w:r w:rsidR="00226730">
          <w:fldChar w:fldCharType="end"/>
        </w:r>
      </w:hyperlink>
    </w:p>
    <w:p w14:paraId="1EAE1121" w14:textId="622C0051" w:rsidR="00226730" w:rsidRDefault="003251DE">
      <w:pPr>
        <w:pStyle w:val="TableofFigures"/>
        <w:rPr>
          <w:rFonts w:asciiTheme="minorHAnsi" w:eastAsiaTheme="minorEastAsia" w:hAnsiTheme="minorHAnsi" w:cstheme="minorBidi"/>
          <w:caps w:val="0"/>
          <w:sz w:val="22"/>
          <w:szCs w:val="22"/>
          <w:lang w:eastAsia="en-AU"/>
        </w:rPr>
      </w:pPr>
      <w:hyperlink w:anchor="_Toc97807842" w:history="1">
        <w:r w:rsidR="00226730" w:rsidRPr="00F318FC">
          <w:rPr>
            <w:rStyle w:val="Hyperlink"/>
          </w:rPr>
          <w:t>Figure 1.21</w:t>
        </w:r>
        <w:r w:rsidR="00226730" w:rsidRPr="00F318FC">
          <w:rPr>
            <w:rStyle w:val="Hyperlink"/>
          </w:rPr>
          <w:tab/>
          <w:t>US Deployment Map (USDOT, 2021)</w:t>
        </w:r>
        <w:r w:rsidR="00226730">
          <w:tab/>
        </w:r>
        <w:r w:rsidR="00226730">
          <w:fldChar w:fldCharType="begin"/>
        </w:r>
        <w:r w:rsidR="00226730">
          <w:instrText xml:space="preserve"> PAGEREF _Toc97807842 \h </w:instrText>
        </w:r>
        <w:r w:rsidR="00226730">
          <w:fldChar w:fldCharType="separate"/>
        </w:r>
        <w:r w:rsidR="00A34B27">
          <w:t>21</w:t>
        </w:r>
        <w:r w:rsidR="00226730">
          <w:fldChar w:fldCharType="end"/>
        </w:r>
      </w:hyperlink>
    </w:p>
    <w:p w14:paraId="16D3E7AC" w14:textId="3D0D9FCB" w:rsidR="00226730" w:rsidRDefault="003251DE">
      <w:pPr>
        <w:pStyle w:val="TableofFigures"/>
        <w:rPr>
          <w:rFonts w:asciiTheme="minorHAnsi" w:eastAsiaTheme="minorEastAsia" w:hAnsiTheme="minorHAnsi" w:cstheme="minorBidi"/>
          <w:caps w:val="0"/>
          <w:sz w:val="22"/>
          <w:szCs w:val="22"/>
          <w:lang w:eastAsia="en-AU"/>
        </w:rPr>
      </w:pPr>
      <w:hyperlink w:anchor="_Toc97807843" w:history="1">
        <w:r w:rsidR="00226730" w:rsidRPr="00F318FC">
          <w:rPr>
            <w:rStyle w:val="Hyperlink"/>
          </w:rPr>
          <w:t>Figure 4.1</w:t>
        </w:r>
        <w:r w:rsidR="00226730" w:rsidRPr="00F318FC">
          <w:rPr>
            <w:rStyle w:val="Hyperlink"/>
          </w:rPr>
          <w:tab/>
          <w:t>Principles for national approach</w:t>
        </w:r>
        <w:r w:rsidR="00226730">
          <w:tab/>
        </w:r>
        <w:r w:rsidR="00226730">
          <w:fldChar w:fldCharType="begin"/>
        </w:r>
        <w:r w:rsidR="00226730">
          <w:instrText xml:space="preserve"> PAGEREF _Toc97807843 \h </w:instrText>
        </w:r>
        <w:r w:rsidR="00226730">
          <w:fldChar w:fldCharType="separate"/>
        </w:r>
        <w:r w:rsidR="00A34B27">
          <w:t>42</w:t>
        </w:r>
        <w:r w:rsidR="00226730">
          <w:fldChar w:fldCharType="end"/>
        </w:r>
      </w:hyperlink>
    </w:p>
    <w:p w14:paraId="5A6B6C4D" w14:textId="03F4E244" w:rsidR="00226730" w:rsidRDefault="003251DE">
      <w:pPr>
        <w:pStyle w:val="TableofFigures"/>
        <w:rPr>
          <w:rFonts w:asciiTheme="minorHAnsi" w:eastAsiaTheme="minorEastAsia" w:hAnsiTheme="minorHAnsi" w:cstheme="minorBidi"/>
          <w:caps w:val="0"/>
          <w:sz w:val="22"/>
          <w:szCs w:val="22"/>
          <w:lang w:eastAsia="en-AU"/>
        </w:rPr>
      </w:pPr>
      <w:hyperlink w:anchor="_Toc97807844" w:history="1">
        <w:r w:rsidR="00226730" w:rsidRPr="00F318FC">
          <w:rPr>
            <w:rStyle w:val="Hyperlink"/>
          </w:rPr>
          <w:t>Figure 5.1</w:t>
        </w:r>
        <w:r w:rsidR="00226730" w:rsidRPr="00F318FC">
          <w:rPr>
            <w:rStyle w:val="Hyperlink"/>
          </w:rPr>
          <w:tab/>
          <w:t>Connected vehicle cone of uncertainty and potential of backbone deployment</w:t>
        </w:r>
        <w:r w:rsidR="00226730">
          <w:tab/>
        </w:r>
        <w:r w:rsidR="00226730">
          <w:fldChar w:fldCharType="begin"/>
        </w:r>
        <w:r w:rsidR="00226730">
          <w:instrText xml:space="preserve"> PAGEREF _Toc97807844 \h </w:instrText>
        </w:r>
        <w:r w:rsidR="00226730">
          <w:fldChar w:fldCharType="separate"/>
        </w:r>
        <w:r w:rsidR="00A34B27">
          <w:t>50</w:t>
        </w:r>
        <w:r w:rsidR="00226730">
          <w:fldChar w:fldCharType="end"/>
        </w:r>
      </w:hyperlink>
    </w:p>
    <w:p w14:paraId="6626B65D" w14:textId="5A9E706D" w:rsidR="00226730" w:rsidRDefault="003251DE">
      <w:pPr>
        <w:pStyle w:val="TableofFigures"/>
        <w:rPr>
          <w:rFonts w:asciiTheme="minorHAnsi" w:eastAsiaTheme="minorEastAsia" w:hAnsiTheme="minorHAnsi" w:cstheme="minorBidi"/>
          <w:caps w:val="0"/>
          <w:sz w:val="22"/>
          <w:szCs w:val="22"/>
          <w:lang w:eastAsia="en-AU"/>
        </w:rPr>
      </w:pPr>
      <w:hyperlink w:anchor="_Toc97807845" w:history="1">
        <w:r w:rsidR="00226730" w:rsidRPr="00F318FC">
          <w:rPr>
            <w:rStyle w:val="Hyperlink"/>
          </w:rPr>
          <w:t>Figure 5.2</w:t>
        </w:r>
        <w:r w:rsidR="00226730" w:rsidRPr="00F318FC">
          <w:rPr>
            <w:rStyle w:val="Hyperlink"/>
          </w:rPr>
          <w:tab/>
          <w:t>Key areas of investment and options for deployment</w:t>
        </w:r>
        <w:r w:rsidR="00226730">
          <w:tab/>
        </w:r>
        <w:r w:rsidR="00226730">
          <w:fldChar w:fldCharType="begin"/>
        </w:r>
        <w:r w:rsidR="00226730">
          <w:instrText xml:space="preserve"> PAGEREF _Toc97807845 \h </w:instrText>
        </w:r>
        <w:r w:rsidR="00226730">
          <w:fldChar w:fldCharType="separate"/>
        </w:r>
        <w:r w:rsidR="00A34B27">
          <w:t>55</w:t>
        </w:r>
        <w:r w:rsidR="00226730">
          <w:fldChar w:fldCharType="end"/>
        </w:r>
      </w:hyperlink>
    </w:p>
    <w:p w14:paraId="762EF94E" w14:textId="7C739311" w:rsidR="00226730" w:rsidRDefault="003251DE">
      <w:pPr>
        <w:pStyle w:val="TableofFigures"/>
        <w:rPr>
          <w:rFonts w:asciiTheme="minorHAnsi" w:eastAsiaTheme="minorEastAsia" w:hAnsiTheme="minorHAnsi" w:cstheme="minorBidi"/>
          <w:caps w:val="0"/>
          <w:sz w:val="22"/>
          <w:szCs w:val="22"/>
          <w:lang w:eastAsia="en-AU"/>
        </w:rPr>
      </w:pPr>
      <w:hyperlink w:anchor="_Toc97807846" w:history="1">
        <w:r w:rsidR="00226730" w:rsidRPr="00F318FC">
          <w:rPr>
            <w:rStyle w:val="Hyperlink"/>
          </w:rPr>
          <w:t>Figure 5.3</w:t>
        </w:r>
        <w:r w:rsidR="00226730" w:rsidRPr="00F318FC">
          <w:rPr>
            <w:rStyle w:val="Hyperlink"/>
          </w:rPr>
          <w:tab/>
          <w:t>C</w:t>
        </w:r>
        <w:r w:rsidR="00226730" w:rsidRPr="00F318FC">
          <w:rPr>
            <w:rStyle w:val="Hyperlink"/>
            <w:rFonts w:ascii="Cambria Math" w:hAnsi="Cambria Math" w:cs="Cambria Math"/>
          </w:rPr>
          <w:t>‑</w:t>
        </w:r>
        <w:r w:rsidR="00226730" w:rsidRPr="00F318FC">
          <w:rPr>
            <w:rStyle w:val="Hyperlink"/>
          </w:rPr>
          <w:t>ITS deployment considerations</w:t>
        </w:r>
        <w:r w:rsidR="00226730">
          <w:tab/>
        </w:r>
        <w:r w:rsidR="00226730">
          <w:fldChar w:fldCharType="begin"/>
        </w:r>
        <w:r w:rsidR="00226730">
          <w:instrText xml:space="preserve"> PAGEREF _Toc97807846 \h </w:instrText>
        </w:r>
        <w:r w:rsidR="00226730">
          <w:fldChar w:fldCharType="separate"/>
        </w:r>
        <w:r w:rsidR="00A34B27">
          <w:t>57</w:t>
        </w:r>
        <w:r w:rsidR="00226730">
          <w:fldChar w:fldCharType="end"/>
        </w:r>
      </w:hyperlink>
    </w:p>
    <w:p w14:paraId="3B7DAE5B" w14:textId="7922198F" w:rsidR="00495E71" w:rsidRPr="005764FC" w:rsidRDefault="00495E71" w:rsidP="00495E71">
      <w:pPr>
        <w:rPr>
          <w:rFonts w:eastAsiaTheme="minorHAnsi"/>
        </w:rPr>
      </w:pPr>
      <w:r w:rsidRPr="005764FC">
        <w:rPr>
          <w:rFonts w:eastAsiaTheme="minorHAnsi"/>
        </w:rPr>
        <w:fldChar w:fldCharType="end"/>
      </w:r>
      <w:bookmarkEnd w:id="5"/>
    </w:p>
    <w:p w14:paraId="51C54A40" w14:textId="104F6E8D" w:rsidR="00C565DC" w:rsidRPr="005764FC" w:rsidRDefault="00C565DC" w:rsidP="00C565DC"/>
    <w:p w14:paraId="5856E5BA" w14:textId="77777777" w:rsidR="0080282A" w:rsidRPr="005764FC" w:rsidRDefault="0080282A" w:rsidP="00A87F03">
      <w:pPr>
        <w:pStyle w:val="BodyText"/>
        <w:sectPr w:rsidR="0080282A" w:rsidRPr="005764FC" w:rsidSect="001428F9">
          <w:headerReference w:type="even" r:id="rId23"/>
          <w:headerReference w:type="default" r:id="rId24"/>
          <w:footerReference w:type="even" r:id="rId25"/>
          <w:footerReference w:type="default" r:id="rId26"/>
          <w:headerReference w:type="first" r:id="rId27"/>
          <w:footerReference w:type="first" r:id="rId28"/>
          <w:type w:val="oddPage"/>
          <w:pgSz w:w="11907" w:h="16839" w:code="9"/>
          <w:pgMar w:top="2880" w:right="720" w:bottom="1440" w:left="1440" w:header="720" w:footer="720" w:gutter="3232"/>
          <w:pgNumType w:fmt="lowerRoman" w:start="1"/>
          <w:cols w:space="708"/>
          <w:titlePg/>
          <w:docGrid w:linePitch="360"/>
        </w:sectPr>
      </w:pPr>
    </w:p>
    <w:p w14:paraId="3B69FC91" w14:textId="26444B65" w:rsidR="00C06537" w:rsidRPr="005764FC" w:rsidRDefault="00C06537" w:rsidP="00C06537">
      <w:pPr>
        <w:pStyle w:val="Heading1NoNumber"/>
      </w:pPr>
      <w:bookmarkStart w:id="18" w:name="_Toc50040156"/>
      <w:bookmarkStart w:id="19" w:name="_Toc50040157"/>
      <w:bookmarkStart w:id="20" w:name="_Toc50040158"/>
      <w:bookmarkStart w:id="21" w:name="_Toc50040159"/>
      <w:bookmarkStart w:id="22" w:name="_Toc50040160"/>
      <w:bookmarkStart w:id="23" w:name="_Toc50040161"/>
      <w:bookmarkStart w:id="24" w:name="_Toc50040162"/>
      <w:bookmarkStart w:id="25" w:name="_Toc50040163"/>
      <w:bookmarkStart w:id="26" w:name="_Toc50040164"/>
      <w:bookmarkStart w:id="27" w:name="_Hlk77329448"/>
      <w:bookmarkStart w:id="28" w:name="EndPasteHere"/>
      <w:bookmarkStart w:id="29" w:name="_Toc94536724"/>
      <w:bookmarkStart w:id="30" w:name="_Toc97807779"/>
      <w:bookmarkStart w:id="31" w:name="_Ref87365365"/>
      <w:bookmarkStart w:id="32" w:name="_Toc94536671"/>
      <w:bookmarkEnd w:id="18"/>
      <w:bookmarkEnd w:id="19"/>
      <w:bookmarkEnd w:id="20"/>
      <w:bookmarkEnd w:id="21"/>
      <w:bookmarkEnd w:id="22"/>
      <w:bookmarkEnd w:id="23"/>
      <w:bookmarkEnd w:id="24"/>
      <w:bookmarkEnd w:id="25"/>
      <w:bookmarkEnd w:id="26"/>
      <w:bookmarkEnd w:id="27"/>
      <w:bookmarkEnd w:id="28"/>
      <w:r w:rsidRPr="005764FC">
        <w:t>Abbreviations</w:t>
      </w:r>
      <w:bookmarkStart w:id="33" w:name="_AbbreviationsMarker"/>
      <w:bookmarkEnd w:id="29"/>
      <w:bookmarkEnd w:id="30"/>
      <w:bookmarkEnd w:id="33"/>
    </w:p>
    <w:tbl>
      <w:tblPr>
        <w:tblStyle w:val="TablePlaceholder"/>
        <w:tblW w:w="0" w:type="auto"/>
        <w:tblLook w:val="04A0" w:firstRow="1" w:lastRow="0" w:firstColumn="1" w:lastColumn="0" w:noHBand="0" w:noVBand="1"/>
      </w:tblPr>
      <w:tblGrid>
        <w:gridCol w:w="2172"/>
        <w:gridCol w:w="6708"/>
      </w:tblGrid>
      <w:tr w:rsidR="005664DC" w:rsidRPr="005764FC" w14:paraId="1A6CDF9D" w14:textId="77777777" w:rsidTr="00710D11">
        <w:trPr>
          <w:trHeight w:val="284"/>
        </w:trPr>
        <w:tc>
          <w:tcPr>
            <w:tcW w:w="2172" w:type="dxa"/>
          </w:tcPr>
          <w:p w14:paraId="0E4B9104" w14:textId="039FFAEA" w:rsidR="005664DC" w:rsidRPr="005764FC" w:rsidRDefault="005664DC" w:rsidP="00710D11">
            <w:pPr>
              <w:pStyle w:val="Glossary"/>
            </w:pPr>
            <w:r w:rsidRPr="005764FC">
              <w:t>ACC</w:t>
            </w:r>
          </w:p>
        </w:tc>
        <w:tc>
          <w:tcPr>
            <w:tcW w:w="6708" w:type="dxa"/>
          </w:tcPr>
          <w:p w14:paraId="0406F836" w14:textId="56FB4C54" w:rsidR="005664DC" w:rsidRPr="005764FC" w:rsidRDefault="00CA0B09" w:rsidP="00710D11">
            <w:pPr>
              <w:pStyle w:val="Glossary"/>
            </w:pPr>
            <w:r w:rsidRPr="005764FC">
              <w:t xml:space="preserve">Adaptive </w:t>
            </w:r>
            <w:r w:rsidR="005664DC" w:rsidRPr="005764FC">
              <w:t>Cruise</w:t>
            </w:r>
            <w:r w:rsidR="00FD19C7" w:rsidRPr="005764FC">
              <w:t xml:space="preserve"> Control</w:t>
            </w:r>
          </w:p>
        </w:tc>
      </w:tr>
      <w:tr w:rsidR="00710A2B" w:rsidRPr="005764FC" w14:paraId="43E743FC" w14:textId="77777777" w:rsidTr="00710D11">
        <w:trPr>
          <w:trHeight w:val="284"/>
        </w:trPr>
        <w:tc>
          <w:tcPr>
            <w:tcW w:w="2172" w:type="dxa"/>
          </w:tcPr>
          <w:p w14:paraId="1FEF8FD6" w14:textId="6CF8BD2E" w:rsidR="00710A2B" w:rsidRPr="005764FC" w:rsidRDefault="00710A2B" w:rsidP="00710D11">
            <w:pPr>
              <w:pStyle w:val="Glossary"/>
            </w:pPr>
            <w:r w:rsidRPr="005764FC">
              <w:t>ACMA</w:t>
            </w:r>
          </w:p>
        </w:tc>
        <w:tc>
          <w:tcPr>
            <w:tcW w:w="6708" w:type="dxa"/>
          </w:tcPr>
          <w:p w14:paraId="446DD092" w14:textId="7B629BE9" w:rsidR="00710A2B" w:rsidRPr="005764FC" w:rsidRDefault="00710A2B" w:rsidP="00710D11">
            <w:pPr>
              <w:pStyle w:val="Glossary"/>
            </w:pPr>
            <w:r w:rsidRPr="005764FC">
              <w:t>Australian Communications and Media Authority</w:t>
            </w:r>
          </w:p>
        </w:tc>
      </w:tr>
      <w:tr w:rsidR="006E647C" w:rsidRPr="005764FC" w14:paraId="391F698B" w14:textId="77777777" w:rsidTr="00710D11">
        <w:trPr>
          <w:trHeight w:val="284"/>
        </w:trPr>
        <w:tc>
          <w:tcPr>
            <w:tcW w:w="2172" w:type="dxa"/>
          </w:tcPr>
          <w:p w14:paraId="09CAEC3B" w14:textId="000097C1" w:rsidR="006E647C" w:rsidRPr="005764FC" w:rsidRDefault="006E647C" w:rsidP="00710D11">
            <w:pPr>
              <w:pStyle w:val="Glossary"/>
            </w:pPr>
            <w:r w:rsidRPr="005764FC">
              <w:t>ADR</w:t>
            </w:r>
          </w:p>
        </w:tc>
        <w:tc>
          <w:tcPr>
            <w:tcW w:w="6708" w:type="dxa"/>
          </w:tcPr>
          <w:p w14:paraId="48D5475C" w14:textId="451AA566" w:rsidR="006E647C" w:rsidRPr="005764FC" w:rsidRDefault="006E647C" w:rsidP="00710D11">
            <w:pPr>
              <w:pStyle w:val="Glossary"/>
            </w:pPr>
            <w:r w:rsidRPr="005764FC">
              <w:t>Australian Design Rules</w:t>
            </w:r>
          </w:p>
        </w:tc>
      </w:tr>
      <w:tr w:rsidR="00C06537" w:rsidRPr="005764FC" w14:paraId="2BEB7724" w14:textId="77777777" w:rsidTr="00710D11">
        <w:trPr>
          <w:trHeight w:val="284"/>
        </w:trPr>
        <w:tc>
          <w:tcPr>
            <w:tcW w:w="2172" w:type="dxa"/>
          </w:tcPr>
          <w:p w14:paraId="00A6683E" w14:textId="101D35A5" w:rsidR="00C06537" w:rsidRPr="005764FC" w:rsidRDefault="1984A75E" w:rsidP="00710D11">
            <w:pPr>
              <w:pStyle w:val="Glossary"/>
              <w:rPr>
                <w:rFonts w:ascii="Times New Roman" w:hAnsi="Times New Roman"/>
                <w:color w:val="000000" w:themeColor="text1"/>
              </w:rPr>
            </w:pPr>
            <w:r w:rsidRPr="005764FC">
              <w:rPr>
                <w:rFonts w:ascii="Times New Roman" w:hAnsi="Times New Roman"/>
                <w:color w:val="000000" w:themeColor="text1"/>
              </w:rPr>
              <w:t>AIMES</w:t>
            </w:r>
          </w:p>
        </w:tc>
        <w:tc>
          <w:tcPr>
            <w:tcW w:w="6708" w:type="dxa"/>
          </w:tcPr>
          <w:p w14:paraId="0AF9CAF3" w14:textId="47A99E66" w:rsidR="00C06537" w:rsidRPr="005764FC" w:rsidRDefault="1984A75E" w:rsidP="00710D11">
            <w:pPr>
              <w:pStyle w:val="Glossary"/>
            </w:pPr>
            <w:r w:rsidRPr="005764FC">
              <w:t>Australian Integrated Multimodal EcoSystem</w:t>
            </w:r>
          </w:p>
        </w:tc>
      </w:tr>
      <w:tr w:rsidR="008274E6" w:rsidRPr="005764FC" w14:paraId="4948A102" w14:textId="77777777" w:rsidTr="00710D11">
        <w:trPr>
          <w:trHeight w:val="284"/>
        </w:trPr>
        <w:tc>
          <w:tcPr>
            <w:tcW w:w="2172" w:type="dxa"/>
          </w:tcPr>
          <w:p w14:paraId="16EDF959" w14:textId="42FA7BFB" w:rsidR="008274E6" w:rsidRPr="005764FC" w:rsidRDefault="008274E6">
            <w:pPr>
              <w:pStyle w:val="Glossary"/>
              <w:rPr>
                <w:rFonts w:ascii="Times New Roman" w:hAnsi="Times New Roman"/>
                <w:color w:val="000000" w:themeColor="text1"/>
              </w:rPr>
            </w:pPr>
            <w:r w:rsidRPr="005764FC">
              <w:t>ANCAP</w:t>
            </w:r>
          </w:p>
        </w:tc>
        <w:tc>
          <w:tcPr>
            <w:tcW w:w="6708" w:type="dxa"/>
          </w:tcPr>
          <w:p w14:paraId="42837C69" w14:textId="4FE01197" w:rsidR="008274E6" w:rsidRPr="005764FC" w:rsidRDefault="008274E6" w:rsidP="1984A75E">
            <w:pPr>
              <w:pStyle w:val="Glossary"/>
            </w:pPr>
            <w:r w:rsidRPr="005764FC">
              <w:t>Australasian New Car Assessment Program</w:t>
            </w:r>
          </w:p>
        </w:tc>
      </w:tr>
      <w:tr w:rsidR="008274E6" w:rsidRPr="005764FC" w14:paraId="2C9F1B15" w14:textId="77777777" w:rsidTr="00710D11">
        <w:trPr>
          <w:trHeight w:val="284"/>
        </w:trPr>
        <w:tc>
          <w:tcPr>
            <w:tcW w:w="2172" w:type="dxa"/>
          </w:tcPr>
          <w:p w14:paraId="47C5E917" w14:textId="4AAA56A7" w:rsidR="008274E6" w:rsidRPr="005764FC" w:rsidRDefault="008274E6">
            <w:pPr>
              <w:pStyle w:val="Glossary"/>
            </w:pPr>
            <w:r w:rsidRPr="005764FC">
              <w:t>ATAP</w:t>
            </w:r>
          </w:p>
        </w:tc>
        <w:tc>
          <w:tcPr>
            <w:tcW w:w="6708" w:type="dxa"/>
          </w:tcPr>
          <w:p w14:paraId="0E8C04C1" w14:textId="7EA5FAD3" w:rsidR="008274E6" w:rsidRPr="005764FC" w:rsidRDefault="00DB54DB" w:rsidP="1984A75E">
            <w:pPr>
              <w:pStyle w:val="Glossary"/>
            </w:pPr>
            <w:r w:rsidRPr="005764FC">
              <w:t>Australian Transport Assessment and Planning</w:t>
            </w:r>
          </w:p>
        </w:tc>
      </w:tr>
      <w:tr w:rsidR="00051C46" w:rsidRPr="005764FC" w14:paraId="49C37A09" w14:textId="77777777" w:rsidTr="00710D11">
        <w:trPr>
          <w:trHeight w:val="284"/>
        </w:trPr>
        <w:tc>
          <w:tcPr>
            <w:tcW w:w="2172" w:type="dxa"/>
          </w:tcPr>
          <w:p w14:paraId="2F1D2D69" w14:textId="0B96B6FE" w:rsidR="00051C46" w:rsidRPr="005764FC" w:rsidRDefault="00051C46" w:rsidP="00710D11">
            <w:pPr>
              <w:pStyle w:val="Glossary"/>
            </w:pPr>
            <w:r w:rsidRPr="005764FC">
              <w:t>BCR</w:t>
            </w:r>
          </w:p>
        </w:tc>
        <w:tc>
          <w:tcPr>
            <w:tcW w:w="6708" w:type="dxa"/>
          </w:tcPr>
          <w:p w14:paraId="0D63D3DD" w14:textId="0B96B6FE" w:rsidR="00051C46" w:rsidRPr="005764FC" w:rsidRDefault="00051C46" w:rsidP="00710D11">
            <w:pPr>
              <w:pStyle w:val="Glossary"/>
            </w:pPr>
            <w:r w:rsidRPr="005764FC">
              <w:t>Benefit Cost Ratio</w:t>
            </w:r>
          </w:p>
        </w:tc>
      </w:tr>
      <w:tr w:rsidR="004B4101" w:rsidRPr="005764FC" w14:paraId="487D341A" w14:textId="77777777" w:rsidTr="00710D11">
        <w:trPr>
          <w:trHeight w:val="284"/>
        </w:trPr>
        <w:tc>
          <w:tcPr>
            <w:tcW w:w="2172" w:type="dxa"/>
          </w:tcPr>
          <w:p w14:paraId="63442973" w14:textId="68A1A678" w:rsidR="004B4101" w:rsidRPr="005764FC" w:rsidRDefault="004B4101" w:rsidP="00710D11">
            <w:pPr>
              <w:pStyle w:val="Glossary"/>
            </w:pPr>
            <w:r w:rsidRPr="005764FC">
              <w:t>CACC</w:t>
            </w:r>
          </w:p>
        </w:tc>
        <w:tc>
          <w:tcPr>
            <w:tcW w:w="6708" w:type="dxa"/>
          </w:tcPr>
          <w:p w14:paraId="48F70B66" w14:textId="70ABEF79" w:rsidR="004B4101" w:rsidRPr="005764FC" w:rsidRDefault="004B4101" w:rsidP="00710D11">
            <w:pPr>
              <w:pStyle w:val="Glossary"/>
            </w:pPr>
            <w:r w:rsidRPr="005764FC">
              <w:t>Cooperative Adaptive Cruise Control Systems</w:t>
            </w:r>
          </w:p>
        </w:tc>
      </w:tr>
      <w:tr w:rsidR="00FD09CD" w:rsidRPr="005764FC" w14:paraId="4C71977D" w14:textId="77777777" w:rsidTr="00710D11">
        <w:trPr>
          <w:trHeight w:val="284"/>
        </w:trPr>
        <w:tc>
          <w:tcPr>
            <w:tcW w:w="2172" w:type="dxa"/>
          </w:tcPr>
          <w:p w14:paraId="4C3B225D" w14:textId="40C1A931" w:rsidR="00FD09CD" w:rsidRPr="005764FC" w:rsidRDefault="00FD09CD" w:rsidP="00FD09CD">
            <w:pPr>
              <w:pStyle w:val="TableText"/>
            </w:pPr>
            <w:r w:rsidRPr="005764FC">
              <w:t>Car2X</w:t>
            </w:r>
          </w:p>
        </w:tc>
        <w:tc>
          <w:tcPr>
            <w:tcW w:w="6708" w:type="dxa"/>
          </w:tcPr>
          <w:p w14:paraId="13A217A4" w14:textId="4E41694D" w:rsidR="00FD09CD" w:rsidRPr="005764FC" w:rsidRDefault="00FD09CD" w:rsidP="00710D11">
            <w:pPr>
              <w:pStyle w:val="Glossary"/>
            </w:pPr>
            <w:r w:rsidRPr="005764FC">
              <w:t>Car-2-Anything</w:t>
            </w:r>
          </w:p>
        </w:tc>
      </w:tr>
      <w:tr w:rsidR="00C06537" w:rsidRPr="005764FC" w14:paraId="2998F946" w14:textId="77777777" w:rsidTr="00710D11">
        <w:trPr>
          <w:trHeight w:val="284"/>
        </w:trPr>
        <w:tc>
          <w:tcPr>
            <w:tcW w:w="2172" w:type="dxa"/>
          </w:tcPr>
          <w:p w14:paraId="03465B2A" w14:textId="6807FC34" w:rsidR="00C06537" w:rsidRPr="005764FC" w:rsidRDefault="00C06537" w:rsidP="00710D11">
            <w:pPr>
              <w:pStyle w:val="TableText"/>
            </w:pPr>
            <w:r w:rsidRPr="005764FC">
              <w:t>CBA</w:t>
            </w:r>
          </w:p>
        </w:tc>
        <w:tc>
          <w:tcPr>
            <w:tcW w:w="6708" w:type="dxa"/>
          </w:tcPr>
          <w:p w14:paraId="3D240322" w14:textId="77777777" w:rsidR="00C06537" w:rsidRPr="005764FC" w:rsidRDefault="00C06537" w:rsidP="00710D11">
            <w:pPr>
              <w:pStyle w:val="Glossary"/>
            </w:pPr>
            <w:r w:rsidRPr="005764FC">
              <w:t>Cost-Benefit Analysis</w:t>
            </w:r>
          </w:p>
        </w:tc>
      </w:tr>
      <w:tr w:rsidR="00C06537" w:rsidRPr="005764FC" w14:paraId="1F30E609" w14:textId="77777777" w:rsidTr="00710D11">
        <w:trPr>
          <w:trHeight w:val="284"/>
        </w:trPr>
        <w:tc>
          <w:tcPr>
            <w:tcW w:w="2172" w:type="dxa"/>
          </w:tcPr>
          <w:p w14:paraId="6C9FB0EB" w14:textId="77777777" w:rsidR="00C06537" w:rsidRPr="005764FC" w:rsidRDefault="00C06537" w:rsidP="00710D11">
            <w:pPr>
              <w:pStyle w:val="Glossary"/>
            </w:pPr>
            <w:r w:rsidRPr="005764FC">
              <w:t>C2C-CC</w:t>
            </w:r>
          </w:p>
        </w:tc>
        <w:tc>
          <w:tcPr>
            <w:tcW w:w="6708" w:type="dxa"/>
          </w:tcPr>
          <w:p w14:paraId="455313F1" w14:textId="77777777" w:rsidR="00C06537" w:rsidRPr="005764FC" w:rsidRDefault="00C06537" w:rsidP="00710D11">
            <w:pPr>
              <w:pStyle w:val="Glossary"/>
            </w:pPr>
            <w:r w:rsidRPr="005764FC">
              <w:t xml:space="preserve">Car 2 Car Communication Consortium </w:t>
            </w:r>
          </w:p>
        </w:tc>
      </w:tr>
      <w:tr w:rsidR="00C06537" w:rsidRPr="005764FC" w14:paraId="6CB3A83C" w14:textId="77777777" w:rsidTr="00710D11">
        <w:trPr>
          <w:trHeight w:val="284"/>
        </w:trPr>
        <w:tc>
          <w:tcPr>
            <w:tcW w:w="2172" w:type="dxa"/>
          </w:tcPr>
          <w:p w14:paraId="31F5A6CF" w14:textId="77777777" w:rsidR="00C06537" w:rsidRPr="005764FC" w:rsidRDefault="00C06537" w:rsidP="00710D11">
            <w:pPr>
              <w:pStyle w:val="Glossary"/>
            </w:pPr>
            <w:r w:rsidRPr="005764FC">
              <w:t>CAM</w:t>
            </w:r>
          </w:p>
        </w:tc>
        <w:tc>
          <w:tcPr>
            <w:tcW w:w="6708" w:type="dxa"/>
          </w:tcPr>
          <w:p w14:paraId="380D2E3D" w14:textId="77777777" w:rsidR="00C06537" w:rsidRPr="005764FC" w:rsidRDefault="00C06537" w:rsidP="00710D11">
            <w:pPr>
              <w:pStyle w:val="Glossary"/>
            </w:pPr>
            <w:r w:rsidRPr="005764FC">
              <w:t>Cooperative Awareness Message</w:t>
            </w:r>
          </w:p>
        </w:tc>
      </w:tr>
      <w:tr w:rsidR="00FB7360" w:rsidRPr="005764FC" w14:paraId="12AC466E" w14:textId="77777777" w:rsidTr="00710D11">
        <w:trPr>
          <w:trHeight w:val="284"/>
        </w:trPr>
        <w:tc>
          <w:tcPr>
            <w:tcW w:w="2172" w:type="dxa"/>
          </w:tcPr>
          <w:p w14:paraId="71D72981" w14:textId="26B5D550" w:rsidR="00FB7360" w:rsidRPr="005764FC" w:rsidRDefault="00FB7360" w:rsidP="00710D11">
            <w:pPr>
              <w:pStyle w:val="Glossary"/>
            </w:pPr>
            <w:r w:rsidRPr="005764FC">
              <w:t>CAV</w:t>
            </w:r>
          </w:p>
        </w:tc>
        <w:tc>
          <w:tcPr>
            <w:tcW w:w="6708" w:type="dxa"/>
          </w:tcPr>
          <w:p w14:paraId="66602D07" w14:textId="4AEF9ABD" w:rsidR="00FB7360" w:rsidRPr="005764FC" w:rsidRDefault="00FB7360" w:rsidP="00710D11">
            <w:pPr>
              <w:pStyle w:val="Glossary"/>
            </w:pPr>
            <w:r w:rsidRPr="005764FC">
              <w:t>Connected and Automated Vehicle</w:t>
            </w:r>
          </w:p>
        </w:tc>
      </w:tr>
      <w:tr w:rsidR="00C06537" w:rsidRPr="005764FC" w14:paraId="30856FA3" w14:textId="77777777" w:rsidTr="00710D11">
        <w:trPr>
          <w:trHeight w:val="284"/>
        </w:trPr>
        <w:tc>
          <w:tcPr>
            <w:tcW w:w="2172" w:type="dxa"/>
          </w:tcPr>
          <w:p w14:paraId="4349E9FA" w14:textId="77777777" w:rsidR="00C06537" w:rsidRPr="005764FC" w:rsidRDefault="00C06537" w:rsidP="00710D11">
            <w:pPr>
              <w:pStyle w:val="Glossary"/>
            </w:pPr>
            <w:r w:rsidRPr="005764FC">
              <w:t>CAVI</w:t>
            </w:r>
          </w:p>
        </w:tc>
        <w:tc>
          <w:tcPr>
            <w:tcW w:w="6708" w:type="dxa"/>
          </w:tcPr>
          <w:p w14:paraId="05A1F01E" w14:textId="755A5A74" w:rsidR="00C06537" w:rsidRPr="005764FC" w:rsidRDefault="00C06537" w:rsidP="00710D11">
            <w:pPr>
              <w:pStyle w:val="Glossary"/>
            </w:pPr>
            <w:r w:rsidRPr="005764FC">
              <w:t xml:space="preserve">Cooperative and Automated Vehicle </w:t>
            </w:r>
            <w:r w:rsidR="003363EF" w:rsidRPr="005764FC">
              <w:t>I</w:t>
            </w:r>
            <w:r w:rsidRPr="005764FC">
              <w:t>nitiative</w:t>
            </w:r>
          </w:p>
        </w:tc>
      </w:tr>
      <w:tr w:rsidR="00FD09CD" w:rsidRPr="005764FC" w14:paraId="02EA8DE1" w14:textId="77777777" w:rsidTr="00710D11">
        <w:trPr>
          <w:trHeight w:val="284"/>
        </w:trPr>
        <w:tc>
          <w:tcPr>
            <w:tcW w:w="2172" w:type="dxa"/>
          </w:tcPr>
          <w:p w14:paraId="7C7E01E5" w14:textId="17540048" w:rsidR="00FD09CD" w:rsidRPr="005764FC" w:rsidRDefault="00FD09CD" w:rsidP="00710D11">
            <w:pPr>
              <w:pStyle w:val="Glossary"/>
            </w:pPr>
            <w:r w:rsidRPr="005764FC">
              <w:t>CCAM</w:t>
            </w:r>
          </w:p>
        </w:tc>
        <w:tc>
          <w:tcPr>
            <w:tcW w:w="6708" w:type="dxa"/>
          </w:tcPr>
          <w:p w14:paraId="091B99DE" w14:textId="5FDDD2EC" w:rsidR="00FD09CD" w:rsidRPr="005764FC" w:rsidRDefault="00FD09CD" w:rsidP="00710D11">
            <w:pPr>
              <w:pStyle w:val="Glossary"/>
            </w:pPr>
            <w:r w:rsidRPr="005764FC">
              <w:t>Cooperative and Connected Automated Mobility</w:t>
            </w:r>
          </w:p>
        </w:tc>
      </w:tr>
      <w:tr w:rsidR="00432F3F" w:rsidRPr="005764FC" w14:paraId="0F7CF14A" w14:textId="77777777" w:rsidTr="00710D11">
        <w:trPr>
          <w:trHeight w:val="284"/>
        </w:trPr>
        <w:tc>
          <w:tcPr>
            <w:tcW w:w="2172" w:type="dxa"/>
          </w:tcPr>
          <w:p w14:paraId="4B984AD2" w14:textId="0742F7B2" w:rsidR="00432F3F" w:rsidRPr="005764FC" w:rsidRDefault="00432F3F" w:rsidP="00710D11">
            <w:pPr>
              <w:pStyle w:val="Glossary"/>
            </w:pPr>
            <w:r w:rsidRPr="005764FC">
              <w:t>CITI</w:t>
            </w:r>
          </w:p>
        </w:tc>
        <w:tc>
          <w:tcPr>
            <w:tcW w:w="6708" w:type="dxa"/>
          </w:tcPr>
          <w:p w14:paraId="2C7B4118" w14:textId="231A6840" w:rsidR="00432F3F" w:rsidRPr="005764FC" w:rsidRDefault="009131C2" w:rsidP="00710D11">
            <w:pPr>
              <w:pStyle w:val="Glossary"/>
            </w:pPr>
            <w:r w:rsidRPr="005764FC">
              <w:t>Cooperative Intelligent Transport Initiative</w:t>
            </w:r>
          </w:p>
        </w:tc>
      </w:tr>
      <w:tr w:rsidR="00C06537" w:rsidRPr="005764FC" w14:paraId="5A869B5D" w14:textId="77777777" w:rsidTr="00710D11">
        <w:trPr>
          <w:trHeight w:val="284"/>
        </w:trPr>
        <w:tc>
          <w:tcPr>
            <w:tcW w:w="2172" w:type="dxa"/>
          </w:tcPr>
          <w:p w14:paraId="0A1897A9" w14:textId="77777777" w:rsidR="00C06537" w:rsidRPr="005764FC" w:rsidRDefault="00C06537" w:rsidP="00710D11">
            <w:pPr>
              <w:pStyle w:val="Glossary"/>
            </w:pPr>
            <w:r w:rsidRPr="005764FC">
              <w:t>C‑ITS</w:t>
            </w:r>
          </w:p>
        </w:tc>
        <w:tc>
          <w:tcPr>
            <w:tcW w:w="6708" w:type="dxa"/>
          </w:tcPr>
          <w:p w14:paraId="6C7EE0E5" w14:textId="77777777" w:rsidR="00C06537" w:rsidRPr="005764FC" w:rsidRDefault="00C06537" w:rsidP="00710D11">
            <w:pPr>
              <w:pStyle w:val="Glossary"/>
            </w:pPr>
            <w:r w:rsidRPr="005764FC">
              <w:t>Cooperative Intelligent Transport Systems</w:t>
            </w:r>
          </w:p>
        </w:tc>
      </w:tr>
      <w:tr w:rsidR="00D84FB4" w:rsidRPr="005764FC" w14:paraId="434A2C50" w14:textId="77777777" w:rsidTr="00710D11">
        <w:trPr>
          <w:trHeight w:val="284"/>
        </w:trPr>
        <w:tc>
          <w:tcPr>
            <w:tcW w:w="2172" w:type="dxa"/>
          </w:tcPr>
          <w:p w14:paraId="30E50D21" w14:textId="47F9DF88" w:rsidR="00D84FB4" w:rsidRPr="005764FC" w:rsidRDefault="00D84FB4" w:rsidP="00710D11">
            <w:pPr>
              <w:pStyle w:val="Glossary"/>
            </w:pPr>
            <w:r w:rsidRPr="005764FC">
              <w:t>CPM</w:t>
            </w:r>
          </w:p>
        </w:tc>
        <w:tc>
          <w:tcPr>
            <w:tcW w:w="6708" w:type="dxa"/>
          </w:tcPr>
          <w:p w14:paraId="5E357158" w14:textId="781BF4EF" w:rsidR="00D84FB4" w:rsidRPr="005764FC" w:rsidRDefault="005203A7" w:rsidP="00710D11">
            <w:pPr>
              <w:pStyle w:val="Glossary"/>
            </w:pPr>
            <w:r w:rsidRPr="005764FC">
              <w:t>Collective Perception Message</w:t>
            </w:r>
          </w:p>
        </w:tc>
      </w:tr>
      <w:tr w:rsidR="00FD09CD" w:rsidRPr="005764FC" w14:paraId="573AF339" w14:textId="77777777" w:rsidTr="00710D11">
        <w:trPr>
          <w:trHeight w:val="284"/>
        </w:trPr>
        <w:tc>
          <w:tcPr>
            <w:tcW w:w="2172" w:type="dxa"/>
          </w:tcPr>
          <w:p w14:paraId="563B91FB" w14:textId="44D5F041" w:rsidR="00FD09CD" w:rsidRPr="005764FC" w:rsidRDefault="00FD09CD" w:rsidP="00710D11">
            <w:pPr>
              <w:pStyle w:val="Glossary"/>
            </w:pPr>
            <w:r w:rsidRPr="005764FC">
              <w:t>CV2X</w:t>
            </w:r>
          </w:p>
        </w:tc>
        <w:tc>
          <w:tcPr>
            <w:tcW w:w="6708" w:type="dxa"/>
          </w:tcPr>
          <w:p w14:paraId="465C1FC0" w14:textId="6D2B3367" w:rsidR="00FD09CD" w:rsidRPr="005764FC" w:rsidRDefault="00FD09CD" w:rsidP="00710D11">
            <w:pPr>
              <w:pStyle w:val="Glossary"/>
            </w:pPr>
            <w:r w:rsidRPr="005764FC">
              <w:t>Cellular-Vehicle to Everything</w:t>
            </w:r>
          </w:p>
        </w:tc>
      </w:tr>
      <w:tr w:rsidR="00C06537" w:rsidRPr="005764FC" w14:paraId="6C46E8D9" w14:textId="77777777" w:rsidTr="00710D11">
        <w:trPr>
          <w:trHeight w:val="284"/>
        </w:trPr>
        <w:tc>
          <w:tcPr>
            <w:tcW w:w="2172" w:type="dxa"/>
          </w:tcPr>
          <w:p w14:paraId="79032775" w14:textId="5BC22EFE" w:rsidR="00C06537" w:rsidRPr="005764FC" w:rsidRDefault="00C06537" w:rsidP="00710D11">
            <w:pPr>
              <w:pStyle w:val="Glossary"/>
            </w:pPr>
            <w:r w:rsidRPr="005764FC">
              <w:t>DENM</w:t>
            </w:r>
          </w:p>
        </w:tc>
        <w:tc>
          <w:tcPr>
            <w:tcW w:w="6708" w:type="dxa"/>
          </w:tcPr>
          <w:p w14:paraId="090DAA32" w14:textId="77777777" w:rsidR="00C06537" w:rsidRPr="005764FC" w:rsidRDefault="00C06537" w:rsidP="00710D11">
            <w:pPr>
              <w:pStyle w:val="Glossary"/>
            </w:pPr>
            <w:r w:rsidRPr="005764FC">
              <w:t>Decentralised Environment Notification Message</w:t>
            </w:r>
          </w:p>
        </w:tc>
      </w:tr>
      <w:tr w:rsidR="00C06537" w:rsidRPr="005764FC" w14:paraId="072CC06D" w14:textId="77777777" w:rsidTr="00710D11">
        <w:trPr>
          <w:trHeight w:val="284"/>
        </w:trPr>
        <w:tc>
          <w:tcPr>
            <w:tcW w:w="2172" w:type="dxa"/>
          </w:tcPr>
          <w:p w14:paraId="775FBEDF" w14:textId="77777777" w:rsidR="00C06537" w:rsidRPr="005764FC" w:rsidRDefault="00C06537" w:rsidP="00710D11">
            <w:pPr>
              <w:pStyle w:val="Glossary"/>
            </w:pPr>
            <w:r w:rsidRPr="005764FC">
              <w:t>DSRC</w:t>
            </w:r>
          </w:p>
        </w:tc>
        <w:tc>
          <w:tcPr>
            <w:tcW w:w="6708" w:type="dxa"/>
          </w:tcPr>
          <w:p w14:paraId="2F2A5C89" w14:textId="69D81B0F" w:rsidR="00C06537" w:rsidRPr="005764FC" w:rsidRDefault="00C06537" w:rsidP="00710D11">
            <w:pPr>
              <w:pStyle w:val="Glossary"/>
            </w:pPr>
            <w:r w:rsidRPr="005764FC">
              <w:t>Dedicated Short</w:t>
            </w:r>
            <w:r w:rsidR="00D87171" w:rsidRPr="005764FC">
              <w:t>-</w:t>
            </w:r>
            <w:r w:rsidRPr="005764FC">
              <w:t>Range Communications</w:t>
            </w:r>
          </w:p>
        </w:tc>
      </w:tr>
      <w:tr w:rsidR="00E4529D" w:rsidRPr="005764FC" w14:paraId="18F11702" w14:textId="77777777" w:rsidTr="00710D11">
        <w:trPr>
          <w:trHeight w:val="284"/>
        </w:trPr>
        <w:tc>
          <w:tcPr>
            <w:tcW w:w="2172" w:type="dxa"/>
          </w:tcPr>
          <w:p w14:paraId="24AD6A53" w14:textId="2FFF3A73" w:rsidR="00E4529D" w:rsidRPr="005764FC" w:rsidRDefault="00E4529D" w:rsidP="00710D11">
            <w:pPr>
              <w:pStyle w:val="Glossary"/>
            </w:pPr>
            <w:r w:rsidRPr="005764FC">
              <w:t>DTA</w:t>
            </w:r>
          </w:p>
        </w:tc>
        <w:tc>
          <w:tcPr>
            <w:tcW w:w="6708" w:type="dxa"/>
          </w:tcPr>
          <w:p w14:paraId="2BD4ACAC" w14:textId="285A79E8" w:rsidR="00E4529D" w:rsidRPr="005764FC" w:rsidRDefault="00F12106" w:rsidP="00710D11">
            <w:pPr>
              <w:pStyle w:val="Glossary"/>
            </w:pPr>
            <w:r w:rsidRPr="005764FC">
              <w:t>Digital Transformation Agency</w:t>
            </w:r>
          </w:p>
        </w:tc>
      </w:tr>
      <w:tr w:rsidR="00E4529D" w:rsidRPr="005764FC" w14:paraId="79CEF50E" w14:textId="77777777" w:rsidTr="00710D11">
        <w:trPr>
          <w:trHeight w:val="284"/>
        </w:trPr>
        <w:tc>
          <w:tcPr>
            <w:tcW w:w="2172" w:type="dxa"/>
          </w:tcPr>
          <w:p w14:paraId="1CAC3941" w14:textId="1B5D6D64" w:rsidR="00E4529D" w:rsidRPr="005764FC" w:rsidRDefault="00E4529D" w:rsidP="00710D11">
            <w:pPr>
              <w:pStyle w:val="Glossary"/>
            </w:pPr>
            <w:r w:rsidRPr="005764FC">
              <w:t>ERTRAC</w:t>
            </w:r>
          </w:p>
        </w:tc>
        <w:tc>
          <w:tcPr>
            <w:tcW w:w="6708" w:type="dxa"/>
          </w:tcPr>
          <w:p w14:paraId="161D36E0" w14:textId="01F6C676" w:rsidR="00E4529D" w:rsidRPr="005764FC" w:rsidRDefault="00E4529D" w:rsidP="00710D11">
            <w:pPr>
              <w:pStyle w:val="Glossary"/>
            </w:pPr>
            <w:r w:rsidRPr="005764FC">
              <w:t>European Road Transport Research Advisory Council</w:t>
            </w:r>
          </w:p>
        </w:tc>
      </w:tr>
      <w:tr w:rsidR="00C06537" w:rsidRPr="005764FC" w14:paraId="7DCBFBF5" w14:textId="77777777" w:rsidTr="00710D11">
        <w:trPr>
          <w:trHeight w:val="284"/>
        </w:trPr>
        <w:tc>
          <w:tcPr>
            <w:tcW w:w="2172" w:type="dxa"/>
          </w:tcPr>
          <w:p w14:paraId="5ADEC21B" w14:textId="77777777" w:rsidR="00C06537" w:rsidRPr="005764FC" w:rsidRDefault="00C06537" w:rsidP="00710D11">
            <w:pPr>
              <w:pStyle w:val="Glossary"/>
            </w:pPr>
            <w:r w:rsidRPr="005764FC">
              <w:t>ETSI</w:t>
            </w:r>
          </w:p>
        </w:tc>
        <w:tc>
          <w:tcPr>
            <w:tcW w:w="6708" w:type="dxa"/>
          </w:tcPr>
          <w:p w14:paraId="2EC95B9A" w14:textId="77777777" w:rsidR="00C06537" w:rsidRPr="005764FC" w:rsidRDefault="00C06537" w:rsidP="00710D11">
            <w:pPr>
              <w:pStyle w:val="Glossary"/>
            </w:pPr>
            <w:r w:rsidRPr="005764FC">
              <w:t>European Telecommunications Standards</w:t>
            </w:r>
          </w:p>
        </w:tc>
      </w:tr>
      <w:tr w:rsidR="00C06537" w:rsidRPr="005764FC" w14:paraId="4A0CA12A" w14:textId="77777777" w:rsidTr="00710D11">
        <w:trPr>
          <w:trHeight w:val="284"/>
        </w:trPr>
        <w:tc>
          <w:tcPr>
            <w:tcW w:w="2172" w:type="dxa"/>
          </w:tcPr>
          <w:p w14:paraId="158DDE1E" w14:textId="77777777" w:rsidR="00C06537" w:rsidRPr="005764FC" w:rsidRDefault="00C06537" w:rsidP="00710D11">
            <w:pPr>
              <w:pStyle w:val="Glossary"/>
            </w:pPr>
            <w:r w:rsidRPr="005764FC">
              <w:t>EU</w:t>
            </w:r>
          </w:p>
        </w:tc>
        <w:tc>
          <w:tcPr>
            <w:tcW w:w="6708" w:type="dxa"/>
          </w:tcPr>
          <w:p w14:paraId="7E8EDEF7" w14:textId="77777777" w:rsidR="00C06537" w:rsidRPr="005764FC" w:rsidRDefault="00C06537" w:rsidP="00710D11">
            <w:pPr>
              <w:pStyle w:val="Glossary"/>
            </w:pPr>
            <w:r w:rsidRPr="005764FC">
              <w:t>European Union</w:t>
            </w:r>
          </w:p>
        </w:tc>
      </w:tr>
      <w:tr w:rsidR="003363EF" w:rsidRPr="005764FC" w14:paraId="002893A1" w14:textId="77777777" w:rsidTr="00710D11">
        <w:trPr>
          <w:trHeight w:val="284"/>
        </w:trPr>
        <w:tc>
          <w:tcPr>
            <w:tcW w:w="2172" w:type="dxa"/>
          </w:tcPr>
          <w:p w14:paraId="679ACB72" w14:textId="50FF6E9E" w:rsidR="003363EF" w:rsidRPr="005764FC" w:rsidRDefault="003363EF" w:rsidP="00710D11">
            <w:pPr>
              <w:pStyle w:val="Glossary"/>
            </w:pPr>
            <w:r w:rsidRPr="005764FC">
              <w:t>FCC</w:t>
            </w:r>
          </w:p>
        </w:tc>
        <w:tc>
          <w:tcPr>
            <w:tcW w:w="6708" w:type="dxa"/>
          </w:tcPr>
          <w:p w14:paraId="387BCB07" w14:textId="675DD79F" w:rsidR="003363EF" w:rsidRPr="005764FC" w:rsidRDefault="003363EF" w:rsidP="00710D11">
            <w:pPr>
              <w:pStyle w:val="Glossary"/>
            </w:pPr>
            <w:r w:rsidRPr="005764FC">
              <w:t>Federal Communications Commission</w:t>
            </w:r>
          </w:p>
        </w:tc>
      </w:tr>
      <w:tr w:rsidR="00521887" w:rsidRPr="005764FC" w14:paraId="39EBA976" w14:textId="77777777" w:rsidTr="00710D11">
        <w:trPr>
          <w:trHeight w:val="284"/>
        </w:trPr>
        <w:tc>
          <w:tcPr>
            <w:tcW w:w="2172" w:type="dxa"/>
          </w:tcPr>
          <w:p w14:paraId="729FB1C5" w14:textId="1A2D2E1C" w:rsidR="00521887" w:rsidRPr="005764FC" w:rsidRDefault="00521887" w:rsidP="00710D11">
            <w:pPr>
              <w:pStyle w:val="Glossary"/>
            </w:pPr>
            <w:r w:rsidRPr="005764FC">
              <w:t>FCAI</w:t>
            </w:r>
          </w:p>
        </w:tc>
        <w:tc>
          <w:tcPr>
            <w:tcW w:w="6708" w:type="dxa"/>
          </w:tcPr>
          <w:p w14:paraId="7373BB77" w14:textId="2CDE5F7B" w:rsidR="00521887" w:rsidRPr="005764FC" w:rsidRDefault="00521887" w:rsidP="00710D11">
            <w:pPr>
              <w:pStyle w:val="Glossary"/>
            </w:pPr>
            <w:r w:rsidRPr="005764FC">
              <w:t>Federal Chamber of Automotive Industries</w:t>
            </w:r>
          </w:p>
        </w:tc>
      </w:tr>
      <w:tr w:rsidR="0069424C" w:rsidRPr="005764FC" w14:paraId="4649900E" w14:textId="77777777" w:rsidTr="00710D11">
        <w:trPr>
          <w:trHeight w:val="284"/>
        </w:trPr>
        <w:tc>
          <w:tcPr>
            <w:tcW w:w="2172" w:type="dxa"/>
          </w:tcPr>
          <w:p w14:paraId="6BF7B3D2" w14:textId="42963B49" w:rsidR="0069424C" w:rsidRPr="005764FC" w:rsidRDefault="0069424C" w:rsidP="00710D11">
            <w:pPr>
              <w:pStyle w:val="Glossary"/>
            </w:pPr>
            <w:r w:rsidRPr="005764FC">
              <w:t>GLOSA</w:t>
            </w:r>
          </w:p>
        </w:tc>
        <w:tc>
          <w:tcPr>
            <w:tcW w:w="6708" w:type="dxa"/>
          </w:tcPr>
          <w:p w14:paraId="18BA833E" w14:textId="4C528638" w:rsidR="0069424C" w:rsidRPr="005764FC" w:rsidRDefault="0069424C" w:rsidP="00710D11">
            <w:pPr>
              <w:pStyle w:val="Glossary"/>
            </w:pPr>
            <w:r w:rsidRPr="005764FC">
              <w:t>Green Light Optimal Speed Advisory</w:t>
            </w:r>
          </w:p>
        </w:tc>
      </w:tr>
      <w:tr w:rsidR="000E37B0" w:rsidRPr="005764FC" w14:paraId="755693EC" w14:textId="77777777" w:rsidTr="00710D11">
        <w:trPr>
          <w:trHeight w:val="284"/>
        </w:trPr>
        <w:tc>
          <w:tcPr>
            <w:tcW w:w="2172" w:type="dxa"/>
          </w:tcPr>
          <w:p w14:paraId="7A2C1D9B" w14:textId="67A7DC24" w:rsidR="000E37B0" w:rsidRPr="005764FC" w:rsidRDefault="000E37B0" w:rsidP="00710D11">
            <w:pPr>
              <w:pStyle w:val="Glossary"/>
            </w:pPr>
            <w:r w:rsidRPr="005764FC">
              <w:t>GM</w:t>
            </w:r>
          </w:p>
        </w:tc>
        <w:tc>
          <w:tcPr>
            <w:tcW w:w="6708" w:type="dxa"/>
          </w:tcPr>
          <w:p w14:paraId="0978AB76" w14:textId="6F8B7B1F" w:rsidR="000E37B0" w:rsidRPr="005764FC" w:rsidRDefault="000E37B0" w:rsidP="00710D11">
            <w:pPr>
              <w:pStyle w:val="Glossary"/>
            </w:pPr>
            <w:r w:rsidRPr="005764FC">
              <w:t>General Motors</w:t>
            </w:r>
          </w:p>
        </w:tc>
      </w:tr>
      <w:tr w:rsidR="00C06537" w:rsidRPr="005764FC" w14:paraId="4BD87153" w14:textId="77777777" w:rsidTr="00710D11">
        <w:trPr>
          <w:trHeight w:val="284"/>
        </w:trPr>
        <w:tc>
          <w:tcPr>
            <w:tcW w:w="2172" w:type="dxa"/>
          </w:tcPr>
          <w:p w14:paraId="618FB6C6" w14:textId="77777777" w:rsidR="00C06537" w:rsidRPr="005764FC" w:rsidRDefault="00C06537" w:rsidP="00710D11">
            <w:pPr>
              <w:pStyle w:val="Glossary"/>
            </w:pPr>
            <w:r w:rsidRPr="005764FC">
              <w:t>GNSS</w:t>
            </w:r>
          </w:p>
        </w:tc>
        <w:tc>
          <w:tcPr>
            <w:tcW w:w="6708" w:type="dxa"/>
          </w:tcPr>
          <w:p w14:paraId="6163C70F" w14:textId="77777777" w:rsidR="00C06537" w:rsidRPr="005764FC" w:rsidRDefault="00C06537" w:rsidP="00710D11">
            <w:pPr>
              <w:pStyle w:val="Glossary"/>
            </w:pPr>
            <w:r w:rsidRPr="005764FC">
              <w:t>Global Navigation Satellite System</w:t>
            </w:r>
          </w:p>
        </w:tc>
      </w:tr>
      <w:tr w:rsidR="00C06537" w:rsidRPr="005764FC" w14:paraId="3E9D8454" w14:textId="77777777" w:rsidTr="00710D11">
        <w:trPr>
          <w:trHeight w:val="284"/>
        </w:trPr>
        <w:tc>
          <w:tcPr>
            <w:tcW w:w="2172" w:type="dxa"/>
          </w:tcPr>
          <w:p w14:paraId="4980660D" w14:textId="77777777" w:rsidR="00C06537" w:rsidRPr="005764FC" w:rsidRDefault="00C06537" w:rsidP="00710D11">
            <w:pPr>
              <w:pStyle w:val="Glossary"/>
            </w:pPr>
            <w:r w:rsidRPr="005764FC">
              <w:t>HMI</w:t>
            </w:r>
          </w:p>
        </w:tc>
        <w:tc>
          <w:tcPr>
            <w:tcW w:w="6708" w:type="dxa"/>
          </w:tcPr>
          <w:p w14:paraId="5DD7E5F3" w14:textId="77777777" w:rsidR="00C06537" w:rsidRPr="005764FC" w:rsidRDefault="00C06537" w:rsidP="00710D11">
            <w:pPr>
              <w:pStyle w:val="Glossary"/>
            </w:pPr>
            <w:r w:rsidRPr="005764FC">
              <w:t>Human Machine Interface</w:t>
            </w:r>
          </w:p>
        </w:tc>
      </w:tr>
      <w:tr w:rsidR="00C06537" w:rsidRPr="005764FC" w14:paraId="1FFD8E5A" w14:textId="77777777" w:rsidTr="00710D11">
        <w:trPr>
          <w:trHeight w:val="284"/>
        </w:trPr>
        <w:tc>
          <w:tcPr>
            <w:tcW w:w="2172" w:type="dxa"/>
          </w:tcPr>
          <w:p w14:paraId="3BEA5751" w14:textId="77777777" w:rsidR="00C06537" w:rsidRPr="005764FC" w:rsidRDefault="00C06537" w:rsidP="00710D11">
            <w:pPr>
              <w:pStyle w:val="Glossary"/>
            </w:pPr>
            <w:r w:rsidRPr="005764FC">
              <w:t>ICVP</w:t>
            </w:r>
          </w:p>
        </w:tc>
        <w:tc>
          <w:tcPr>
            <w:tcW w:w="6708" w:type="dxa"/>
          </w:tcPr>
          <w:p w14:paraId="28249F3C" w14:textId="77777777" w:rsidR="00C06537" w:rsidRPr="005764FC" w:rsidRDefault="00C06537" w:rsidP="00710D11">
            <w:pPr>
              <w:pStyle w:val="Glossary"/>
            </w:pPr>
            <w:r w:rsidRPr="005764FC">
              <w:t>Ipswich Connected Vehicle Pilot</w:t>
            </w:r>
          </w:p>
        </w:tc>
      </w:tr>
      <w:tr w:rsidR="00BC769F" w:rsidRPr="005764FC" w14:paraId="7BEC187E" w14:textId="77777777" w:rsidTr="00710D11">
        <w:trPr>
          <w:trHeight w:val="284"/>
        </w:trPr>
        <w:tc>
          <w:tcPr>
            <w:tcW w:w="2172" w:type="dxa"/>
          </w:tcPr>
          <w:p w14:paraId="60B5A316" w14:textId="11B5333D" w:rsidR="00BC769F" w:rsidRPr="005764FC" w:rsidRDefault="00BC769F" w:rsidP="00710D11">
            <w:pPr>
              <w:pStyle w:val="Glossary"/>
            </w:pPr>
            <w:r w:rsidRPr="005764FC">
              <w:t>ILM</w:t>
            </w:r>
          </w:p>
        </w:tc>
        <w:tc>
          <w:tcPr>
            <w:tcW w:w="6708" w:type="dxa"/>
          </w:tcPr>
          <w:p w14:paraId="333E666C" w14:textId="2A9EFA38" w:rsidR="00BC769F" w:rsidRPr="005764FC" w:rsidRDefault="00BC769F" w:rsidP="00710D11">
            <w:pPr>
              <w:pStyle w:val="Glossary"/>
            </w:pPr>
            <w:r w:rsidRPr="005764FC">
              <w:t>Investment Logic Mapping</w:t>
            </w:r>
          </w:p>
        </w:tc>
      </w:tr>
      <w:tr w:rsidR="001B1A7C" w:rsidRPr="005764FC" w14:paraId="14205AD4" w14:textId="77777777" w:rsidTr="00710D11">
        <w:trPr>
          <w:trHeight w:val="284"/>
        </w:trPr>
        <w:tc>
          <w:tcPr>
            <w:tcW w:w="2172" w:type="dxa"/>
          </w:tcPr>
          <w:p w14:paraId="31CF4B06" w14:textId="3DAF0566" w:rsidR="001B1A7C" w:rsidRPr="005764FC" w:rsidRDefault="001B1A7C" w:rsidP="00710D11">
            <w:pPr>
              <w:pStyle w:val="Glossary"/>
            </w:pPr>
            <w:r w:rsidRPr="005764FC">
              <w:t>ISO</w:t>
            </w:r>
          </w:p>
        </w:tc>
        <w:tc>
          <w:tcPr>
            <w:tcW w:w="6708" w:type="dxa"/>
          </w:tcPr>
          <w:p w14:paraId="787DFB58" w14:textId="75B26E70" w:rsidR="001B1A7C" w:rsidRPr="005764FC" w:rsidRDefault="001B1A7C" w:rsidP="00710D11">
            <w:pPr>
              <w:pStyle w:val="Glossary"/>
            </w:pPr>
            <w:r w:rsidRPr="005764FC">
              <w:t>International Standards Organisation</w:t>
            </w:r>
          </w:p>
        </w:tc>
      </w:tr>
      <w:tr w:rsidR="00C06537" w:rsidRPr="005764FC" w14:paraId="12663788" w14:textId="77777777" w:rsidTr="00710D11">
        <w:trPr>
          <w:trHeight w:val="284"/>
        </w:trPr>
        <w:tc>
          <w:tcPr>
            <w:tcW w:w="2172" w:type="dxa"/>
          </w:tcPr>
          <w:p w14:paraId="5D4AC618" w14:textId="77777777" w:rsidR="00C06537" w:rsidRPr="005764FC" w:rsidRDefault="00C06537" w:rsidP="00710D11">
            <w:pPr>
              <w:pStyle w:val="Glossary"/>
            </w:pPr>
            <w:r w:rsidRPr="005764FC">
              <w:t>ITS</w:t>
            </w:r>
          </w:p>
        </w:tc>
        <w:tc>
          <w:tcPr>
            <w:tcW w:w="6708" w:type="dxa"/>
          </w:tcPr>
          <w:p w14:paraId="189E77CA" w14:textId="77777777" w:rsidR="00C06537" w:rsidRPr="005764FC" w:rsidRDefault="00C06537" w:rsidP="00710D11">
            <w:pPr>
              <w:pStyle w:val="Glossary"/>
            </w:pPr>
            <w:r w:rsidRPr="005764FC">
              <w:t>Intelligent Transport Systems</w:t>
            </w:r>
          </w:p>
        </w:tc>
      </w:tr>
      <w:tr w:rsidR="009D7BF1" w:rsidRPr="005764FC" w14:paraId="198BC311" w14:textId="77777777" w:rsidTr="00710D11">
        <w:trPr>
          <w:trHeight w:val="284"/>
        </w:trPr>
        <w:tc>
          <w:tcPr>
            <w:tcW w:w="2172" w:type="dxa"/>
          </w:tcPr>
          <w:p w14:paraId="6BB44869" w14:textId="5C3D6B29" w:rsidR="009D7BF1" w:rsidRPr="005764FC" w:rsidRDefault="009D7BF1" w:rsidP="00710D11">
            <w:pPr>
              <w:pStyle w:val="Glossary"/>
            </w:pPr>
            <w:r w:rsidRPr="005764FC">
              <w:t>IVI</w:t>
            </w:r>
          </w:p>
        </w:tc>
        <w:tc>
          <w:tcPr>
            <w:tcW w:w="6708" w:type="dxa"/>
          </w:tcPr>
          <w:p w14:paraId="7E4AE04C" w14:textId="63B8D8E2" w:rsidR="009D7BF1" w:rsidRPr="005764FC" w:rsidRDefault="00D37997" w:rsidP="00710D11">
            <w:pPr>
              <w:pStyle w:val="Glossary"/>
            </w:pPr>
            <w:r w:rsidRPr="005764FC">
              <w:t xml:space="preserve">In-vehicle Information </w:t>
            </w:r>
          </w:p>
        </w:tc>
      </w:tr>
      <w:tr w:rsidR="009571F3" w:rsidRPr="005764FC" w14:paraId="677856E5" w14:textId="77777777" w:rsidTr="00710D11">
        <w:trPr>
          <w:trHeight w:val="284"/>
        </w:trPr>
        <w:tc>
          <w:tcPr>
            <w:tcW w:w="2172" w:type="dxa"/>
          </w:tcPr>
          <w:p w14:paraId="22E009E2" w14:textId="663FCA47" w:rsidR="009571F3" w:rsidRPr="005764FC" w:rsidRDefault="009571F3" w:rsidP="00710D11">
            <w:pPr>
              <w:pStyle w:val="Glossary"/>
            </w:pPr>
            <w:r w:rsidRPr="005764FC">
              <w:t>MAPEM</w:t>
            </w:r>
          </w:p>
        </w:tc>
        <w:tc>
          <w:tcPr>
            <w:tcW w:w="6708" w:type="dxa"/>
          </w:tcPr>
          <w:p w14:paraId="07E7ECE9" w14:textId="230DD381" w:rsidR="009571F3" w:rsidRPr="005764FC" w:rsidRDefault="009571F3" w:rsidP="00710D11">
            <w:pPr>
              <w:pStyle w:val="Glossary"/>
            </w:pPr>
            <w:r w:rsidRPr="005764FC">
              <w:t>Map Extended Message</w:t>
            </w:r>
          </w:p>
        </w:tc>
      </w:tr>
      <w:tr w:rsidR="00FD09CD" w:rsidRPr="005764FC" w14:paraId="1DAAE951" w14:textId="77777777" w:rsidTr="00710D11">
        <w:trPr>
          <w:trHeight w:val="284"/>
        </w:trPr>
        <w:tc>
          <w:tcPr>
            <w:tcW w:w="2172" w:type="dxa"/>
          </w:tcPr>
          <w:p w14:paraId="444B95BA" w14:textId="701D5487" w:rsidR="00FD09CD" w:rsidRPr="005764FC" w:rsidRDefault="00FD09CD" w:rsidP="00710D11">
            <w:pPr>
              <w:pStyle w:val="Glossary"/>
            </w:pPr>
            <w:r w:rsidRPr="005764FC">
              <w:t>MCA</w:t>
            </w:r>
          </w:p>
        </w:tc>
        <w:tc>
          <w:tcPr>
            <w:tcW w:w="6708" w:type="dxa"/>
          </w:tcPr>
          <w:p w14:paraId="22BBE773" w14:textId="6099D191" w:rsidR="00FD09CD" w:rsidRPr="005764FC" w:rsidRDefault="00FD09CD" w:rsidP="00710D11">
            <w:pPr>
              <w:pStyle w:val="Glossary"/>
            </w:pPr>
            <w:r w:rsidRPr="005764FC">
              <w:t>Multi-Criteria Analysis</w:t>
            </w:r>
          </w:p>
        </w:tc>
      </w:tr>
      <w:tr w:rsidR="008E1DA4" w:rsidRPr="005764FC" w14:paraId="6B62E2FF" w14:textId="77777777" w:rsidTr="00710D11">
        <w:trPr>
          <w:trHeight w:val="284"/>
        </w:trPr>
        <w:tc>
          <w:tcPr>
            <w:tcW w:w="2172" w:type="dxa"/>
          </w:tcPr>
          <w:p w14:paraId="7BA6018D" w14:textId="4DA570B3" w:rsidR="008E1DA4" w:rsidRPr="005764FC" w:rsidRDefault="00FD09CD" w:rsidP="00FD09CD">
            <w:pPr>
              <w:pStyle w:val="Glossary"/>
            </w:pPr>
            <w:r w:rsidRPr="005764FC">
              <w:t>NAP</w:t>
            </w:r>
          </w:p>
        </w:tc>
        <w:tc>
          <w:tcPr>
            <w:tcW w:w="6708" w:type="dxa"/>
          </w:tcPr>
          <w:p w14:paraId="2A96846C" w14:textId="178BB8FA" w:rsidR="008E1DA4" w:rsidRPr="005764FC" w:rsidRDefault="00FD09CD" w:rsidP="00710D11">
            <w:pPr>
              <w:pStyle w:val="Glossary"/>
            </w:pPr>
            <w:r w:rsidRPr="005764FC">
              <w:t>National Access Point</w:t>
            </w:r>
          </w:p>
        </w:tc>
      </w:tr>
      <w:tr w:rsidR="009D51E4" w:rsidRPr="005764FC" w14:paraId="46148B1E" w14:textId="77777777" w:rsidTr="00710D11">
        <w:trPr>
          <w:trHeight w:val="284"/>
        </w:trPr>
        <w:tc>
          <w:tcPr>
            <w:tcW w:w="2172" w:type="dxa"/>
          </w:tcPr>
          <w:p w14:paraId="57323A48" w14:textId="4C522566" w:rsidR="009D51E4" w:rsidRPr="005764FC" w:rsidRDefault="009D51E4" w:rsidP="00710D11">
            <w:pPr>
              <w:pStyle w:val="Glossary"/>
            </w:pPr>
            <w:r w:rsidRPr="005764FC">
              <w:t>NTC</w:t>
            </w:r>
          </w:p>
        </w:tc>
        <w:tc>
          <w:tcPr>
            <w:tcW w:w="6708" w:type="dxa"/>
          </w:tcPr>
          <w:p w14:paraId="3CF2B4F2" w14:textId="4F248DC1" w:rsidR="009D51E4" w:rsidRPr="005764FC" w:rsidRDefault="009D51E4" w:rsidP="00710D11">
            <w:pPr>
              <w:pStyle w:val="Glossary"/>
            </w:pPr>
            <w:r w:rsidRPr="005764FC">
              <w:t>National Transport Commission</w:t>
            </w:r>
          </w:p>
        </w:tc>
      </w:tr>
      <w:tr w:rsidR="00C06537" w:rsidRPr="005764FC" w14:paraId="3A9F78FC" w14:textId="77777777" w:rsidTr="00710D11">
        <w:trPr>
          <w:trHeight w:val="284"/>
        </w:trPr>
        <w:tc>
          <w:tcPr>
            <w:tcW w:w="2172" w:type="dxa"/>
          </w:tcPr>
          <w:p w14:paraId="766D2A41" w14:textId="77777777" w:rsidR="00C06537" w:rsidRPr="005764FC" w:rsidRDefault="00C06537" w:rsidP="00710D11">
            <w:pPr>
              <w:pStyle w:val="Glossary"/>
            </w:pPr>
            <w:r w:rsidRPr="005764FC">
              <w:t>OEM</w:t>
            </w:r>
          </w:p>
        </w:tc>
        <w:tc>
          <w:tcPr>
            <w:tcW w:w="6708" w:type="dxa"/>
          </w:tcPr>
          <w:p w14:paraId="54FAF540" w14:textId="77777777" w:rsidR="00C06537" w:rsidRPr="005764FC" w:rsidRDefault="00C06537" w:rsidP="00710D11">
            <w:pPr>
              <w:pStyle w:val="Glossary"/>
            </w:pPr>
            <w:r w:rsidRPr="005764FC">
              <w:t>Original Equipment Manufacturer (broader than only vehicle manufacturers)</w:t>
            </w:r>
          </w:p>
        </w:tc>
      </w:tr>
      <w:tr w:rsidR="00FD09CD" w:rsidRPr="005764FC" w14:paraId="3E53FB95" w14:textId="77777777" w:rsidTr="00710D11">
        <w:trPr>
          <w:trHeight w:val="284"/>
        </w:trPr>
        <w:tc>
          <w:tcPr>
            <w:tcW w:w="2172" w:type="dxa"/>
          </w:tcPr>
          <w:p w14:paraId="5739DC88" w14:textId="2CC31B2A" w:rsidR="00FD09CD" w:rsidRPr="005764FC" w:rsidRDefault="00FD09CD" w:rsidP="00710D11">
            <w:pPr>
              <w:pStyle w:val="Glossary"/>
            </w:pPr>
            <w:r w:rsidRPr="005764FC">
              <w:t>PA</w:t>
            </w:r>
          </w:p>
        </w:tc>
        <w:tc>
          <w:tcPr>
            <w:tcW w:w="6708" w:type="dxa"/>
          </w:tcPr>
          <w:p w14:paraId="61CE31A9" w14:textId="33AA0979" w:rsidR="00FD09CD" w:rsidRPr="005764FC" w:rsidRDefault="00FD09CD" w:rsidP="00710D11">
            <w:pPr>
              <w:pStyle w:val="Glossary"/>
            </w:pPr>
            <w:r w:rsidRPr="005764FC">
              <w:t>Policy Approach</w:t>
            </w:r>
          </w:p>
        </w:tc>
      </w:tr>
      <w:tr w:rsidR="005664DC" w:rsidRPr="005764FC" w14:paraId="30360E50" w14:textId="77777777" w:rsidTr="00710D11">
        <w:trPr>
          <w:trHeight w:val="284"/>
        </w:trPr>
        <w:tc>
          <w:tcPr>
            <w:tcW w:w="2172" w:type="dxa"/>
          </w:tcPr>
          <w:p w14:paraId="2C9E9C7E" w14:textId="2CC1DFD6" w:rsidR="005664DC" w:rsidRPr="005764FC" w:rsidRDefault="005664DC" w:rsidP="00710D11">
            <w:pPr>
              <w:pStyle w:val="Glossary"/>
            </w:pPr>
            <w:r w:rsidRPr="005764FC">
              <w:t>PTW</w:t>
            </w:r>
          </w:p>
        </w:tc>
        <w:tc>
          <w:tcPr>
            <w:tcW w:w="6708" w:type="dxa"/>
          </w:tcPr>
          <w:p w14:paraId="5BE66178" w14:textId="32386B7D" w:rsidR="005664DC" w:rsidRPr="005764FC" w:rsidRDefault="00F6167F" w:rsidP="00710D11">
            <w:pPr>
              <w:pStyle w:val="Glossary"/>
            </w:pPr>
            <w:r w:rsidRPr="005764FC">
              <w:t>Powered Two Wheelers</w:t>
            </w:r>
          </w:p>
        </w:tc>
      </w:tr>
      <w:tr w:rsidR="00FD09CD" w:rsidRPr="005764FC" w14:paraId="4412F06A" w14:textId="77777777" w:rsidTr="00710D11">
        <w:trPr>
          <w:trHeight w:val="284"/>
        </w:trPr>
        <w:tc>
          <w:tcPr>
            <w:tcW w:w="2172" w:type="dxa"/>
          </w:tcPr>
          <w:p w14:paraId="13999500" w14:textId="5A296475" w:rsidR="00FD09CD" w:rsidRPr="005764FC" w:rsidRDefault="00FD09CD" w:rsidP="00710D11">
            <w:pPr>
              <w:pStyle w:val="Glossary"/>
              <w:rPr>
                <w:rFonts w:ascii="Times New Roman" w:hAnsi="Times New Roman"/>
                <w:color w:val="000000" w:themeColor="text1"/>
              </w:rPr>
            </w:pPr>
            <w:r w:rsidRPr="005764FC">
              <w:rPr>
                <w:rFonts w:ascii="Times New Roman" w:hAnsi="Times New Roman"/>
                <w:color w:val="000000" w:themeColor="text1"/>
              </w:rPr>
              <w:t>RADCAV</w:t>
            </w:r>
          </w:p>
        </w:tc>
        <w:tc>
          <w:tcPr>
            <w:tcW w:w="6708" w:type="dxa"/>
          </w:tcPr>
          <w:p w14:paraId="05F5DC59" w14:textId="663D484D" w:rsidR="00FD09CD" w:rsidRPr="005764FC" w:rsidRDefault="00FD09CD" w:rsidP="00710D11">
            <w:pPr>
              <w:pStyle w:val="Glossary"/>
            </w:pPr>
            <w:r w:rsidRPr="005764FC">
              <w:t>Road Authority Data for Connected and Automated Vehicles</w:t>
            </w:r>
          </w:p>
        </w:tc>
      </w:tr>
      <w:tr w:rsidR="00D84FB4" w:rsidRPr="005764FC" w14:paraId="701DBA3B" w14:textId="77777777" w:rsidTr="00710D11">
        <w:trPr>
          <w:trHeight w:val="284"/>
        </w:trPr>
        <w:tc>
          <w:tcPr>
            <w:tcW w:w="2172" w:type="dxa"/>
          </w:tcPr>
          <w:p w14:paraId="31DBF09D" w14:textId="0FC73390" w:rsidR="00D84FB4" w:rsidRPr="005764FC" w:rsidRDefault="00D84FB4" w:rsidP="00710D11">
            <w:pPr>
              <w:pStyle w:val="Glossary"/>
            </w:pPr>
            <w:r w:rsidRPr="005764FC">
              <w:t>RTCMEM</w:t>
            </w:r>
          </w:p>
        </w:tc>
        <w:tc>
          <w:tcPr>
            <w:tcW w:w="6708" w:type="dxa"/>
          </w:tcPr>
          <w:p w14:paraId="5DAA7A2B" w14:textId="10B57804" w:rsidR="00D84FB4" w:rsidRPr="005764FC" w:rsidRDefault="00684F91" w:rsidP="00710D11">
            <w:pPr>
              <w:pStyle w:val="Glossary"/>
            </w:pPr>
            <w:r w:rsidRPr="005764FC">
              <w:t>Radio Technical Commission for Maritime services Environmental Message</w:t>
            </w:r>
          </w:p>
        </w:tc>
      </w:tr>
      <w:tr w:rsidR="00C06537" w:rsidRPr="005764FC" w14:paraId="58CE40B4" w14:textId="77777777" w:rsidTr="00710D11">
        <w:trPr>
          <w:trHeight w:val="284"/>
        </w:trPr>
        <w:tc>
          <w:tcPr>
            <w:tcW w:w="2172" w:type="dxa"/>
          </w:tcPr>
          <w:p w14:paraId="12F12222" w14:textId="670C9EC2" w:rsidR="00C06537" w:rsidRPr="005764FC" w:rsidRDefault="00C06537" w:rsidP="00710D11">
            <w:pPr>
              <w:pStyle w:val="Glossary"/>
            </w:pPr>
            <w:r w:rsidRPr="005764FC">
              <w:t>SCMS</w:t>
            </w:r>
          </w:p>
        </w:tc>
        <w:tc>
          <w:tcPr>
            <w:tcW w:w="6708" w:type="dxa"/>
          </w:tcPr>
          <w:p w14:paraId="47B729E0" w14:textId="77777777" w:rsidR="00C06537" w:rsidRPr="005764FC" w:rsidRDefault="00C06537" w:rsidP="00710D11">
            <w:pPr>
              <w:pStyle w:val="Glossary"/>
            </w:pPr>
            <w:r w:rsidRPr="005764FC">
              <w:t>C‑ITS Security Credential Management System</w:t>
            </w:r>
          </w:p>
        </w:tc>
      </w:tr>
      <w:tr w:rsidR="00C06537" w:rsidRPr="005764FC" w14:paraId="477FEADA" w14:textId="77777777" w:rsidTr="00710D11">
        <w:trPr>
          <w:trHeight w:val="284"/>
        </w:trPr>
        <w:tc>
          <w:tcPr>
            <w:tcW w:w="2172" w:type="dxa"/>
          </w:tcPr>
          <w:p w14:paraId="7B951A6B" w14:textId="77777777" w:rsidR="00C06537" w:rsidRPr="005764FC" w:rsidRDefault="00C06537" w:rsidP="00710D11">
            <w:pPr>
              <w:pStyle w:val="Glossary"/>
            </w:pPr>
            <w:r w:rsidRPr="005764FC">
              <w:t>SPAT</w:t>
            </w:r>
          </w:p>
        </w:tc>
        <w:tc>
          <w:tcPr>
            <w:tcW w:w="6708" w:type="dxa"/>
          </w:tcPr>
          <w:p w14:paraId="222383B1" w14:textId="77777777" w:rsidR="00C06537" w:rsidRPr="005764FC" w:rsidRDefault="00C06537" w:rsidP="00710D11">
            <w:pPr>
              <w:pStyle w:val="Glossary"/>
            </w:pPr>
            <w:r w:rsidRPr="005764FC">
              <w:t>Signal Phase and Timing</w:t>
            </w:r>
          </w:p>
        </w:tc>
      </w:tr>
      <w:tr w:rsidR="00B979DD" w:rsidRPr="005764FC" w14:paraId="412D3FF0" w14:textId="77777777" w:rsidTr="00710D11">
        <w:trPr>
          <w:trHeight w:val="284"/>
        </w:trPr>
        <w:tc>
          <w:tcPr>
            <w:tcW w:w="2172" w:type="dxa"/>
          </w:tcPr>
          <w:p w14:paraId="2FE5B708" w14:textId="79E0D3B1" w:rsidR="00B979DD" w:rsidRPr="005764FC" w:rsidRDefault="00B979DD" w:rsidP="00710D11">
            <w:pPr>
              <w:pStyle w:val="Glossary"/>
            </w:pPr>
            <w:r w:rsidRPr="005764FC">
              <w:t>SSEM</w:t>
            </w:r>
          </w:p>
        </w:tc>
        <w:tc>
          <w:tcPr>
            <w:tcW w:w="6708" w:type="dxa"/>
          </w:tcPr>
          <w:p w14:paraId="1AAB8580" w14:textId="2FE43602" w:rsidR="00B979DD" w:rsidRPr="005764FC" w:rsidRDefault="004D1909" w:rsidP="00710D11">
            <w:pPr>
              <w:pStyle w:val="Glossary"/>
            </w:pPr>
            <w:r w:rsidRPr="005764FC">
              <w:t>Signal Status Extended Message</w:t>
            </w:r>
          </w:p>
        </w:tc>
      </w:tr>
      <w:tr w:rsidR="00B979DD" w:rsidRPr="005764FC" w14:paraId="5944ADA2" w14:textId="77777777" w:rsidTr="00710D11">
        <w:trPr>
          <w:trHeight w:val="284"/>
        </w:trPr>
        <w:tc>
          <w:tcPr>
            <w:tcW w:w="2172" w:type="dxa"/>
          </w:tcPr>
          <w:p w14:paraId="16738580" w14:textId="399D88F8" w:rsidR="00B979DD" w:rsidRPr="005764FC" w:rsidRDefault="00B979DD" w:rsidP="00710D11">
            <w:pPr>
              <w:pStyle w:val="Glossary"/>
            </w:pPr>
            <w:r w:rsidRPr="005764FC">
              <w:t>S</w:t>
            </w:r>
            <w:r w:rsidR="005B2CBF">
              <w:t>S</w:t>
            </w:r>
            <w:r w:rsidRPr="005764FC">
              <w:t>REM</w:t>
            </w:r>
          </w:p>
        </w:tc>
        <w:tc>
          <w:tcPr>
            <w:tcW w:w="6708" w:type="dxa"/>
          </w:tcPr>
          <w:p w14:paraId="68D54854" w14:textId="53563D45" w:rsidR="00B979DD" w:rsidRPr="005764FC" w:rsidRDefault="004D1909" w:rsidP="00710D11">
            <w:pPr>
              <w:pStyle w:val="Glossary"/>
            </w:pPr>
            <w:r w:rsidRPr="005764FC">
              <w:t>Signal Request Extended Message</w:t>
            </w:r>
          </w:p>
        </w:tc>
      </w:tr>
      <w:tr w:rsidR="00C06537" w:rsidRPr="005764FC" w14:paraId="7A89CE0C" w14:textId="77777777" w:rsidTr="00710D11">
        <w:trPr>
          <w:trHeight w:val="284"/>
        </w:trPr>
        <w:tc>
          <w:tcPr>
            <w:tcW w:w="2172" w:type="dxa"/>
          </w:tcPr>
          <w:p w14:paraId="116186F6" w14:textId="77777777" w:rsidR="00C06537" w:rsidRPr="005764FC" w:rsidRDefault="00C06537" w:rsidP="00710D11">
            <w:pPr>
              <w:pStyle w:val="Glossary"/>
            </w:pPr>
            <w:r w:rsidRPr="005764FC">
              <w:t>TfNSW</w:t>
            </w:r>
          </w:p>
        </w:tc>
        <w:tc>
          <w:tcPr>
            <w:tcW w:w="6708" w:type="dxa"/>
          </w:tcPr>
          <w:p w14:paraId="65835612" w14:textId="77777777" w:rsidR="00C06537" w:rsidRPr="005764FC" w:rsidRDefault="00C06537" w:rsidP="00710D11">
            <w:pPr>
              <w:pStyle w:val="Glossary"/>
            </w:pPr>
            <w:r w:rsidRPr="005764FC">
              <w:t>Transport for New South Wales</w:t>
            </w:r>
          </w:p>
        </w:tc>
      </w:tr>
      <w:tr w:rsidR="00C06537" w:rsidRPr="005764FC" w14:paraId="5C8B314D" w14:textId="77777777" w:rsidTr="00710D11">
        <w:trPr>
          <w:trHeight w:val="284"/>
        </w:trPr>
        <w:tc>
          <w:tcPr>
            <w:tcW w:w="2172" w:type="dxa"/>
          </w:tcPr>
          <w:p w14:paraId="13B29694" w14:textId="77777777" w:rsidR="00C06537" w:rsidRPr="005764FC" w:rsidRDefault="00C06537" w:rsidP="00710D11">
            <w:pPr>
              <w:pStyle w:val="Glossary"/>
            </w:pPr>
            <w:r w:rsidRPr="005764FC">
              <w:t>TMR</w:t>
            </w:r>
          </w:p>
        </w:tc>
        <w:tc>
          <w:tcPr>
            <w:tcW w:w="6708" w:type="dxa"/>
          </w:tcPr>
          <w:p w14:paraId="454754C0" w14:textId="77777777" w:rsidR="00C06537" w:rsidRPr="005764FC" w:rsidRDefault="00C06537" w:rsidP="00710D11">
            <w:pPr>
              <w:pStyle w:val="Glossary"/>
            </w:pPr>
            <w:r w:rsidRPr="005764FC">
              <w:t xml:space="preserve">Queensland Department of Transport and Main Roads </w:t>
            </w:r>
          </w:p>
        </w:tc>
      </w:tr>
      <w:tr w:rsidR="00C06537" w:rsidRPr="005764FC" w14:paraId="1DB53AA8" w14:textId="77777777" w:rsidTr="00710D11">
        <w:trPr>
          <w:trHeight w:val="284"/>
        </w:trPr>
        <w:tc>
          <w:tcPr>
            <w:tcW w:w="2172" w:type="dxa"/>
          </w:tcPr>
          <w:p w14:paraId="62EF31DC" w14:textId="77777777" w:rsidR="00C06537" w:rsidRPr="005764FC" w:rsidRDefault="00C06537" w:rsidP="00710D11">
            <w:pPr>
              <w:pStyle w:val="Glossary"/>
            </w:pPr>
            <w:r w:rsidRPr="005764FC">
              <w:t>TSC</w:t>
            </w:r>
          </w:p>
        </w:tc>
        <w:tc>
          <w:tcPr>
            <w:tcW w:w="6708" w:type="dxa"/>
          </w:tcPr>
          <w:p w14:paraId="0D58AB6D" w14:textId="77777777" w:rsidR="00C06537" w:rsidRPr="005764FC" w:rsidRDefault="00C06537" w:rsidP="00710D11">
            <w:pPr>
              <w:pStyle w:val="Glossary"/>
            </w:pPr>
            <w:r w:rsidRPr="005764FC">
              <w:t>Traffic Signal Controller</w:t>
            </w:r>
          </w:p>
        </w:tc>
      </w:tr>
      <w:tr w:rsidR="00F84ECB" w:rsidRPr="005764FC" w14:paraId="3B6F2FC0" w14:textId="77777777" w:rsidTr="00710D11">
        <w:trPr>
          <w:trHeight w:val="284"/>
        </w:trPr>
        <w:tc>
          <w:tcPr>
            <w:tcW w:w="2172" w:type="dxa"/>
          </w:tcPr>
          <w:p w14:paraId="50FD973F" w14:textId="34DCF57E" w:rsidR="00F84ECB" w:rsidRPr="005764FC" w:rsidRDefault="00F84ECB" w:rsidP="00710D11">
            <w:pPr>
              <w:pStyle w:val="Glossary"/>
            </w:pPr>
            <w:r w:rsidRPr="005764FC">
              <w:t>TTG</w:t>
            </w:r>
          </w:p>
        </w:tc>
        <w:tc>
          <w:tcPr>
            <w:tcW w:w="6708" w:type="dxa"/>
          </w:tcPr>
          <w:p w14:paraId="2BA03071" w14:textId="7DE91BB1" w:rsidR="00F84ECB" w:rsidRPr="005764FC" w:rsidRDefault="00F84ECB" w:rsidP="00710D11">
            <w:pPr>
              <w:pStyle w:val="Glossary"/>
            </w:pPr>
            <w:r w:rsidRPr="005764FC">
              <w:t>Time to Green</w:t>
            </w:r>
          </w:p>
        </w:tc>
      </w:tr>
      <w:tr w:rsidR="00F84ECB" w:rsidRPr="005764FC" w14:paraId="6FEF5552" w14:textId="77777777" w:rsidTr="00710D11">
        <w:trPr>
          <w:trHeight w:val="284"/>
        </w:trPr>
        <w:tc>
          <w:tcPr>
            <w:tcW w:w="2172" w:type="dxa"/>
          </w:tcPr>
          <w:p w14:paraId="3C2EE3AC" w14:textId="20FD39DC" w:rsidR="00F84ECB" w:rsidRPr="005764FC" w:rsidRDefault="00F84ECB" w:rsidP="00710D11">
            <w:pPr>
              <w:pStyle w:val="Glossary"/>
            </w:pPr>
            <w:r w:rsidRPr="005764FC">
              <w:t>UNECE</w:t>
            </w:r>
          </w:p>
        </w:tc>
        <w:tc>
          <w:tcPr>
            <w:tcW w:w="6708" w:type="dxa"/>
          </w:tcPr>
          <w:p w14:paraId="6DE11BAB" w14:textId="67CDDAFE" w:rsidR="00F84ECB" w:rsidRPr="005764FC" w:rsidRDefault="00F84ECB" w:rsidP="00710D11">
            <w:pPr>
              <w:pStyle w:val="Glossary"/>
            </w:pPr>
            <w:r w:rsidRPr="005764FC">
              <w:t>United Nations Economic Commission for Europe</w:t>
            </w:r>
          </w:p>
        </w:tc>
      </w:tr>
      <w:tr w:rsidR="00C06537" w:rsidRPr="005764FC" w14:paraId="0F9C8E43" w14:textId="77777777" w:rsidTr="00710D11">
        <w:trPr>
          <w:trHeight w:val="284"/>
        </w:trPr>
        <w:tc>
          <w:tcPr>
            <w:tcW w:w="2172" w:type="dxa"/>
          </w:tcPr>
          <w:p w14:paraId="4C981280" w14:textId="77777777" w:rsidR="00C06537" w:rsidRPr="005764FC" w:rsidRDefault="00C06537" w:rsidP="00710D11">
            <w:pPr>
              <w:pStyle w:val="Glossary"/>
            </w:pPr>
            <w:r w:rsidRPr="005764FC">
              <w:t>US</w:t>
            </w:r>
          </w:p>
        </w:tc>
        <w:tc>
          <w:tcPr>
            <w:tcW w:w="6708" w:type="dxa"/>
          </w:tcPr>
          <w:p w14:paraId="010A9FAE" w14:textId="77777777" w:rsidR="00C06537" w:rsidRPr="005764FC" w:rsidRDefault="00C06537" w:rsidP="00710D11">
            <w:pPr>
              <w:pStyle w:val="Glossary"/>
            </w:pPr>
            <w:r w:rsidRPr="005764FC">
              <w:t>United States</w:t>
            </w:r>
          </w:p>
        </w:tc>
      </w:tr>
      <w:tr w:rsidR="00D053EC" w:rsidRPr="005764FC" w14:paraId="244D8520" w14:textId="77777777" w:rsidTr="00710D11">
        <w:trPr>
          <w:trHeight w:val="284"/>
        </w:trPr>
        <w:tc>
          <w:tcPr>
            <w:tcW w:w="2172" w:type="dxa"/>
          </w:tcPr>
          <w:p w14:paraId="1741BD5A" w14:textId="68BEF4C9" w:rsidR="00D053EC" w:rsidRPr="005764FC" w:rsidRDefault="00D053EC" w:rsidP="00710D11">
            <w:pPr>
              <w:pStyle w:val="Glossary"/>
            </w:pPr>
            <w:r w:rsidRPr="005764FC">
              <w:t>VAM</w:t>
            </w:r>
          </w:p>
        </w:tc>
        <w:tc>
          <w:tcPr>
            <w:tcW w:w="6708" w:type="dxa"/>
          </w:tcPr>
          <w:p w14:paraId="5009D56D" w14:textId="5844C3A6" w:rsidR="00D053EC" w:rsidRPr="005764FC" w:rsidRDefault="00E766EF" w:rsidP="00710D11">
            <w:pPr>
              <w:pStyle w:val="Glossary"/>
            </w:pPr>
            <w:r w:rsidRPr="005764FC">
              <w:t>VRU Awareness Message</w:t>
            </w:r>
          </w:p>
        </w:tc>
      </w:tr>
      <w:tr w:rsidR="00C06537" w:rsidRPr="005764FC" w14:paraId="76C5C48D" w14:textId="77777777" w:rsidTr="00710D11">
        <w:trPr>
          <w:trHeight w:val="284"/>
        </w:trPr>
        <w:tc>
          <w:tcPr>
            <w:tcW w:w="2172" w:type="dxa"/>
          </w:tcPr>
          <w:p w14:paraId="040A4EBA" w14:textId="77777777" w:rsidR="00C06537" w:rsidRPr="005764FC" w:rsidRDefault="00C06537" w:rsidP="00710D11">
            <w:pPr>
              <w:pStyle w:val="Glossary"/>
            </w:pPr>
            <w:r w:rsidRPr="005764FC">
              <w:t>V2I</w:t>
            </w:r>
          </w:p>
        </w:tc>
        <w:tc>
          <w:tcPr>
            <w:tcW w:w="6708" w:type="dxa"/>
          </w:tcPr>
          <w:p w14:paraId="1A7ADEE5" w14:textId="77777777" w:rsidR="00C06537" w:rsidRPr="005764FC" w:rsidRDefault="00C06537" w:rsidP="00710D11">
            <w:pPr>
              <w:pStyle w:val="Glossary"/>
            </w:pPr>
            <w:r w:rsidRPr="005764FC">
              <w:t>Vehicle to Infrastructure</w:t>
            </w:r>
          </w:p>
        </w:tc>
      </w:tr>
      <w:tr w:rsidR="00C06537" w:rsidRPr="005764FC" w14:paraId="77CFD6EE" w14:textId="77777777" w:rsidTr="00710D11">
        <w:trPr>
          <w:trHeight w:val="284"/>
        </w:trPr>
        <w:tc>
          <w:tcPr>
            <w:tcW w:w="2172" w:type="dxa"/>
          </w:tcPr>
          <w:p w14:paraId="1C12571D" w14:textId="77777777" w:rsidR="00C06537" w:rsidRPr="005764FC" w:rsidRDefault="00C06537" w:rsidP="00710D11">
            <w:pPr>
              <w:pStyle w:val="Glossary"/>
            </w:pPr>
            <w:r w:rsidRPr="005764FC">
              <w:t>V2V</w:t>
            </w:r>
          </w:p>
        </w:tc>
        <w:tc>
          <w:tcPr>
            <w:tcW w:w="6708" w:type="dxa"/>
          </w:tcPr>
          <w:p w14:paraId="06A4B567" w14:textId="77777777" w:rsidR="00C06537" w:rsidRPr="005764FC" w:rsidRDefault="00C06537" w:rsidP="00710D11">
            <w:pPr>
              <w:pStyle w:val="Glossary"/>
            </w:pPr>
            <w:r w:rsidRPr="005764FC">
              <w:t>Vehicle to Vehicle</w:t>
            </w:r>
          </w:p>
        </w:tc>
      </w:tr>
      <w:tr w:rsidR="00C06537" w:rsidRPr="005764FC" w14:paraId="6E7743F0" w14:textId="77777777" w:rsidTr="00710D11">
        <w:trPr>
          <w:trHeight w:val="284"/>
        </w:trPr>
        <w:tc>
          <w:tcPr>
            <w:tcW w:w="2172" w:type="dxa"/>
          </w:tcPr>
          <w:p w14:paraId="7B75503C" w14:textId="77777777" w:rsidR="00C06537" w:rsidRPr="005764FC" w:rsidRDefault="00C06537" w:rsidP="00710D11">
            <w:pPr>
              <w:pStyle w:val="Glossary"/>
            </w:pPr>
            <w:r w:rsidRPr="005764FC">
              <w:t>V2X</w:t>
            </w:r>
          </w:p>
        </w:tc>
        <w:tc>
          <w:tcPr>
            <w:tcW w:w="6708" w:type="dxa"/>
          </w:tcPr>
          <w:p w14:paraId="5E93FDAA" w14:textId="77777777" w:rsidR="00C06537" w:rsidRPr="005764FC" w:rsidRDefault="00C06537" w:rsidP="00710D11">
            <w:pPr>
              <w:pStyle w:val="Glossary"/>
            </w:pPr>
            <w:r w:rsidRPr="005764FC">
              <w:t>Vehicle to Everything</w:t>
            </w:r>
          </w:p>
        </w:tc>
      </w:tr>
      <w:tr w:rsidR="00C06537" w:rsidRPr="005764FC" w14:paraId="072AA68A" w14:textId="77777777" w:rsidTr="00FD09CD">
        <w:trPr>
          <w:trHeight w:val="394"/>
        </w:trPr>
        <w:tc>
          <w:tcPr>
            <w:tcW w:w="2172" w:type="dxa"/>
          </w:tcPr>
          <w:p w14:paraId="70763E94" w14:textId="52ED651C" w:rsidR="00C06537" w:rsidRPr="005764FC" w:rsidRDefault="00C06537" w:rsidP="00710D11">
            <w:pPr>
              <w:pStyle w:val="Glossary"/>
            </w:pPr>
            <w:r w:rsidRPr="005764FC">
              <w:t>VRU</w:t>
            </w:r>
          </w:p>
        </w:tc>
        <w:tc>
          <w:tcPr>
            <w:tcW w:w="6708" w:type="dxa"/>
          </w:tcPr>
          <w:p w14:paraId="034B9F4B" w14:textId="3FB970B2" w:rsidR="00C06537" w:rsidRPr="005764FC" w:rsidRDefault="00C06537" w:rsidP="00710D11">
            <w:pPr>
              <w:pStyle w:val="Glossary"/>
            </w:pPr>
            <w:r w:rsidRPr="005764FC">
              <w:t>Vulnerable Road User</w:t>
            </w:r>
          </w:p>
        </w:tc>
      </w:tr>
    </w:tbl>
    <w:p w14:paraId="0A43A8A5" w14:textId="77777777" w:rsidR="00C06537" w:rsidRPr="005764FC" w:rsidRDefault="00C06537" w:rsidP="00C06537">
      <w:pPr>
        <w:pStyle w:val="BodyText"/>
      </w:pPr>
    </w:p>
    <w:p w14:paraId="49A8463A" w14:textId="77777777" w:rsidR="00C06537" w:rsidRPr="005764FC" w:rsidRDefault="00C06537" w:rsidP="00C06537">
      <w:pPr>
        <w:pStyle w:val="BodyText"/>
        <w:sectPr w:rsidR="00C06537" w:rsidRPr="005764FC" w:rsidSect="001428F9">
          <w:headerReference w:type="even" r:id="rId29"/>
          <w:headerReference w:type="default" r:id="rId30"/>
          <w:footerReference w:type="even" r:id="rId31"/>
          <w:footerReference w:type="default" r:id="rId32"/>
          <w:headerReference w:type="first" r:id="rId33"/>
          <w:footerReference w:type="first" r:id="rId34"/>
          <w:pgSz w:w="11907" w:h="16839" w:code="9"/>
          <w:pgMar w:top="1417" w:right="1077" w:bottom="737" w:left="1077" w:header="720" w:footer="720" w:gutter="0"/>
          <w:pgNumType w:fmt="lowerRoman"/>
          <w:cols w:space="708"/>
          <w:docGrid w:linePitch="360"/>
        </w:sectPr>
      </w:pPr>
    </w:p>
    <w:p w14:paraId="763495FE" w14:textId="62B45A99" w:rsidR="000C00E7" w:rsidRPr="000C00E7" w:rsidRDefault="00097B59" w:rsidP="000C00E7">
      <w:pPr>
        <w:pStyle w:val="Heading1NoNumber"/>
      </w:pPr>
      <w:bookmarkStart w:id="38" w:name="_Ref88075269"/>
      <w:bookmarkStart w:id="39" w:name="_Toc94536725"/>
      <w:bookmarkStart w:id="40" w:name="_Toc97807780"/>
      <w:r w:rsidRPr="005764FC">
        <w:t>U</w:t>
      </w:r>
      <w:r w:rsidR="007E36C9" w:rsidRPr="005764FC">
        <w:t>se</w:t>
      </w:r>
      <w:r w:rsidRPr="005764FC">
        <w:t xml:space="preserve"> case </w:t>
      </w:r>
      <w:r w:rsidR="00C06537" w:rsidRPr="005764FC">
        <w:t>Definitions</w:t>
      </w:r>
      <w:bookmarkEnd w:id="31"/>
      <w:bookmarkEnd w:id="38"/>
      <w:bookmarkEnd w:id="39"/>
      <w:bookmarkEnd w:id="40"/>
    </w:p>
    <w:p w14:paraId="288EE966" w14:textId="787AC260" w:rsidR="00982284" w:rsidRPr="00253453" w:rsidRDefault="00982284" w:rsidP="00824DCB">
      <w:pPr>
        <w:pStyle w:val="BodyText"/>
      </w:pPr>
      <w:r>
        <w:rPr>
          <w:lang w:eastAsia="fr-CA"/>
        </w:rPr>
        <w:t xml:space="preserve">For more information </w:t>
      </w:r>
      <w:r w:rsidR="00C412F0">
        <w:rPr>
          <w:lang w:eastAsia="fr-CA"/>
        </w:rPr>
        <w:t xml:space="preserve">see </w:t>
      </w:r>
      <w:r w:rsidR="00824DCB">
        <w:rPr>
          <w:lang w:eastAsia="fr-CA"/>
        </w:rPr>
        <w:t>the s</w:t>
      </w:r>
      <w:r w:rsidR="00C412F0">
        <w:t>upport study for Impact Assessment of Cooperative Intelligent Transport Systems</w:t>
      </w:r>
      <w:r w:rsidR="00824DCB">
        <w:t xml:space="preserve"> </w:t>
      </w:r>
      <w:sdt>
        <w:sdtPr>
          <w:id w:val="-958729225"/>
          <w:citation/>
        </w:sdtPr>
        <w:sdtContent>
          <w:r w:rsidR="00D77655">
            <w:fldChar w:fldCharType="begin"/>
          </w:r>
          <w:r w:rsidR="001528D0">
            <w:instrText xml:space="preserve">CITATION Lev19 \l 3081 </w:instrText>
          </w:r>
          <w:r w:rsidR="00D77655">
            <w:fldChar w:fldCharType="separate"/>
          </w:r>
          <w:r w:rsidR="001428F9">
            <w:rPr>
              <w:noProof/>
            </w:rPr>
            <w:t>(Levin, Skinner, &amp; Nokes, 2019)</w:t>
          </w:r>
          <w:r w:rsidR="00D77655">
            <w:fldChar w:fldCharType="end"/>
          </w:r>
        </w:sdtContent>
      </w:sdt>
      <w:r w:rsidR="00C412F0">
        <w:t>.</w:t>
      </w:r>
    </w:p>
    <w:p w14:paraId="5A6B33F2" w14:textId="1C56F680" w:rsidR="00C06537" w:rsidRPr="005764FC" w:rsidRDefault="002D3696" w:rsidP="002D3696">
      <w:pPr>
        <w:pStyle w:val="Caption"/>
      </w:pPr>
      <w:r w:rsidRPr="005764FC">
        <w:t>Day 1 and 1.5 Use Cases</w:t>
      </w:r>
    </w:p>
    <w:tbl>
      <w:tblPr>
        <w:tblStyle w:val="Table1"/>
        <w:tblW w:w="5000" w:type="pct"/>
        <w:tblLayout w:type="fixed"/>
        <w:tblLook w:val="0420" w:firstRow="1" w:lastRow="0" w:firstColumn="0" w:lastColumn="0" w:noHBand="0" w:noVBand="1"/>
      </w:tblPr>
      <w:tblGrid>
        <w:gridCol w:w="1697"/>
        <w:gridCol w:w="3521"/>
        <w:gridCol w:w="1509"/>
        <w:gridCol w:w="1511"/>
        <w:gridCol w:w="1509"/>
      </w:tblGrid>
      <w:tr w:rsidR="00C06537" w:rsidRPr="005764FC" w14:paraId="50D32C26" w14:textId="77777777" w:rsidTr="004D7D9A">
        <w:trPr>
          <w:cnfStyle w:val="100000000000" w:firstRow="1" w:lastRow="0" w:firstColumn="0" w:lastColumn="0" w:oddVBand="0" w:evenVBand="0" w:oddHBand="0" w:evenHBand="0" w:firstRowFirstColumn="0" w:firstRowLastColumn="0" w:lastRowFirstColumn="0" w:lastRowLastColumn="0"/>
          <w:cantSplit/>
          <w:tblHeader/>
        </w:trPr>
        <w:tc>
          <w:tcPr>
            <w:tcW w:w="871" w:type="pct"/>
          </w:tcPr>
          <w:p w14:paraId="5DB4C2B9" w14:textId="77777777" w:rsidR="00C06537" w:rsidRPr="005764FC" w:rsidRDefault="00C06537" w:rsidP="00710D11">
            <w:pPr>
              <w:pStyle w:val="TableHeading"/>
              <w:rPr>
                <w:lang w:eastAsia="fr-CA"/>
              </w:rPr>
            </w:pPr>
            <w:r w:rsidRPr="005764FC">
              <w:rPr>
                <w:lang w:eastAsia="fr-CA"/>
              </w:rPr>
              <w:t>Use Case</w:t>
            </w:r>
          </w:p>
        </w:tc>
        <w:tc>
          <w:tcPr>
            <w:tcW w:w="1806" w:type="pct"/>
          </w:tcPr>
          <w:p w14:paraId="1B313497" w14:textId="77777777" w:rsidR="00C06537" w:rsidRDefault="00C06537" w:rsidP="00710D11">
            <w:pPr>
              <w:pStyle w:val="TableHeading"/>
              <w:rPr>
                <w:caps w:val="0"/>
                <w:lang w:eastAsia="fr-CA"/>
              </w:rPr>
            </w:pPr>
            <w:r w:rsidRPr="005764FC">
              <w:rPr>
                <w:lang w:eastAsia="fr-CA"/>
              </w:rPr>
              <w:t>Descriptio</w:t>
            </w:r>
            <w:r w:rsidR="007A44B5">
              <w:rPr>
                <w:lang w:eastAsia="fr-CA"/>
              </w:rPr>
              <w:t>n</w:t>
            </w:r>
          </w:p>
          <w:p w14:paraId="7A9F1E0D" w14:textId="605C2093" w:rsidR="007A44B5" w:rsidRPr="005764FC" w:rsidRDefault="003251DE" w:rsidP="00710D11">
            <w:pPr>
              <w:pStyle w:val="TableHeading"/>
              <w:rPr>
                <w:lang w:eastAsia="fr-CA"/>
              </w:rPr>
            </w:pPr>
            <w:sdt>
              <w:sdtPr>
                <w:rPr>
                  <w:lang w:eastAsia="fr-CA"/>
                </w:rPr>
                <w:id w:val="-1401814911"/>
                <w:citation/>
              </w:sdtPr>
              <w:sdtContent>
                <w:r w:rsidR="007A44B5">
                  <w:rPr>
                    <w:lang w:eastAsia="fr-CA"/>
                  </w:rPr>
                  <w:fldChar w:fldCharType="begin"/>
                </w:r>
                <w:r w:rsidR="001528D0">
                  <w:rPr>
                    <w:caps w:val="0"/>
                    <w:lang w:eastAsia="fr-CA"/>
                  </w:rPr>
                  <w:instrText xml:space="preserve">CITATION Lev19 \l 3081 </w:instrText>
                </w:r>
                <w:r w:rsidR="007A44B5">
                  <w:rPr>
                    <w:lang w:eastAsia="fr-CA"/>
                  </w:rPr>
                  <w:fldChar w:fldCharType="separate"/>
                </w:r>
                <w:r w:rsidR="001428F9">
                  <w:rPr>
                    <w:noProof/>
                    <w:lang w:eastAsia="fr-CA"/>
                  </w:rPr>
                  <w:t>(Levin, Skinner, &amp; Nokes, 2019)</w:t>
                </w:r>
                <w:r w:rsidR="007A44B5">
                  <w:rPr>
                    <w:lang w:eastAsia="fr-CA"/>
                  </w:rPr>
                  <w:fldChar w:fldCharType="end"/>
                </w:r>
              </w:sdtContent>
            </w:sdt>
          </w:p>
        </w:tc>
        <w:tc>
          <w:tcPr>
            <w:tcW w:w="774" w:type="pct"/>
          </w:tcPr>
          <w:p w14:paraId="4550D9AD" w14:textId="77777777" w:rsidR="00C06537" w:rsidRPr="005764FC" w:rsidRDefault="00C06537" w:rsidP="00710D11">
            <w:pPr>
              <w:pStyle w:val="TableHeading"/>
            </w:pPr>
            <w:bookmarkStart w:id="41" w:name="_Ref88124423"/>
            <w:r w:rsidRPr="005764FC">
              <w:t>Content Provision (who is creating the content)</w:t>
            </w:r>
            <w:bookmarkEnd w:id="41"/>
          </w:p>
        </w:tc>
        <w:tc>
          <w:tcPr>
            <w:tcW w:w="775" w:type="pct"/>
          </w:tcPr>
          <w:p w14:paraId="49BB8C8D" w14:textId="77777777" w:rsidR="00C06537" w:rsidRPr="005764FC" w:rsidRDefault="00C06537" w:rsidP="00710D11">
            <w:pPr>
              <w:pStyle w:val="TableHeading"/>
            </w:pPr>
            <w:r w:rsidRPr="005764FC">
              <w:t>Service Provision (who is providing the content)</w:t>
            </w:r>
          </w:p>
        </w:tc>
        <w:tc>
          <w:tcPr>
            <w:tcW w:w="775" w:type="pct"/>
          </w:tcPr>
          <w:p w14:paraId="3B0BDABC" w14:textId="77777777" w:rsidR="00C06537" w:rsidRPr="005764FC" w:rsidRDefault="00C06537" w:rsidP="00710D11">
            <w:pPr>
              <w:pStyle w:val="TableHeading"/>
            </w:pPr>
            <w:r w:rsidRPr="005764FC">
              <w:t>Presentation Provision (who is showing the information)</w:t>
            </w:r>
          </w:p>
        </w:tc>
      </w:tr>
      <w:tr w:rsidR="000F1B23" w:rsidRPr="005764FC" w14:paraId="34647E13" w14:textId="77777777" w:rsidTr="004D7D9A">
        <w:trPr>
          <w:cantSplit/>
        </w:trPr>
        <w:tc>
          <w:tcPr>
            <w:tcW w:w="5000" w:type="pct"/>
            <w:gridSpan w:val="5"/>
          </w:tcPr>
          <w:p w14:paraId="1E581684" w14:textId="463A3A8E" w:rsidR="000F1B23" w:rsidRPr="005764FC" w:rsidRDefault="000F1B23" w:rsidP="00211C38">
            <w:pPr>
              <w:pStyle w:val="TableText"/>
            </w:pPr>
            <w:r>
              <w:rPr>
                <w:b/>
                <w:bCs/>
              </w:rPr>
              <w:t>Day 1 Use cases</w:t>
            </w:r>
          </w:p>
        </w:tc>
      </w:tr>
      <w:tr w:rsidR="00C06537" w:rsidRPr="005764FC" w14:paraId="4F46DAF3" w14:textId="77777777" w:rsidTr="004D7D9A">
        <w:trPr>
          <w:cantSplit/>
        </w:trPr>
        <w:tc>
          <w:tcPr>
            <w:tcW w:w="871" w:type="pct"/>
          </w:tcPr>
          <w:p w14:paraId="50517D14" w14:textId="77777777" w:rsidR="00C06537" w:rsidRPr="005764FC" w:rsidRDefault="00C06537" w:rsidP="00710D11">
            <w:pPr>
              <w:pStyle w:val="TableText"/>
              <w:rPr>
                <w:b/>
                <w:bCs/>
              </w:rPr>
            </w:pPr>
            <w:r w:rsidRPr="005764FC">
              <w:rPr>
                <w:b/>
                <w:bCs/>
              </w:rPr>
              <w:t>Emergency Electronic Brake Light</w:t>
            </w:r>
          </w:p>
        </w:tc>
        <w:tc>
          <w:tcPr>
            <w:tcW w:w="1806" w:type="pct"/>
          </w:tcPr>
          <w:p w14:paraId="613848D9" w14:textId="77777777" w:rsidR="00C06537" w:rsidRPr="005764FC" w:rsidRDefault="00C06537" w:rsidP="00710D11">
            <w:pPr>
              <w:pStyle w:val="TableText"/>
            </w:pPr>
            <w:r w:rsidRPr="005764FC">
              <w:t>Aims to prevent rear end collisions by informing drivers of hard braking vehicles ahead. Drivers will be better prepared to adjust their speed accordingly.</w:t>
            </w:r>
          </w:p>
        </w:tc>
        <w:tc>
          <w:tcPr>
            <w:tcW w:w="774" w:type="pct"/>
          </w:tcPr>
          <w:p w14:paraId="474F8BD7" w14:textId="77777777" w:rsidR="00C06537" w:rsidRPr="005764FC" w:rsidRDefault="00C06537" w:rsidP="00710D11">
            <w:pPr>
              <w:pStyle w:val="TableText"/>
            </w:pPr>
            <w:r w:rsidRPr="005764FC">
              <w:t>Vehicle System</w:t>
            </w:r>
          </w:p>
        </w:tc>
        <w:tc>
          <w:tcPr>
            <w:tcW w:w="775" w:type="pct"/>
          </w:tcPr>
          <w:p w14:paraId="51B49D3B" w14:textId="77777777" w:rsidR="00C06537" w:rsidRPr="005764FC" w:rsidRDefault="00C06537" w:rsidP="00710D11">
            <w:pPr>
              <w:pStyle w:val="TableText"/>
            </w:pPr>
            <w:r w:rsidRPr="005764FC">
              <w:t>Vehicle System</w:t>
            </w:r>
          </w:p>
        </w:tc>
        <w:tc>
          <w:tcPr>
            <w:tcW w:w="775" w:type="pct"/>
          </w:tcPr>
          <w:p w14:paraId="1900D061" w14:textId="77777777" w:rsidR="00C06537" w:rsidRPr="005764FC" w:rsidRDefault="00C06537" w:rsidP="00710D11">
            <w:pPr>
              <w:pStyle w:val="TableText"/>
            </w:pPr>
            <w:r w:rsidRPr="005764FC">
              <w:t>Vehicle System</w:t>
            </w:r>
          </w:p>
        </w:tc>
      </w:tr>
      <w:tr w:rsidR="0076580D" w:rsidRPr="005764FC" w14:paraId="6317F6DC" w14:textId="77777777" w:rsidTr="004D7D9A">
        <w:trPr>
          <w:cantSplit/>
        </w:trPr>
        <w:tc>
          <w:tcPr>
            <w:tcW w:w="871" w:type="pct"/>
          </w:tcPr>
          <w:p w14:paraId="54A639FF" w14:textId="78F3BF6F" w:rsidR="0076580D" w:rsidRPr="005764FC" w:rsidRDefault="0076580D" w:rsidP="0076580D">
            <w:pPr>
              <w:pStyle w:val="TableText"/>
              <w:rPr>
                <w:b/>
                <w:bCs/>
              </w:rPr>
            </w:pPr>
            <w:r w:rsidRPr="005764FC">
              <w:rPr>
                <w:b/>
                <w:bCs/>
              </w:rPr>
              <w:t>Emergency Electronic Brake Light</w:t>
            </w:r>
          </w:p>
        </w:tc>
        <w:tc>
          <w:tcPr>
            <w:tcW w:w="1806" w:type="pct"/>
          </w:tcPr>
          <w:p w14:paraId="080BC734" w14:textId="3A03EFCC" w:rsidR="0076580D" w:rsidRPr="005764FC" w:rsidRDefault="0076580D" w:rsidP="0076580D">
            <w:pPr>
              <w:pStyle w:val="TableText"/>
            </w:pPr>
            <w:r w:rsidRPr="005764FC">
              <w:t>Aims to prevent rear end collisions by informing drivers of hard braking vehicles ahead. Drivers will be better prepared to adjust their speed accordingly.</w:t>
            </w:r>
          </w:p>
        </w:tc>
        <w:tc>
          <w:tcPr>
            <w:tcW w:w="774" w:type="pct"/>
          </w:tcPr>
          <w:p w14:paraId="46E5C804" w14:textId="4413434B" w:rsidR="0076580D" w:rsidRPr="005764FC" w:rsidRDefault="0076580D" w:rsidP="0076580D">
            <w:pPr>
              <w:pStyle w:val="TableText"/>
            </w:pPr>
            <w:r w:rsidRPr="005764FC">
              <w:t>Vehicle System</w:t>
            </w:r>
          </w:p>
        </w:tc>
        <w:tc>
          <w:tcPr>
            <w:tcW w:w="775" w:type="pct"/>
          </w:tcPr>
          <w:p w14:paraId="78372F25" w14:textId="32097A73" w:rsidR="0076580D" w:rsidRPr="005764FC" w:rsidRDefault="0076580D" w:rsidP="0076580D">
            <w:pPr>
              <w:pStyle w:val="TableText"/>
            </w:pPr>
            <w:r w:rsidRPr="005764FC">
              <w:t>Vehicle System</w:t>
            </w:r>
          </w:p>
        </w:tc>
        <w:tc>
          <w:tcPr>
            <w:tcW w:w="775" w:type="pct"/>
          </w:tcPr>
          <w:p w14:paraId="78189BA5" w14:textId="30AB5E54" w:rsidR="0076580D" w:rsidRPr="005764FC" w:rsidRDefault="0076580D" w:rsidP="0076580D">
            <w:pPr>
              <w:pStyle w:val="TableText"/>
            </w:pPr>
            <w:r w:rsidRPr="005764FC">
              <w:t>Vehicle System</w:t>
            </w:r>
          </w:p>
        </w:tc>
      </w:tr>
      <w:tr w:rsidR="0076580D" w:rsidRPr="005764FC" w14:paraId="7D924FBF" w14:textId="77777777" w:rsidTr="004D7D9A">
        <w:trPr>
          <w:cantSplit/>
        </w:trPr>
        <w:tc>
          <w:tcPr>
            <w:tcW w:w="871" w:type="pct"/>
          </w:tcPr>
          <w:p w14:paraId="6C4A8194" w14:textId="77777777" w:rsidR="0076580D" w:rsidRPr="005764FC" w:rsidRDefault="0076580D" w:rsidP="0076580D">
            <w:pPr>
              <w:pStyle w:val="TableText"/>
              <w:rPr>
                <w:b/>
                <w:bCs/>
              </w:rPr>
            </w:pPr>
            <w:r w:rsidRPr="005764FC">
              <w:rPr>
                <w:b/>
                <w:bCs/>
              </w:rPr>
              <w:t>Emergency Vehicle Approaching</w:t>
            </w:r>
          </w:p>
        </w:tc>
        <w:tc>
          <w:tcPr>
            <w:tcW w:w="1806" w:type="pct"/>
          </w:tcPr>
          <w:p w14:paraId="0159FACA" w14:textId="4A16F6F5" w:rsidR="0076580D" w:rsidRPr="005764FC" w:rsidRDefault="0076580D" w:rsidP="0076580D">
            <w:pPr>
              <w:pStyle w:val="TableText"/>
            </w:pPr>
            <w:r w:rsidRPr="005764FC">
              <w:t>Gives an early warning of approaching emergency vehicles, prior to the siren or light bar being audible or visible. This should allow vehicles extra time to clear the road for emergency vehicles and help reduce the number of unsafe manoeuvres.</w:t>
            </w:r>
          </w:p>
        </w:tc>
        <w:tc>
          <w:tcPr>
            <w:tcW w:w="774" w:type="pct"/>
          </w:tcPr>
          <w:p w14:paraId="73F6B9C6" w14:textId="77777777" w:rsidR="0076580D" w:rsidRPr="005764FC" w:rsidRDefault="0076580D" w:rsidP="0076580D">
            <w:pPr>
              <w:pStyle w:val="TableText"/>
            </w:pPr>
            <w:r w:rsidRPr="005764FC">
              <w:t>Vehicle System</w:t>
            </w:r>
          </w:p>
        </w:tc>
        <w:tc>
          <w:tcPr>
            <w:tcW w:w="775" w:type="pct"/>
          </w:tcPr>
          <w:p w14:paraId="5B41C914" w14:textId="77777777" w:rsidR="0076580D" w:rsidRPr="005764FC" w:rsidRDefault="0076580D" w:rsidP="0076580D">
            <w:pPr>
              <w:pStyle w:val="TableText"/>
            </w:pPr>
            <w:r w:rsidRPr="005764FC">
              <w:t>Vehicle System</w:t>
            </w:r>
          </w:p>
        </w:tc>
        <w:tc>
          <w:tcPr>
            <w:tcW w:w="775" w:type="pct"/>
          </w:tcPr>
          <w:p w14:paraId="05CBFC14" w14:textId="77777777" w:rsidR="0076580D" w:rsidRPr="005764FC" w:rsidRDefault="0076580D" w:rsidP="0076580D">
            <w:pPr>
              <w:pStyle w:val="TableText"/>
            </w:pPr>
            <w:r w:rsidRPr="005764FC">
              <w:t>Vehicle System</w:t>
            </w:r>
          </w:p>
        </w:tc>
      </w:tr>
      <w:tr w:rsidR="0076580D" w:rsidRPr="005764FC" w14:paraId="701F136E" w14:textId="77777777" w:rsidTr="004D7D9A">
        <w:trPr>
          <w:cantSplit/>
        </w:trPr>
        <w:tc>
          <w:tcPr>
            <w:tcW w:w="871" w:type="pct"/>
          </w:tcPr>
          <w:p w14:paraId="710A5356" w14:textId="77777777" w:rsidR="0076580D" w:rsidRPr="005764FC" w:rsidRDefault="0076580D" w:rsidP="0076580D">
            <w:pPr>
              <w:pStyle w:val="TableText"/>
              <w:rPr>
                <w:b/>
                <w:bCs/>
              </w:rPr>
            </w:pPr>
            <w:r w:rsidRPr="005764FC">
              <w:rPr>
                <w:b/>
                <w:bCs/>
              </w:rPr>
              <w:t>Slow or Stationary Vehicles</w:t>
            </w:r>
          </w:p>
        </w:tc>
        <w:tc>
          <w:tcPr>
            <w:tcW w:w="1806" w:type="pct"/>
          </w:tcPr>
          <w:p w14:paraId="342BFB4F" w14:textId="77777777" w:rsidR="0076580D" w:rsidRPr="005764FC" w:rsidRDefault="0076580D" w:rsidP="0076580D">
            <w:pPr>
              <w:pStyle w:val="TableText"/>
            </w:pPr>
            <w:r w:rsidRPr="005764FC">
              <w:t>Intended to deliver safety benefits by warning approaching drivers about slow or stationary/broken down vehicle(s) ahead, which may be acting as obstacles in the road. The warning helps to prevent dangerous manoeuvres.</w:t>
            </w:r>
          </w:p>
        </w:tc>
        <w:tc>
          <w:tcPr>
            <w:tcW w:w="774" w:type="pct"/>
          </w:tcPr>
          <w:p w14:paraId="1654E34A" w14:textId="77777777" w:rsidR="0076580D" w:rsidRPr="005764FC" w:rsidRDefault="0076580D" w:rsidP="0076580D">
            <w:pPr>
              <w:pStyle w:val="TableText"/>
            </w:pPr>
            <w:r w:rsidRPr="005764FC">
              <w:t>Vehicle System</w:t>
            </w:r>
          </w:p>
        </w:tc>
        <w:tc>
          <w:tcPr>
            <w:tcW w:w="775" w:type="pct"/>
          </w:tcPr>
          <w:p w14:paraId="51A03C56" w14:textId="77777777" w:rsidR="0076580D" w:rsidRPr="005764FC" w:rsidRDefault="0076580D" w:rsidP="0076580D">
            <w:pPr>
              <w:pStyle w:val="TableText"/>
            </w:pPr>
            <w:r w:rsidRPr="005764FC">
              <w:t>Vehicle System</w:t>
            </w:r>
          </w:p>
        </w:tc>
        <w:tc>
          <w:tcPr>
            <w:tcW w:w="775" w:type="pct"/>
          </w:tcPr>
          <w:p w14:paraId="0B37A0C3" w14:textId="77777777" w:rsidR="0076580D" w:rsidRPr="005764FC" w:rsidRDefault="0076580D" w:rsidP="0076580D">
            <w:pPr>
              <w:pStyle w:val="TableText"/>
            </w:pPr>
            <w:r w:rsidRPr="005764FC">
              <w:t>Vehicle System</w:t>
            </w:r>
          </w:p>
        </w:tc>
      </w:tr>
      <w:tr w:rsidR="0076580D" w:rsidRPr="005764FC" w14:paraId="6FDBCC29" w14:textId="77777777" w:rsidTr="004D7D9A">
        <w:trPr>
          <w:cantSplit/>
        </w:trPr>
        <w:tc>
          <w:tcPr>
            <w:tcW w:w="871" w:type="pct"/>
          </w:tcPr>
          <w:p w14:paraId="733964CF" w14:textId="77777777" w:rsidR="0076580D" w:rsidRPr="005764FC" w:rsidRDefault="0076580D" w:rsidP="0076580D">
            <w:pPr>
              <w:pStyle w:val="TableText"/>
              <w:rPr>
                <w:b/>
                <w:bCs/>
              </w:rPr>
            </w:pPr>
            <w:r w:rsidRPr="005764FC">
              <w:rPr>
                <w:b/>
                <w:bCs/>
              </w:rPr>
              <w:t>Traffic Jam Ahead Warning</w:t>
            </w:r>
          </w:p>
        </w:tc>
        <w:tc>
          <w:tcPr>
            <w:tcW w:w="1806" w:type="pct"/>
          </w:tcPr>
          <w:p w14:paraId="7BDD5128" w14:textId="77777777" w:rsidR="0076580D" w:rsidRPr="005764FC" w:rsidRDefault="0076580D" w:rsidP="0076580D">
            <w:pPr>
              <w:pStyle w:val="TableText"/>
            </w:pPr>
            <w:r w:rsidRPr="005764FC">
              <w:t>Provides an alert to the driver on approaching the tail end of a traffic jam at speed. This gives the driver time to react safely to traffic jams.</w:t>
            </w:r>
          </w:p>
        </w:tc>
        <w:tc>
          <w:tcPr>
            <w:tcW w:w="774" w:type="pct"/>
          </w:tcPr>
          <w:p w14:paraId="747F6463" w14:textId="77777777" w:rsidR="0076580D" w:rsidRPr="005764FC" w:rsidRDefault="0076580D" w:rsidP="0076580D">
            <w:pPr>
              <w:pStyle w:val="TableText"/>
            </w:pPr>
            <w:r w:rsidRPr="005764FC">
              <w:t>Vehicle System/Detectors</w:t>
            </w:r>
          </w:p>
        </w:tc>
        <w:tc>
          <w:tcPr>
            <w:tcW w:w="775" w:type="pct"/>
          </w:tcPr>
          <w:p w14:paraId="563B29B7" w14:textId="77777777" w:rsidR="0076580D" w:rsidRPr="005764FC" w:rsidRDefault="0076580D" w:rsidP="0076580D">
            <w:pPr>
              <w:pStyle w:val="TableText"/>
            </w:pPr>
            <w:r w:rsidRPr="005764FC">
              <w:t>Vehicle System/ Central Service/ Roadside</w:t>
            </w:r>
          </w:p>
        </w:tc>
        <w:tc>
          <w:tcPr>
            <w:tcW w:w="775" w:type="pct"/>
          </w:tcPr>
          <w:p w14:paraId="36BC4625" w14:textId="77777777" w:rsidR="0076580D" w:rsidRPr="005764FC" w:rsidRDefault="0076580D" w:rsidP="0076580D">
            <w:pPr>
              <w:pStyle w:val="TableText"/>
            </w:pPr>
            <w:r w:rsidRPr="005764FC">
              <w:t>Vehicle System</w:t>
            </w:r>
          </w:p>
        </w:tc>
      </w:tr>
      <w:tr w:rsidR="0076580D" w:rsidRPr="005764FC" w14:paraId="324AB2F9" w14:textId="77777777" w:rsidTr="004D7D9A">
        <w:trPr>
          <w:cantSplit/>
        </w:trPr>
        <w:tc>
          <w:tcPr>
            <w:tcW w:w="871" w:type="pct"/>
          </w:tcPr>
          <w:p w14:paraId="5E342F1D" w14:textId="77777777" w:rsidR="0076580D" w:rsidRPr="005764FC" w:rsidRDefault="0076580D" w:rsidP="0076580D">
            <w:pPr>
              <w:pStyle w:val="TableText"/>
              <w:rPr>
                <w:b/>
                <w:bCs/>
              </w:rPr>
            </w:pPr>
            <w:r w:rsidRPr="005764FC">
              <w:rPr>
                <w:b/>
                <w:bCs/>
              </w:rPr>
              <w:t>Hazardous Location Notification</w:t>
            </w:r>
          </w:p>
        </w:tc>
        <w:tc>
          <w:tcPr>
            <w:tcW w:w="1806" w:type="pct"/>
          </w:tcPr>
          <w:p w14:paraId="13004CDF" w14:textId="06310075" w:rsidR="0076580D" w:rsidRPr="005764FC" w:rsidRDefault="0076580D" w:rsidP="0076580D">
            <w:pPr>
              <w:pStyle w:val="TableText"/>
            </w:pPr>
            <w:r w:rsidRPr="005764FC">
              <w:t>Gives drivers an advance warning of upcoming hazardous locations in the road. e.g., a sharp bend in the road, steep hill, pothole, obstacle, or slippery road surface.</w:t>
            </w:r>
          </w:p>
        </w:tc>
        <w:tc>
          <w:tcPr>
            <w:tcW w:w="774" w:type="pct"/>
          </w:tcPr>
          <w:p w14:paraId="0D91B89E" w14:textId="77777777" w:rsidR="0076580D" w:rsidRPr="005764FC" w:rsidRDefault="0076580D" w:rsidP="0076580D">
            <w:pPr>
              <w:pStyle w:val="TableText"/>
            </w:pPr>
            <w:r w:rsidRPr="005764FC">
              <w:t>Vehicle System/Traffic Operators</w:t>
            </w:r>
          </w:p>
        </w:tc>
        <w:tc>
          <w:tcPr>
            <w:tcW w:w="775" w:type="pct"/>
          </w:tcPr>
          <w:p w14:paraId="2A644251" w14:textId="77777777" w:rsidR="0076580D" w:rsidRPr="005764FC" w:rsidRDefault="0076580D" w:rsidP="0076580D">
            <w:pPr>
              <w:pStyle w:val="TableText"/>
            </w:pPr>
            <w:r w:rsidRPr="005764FC">
              <w:t>Vehicle System/ Central Service/ Roadside</w:t>
            </w:r>
          </w:p>
        </w:tc>
        <w:tc>
          <w:tcPr>
            <w:tcW w:w="775" w:type="pct"/>
          </w:tcPr>
          <w:p w14:paraId="6350EAC0" w14:textId="77777777" w:rsidR="0076580D" w:rsidRPr="005764FC" w:rsidRDefault="0076580D" w:rsidP="0076580D">
            <w:pPr>
              <w:pStyle w:val="TableText"/>
            </w:pPr>
            <w:r w:rsidRPr="005764FC">
              <w:t>Vehicle System</w:t>
            </w:r>
          </w:p>
        </w:tc>
      </w:tr>
      <w:tr w:rsidR="0076580D" w:rsidRPr="005764FC" w14:paraId="0DF4F408" w14:textId="77777777" w:rsidTr="004D7D9A">
        <w:trPr>
          <w:cantSplit/>
        </w:trPr>
        <w:tc>
          <w:tcPr>
            <w:tcW w:w="871" w:type="pct"/>
          </w:tcPr>
          <w:p w14:paraId="76C0D185" w14:textId="0B67F86F" w:rsidR="0076580D" w:rsidRPr="005764FC" w:rsidRDefault="0076580D" w:rsidP="0076580D">
            <w:pPr>
              <w:pStyle w:val="TableText"/>
              <w:rPr>
                <w:b/>
                <w:bCs/>
              </w:rPr>
            </w:pPr>
            <w:r w:rsidRPr="005764FC">
              <w:rPr>
                <w:b/>
                <w:bCs/>
              </w:rPr>
              <w:t>Road Works Warning</w:t>
            </w:r>
          </w:p>
        </w:tc>
        <w:tc>
          <w:tcPr>
            <w:tcW w:w="1806" w:type="pct"/>
          </w:tcPr>
          <w:p w14:paraId="5E32DE11" w14:textId="02278441" w:rsidR="0076580D" w:rsidRPr="005764FC" w:rsidRDefault="0076580D" w:rsidP="0076580D">
            <w:pPr>
              <w:pStyle w:val="TableText"/>
            </w:pPr>
            <w:r w:rsidRPr="005764FC">
              <w:t>Enables road operators to communicate information about roadworks and restrictions to drivers. This allows drivers to be better prepared for upcoming roadworks and potential obstacles in the road, therefore reducing the probability of collisions.</w:t>
            </w:r>
          </w:p>
        </w:tc>
        <w:tc>
          <w:tcPr>
            <w:tcW w:w="774" w:type="pct"/>
          </w:tcPr>
          <w:p w14:paraId="607E0AAA" w14:textId="77777777" w:rsidR="0076580D" w:rsidRPr="005764FC" w:rsidRDefault="0076580D" w:rsidP="0076580D">
            <w:pPr>
              <w:pStyle w:val="TableText"/>
            </w:pPr>
            <w:r w:rsidRPr="005764FC">
              <w:t>Roadworkers/Traffic Operators</w:t>
            </w:r>
          </w:p>
        </w:tc>
        <w:tc>
          <w:tcPr>
            <w:tcW w:w="775" w:type="pct"/>
          </w:tcPr>
          <w:p w14:paraId="5E6C0974" w14:textId="77777777" w:rsidR="0076580D" w:rsidRPr="005764FC" w:rsidRDefault="0076580D" w:rsidP="0076580D">
            <w:pPr>
              <w:pStyle w:val="TableText"/>
            </w:pPr>
            <w:r w:rsidRPr="005764FC">
              <w:t>Central service/ Roadside</w:t>
            </w:r>
          </w:p>
        </w:tc>
        <w:tc>
          <w:tcPr>
            <w:tcW w:w="775" w:type="pct"/>
          </w:tcPr>
          <w:p w14:paraId="71B37DFB" w14:textId="77777777" w:rsidR="0076580D" w:rsidRPr="005764FC" w:rsidRDefault="0076580D" w:rsidP="0076580D">
            <w:pPr>
              <w:pStyle w:val="TableText"/>
            </w:pPr>
            <w:r w:rsidRPr="005764FC">
              <w:t>Vehicle System</w:t>
            </w:r>
          </w:p>
        </w:tc>
      </w:tr>
      <w:tr w:rsidR="0076580D" w:rsidRPr="005764FC" w14:paraId="1950B7E3" w14:textId="77777777" w:rsidTr="004D7D9A">
        <w:trPr>
          <w:cantSplit/>
        </w:trPr>
        <w:tc>
          <w:tcPr>
            <w:tcW w:w="871" w:type="pct"/>
          </w:tcPr>
          <w:p w14:paraId="0942957A" w14:textId="77777777" w:rsidR="0076580D" w:rsidRPr="005764FC" w:rsidRDefault="0076580D" w:rsidP="0076580D">
            <w:pPr>
              <w:pStyle w:val="TableText"/>
              <w:rPr>
                <w:b/>
                <w:bCs/>
              </w:rPr>
            </w:pPr>
            <w:r w:rsidRPr="005764FC">
              <w:rPr>
                <w:b/>
                <w:bCs/>
              </w:rPr>
              <w:t>Weather Conditions</w:t>
            </w:r>
          </w:p>
        </w:tc>
        <w:tc>
          <w:tcPr>
            <w:tcW w:w="1806" w:type="pct"/>
          </w:tcPr>
          <w:p w14:paraId="5A6D1022" w14:textId="030E1841" w:rsidR="0076580D" w:rsidRPr="005764FC" w:rsidRDefault="0076580D" w:rsidP="0076580D">
            <w:pPr>
              <w:pStyle w:val="TableText"/>
            </w:pPr>
            <w:r w:rsidRPr="005764FC">
              <w:t>Aims to increase safety by providing accurate and up-to-date local weather information. Drivers are informed about dangerous weather conditions ahead, especially where the danger is difficult to see.</w:t>
            </w:r>
          </w:p>
        </w:tc>
        <w:tc>
          <w:tcPr>
            <w:tcW w:w="774" w:type="pct"/>
          </w:tcPr>
          <w:p w14:paraId="2510C5A4" w14:textId="77777777" w:rsidR="0076580D" w:rsidRPr="005764FC" w:rsidRDefault="0076580D" w:rsidP="0076580D">
            <w:pPr>
              <w:pStyle w:val="TableText"/>
            </w:pPr>
            <w:r w:rsidRPr="005764FC">
              <w:t>BOM services/Vehicle System</w:t>
            </w:r>
          </w:p>
        </w:tc>
        <w:tc>
          <w:tcPr>
            <w:tcW w:w="775" w:type="pct"/>
          </w:tcPr>
          <w:p w14:paraId="0F7ADD87" w14:textId="77777777" w:rsidR="0076580D" w:rsidRPr="005764FC" w:rsidRDefault="0076580D" w:rsidP="0076580D">
            <w:pPr>
              <w:pStyle w:val="TableText"/>
            </w:pPr>
            <w:r w:rsidRPr="005764FC">
              <w:t>Vehicle System/ Central Service/ Roadside</w:t>
            </w:r>
          </w:p>
        </w:tc>
        <w:tc>
          <w:tcPr>
            <w:tcW w:w="775" w:type="pct"/>
          </w:tcPr>
          <w:p w14:paraId="77913950" w14:textId="77777777" w:rsidR="0076580D" w:rsidRPr="005764FC" w:rsidRDefault="0076580D" w:rsidP="0076580D">
            <w:pPr>
              <w:pStyle w:val="TableText"/>
            </w:pPr>
            <w:r w:rsidRPr="005764FC">
              <w:t>Vehicle System</w:t>
            </w:r>
          </w:p>
        </w:tc>
      </w:tr>
      <w:tr w:rsidR="0076580D" w:rsidRPr="005764FC" w14:paraId="1106EC2D" w14:textId="77777777" w:rsidTr="004D7D9A">
        <w:trPr>
          <w:cantSplit/>
        </w:trPr>
        <w:tc>
          <w:tcPr>
            <w:tcW w:w="871" w:type="pct"/>
          </w:tcPr>
          <w:p w14:paraId="48AB42D3" w14:textId="77777777" w:rsidR="0076580D" w:rsidRPr="005764FC" w:rsidRDefault="0076580D" w:rsidP="0076580D">
            <w:pPr>
              <w:pStyle w:val="TableText"/>
              <w:rPr>
                <w:b/>
                <w:bCs/>
              </w:rPr>
            </w:pPr>
            <w:r w:rsidRPr="005764FC">
              <w:rPr>
                <w:b/>
                <w:bCs/>
              </w:rPr>
              <w:t>In-Vehicle Signage</w:t>
            </w:r>
          </w:p>
        </w:tc>
        <w:tc>
          <w:tcPr>
            <w:tcW w:w="1806" w:type="pct"/>
          </w:tcPr>
          <w:p w14:paraId="6D2F7DCE" w14:textId="4EA1C085" w:rsidR="0076580D" w:rsidRPr="005764FC" w:rsidRDefault="0076580D" w:rsidP="0076580D">
            <w:pPr>
              <w:pStyle w:val="TableText"/>
            </w:pPr>
            <w:r w:rsidRPr="005764FC">
              <w:t>Informs drivers of relevant road signs in the vehicle’s vicinity, giving advance warning of upcoming hazards and increasing driver awareness.</w:t>
            </w:r>
          </w:p>
        </w:tc>
        <w:tc>
          <w:tcPr>
            <w:tcW w:w="774" w:type="pct"/>
          </w:tcPr>
          <w:p w14:paraId="51FA29EB" w14:textId="77777777" w:rsidR="0076580D" w:rsidRPr="005764FC" w:rsidRDefault="0076580D" w:rsidP="0076580D">
            <w:pPr>
              <w:pStyle w:val="TableText"/>
            </w:pPr>
            <w:r w:rsidRPr="005764FC">
              <w:t>Traffic/Road Operators</w:t>
            </w:r>
          </w:p>
        </w:tc>
        <w:tc>
          <w:tcPr>
            <w:tcW w:w="775" w:type="pct"/>
          </w:tcPr>
          <w:p w14:paraId="0526ED5F" w14:textId="77777777" w:rsidR="0076580D" w:rsidRPr="005764FC" w:rsidRDefault="0076580D" w:rsidP="0076580D">
            <w:pPr>
              <w:pStyle w:val="TableText"/>
            </w:pPr>
            <w:r w:rsidRPr="005764FC">
              <w:t>Central service/Roadside</w:t>
            </w:r>
          </w:p>
        </w:tc>
        <w:tc>
          <w:tcPr>
            <w:tcW w:w="775" w:type="pct"/>
          </w:tcPr>
          <w:p w14:paraId="416D168D" w14:textId="77777777" w:rsidR="0076580D" w:rsidRPr="005764FC" w:rsidRDefault="0076580D" w:rsidP="0076580D">
            <w:pPr>
              <w:pStyle w:val="TableText"/>
            </w:pPr>
            <w:r w:rsidRPr="005764FC">
              <w:t>Vehicle System</w:t>
            </w:r>
          </w:p>
        </w:tc>
      </w:tr>
      <w:tr w:rsidR="0076580D" w:rsidRPr="005764FC" w14:paraId="7340201C" w14:textId="77777777" w:rsidTr="004D7D9A">
        <w:trPr>
          <w:cantSplit/>
        </w:trPr>
        <w:tc>
          <w:tcPr>
            <w:tcW w:w="871" w:type="pct"/>
          </w:tcPr>
          <w:p w14:paraId="519F42BA" w14:textId="77777777" w:rsidR="0076580D" w:rsidRPr="005764FC" w:rsidRDefault="0076580D" w:rsidP="0076580D">
            <w:pPr>
              <w:pStyle w:val="TableText"/>
              <w:rPr>
                <w:b/>
                <w:bCs/>
              </w:rPr>
            </w:pPr>
            <w:r w:rsidRPr="005764FC">
              <w:rPr>
                <w:b/>
                <w:bCs/>
              </w:rPr>
              <w:t>In-Vehicle Speed Limits</w:t>
            </w:r>
          </w:p>
        </w:tc>
        <w:tc>
          <w:tcPr>
            <w:tcW w:w="1806" w:type="pct"/>
          </w:tcPr>
          <w:p w14:paraId="65CFC53E" w14:textId="77777777" w:rsidR="0076580D" w:rsidRPr="005764FC" w:rsidRDefault="0076580D" w:rsidP="0076580D">
            <w:pPr>
              <w:pStyle w:val="TableText"/>
            </w:pPr>
            <w:r w:rsidRPr="005764FC">
              <w:t>Intended to prevent speeding and bring safety benefits by informing drivers of speed limits. Speed limit information may be displayed to the driver continuously, or targeted warnings may be displayed in the vicinity of road signs.</w:t>
            </w:r>
          </w:p>
        </w:tc>
        <w:tc>
          <w:tcPr>
            <w:tcW w:w="774" w:type="pct"/>
          </w:tcPr>
          <w:p w14:paraId="6ECEB609" w14:textId="77777777" w:rsidR="0076580D" w:rsidRPr="005764FC" w:rsidRDefault="0076580D" w:rsidP="0076580D">
            <w:pPr>
              <w:pStyle w:val="TableText"/>
            </w:pPr>
            <w:r w:rsidRPr="005764FC">
              <w:t>Traffic/Road Operators</w:t>
            </w:r>
          </w:p>
        </w:tc>
        <w:tc>
          <w:tcPr>
            <w:tcW w:w="775" w:type="pct"/>
          </w:tcPr>
          <w:p w14:paraId="0B2A614C" w14:textId="77777777" w:rsidR="0076580D" w:rsidRPr="005764FC" w:rsidRDefault="0076580D" w:rsidP="0076580D">
            <w:pPr>
              <w:pStyle w:val="TableText"/>
            </w:pPr>
            <w:r w:rsidRPr="005764FC">
              <w:t>Central service/ Roadside</w:t>
            </w:r>
          </w:p>
        </w:tc>
        <w:tc>
          <w:tcPr>
            <w:tcW w:w="775" w:type="pct"/>
          </w:tcPr>
          <w:p w14:paraId="73E354FB" w14:textId="77777777" w:rsidR="0076580D" w:rsidRPr="005764FC" w:rsidRDefault="0076580D" w:rsidP="0076580D">
            <w:pPr>
              <w:pStyle w:val="TableText"/>
            </w:pPr>
            <w:r w:rsidRPr="005764FC">
              <w:t>Vehicle System</w:t>
            </w:r>
          </w:p>
        </w:tc>
      </w:tr>
      <w:tr w:rsidR="0076580D" w:rsidRPr="005764FC" w14:paraId="3304656A" w14:textId="77777777" w:rsidTr="004D7D9A">
        <w:trPr>
          <w:cantSplit/>
        </w:trPr>
        <w:tc>
          <w:tcPr>
            <w:tcW w:w="871" w:type="pct"/>
          </w:tcPr>
          <w:p w14:paraId="7E1CC6FB" w14:textId="77777777" w:rsidR="0076580D" w:rsidRPr="005764FC" w:rsidRDefault="0076580D" w:rsidP="0076580D">
            <w:pPr>
              <w:pStyle w:val="TableText"/>
              <w:rPr>
                <w:b/>
                <w:bCs/>
              </w:rPr>
            </w:pPr>
            <w:r w:rsidRPr="005764FC">
              <w:rPr>
                <w:b/>
                <w:bCs/>
              </w:rPr>
              <w:t>Probe Vehicle Data</w:t>
            </w:r>
          </w:p>
        </w:tc>
        <w:tc>
          <w:tcPr>
            <w:tcW w:w="1806" w:type="pct"/>
          </w:tcPr>
          <w:p w14:paraId="310A9248" w14:textId="3730293D" w:rsidR="0076580D" w:rsidRPr="005764FC" w:rsidRDefault="0076580D" w:rsidP="0076580D">
            <w:pPr>
              <w:pStyle w:val="TableText"/>
            </w:pPr>
            <w:r w:rsidRPr="005764FC">
              <w:t>The purpose of probe vehicle data is to collect and collate vehicle data, which can then be used for various applications, e</w:t>
            </w:r>
            <w:r>
              <w:t>.</w:t>
            </w:r>
            <w:r w:rsidRPr="005764FC">
              <w:t>g</w:t>
            </w:r>
            <w:r>
              <w:t>.</w:t>
            </w:r>
            <w:r w:rsidRPr="005764FC">
              <w:t xml:space="preserve"> to inform drivers about adverse road/weather conditions.</w:t>
            </w:r>
          </w:p>
        </w:tc>
        <w:tc>
          <w:tcPr>
            <w:tcW w:w="774" w:type="pct"/>
          </w:tcPr>
          <w:p w14:paraId="7D9A9ACF" w14:textId="77777777" w:rsidR="0076580D" w:rsidRPr="005764FC" w:rsidRDefault="0076580D" w:rsidP="0076580D">
            <w:pPr>
              <w:pStyle w:val="TableText"/>
            </w:pPr>
            <w:r w:rsidRPr="005764FC">
              <w:t>Vehicle System</w:t>
            </w:r>
          </w:p>
        </w:tc>
        <w:tc>
          <w:tcPr>
            <w:tcW w:w="775" w:type="pct"/>
          </w:tcPr>
          <w:p w14:paraId="2F32026B" w14:textId="77777777" w:rsidR="0076580D" w:rsidRPr="005764FC" w:rsidRDefault="0076580D" w:rsidP="0076580D">
            <w:pPr>
              <w:pStyle w:val="TableText"/>
            </w:pPr>
            <w:r w:rsidRPr="005764FC">
              <w:t>Vehicle System/ Central Service/ Roadside</w:t>
            </w:r>
          </w:p>
        </w:tc>
        <w:tc>
          <w:tcPr>
            <w:tcW w:w="775" w:type="pct"/>
          </w:tcPr>
          <w:p w14:paraId="2C93893B" w14:textId="77777777" w:rsidR="0076580D" w:rsidRPr="005764FC" w:rsidRDefault="0076580D" w:rsidP="0076580D">
            <w:pPr>
              <w:pStyle w:val="TableText"/>
            </w:pPr>
            <w:r w:rsidRPr="005764FC">
              <w:t>Central service</w:t>
            </w:r>
          </w:p>
        </w:tc>
      </w:tr>
      <w:tr w:rsidR="0076580D" w:rsidRPr="005764FC" w14:paraId="547C9254" w14:textId="77777777" w:rsidTr="004D7D9A">
        <w:trPr>
          <w:cantSplit/>
        </w:trPr>
        <w:tc>
          <w:tcPr>
            <w:tcW w:w="871" w:type="pct"/>
          </w:tcPr>
          <w:p w14:paraId="4AB36A33" w14:textId="77777777" w:rsidR="0076580D" w:rsidRPr="005764FC" w:rsidRDefault="0076580D" w:rsidP="0076580D">
            <w:pPr>
              <w:pStyle w:val="TableText"/>
              <w:rPr>
                <w:b/>
                <w:bCs/>
              </w:rPr>
            </w:pPr>
            <w:r w:rsidRPr="005764FC">
              <w:rPr>
                <w:b/>
                <w:bCs/>
              </w:rPr>
              <w:t>Shockwave Damping</w:t>
            </w:r>
          </w:p>
        </w:tc>
        <w:tc>
          <w:tcPr>
            <w:tcW w:w="1806" w:type="pct"/>
          </w:tcPr>
          <w:p w14:paraId="5FFE066F" w14:textId="4CD78825" w:rsidR="0076580D" w:rsidRPr="005764FC" w:rsidRDefault="0076580D" w:rsidP="0076580D">
            <w:pPr>
              <w:pStyle w:val="TableText"/>
            </w:pPr>
            <w:r w:rsidRPr="005764FC">
              <w:t>Shockwave damping aims to smooth the flow of traffic, by damping traffic ‘shock waves’ or rapid changes acceleration/deceleration to the traffic flow by providing advisory speed information to lessen these rapid changes, smoothing the traffic’s flow and speed along a road.</w:t>
            </w:r>
          </w:p>
        </w:tc>
        <w:tc>
          <w:tcPr>
            <w:tcW w:w="774" w:type="pct"/>
          </w:tcPr>
          <w:p w14:paraId="2F49BD59" w14:textId="77777777" w:rsidR="0076580D" w:rsidRPr="005764FC" w:rsidRDefault="0076580D" w:rsidP="0076580D">
            <w:pPr>
              <w:pStyle w:val="TableText"/>
            </w:pPr>
            <w:r w:rsidRPr="005764FC">
              <w:t>Vehicle System</w:t>
            </w:r>
          </w:p>
        </w:tc>
        <w:tc>
          <w:tcPr>
            <w:tcW w:w="775" w:type="pct"/>
          </w:tcPr>
          <w:p w14:paraId="3AF1BDD3" w14:textId="77777777" w:rsidR="0076580D" w:rsidRPr="005764FC" w:rsidRDefault="0076580D" w:rsidP="0076580D">
            <w:pPr>
              <w:pStyle w:val="TableText"/>
            </w:pPr>
            <w:r w:rsidRPr="005764FC">
              <w:t>Vehicle System/ Central Service/ Roadside</w:t>
            </w:r>
          </w:p>
        </w:tc>
        <w:tc>
          <w:tcPr>
            <w:tcW w:w="775" w:type="pct"/>
          </w:tcPr>
          <w:p w14:paraId="670C0DDC" w14:textId="77777777" w:rsidR="0076580D" w:rsidRPr="005764FC" w:rsidRDefault="0076580D" w:rsidP="0076580D">
            <w:pPr>
              <w:pStyle w:val="TableText"/>
            </w:pPr>
            <w:r w:rsidRPr="005764FC">
              <w:t>Vehicle System</w:t>
            </w:r>
          </w:p>
        </w:tc>
      </w:tr>
      <w:tr w:rsidR="0076580D" w:rsidRPr="005764FC" w14:paraId="15803EC8" w14:textId="77777777" w:rsidTr="004D7D9A">
        <w:trPr>
          <w:cantSplit/>
        </w:trPr>
        <w:tc>
          <w:tcPr>
            <w:tcW w:w="871" w:type="pct"/>
          </w:tcPr>
          <w:p w14:paraId="4A067F73" w14:textId="77777777" w:rsidR="0076580D" w:rsidRPr="005764FC" w:rsidRDefault="0076580D" w:rsidP="0076580D">
            <w:pPr>
              <w:pStyle w:val="TableText"/>
              <w:rPr>
                <w:b/>
                <w:bCs/>
              </w:rPr>
            </w:pPr>
            <w:r w:rsidRPr="005764FC">
              <w:rPr>
                <w:b/>
                <w:bCs/>
              </w:rPr>
              <w:t>Green Light Optimal Speed Advisory (GLOSA) / Time to Green (TTG)</w:t>
            </w:r>
          </w:p>
        </w:tc>
        <w:tc>
          <w:tcPr>
            <w:tcW w:w="1806" w:type="pct"/>
          </w:tcPr>
          <w:p w14:paraId="76543DEF" w14:textId="6E50A85D" w:rsidR="0076580D" w:rsidRPr="005764FC" w:rsidRDefault="0076580D" w:rsidP="0076580D">
            <w:pPr>
              <w:pStyle w:val="TableText"/>
            </w:pPr>
            <w:r w:rsidRPr="005764FC">
              <w:t>Provides speed advice to drivers approaching traffic lights, reducing the likelihood that they will have to stop at a red light, by providing advisory speed information to reduce the number of sudden acceleration or braking incidents, and improving the efficiency of vehicle operation, potentially reducing congestion and emissions.</w:t>
            </w:r>
          </w:p>
        </w:tc>
        <w:tc>
          <w:tcPr>
            <w:tcW w:w="774" w:type="pct"/>
          </w:tcPr>
          <w:p w14:paraId="18D8EDE4" w14:textId="77777777" w:rsidR="0076580D" w:rsidRPr="005764FC" w:rsidRDefault="0076580D" w:rsidP="0076580D">
            <w:pPr>
              <w:pStyle w:val="TableText"/>
            </w:pPr>
            <w:r w:rsidRPr="005764FC">
              <w:t>Traffic Signal</w:t>
            </w:r>
          </w:p>
        </w:tc>
        <w:tc>
          <w:tcPr>
            <w:tcW w:w="775" w:type="pct"/>
          </w:tcPr>
          <w:p w14:paraId="552B053D" w14:textId="77777777" w:rsidR="0076580D" w:rsidRPr="005764FC" w:rsidRDefault="0076580D" w:rsidP="0076580D">
            <w:pPr>
              <w:pStyle w:val="TableText"/>
            </w:pPr>
            <w:r w:rsidRPr="005764FC">
              <w:t xml:space="preserve">Roadside </w:t>
            </w:r>
          </w:p>
        </w:tc>
        <w:tc>
          <w:tcPr>
            <w:tcW w:w="775" w:type="pct"/>
          </w:tcPr>
          <w:p w14:paraId="6E74E4F3" w14:textId="77777777" w:rsidR="0076580D" w:rsidRPr="005764FC" w:rsidRDefault="0076580D" w:rsidP="0076580D">
            <w:pPr>
              <w:pStyle w:val="TableText"/>
            </w:pPr>
            <w:r w:rsidRPr="005764FC">
              <w:t>Vehicle System</w:t>
            </w:r>
          </w:p>
        </w:tc>
      </w:tr>
      <w:tr w:rsidR="0076580D" w:rsidRPr="005764FC" w14:paraId="2D55F643" w14:textId="77777777" w:rsidTr="004D7D9A">
        <w:trPr>
          <w:cantSplit/>
        </w:trPr>
        <w:tc>
          <w:tcPr>
            <w:tcW w:w="871" w:type="pct"/>
          </w:tcPr>
          <w:p w14:paraId="73F545E9" w14:textId="77777777" w:rsidR="0076580D" w:rsidRPr="005764FC" w:rsidRDefault="0076580D" w:rsidP="0076580D">
            <w:pPr>
              <w:pStyle w:val="TableText"/>
              <w:rPr>
                <w:b/>
                <w:bCs/>
              </w:rPr>
            </w:pPr>
            <w:r w:rsidRPr="005764FC">
              <w:rPr>
                <w:b/>
                <w:bCs/>
              </w:rPr>
              <w:t>Signal Violation/ Intersection Safety</w:t>
            </w:r>
          </w:p>
        </w:tc>
        <w:tc>
          <w:tcPr>
            <w:tcW w:w="1806" w:type="pct"/>
          </w:tcPr>
          <w:p w14:paraId="2387F1E2" w14:textId="21B85AB6" w:rsidR="0076580D" w:rsidRPr="005764FC" w:rsidRDefault="0076580D" w:rsidP="0076580D">
            <w:pPr>
              <w:pStyle w:val="TableText"/>
            </w:pPr>
            <w:r w:rsidRPr="005764FC">
              <w:t>The primary objective is to reduce the number and severity of collisions at signalised intersections, by warning drivers of possible red-light violations.</w:t>
            </w:r>
          </w:p>
        </w:tc>
        <w:tc>
          <w:tcPr>
            <w:tcW w:w="774" w:type="pct"/>
          </w:tcPr>
          <w:p w14:paraId="315736DB" w14:textId="77777777" w:rsidR="0076580D" w:rsidRPr="005764FC" w:rsidRDefault="0076580D" w:rsidP="0076580D">
            <w:pPr>
              <w:pStyle w:val="TableText"/>
            </w:pPr>
            <w:r w:rsidRPr="005764FC">
              <w:t>Traffic Signal</w:t>
            </w:r>
          </w:p>
        </w:tc>
        <w:tc>
          <w:tcPr>
            <w:tcW w:w="775" w:type="pct"/>
          </w:tcPr>
          <w:p w14:paraId="79E03B88" w14:textId="77777777" w:rsidR="0076580D" w:rsidRPr="005764FC" w:rsidRDefault="0076580D" w:rsidP="0076580D">
            <w:pPr>
              <w:pStyle w:val="TableText"/>
            </w:pPr>
            <w:r w:rsidRPr="005764FC">
              <w:t xml:space="preserve">Roadside </w:t>
            </w:r>
          </w:p>
        </w:tc>
        <w:tc>
          <w:tcPr>
            <w:tcW w:w="775" w:type="pct"/>
          </w:tcPr>
          <w:p w14:paraId="2A58D7A7" w14:textId="77777777" w:rsidR="0076580D" w:rsidRPr="005764FC" w:rsidRDefault="0076580D" w:rsidP="0076580D">
            <w:pPr>
              <w:pStyle w:val="TableText"/>
            </w:pPr>
            <w:r w:rsidRPr="005764FC">
              <w:t>Vehicle System</w:t>
            </w:r>
          </w:p>
        </w:tc>
      </w:tr>
      <w:tr w:rsidR="0076580D" w:rsidRPr="005764FC" w14:paraId="6CFC80E8" w14:textId="77777777" w:rsidTr="004D7D9A">
        <w:trPr>
          <w:cantSplit/>
        </w:trPr>
        <w:tc>
          <w:tcPr>
            <w:tcW w:w="871" w:type="pct"/>
          </w:tcPr>
          <w:p w14:paraId="55D544F3" w14:textId="77777777" w:rsidR="0076580D" w:rsidRPr="005764FC" w:rsidRDefault="0076580D" w:rsidP="0076580D">
            <w:pPr>
              <w:pStyle w:val="TableText"/>
              <w:rPr>
                <w:b/>
                <w:bCs/>
              </w:rPr>
            </w:pPr>
            <w:r w:rsidRPr="005764FC">
              <w:rPr>
                <w:b/>
                <w:bCs/>
              </w:rPr>
              <w:t xml:space="preserve">Traffic Signal Priority (Request by Designated Vehicles) </w:t>
            </w:r>
          </w:p>
        </w:tc>
        <w:tc>
          <w:tcPr>
            <w:tcW w:w="1806" w:type="pct"/>
          </w:tcPr>
          <w:p w14:paraId="71C30B98" w14:textId="0567B4C3" w:rsidR="0076580D" w:rsidRPr="005764FC" w:rsidRDefault="0076580D" w:rsidP="0076580D">
            <w:pPr>
              <w:pStyle w:val="TableText"/>
            </w:pPr>
            <w:r w:rsidRPr="005764FC">
              <w:t>Allows drivers of priority vehicles (e.g., emergency vehicles, public transport, Heavy Goods Vehicles (HGVs)) to be given priority at signalised junctions.</w:t>
            </w:r>
          </w:p>
        </w:tc>
        <w:tc>
          <w:tcPr>
            <w:tcW w:w="774" w:type="pct"/>
          </w:tcPr>
          <w:p w14:paraId="62A0C6F2" w14:textId="77777777" w:rsidR="0076580D" w:rsidRPr="005764FC" w:rsidRDefault="0076580D" w:rsidP="0076580D">
            <w:pPr>
              <w:pStyle w:val="TableText"/>
            </w:pPr>
            <w:r w:rsidRPr="005764FC">
              <w:t>Vehicle System</w:t>
            </w:r>
          </w:p>
        </w:tc>
        <w:tc>
          <w:tcPr>
            <w:tcW w:w="775" w:type="pct"/>
          </w:tcPr>
          <w:p w14:paraId="4CFD0E26" w14:textId="77777777" w:rsidR="0076580D" w:rsidRPr="005764FC" w:rsidRDefault="0076580D" w:rsidP="0076580D">
            <w:pPr>
              <w:pStyle w:val="TableText"/>
            </w:pPr>
            <w:r w:rsidRPr="005764FC">
              <w:t xml:space="preserve">Roadside </w:t>
            </w:r>
          </w:p>
        </w:tc>
        <w:tc>
          <w:tcPr>
            <w:tcW w:w="775" w:type="pct"/>
          </w:tcPr>
          <w:p w14:paraId="2314B8A6" w14:textId="77777777" w:rsidR="0076580D" w:rsidRPr="005764FC" w:rsidRDefault="0076580D" w:rsidP="0076580D">
            <w:pPr>
              <w:pStyle w:val="TableText"/>
            </w:pPr>
            <w:r w:rsidRPr="005764FC">
              <w:t>Traffic Signal</w:t>
            </w:r>
          </w:p>
        </w:tc>
      </w:tr>
      <w:tr w:rsidR="00824DCB" w:rsidRPr="005764FC" w14:paraId="50BB1B45" w14:textId="77777777" w:rsidTr="004D7D9A">
        <w:trPr>
          <w:cantSplit/>
        </w:trPr>
        <w:tc>
          <w:tcPr>
            <w:tcW w:w="5000" w:type="pct"/>
            <w:gridSpan w:val="5"/>
          </w:tcPr>
          <w:p w14:paraId="2C303702" w14:textId="03F805E4" w:rsidR="00824DCB" w:rsidRPr="005764FC" w:rsidRDefault="00824DCB" w:rsidP="0076580D">
            <w:pPr>
              <w:pStyle w:val="TableText"/>
            </w:pPr>
            <w:r>
              <w:rPr>
                <w:b/>
                <w:bCs/>
              </w:rPr>
              <w:t>Day 1.5 Use cases</w:t>
            </w:r>
          </w:p>
        </w:tc>
      </w:tr>
      <w:tr w:rsidR="0076580D" w:rsidRPr="005764FC" w14:paraId="5BCFD156" w14:textId="77777777" w:rsidTr="004D7D9A">
        <w:trPr>
          <w:cantSplit/>
        </w:trPr>
        <w:tc>
          <w:tcPr>
            <w:tcW w:w="871" w:type="pct"/>
          </w:tcPr>
          <w:p w14:paraId="2DEA44DC" w14:textId="7D561001" w:rsidR="0076580D" w:rsidRPr="005764FC" w:rsidRDefault="0076580D" w:rsidP="0076580D">
            <w:pPr>
              <w:pStyle w:val="TableText"/>
              <w:rPr>
                <w:b/>
                <w:bCs/>
              </w:rPr>
            </w:pPr>
            <w:r w:rsidRPr="005764FC">
              <w:rPr>
                <w:b/>
                <w:bCs/>
              </w:rPr>
              <w:t>Off Street Parking Information</w:t>
            </w:r>
          </w:p>
        </w:tc>
        <w:tc>
          <w:tcPr>
            <w:tcW w:w="1806" w:type="pct"/>
          </w:tcPr>
          <w:p w14:paraId="0F607A13" w14:textId="77777777" w:rsidR="0076580D" w:rsidRPr="005764FC" w:rsidRDefault="0076580D" w:rsidP="0076580D">
            <w:pPr>
              <w:pStyle w:val="TableText"/>
            </w:pPr>
            <w:r w:rsidRPr="005764FC">
              <w:t>Intended to bring efficiency benefits to drivers and help to reduce emissions in urban areas by reducing the time spent ‘cruising’ at low speeds.</w:t>
            </w:r>
          </w:p>
        </w:tc>
        <w:tc>
          <w:tcPr>
            <w:tcW w:w="774" w:type="pct"/>
          </w:tcPr>
          <w:p w14:paraId="0337EFB1" w14:textId="77777777" w:rsidR="0076580D" w:rsidRPr="005764FC" w:rsidRDefault="0076580D" w:rsidP="0076580D">
            <w:pPr>
              <w:pStyle w:val="TableText"/>
            </w:pPr>
            <w:r w:rsidRPr="005764FC">
              <w:t>Parking systems</w:t>
            </w:r>
          </w:p>
        </w:tc>
        <w:tc>
          <w:tcPr>
            <w:tcW w:w="775" w:type="pct"/>
          </w:tcPr>
          <w:p w14:paraId="13F3030A" w14:textId="77777777" w:rsidR="0076580D" w:rsidRPr="005764FC" w:rsidRDefault="0076580D" w:rsidP="0076580D">
            <w:pPr>
              <w:pStyle w:val="TableText"/>
            </w:pPr>
            <w:r w:rsidRPr="005764FC">
              <w:t>Central service/ Roadside</w:t>
            </w:r>
          </w:p>
        </w:tc>
        <w:tc>
          <w:tcPr>
            <w:tcW w:w="775" w:type="pct"/>
          </w:tcPr>
          <w:p w14:paraId="6CC850C7" w14:textId="77777777" w:rsidR="0076580D" w:rsidRPr="005764FC" w:rsidRDefault="0076580D" w:rsidP="0076580D">
            <w:pPr>
              <w:pStyle w:val="TableText"/>
            </w:pPr>
            <w:r w:rsidRPr="005764FC">
              <w:t>Vehicle System</w:t>
            </w:r>
          </w:p>
        </w:tc>
      </w:tr>
      <w:tr w:rsidR="0076580D" w:rsidRPr="005764FC" w14:paraId="625EF917" w14:textId="77777777" w:rsidTr="004D7D9A">
        <w:trPr>
          <w:cantSplit/>
        </w:trPr>
        <w:tc>
          <w:tcPr>
            <w:tcW w:w="871" w:type="pct"/>
          </w:tcPr>
          <w:p w14:paraId="4E9EB193" w14:textId="6142D172" w:rsidR="0076580D" w:rsidRPr="005764FC" w:rsidRDefault="0076580D" w:rsidP="0076580D">
            <w:pPr>
              <w:pStyle w:val="TableText"/>
              <w:rPr>
                <w:b/>
                <w:vertAlign w:val="superscript"/>
              </w:rPr>
            </w:pPr>
            <w:r w:rsidRPr="005764FC">
              <w:rPr>
                <w:b/>
                <w:bCs/>
              </w:rPr>
              <w:t>On Street Parking Information and Management</w:t>
            </w:r>
          </w:p>
        </w:tc>
        <w:tc>
          <w:tcPr>
            <w:tcW w:w="1806" w:type="pct"/>
          </w:tcPr>
          <w:p w14:paraId="390F2C5E" w14:textId="77777777" w:rsidR="0076580D" w:rsidRPr="005764FC" w:rsidRDefault="0076580D" w:rsidP="0076580D">
            <w:pPr>
              <w:pStyle w:val="TableText"/>
            </w:pPr>
            <w:r w:rsidRPr="005764FC">
              <w:t>Intended to bring efficiency benefits to drivers and help to reduce emissions in urban areas by reducing the time spent ‘cruising’ at low speeds.</w:t>
            </w:r>
          </w:p>
        </w:tc>
        <w:tc>
          <w:tcPr>
            <w:tcW w:w="774" w:type="pct"/>
          </w:tcPr>
          <w:p w14:paraId="1625F56E" w14:textId="77777777" w:rsidR="0076580D" w:rsidRPr="005764FC" w:rsidRDefault="0076580D" w:rsidP="0076580D">
            <w:pPr>
              <w:pStyle w:val="TableText"/>
            </w:pPr>
            <w:r w:rsidRPr="005764FC">
              <w:t>Parking systems</w:t>
            </w:r>
          </w:p>
        </w:tc>
        <w:tc>
          <w:tcPr>
            <w:tcW w:w="775" w:type="pct"/>
          </w:tcPr>
          <w:p w14:paraId="49454A49" w14:textId="77777777" w:rsidR="0076580D" w:rsidRPr="005764FC" w:rsidRDefault="0076580D" w:rsidP="0076580D">
            <w:pPr>
              <w:pStyle w:val="TableText"/>
            </w:pPr>
            <w:r w:rsidRPr="005764FC">
              <w:t>Central service/ Roadside</w:t>
            </w:r>
          </w:p>
        </w:tc>
        <w:tc>
          <w:tcPr>
            <w:tcW w:w="775" w:type="pct"/>
          </w:tcPr>
          <w:p w14:paraId="023FBDBF" w14:textId="77777777" w:rsidR="0076580D" w:rsidRPr="005764FC" w:rsidRDefault="0076580D" w:rsidP="0076580D">
            <w:pPr>
              <w:pStyle w:val="TableText"/>
            </w:pPr>
            <w:r w:rsidRPr="005764FC">
              <w:t>Vehicle System</w:t>
            </w:r>
          </w:p>
        </w:tc>
      </w:tr>
      <w:tr w:rsidR="0076580D" w:rsidRPr="005764FC" w14:paraId="04064B5D" w14:textId="77777777" w:rsidTr="004D7D9A">
        <w:trPr>
          <w:cantSplit/>
        </w:trPr>
        <w:tc>
          <w:tcPr>
            <w:tcW w:w="871" w:type="pct"/>
          </w:tcPr>
          <w:p w14:paraId="7086C3BE" w14:textId="07D6DEA9" w:rsidR="0076580D" w:rsidRPr="005764FC" w:rsidRDefault="0076580D" w:rsidP="0076580D">
            <w:pPr>
              <w:pStyle w:val="TableText"/>
              <w:rPr>
                <w:b/>
                <w:bCs/>
              </w:rPr>
            </w:pPr>
            <w:r w:rsidRPr="005764FC">
              <w:rPr>
                <w:b/>
                <w:bCs/>
              </w:rPr>
              <w:t>Park and Ride Information</w:t>
            </w:r>
          </w:p>
        </w:tc>
        <w:tc>
          <w:tcPr>
            <w:tcW w:w="1806" w:type="pct"/>
          </w:tcPr>
          <w:p w14:paraId="7D103F70" w14:textId="77777777" w:rsidR="0076580D" w:rsidRPr="005764FC" w:rsidRDefault="0076580D" w:rsidP="0076580D">
            <w:pPr>
              <w:pStyle w:val="TableText"/>
            </w:pPr>
            <w:r w:rsidRPr="005764FC">
              <w:t>Intended to reduce congestion in urban areas and also shift travel from cars to public transport.</w:t>
            </w:r>
          </w:p>
        </w:tc>
        <w:tc>
          <w:tcPr>
            <w:tcW w:w="774" w:type="pct"/>
          </w:tcPr>
          <w:p w14:paraId="735EAFC9" w14:textId="77777777" w:rsidR="0076580D" w:rsidRPr="005764FC" w:rsidRDefault="0076580D" w:rsidP="0076580D">
            <w:pPr>
              <w:pStyle w:val="TableText"/>
            </w:pPr>
            <w:r w:rsidRPr="005764FC">
              <w:t>Parking systems</w:t>
            </w:r>
          </w:p>
        </w:tc>
        <w:tc>
          <w:tcPr>
            <w:tcW w:w="775" w:type="pct"/>
          </w:tcPr>
          <w:p w14:paraId="128A94DA" w14:textId="77777777" w:rsidR="0076580D" w:rsidRPr="005764FC" w:rsidRDefault="0076580D" w:rsidP="0076580D">
            <w:pPr>
              <w:pStyle w:val="TableText"/>
            </w:pPr>
            <w:r w:rsidRPr="005764FC">
              <w:t>Central service/ Roadside</w:t>
            </w:r>
          </w:p>
        </w:tc>
        <w:tc>
          <w:tcPr>
            <w:tcW w:w="775" w:type="pct"/>
          </w:tcPr>
          <w:p w14:paraId="697D3926" w14:textId="77777777" w:rsidR="0076580D" w:rsidRPr="005764FC" w:rsidRDefault="0076580D" w:rsidP="0076580D">
            <w:pPr>
              <w:pStyle w:val="TableText"/>
            </w:pPr>
            <w:r w:rsidRPr="005764FC">
              <w:t>Vehicle System</w:t>
            </w:r>
          </w:p>
        </w:tc>
      </w:tr>
      <w:tr w:rsidR="0076580D" w:rsidRPr="005764FC" w14:paraId="167E3CAB" w14:textId="77777777" w:rsidTr="004D7D9A">
        <w:trPr>
          <w:cantSplit/>
        </w:trPr>
        <w:tc>
          <w:tcPr>
            <w:tcW w:w="871" w:type="pct"/>
          </w:tcPr>
          <w:p w14:paraId="0085D920" w14:textId="22B97354" w:rsidR="0076580D" w:rsidRPr="005764FC" w:rsidRDefault="0076580D" w:rsidP="0076580D">
            <w:pPr>
              <w:pStyle w:val="TableText"/>
              <w:rPr>
                <w:b/>
                <w:bCs/>
              </w:rPr>
            </w:pPr>
            <w:r w:rsidRPr="005764FC">
              <w:rPr>
                <w:b/>
                <w:bCs/>
              </w:rPr>
              <w:t>Information on AFV Fuelling and Charging Stations</w:t>
            </w:r>
          </w:p>
        </w:tc>
        <w:tc>
          <w:tcPr>
            <w:tcW w:w="1806" w:type="pct"/>
          </w:tcPr>
          <w:p w14:paraId="29E745CB" w14:textId="54985AEF" w:rsidR="0076580D" w:rsidRPr="005764FC" w:rsidRDefault="0076580D" w:rsidP="0076580D">
            <w:pPr>
              <w:pStyle w:val="TableText"/>
            </w:pPr>
            <w:r w:rsidRPr="005764FC">
              <w:t>The objective is to broadcast electric vehicle charging point availability and alternative fuel vehicles (AFV) fuelling point information to relevant vehicles.</w:t>
            </w:r>
          </w:p>
        </w:tc>
        <w:tc>
          <w:tcPr>
            <w:tcW w:w="774" w:type="pct"/>
          </w:tcPr>
          <w:p w14:paraId="286D33D2" w14:textId="77777777" w:rsidR="0076580D" w:rsidRPr="005764FC" w:rsidRDefault="0076580D" w:rsidP="0076580D">
            <w:pPr>
              <w:pStyle w:val="TableText"/>
            </w:pPr>
            <w:r w:rsidRPr="005764FC">
              <w:t>EV council/traffic operators</w:t>
            </w:r>
          </w:p>
        </w:tc>
        <w:tc>
          <w:tcPr>
            <w:tcW w:w="775" w:type="pct"/>
          </w:tcPr>
          <w:p w14:paraId="0069D1AD" w14:textId="77777777" w:rsidR="0076580D" w:rsidRPr="005764FC" w:rsidRDefault="0076580D" w:rsidP="0076580D">
            <w:pPr>
              <w:pStyle w:val="TableText"/>
            </w:pPr>
            <w:r w:rsidRPr="005764FC">
              <w:t>Central service/ Roadside</w:t>
            </w:r>
          </w:p>
        </w:tc>
        <w:tc>
          <w:tcPr>
            <w:tcW w:w="775" w:type="pct"/>
          </w:tcPr>
          <w:p w14:paraId="769D9586" w14:textId="77777777" w:rsidR="0076580D" w:rsidRPr="005764FC" w:rsidRDefault="0076580D" w:rsidP="0076580D">
            <w:pPr>
              <w:pStyle w:val="TableText"/>
            </w:pPr>
            <w:r w:rsidRPr="005764FC">
              <w:t>Vehicle System</w:t>
            </w:r>
          </w:p>
        </w:tc>
      </w:tr>
      <w:tr w:rsidR="0076580D" w:rsidRPr="005764FC" w14:paraId="741328C8" w14:textId="77777777" w:rsidTr="004D7D9A">
        <w:trPr>
          <w:cantSplit/>
        </w:trPr>
        <w:tc>
          <w:tcPr>
            <w:tcW w:w="871" w:type="pct"/>
          </w:tcPr>
          <w:p w14:paraId="03EA237F" w14:textId="0ACFA7CE" w:rsidR="0076580D" w:rsidRPr="005764FC" w:rsidRDefault="0076580D" w:rsidP="0076580D">
            <w:pPr>
              <w:pStyle w:val="TableText"/>
              <w:rPr>
                <w:b/>
                <w:bCs/>
              </w:rPr>
            </w:pPr>
            <w:r w:rsidRPr="005764FC">
              <w:rPr>
                <w:b/>
                <w:bCs/>
              </w:rPr>
              <w:t>Traffic Information and Smart Routing</w:t>
            </w:r>
          </w:p>
        </w:tc>
        <w:tc>
          <w:tcPr>
            <w:tcW w:w="1806" w:type="pct"/>
          </w:tcPr>
          <w:p w14:paraId="48607B87" w14:textId="6322773A" w:rsidR="0076580D" w:rsidRPr="005764FC" w:rsidRDefault="0076580D" w:rsidP="0076580D">
            <w:pPr>
              <w:pStyle w:val="TableText"/>
            </w:pPr>
            <w:r w:rsidRPr="005764FC">
              <w:t>Providing traffic information and smart routing services to vehicles is intended to improve traffic efficiency and aid traffic-flow management.</w:t>
            </w:r>
          </w:p>
        </w:tc>
        <w:tc>
          <w:tcPr>
            <w:tcW w:w="774" w:type="pct"/>
          </w:tcPr>
          <w:p w14:paraId="386FD351" w14:textId="77777777" w:rsidR="0076580D" w:rsidRPr="005764FC" w:rsidRDefault="0076580D" w:rsidP="0076580D">
            <w:pPr>
              <w:pStyle w:val="TableText"/>
            </w:pPr>
            <w:r w:rsidRPr="005764FC">
              <w:t>Traffic/Road Operators</w:t>
            </w:r>
          </w:p>
        </w:tc>
        <w:tc>
          <w:tcPr>
            <w:tcW w:w="775" w:type="pct"/>
          </w:tcPr>
          <w:p w14:paraId="350AAC22" w14:textId="77777777" w:rsidR="0076580D" w:rsidRPr="005764FC" w:rsidRDefault="0076580D" w:rsidP="0076580D">
            <w:pPr>
              <w:pStyle w:val="TableText"/>
            </w:pPr>
            <w:r w:rsidRPr="005764FC">
              <w:t>Central service</w:t>
            </w:r>
          </w:p>
        </w:tc>
        <w:tc>
          <w:tcPr>
            <w:tcW w:w="775" w:type="pct"/>
          </w:tcPr>
          <w:p w14:paraId="757A68CB" w14:textId="77777777" w:rsidR="0076580D" w:rsidRPr="005764FC" w:rsidRDefault="0076580D" w:rsidP="0076580D">
            <w:pPr>
              <w:pStyle w:val="TableText"/>
            </w:pPr>
            <w:r w:rsidRPr="005764FC">
              <w:t>Vehicle System</w:t>
            </w:r>
          </w:p>
        </w:tc>
      </w:tr>
      <w:tr w:rsidR="0076580D" w:rsidRPr="005764FC" w14:paraId="0E0DE514" w14:textId="77777777" w:rsidTr="004D7D9A">
        <w:trPr>
          <w:cantSplit/>
        </w:trPr>
        <w:tc>
          <w:tcPr>
            <w:tcW w:w="871" w:type="pct"/>
          </w:tcPr>
          <w:p w14:paraId="1E10765F" w14:textId="0B08E601" w:rsidR="0076580D" w:rsidRPr="005764FC" w:rsidRDefault="0076580D" w:rsidP="0076580D">
            <w:pPr>
              <w:pStyle w:val="TableText"/>
              <w:rPr>
                <w:b/>
                <w:bCs/>
              </w:rPr>
            </w:pPr>
            <w:r w:rsidRPr="005764FC">
              <w:rPr>
                <w:b/>
                <w:bCs/>
              </w:rPr>
              <w:t>Zone Access Control for Urban Areas</w:t>
            </w:r>
          </w:p>
        </w:tc>
        <w:tc>
          <w:tcPr>
            <w:tcW w:w="1806" w:type="pct"/>
          </w:tcPr>
          <w:p w14:paraId="7899DBC5" w14:textId="4A683567" w:rsidR="0076580D" w:rsidRPr="005764FC" w:rsidRDefault="0076580D" w:rsidP="0076580D">
            <w:pPr>
              <w:pStyle w:val="TableText"/>
            </w:pPr>
            <w:r w:rsidRPr="005764FC">
              <w:t>The zone access control service is intended to manage access to specified zones. Using this information, drivers will be better informed and able to select the most appropriate route for their journey.</w:t>
            </w:r>
          </w:p>
        </w:tc>
        <w:tc>
          <w:tcPr>
            <w:tcW w:w="774" w:type="pct"/>
          </w:tcPr>
          <w:p w14:paraId="41911CC9" w14:textId="77777777" w:rsidR="0076580D" w:rsidRPr="005764FC" w:rsidRDefault="0076580D" w:rsidP="0076580D">
            <w:pPr>
              <w:pStyle w:val="TableText"/>
            </w:pPr>
            <w:r w:rsidRPr="005764FC">
              <w:t>Traffic/Road Operators</w:t>
            </w:r>
          </w:p>
        </w:tc>
        <w:tc>
          <w:tcPr>
            <w:tcW w:w="775" w:type="pct"/>
          </w:tcPr>
          <w:p w14:paraId="770A2D8C" w14:textId="77777777" w:rsidR="0076580D" w:rsidRPr="005764FC" w:rsidRDefault="0076580D" w:rsidP="0076580D">
            <w:pPr>
              <w:pStyle w:val="TableText"/>
            </w:pPr>
            <w:r w:rsidRPr="005764FC">
              <w:t>Central service</w:t>
            </w:r>
          </w:p>
        </w:tc>
        <w:tc>
          <w:tcPr>
            <w:tcW w:w="775" w:type="pct"/>
          </w:tcPr>
          <w:p w14:paraId="5C824E97" w14:textId="77777777" w:rsidR="0076580D" w:rsidRPr="005764FC" w:rsidRDefault="0076580D" w:rsidP="0076580D">
            <w:pPr>
              <w:pStyle w:val="TableText"/>
            </w:pPr>
            <w:r w:rsidRPr="005764FC">
              <w:t>Vehicle System</w:t>
            </w:r>
          </w:p>
        </w:tc>
      </w:tr>
      <w:tr w:rsidR="0076580D" w:rsidRPr="005764FC" w14:paraId="4F4333A4" w14:textId="77777777" w:rsidTr="004D7D9A">
        <w:trPr>
          <w:cantSplit/>
        </w:trPr>
        <w:tc>
          <w:tcPr>
            <w:tcW w:w="871" w:type="pct"/>
          </w:tcPr>
          <w:p w14:paraId="4619EB29" w14:textId="0A414D9D" w:rsidR="0076580D" w:rsidRPr="005764FC" w:rsidRDefault="0076580D" w:rsidP="0076580D">
            <w:pPr>
              <w:pStyle w:val="TableText"/>
              <w:rPr>
                <w:b/>
                <w:bCs/>
              </w:rPr>
            </w:pPr>
            <w:r w:rsidRPr="005764FC">
              <w:rPr>
                <w:b/>
                <w:bCs/>
              </w:rPr>
              <w:t>Loading Zone Management</w:t>
            </w:r>
          </w:p>
        </w:tc>
        <w:tc>
          <w:tcPr>
            <w:tcW w:w="1806" w:type="pct"/>
          </w:tcPr>
          <w:p w14:paraId="6B5F54E4" w14:textId="77777777" w:rsidR="0076580D" w:rsidRPr="005764FC" w:rsidRDefault="0076580D" w:rsidP="0076580D">
            <w:pPr>
              <w:pStyle w:val="TableText"/>
            </w:pPr>
            <w:r w:rsidRPr="005764FC">
              <w:t>This service is intended to support the driver, fleet manager and road operator in the booking, monitoring and management of urban parking zones specific to freight vehicles.</w:t>
            </w:r>
          </w:p>
        </w:tc>
        <w:tc>
          <w:tcPr>
            <w:tcW w:w="774" w:type="pct"/>
          </w:tcPr>
          <w:p w14:paraId="4348963B" w14:textId="04FF9626" w:rsidR="0076580D" w:rsidRPr="005764FC" w:rsidRDefault="0076580D" w:rsidP="0076580D">
            <w:pPr>
              <w:pStyle w:val="TableText"/>
            </w:pPr>
          </w:p>
        </w:tc>
        <w:tc>
          <w:tcPr>
            <w:tcW w:w="775" w:type="pct"/>
          </w:tcPr>
          <w:p w14:paraId="52B82262" w14:textId="77777777" w:rsidR="0076580D" w:rsidRPr="005764FC" w:rsidRDefault="0076580D" w:rsidP="0076580D">
            <w:pPr>
              <w:pStyle w:val="TableText"/>
            </w:pPr>
            <w:r w:rsidRPr="005764FC">
              <w:t>Central service</w:t>
            </w:r>
          </w:p>
        </w:tc>
        <w:tc>
          <w:tcPr>
            <w:tcW w:w="775" w:type="pct"/>
          </w:tcPr>
          <w:p w14:paraId="7D0BF858" w14:textId="77777777" w:rsidR="0076580D" w:rsidRPr="005764FC" w:rsidRDefault="0076580D" w:rsidP="0076580D">
            <w:pPr>
              <w:pStyle w:val="TableText"/>
            </w:pPr>
            <w:r w:rsidRPr="005764FC">
              <w:t>Vehicle System</w:t>
            </w:r>
          </w:p>
        </w:tc>
      </w:tr>
      <w:tr w:rsidR="0076580D" w:rsidRPr="005764FC" w14:paraId="1D5BD705" w14:textId="77777777" w:rsidTr="004D7D9A">
        <w:trPr>
          <w:cantSplit/>
        </w:trPr>
        <w:tc>
          <w:tcPr>
            <w:tcW w:w="871" w:type="pct"/>
          </w:tcPr>
          <w:p w14:paraId="6020F52A" w14:textId="76949DA6" w:rsidR="0076580D" w:rsidRPr="005764FC" w:rsidRDefault="0076580D" w:rsidP="0076580D">
            <w:pPr>
              <w:pStyle w:val="TableText"/>
              <w:rPr>
                <w:b/>
                <w:vertAlign w:val="superscript"/>
              </w:rPr>
            </w:pPr>
            <w:r w:rsidRPr="005764FC">
              <w:rPr>
                <w:b/>
                <w:bCs/>
              </w:rPr>
              <w:t>Vulnerable Road User Protection (pedestrians and cyclists)</w:t>
            </w:r>
          </w:p>
        </w:tc>
        <w:tc>
          <w:tcPr>
            <w:tcW w:w="1806" w:type="pct"/>
          </w:tcPr>
          <w:p w14:paraId="6B6A3D3F" w14:textId="40AF5148" w:rsidR="0076580D" w:rsidRPr="005764FC" w:rsidRDefault="0076580D" w:rsidP="0076580D">
            <w:pPr>
              <w:pStyle w:val="TableText"/>
            </w:pPr>
            <w:r w:rsidRPr="005764FC">
              <w:t>This is a safety focused service aimed at protecting vulnerable road users (VRUs) by providing information and warnings to the other road users (i.e., car or truck drivers) of a VRU’s presence. In this case only pedestrians and cyclists</w:t>
            </w:r>
            <w:r w:rsidRPr="005764FC" w:rsidDel="00877235">
              <w:t xml:space="preserve"> </w:t>
            </w:r>
            <w:r w:rsidRPr="005764FC">
              <w:t>are considered VRUs.</w:t>
            </w:r>
          </w:p>
        </w:tc>
        <w:tc>
          <w:tcPr>
            <w:tcW w:w="774" w:type="pct"/>
          </w:tcPr>
          <w:p w14:paraId="65BC96CA" w14:textId="77777777" w:rsidR="0076580D" w:rsidRPr="005764FC" w:rsidRDefault="0076580D" w:rsidP="0076580D">
            <w:pPr>
              <w:pStyle w:val="TableText"/>
            </w:pPr>
            <w:r w:rsidRPr="005764FC">
              <w:t>Vehicle System/Ped Detector/Pedestrian system</w:t>
            </w:r>
          </w:p>
        </w:tc>
        <w:tc>
          <w:tcPr>
            <w:tcW w:w="775" w:type="pct"/>
          </w:tcPr>
          <w:p w14:paraId="0EF1BBCC" w14:textId="77777777" w:rsidR="0076580D" w:rsidRPr="005764FC" w:rsidRDefault="0076580D" w:rsidP="0076580D">
            <w:pPr>
              <w:pStyle w:val="TableText"/>
            </w:pPr>
            <w:r w:rsidRPr="005764FC">
              <w:t>Roadside/Vehicle</w:t>
            </w:r>
          </w:p>
        </w:tc>
        <w:tc>
          <w:tcPr>
            <w:tcW w:w="775" w:type="pct"/>
          </w:tcPr>
          <w:p w14:paraId="6ABE309D" w14:textId="77777777" w:rsidR="0076580D" w:rsidRPr="005764FC" w:rsidRDefault="0076580D" w:rsidP="0076580D">
            <w:pPr>
              <w:pStyle w:val="TableText"/>
            </w:pPr>
            <w:r w:rsidRPr="005764FC">
              <w:t>Vehicle System</w:t>
            </w:r>
          </w:p>
        </w:tc>
      </w:tr>
      <w:tr w:rsidR="0076580D" w:rsidRPr="005764FC" w14:paraId="1485FACA" w14:textId="77777777" w:rsidTr="004D7D9A">
        <w:trPr>
          <w:cantSplit/>
        </w:trPr>
        <w:tc>
          <w:tcPr>
            <w:tcW w:w="871" w:type="pct"/>
          </w:tcPr>
          <w:p w14:paraId="6754A871" w14:textId="47F10202" w:rsidR="0076580D" w:rsidRPr="005764FC" w:rsidRDefault="0076580D" w:rsidP="0076580D">
            <w:pPr>
              <w:pStyle w:val="TableText"/>
              <w:rPr>
                <w:b/>
                <w:bCs/>
              </w:rPr>
            </w:pPr>
            <w:r w:rsidRPr="005764FC">
              <w:rPr>
                <w:b/>
                <w:bCs/>
              </w:rPr>
              <w:t>Cooperative Collision Risk Warning</w:t>
            </w:r>
          </w:p>
        </w:tc>
        <w:tc>
          <w:tcPr>
            <w:tcW w:w="1806" w:type="pct"/>
          </w:tcPr>
          <w:p w14:paraId="35CED7C9" w14:textId="3F49E5A8" w:rsidR="0076580D" w:rsidRPr="005764FC" w:rsidRDefault="0076580D" w:rsidP="0076580D">
            <w:pPr>
              <w:pStyle w:val="TableText"/>
            </w:pPr>
            <w:r w:rsidRPr="005764FC">
              <w:t>The cooperative collision risk warning is intended to minimise the risk of collisions between vehicles, e.g., when overtaking, or merging with traffic.</w:t>
            </w:r>
          </w:p>
        </w:tc>
        <w:tc>
          <w:tcPr>
            <w:tcW w:w="774" w:type="pct"/>
          </w:tcPr>
          <w:p w14:paraId="5B39009A" w14:textId="77777777" w:rsidR="0076580D" w:rsidRPr="005764FC" w:rsidRDefault="0076580D" w:rsidP="0076580D">
            <w:pPr>
              <w:pStyle w:val="TableText"/>
            </w:pPr>
            <w:r w:rsidRPr="005764FC">
              <w:t>Vehicle System</w:t>
            </w:r>
          </w:p>
        </w:tc>
        <w:tc>
          <w:tcPr>
            <w:tcW w:w="775" w:type="pct"/>
          </w:tcPr>
          <w:p w14:paraId="34D8F1D5" w14:textId="77777777" w:rsidR="0076580D" w:rsidRPr="005764FC" w:rsidRDefault="0076580D" w:rsidP="0076580D">
            <w:pPr>
              <w:pStyle w:val="TableText"/>
            </w:pPr>
            <w:r w:rsidRPr="005764FC">
              <w:t>Vehicle System</w:t>
            </w:r>
          </w:p>
        </w:tc>
        <w:tc>
          <w:tcPr>
            <w:tcW w:w="775" w:type="pct"/>
          </w:tcPr>
          <w:p w14:paraId="01C242B6" w14:textId="77777777" w:rsidR="0076580D" w:rsidRPr="005764FC" w:rsidRDefault="0076580D" w:rsidP="0076580D">
            <w:pPr>
              <w:pStyle w:val="TableText"/>
            </w:pPr>
            <w:r w:rsidRPr="005764FC">
              <w:t>Vehicle System</w:t>
            </w:r>
          </w:p>
        </w:tc>
      </w:tr>
      <w:tr w:rsidR="0076580D" w:rsidRPr="005764FC" w14:paraId="4B75A733" w14:textId="77777777" w:rsidTr="004D7D9A">
        <w:trPr>
          <w:cantSplit/>
        </w:trPr>
        <w:tc>
          <w:tcPr>
            <w:tcW w:w="871" w:type="pct"/>
          </w:tcPr>
          <w:p w14:paraId="72F2D37A" w14:textId="788434D5" w:rsidR="0076580D" w:rsidRPr="005764FC" w:rsidRDefault="0076580D" w:rsidP="0076580D">
            <w:pPr>
              <w:pStyle w:val="TableText"/>
              <w:rPr>
                <w:b/>
                <w:bCs/>
              </w:rPr>
            </w:pPr>
            <w:r w:rsidRPr="005764FC">
              <w:rPr>
                <w:b/>
                <w:bCs/>
              </w:rPr>
              <w:t>Motorcycle Approaching Indication</w:t>
            </w:r>
          </w:p>
        </w:tc>
        <w:tc>
          <w:tcPr>
            <w:tcW w:w="1806" w:type="pct"/>
          </w:tcPr>
          <w:p w14:paraId="68A7D3B9" w14:textId="5AD2F2B0" w:rsidR="0076580D" w:rsidRPr="005764FC" w:rsidRDefault="0076580D" w:rsidP="0076580D">
            <w:pPr>
              <w:pStyle w:val="TableText"/>
            </w:pPr>
            <w:r w:rsidRPr="005764FC">
              <w:t>This service is intended to increase safety and prevent collisions between motorcycles and other vehicles – likely to be by providing warning information to other road users (particularly car and truck drivers).</w:t>
            </w:r>
          </w:p>
        </w:tc>
        <w:tc>
          <w:tcPr>
            <w:tcW w:w="774" w:type="pct"/>
          </w:tcPr>
          <w:p w14:paraId="09724956" w14:textId="77777777" w:rsidR="0076580D" w:rsidRPr="005764FC" w:rsidRDefault="0076580D" w:rsidP="0076580D">
            <w:pPr>
              <w:pStyle w:val="TableText"/>
            </w:pPr>
            <w:r w:rsidRPr="005764FC">
              <w:t>Vehicle/Motorcycle system</w:t>
            </w:r>
          </w:p>
        </w:tc>
        <w:tc>
          <w:tcPr>
            <w:tcW w:w="775" w:type="pct"/>
          </w:tcPr>
          <w:p w14:paraId="007415A7" w14:textId="77777777" w:rsidR="0076580D" w:rsidRPr="005764FC" w:rsidRDefault="0076580D" w:rsidP="0076580D">
            <w:pPr>
              <w:pStyle w:val="TableText"/>
            </w:pPr>
            <w:r w:rsidRPr="005764FC">
              <w:t>Vehicle System</w:t>
            </w:r>
          </w:p>
        </w:tc>
        <w:tc>
          <w:tcPr>
            <w:tcW w:w="775" w:type="pct"/>
          </w:tcPr>
          <w:p w14:paraId="006F5DFF" w14:textId="77777777" w:rsidR="0076580D" w:rsidRPr="005764FC" w:rsidRDefault="0076580D" w:rsidP="0076580D">
            <w:pPr>
              <w:pStyle w:val="TableText"/>
            </w:pPr>
            <w:r w:rsidRPr="005764FC">
              <w:t>Vehicle System</w:t>
            </w:r>
          </w:p>
        </w:tc>
      </w:tr>
      <w:tr w:rsidR="0076580D" w:rsidRPr="005764FC" w14:paraId="61125143" w14:textId="77777777" w:rsidTr="004D7D9A">
        <w:trPr>
          <w:cantSplit/>
        </w:trPr>
        <w:tc>
          <w:tcPr>
            <w:tcW w:w="871" w:type="pct"/>
          </w:tcPr>
          <w:p w14:paraId="7B9C3144" w14:textId="40AC0F55" w:rsidR="0076580D" w:rsidRPr="005764FC" w:rsidRDefault="0076580D" w:rsidP="0076580D">
            <w:pPr>
              <w:pStyle w:val="TableText"/>
              <w:rPr>
                <w:b/>
                <w:bCs/>
              </w:rPr>
            </w:pPr>
            <w:r w:rsidRPr="005764FC">
              <w:rPr>
                <w:b/>
                <w:bCs/>
              </w:rPr>
              <w:t>Wrong Way Driving</w:t>
            </w:r>
          </w:p>
        </w:tc>
        <w:tc>
          <w:tcPr>
            <w:tcW w:w="1806" w:type="pct"/>
          </w:tcPr>
          <w:p w14:paraId="321AF836" w14:textId="389B9FEE" w:rsidR="0076580D" w:rsidRPr="005764FC" w:rsidRDefault="0076580D" w:rsidP="0076580D">
            <w:pPr>
              <w:pStyle w:val="TableText"/>
            </w:pPr>
            <w:r w:rsidRPr="005764FC">
              <w:t xml:space="preserve">A vehicle moving against the regular traffic flow will detect countersense driving if equipped with the necessary capabilities, and disseminate a ‘wrong way driving’ message. Any other ITS stations detecting a vehicle moving against the regular traffic flow will disseminate ‘wrong way driving’ messages to Vehicle ITS stations. </w:t>
            </w:r>
          </w:p>
        </w:tc>
        <w:tc>
          <w:tcPr>
            <w:tcW w:w="774" w:type="pct"/>
          </w:tcPr>
          <w:p w14:paraId="4FB108DB" w14:textId="77777777" w:rsidR="0076580D" w:rsidRPr="005764FC" w:rsidRDefault="0076580D" w:rsidP="0076580D">
            <w:pPr>
              <w:pStyle w:val="TableText"/>
            </w:pPr>
            <w:r w:rsidRPr="005764FC">
              <w:t>Roadside system</w:t>
            </w:r>
          </w:p>
        </w:tc>
        <w:tc>
          <w:tcPr>
            <w:tcW w:w="775" w:type="pct"/>
          </w:tcPr>
          <w:p w14:paraId="55ADA036" w14:textId="77777777" w:rsidR="0076580D" w:rsidRPr="005764FC" w:rsidRDefault="0076580D" w:rsidP="0076580D">
            <w:pPr>
              <w:pStyle w:val="TableText"/>
            </w:pPr>
            <w:r w:rsidRPr="005764FC">
              <w:t>Vehicle System</w:t>
            </w:r>
          </w:p>
        </w:tc>
        <w:tc>
          <w:tcPr>
            <w:tcW w:w="775" w:type="pct"/>
          </w:tcPr>
          <w:p w14:paraId="00E80B9E" w14:textId="77777777" w:rsidR="0076580D" w:rsidRPr="005764FC" w:rsidRDefault="0076580D" w:rsidP="0076580D">
            <w:pPr>
              <w:pStyle w:val="TableText"/>
            </w:pPr>
            <w:r w:rsidRPr="005764FC">
              <w:t>Vehicle System</w:t>
            </w:r>
          </w:p>
        </w:tc>
      </w:tr>
    </w:tbl>
    <w:p w14:paraId="640C8BA6" w14:textId="5ECBECD1" w:rsidR="00C06537" w:rsidRPr="005764FC" w:rsidRDefault="00C06537" w:rsidP="00C06537">
      <w:pPr>
        <w:pStyle w:val="BodyText"/>
      </w:pPr>
      <w:bookmarkStart w:id="42" w:name="_Ref88075282"/>
      <w:bookmarkStart w:id="43" w:name="_Toc94536727"/>
    </w:p>
    <w:p w14:paraId="50490343" w14:textId="77777777" w:rsidR="00C06537" w:rsidRPr="005764FC" w:rsidRDefault="00C06537">
      <w:r w:rsidRPr="005764FC">
        <w:br w:type="page"/>
      </w:r>
    </w:p>
    <w:p w14:paraId="16C45F45" w14:textId="741851F1" w:rsidR="00C06537" w:rsidRPr="005764FC" w:rsidRDefault="00C06537" w:rsidP="00D60ADF">
      <w:pPr>
        <w:pStyle w:val="Heading2"/>
        <w:numPr>
          <w:ilvl w:val="0"/>
          <w:numId w:val="0"/>
        </w:numPr>
        <w:ind w:left="1134" w:hanging="1134"/>
      </w:pPr>
      <w:r w:rsidRPr="005764FC">
        <w:t>Deployment Options</w:t>
      </w:r>
      <w:bookmarkEnd w:id="42"/>
      <w:bookmarkEnd w:id="43"/>
    </w:p>
    <w:p w14:paraId="0687968A" w14:textId="6C753853" w:rsidR="00C06537" w:rsidRPr="005764FC" w:rsidRDefault="00C06537" w:rsidP="00C06537">
      <w:pPr>
        <w:pStyle w:val="Caption"/>
      </w:pPr>
      <w:r w:rsidRPr="005764FC">
        <w:t>Options for analysis</w:t>
      </w:r>
    </w:p>
    <w:tbl>
      <w:tblPr>
        <w:tblStyle w:val="Table1"/>
        <w:tblW w:w="5000" w:type="pct"/>
        <w:tblLook w:val="0620" w:firstRow="1" w:lastRow="0" w:firstColumn="0" w:lastColumn="0" w:noHBand="1" w:noVBand="1"/>
      </w:tblPr>
      <w:tblGrid>
        <w:gridCol w:w="304"/>
        <w:gridCol w:w="3946"/>
        <w:gridCol w:w="5497"/>
      </w:tblGrid>
      <w:tr w:rsidR="00C06537" w:rsidRPr="005764FC" w14:paraId="1936BE76" w14:textId="77777777" w:rsidTr="004D7D9A">
        <w:trPr>
          <w:cnfStyle w:val="100000000000" w:firstRow="1" w:lastRow="0" w:firstColumn="0" w:lastColumn="0" w:oddVBand="0" w:evenVBand="0" w:oddHBand="0" w:evenHBand="0" w:firstRowFirstColumn="0" w:firstRowLastColumn="0" w:lastRowFirstColumn="0" w:lastRowLastColumn="0"/>
          <w:cantSplit/>
          <w:tblHeader/>
        </w:trPr>
        <w:tc>
          <w:tcPr>
            <w:tcW w:w="156" w:type="pct"/>
            <w:hideMark/>
          </w:tcPr>
          <w:p w14:paraId="1AA6CFA7" w14:textId="77777777" w:rsidR="00C06537" w:rsidRPr="005764FC" w:rsidRDefault="00C06537" w:rsidP="00710D11">
            <w:pPr>
              <w:pStyle w:val="TableHeading"/>
            </w:pPr>
          </w:p>
        </w:tc>
        <w:tc>
          <w:tcPr>
            <w:tcW w:w="2024" w:type="pct"/>
            <w:hideMark/>
          </w:tcPr>
          <w:p w14:paraId="0C78F0E5" w14:textId="77777777" w:rsidR="00C06537" w:rsidRPr="005764FC" w:rsidRDefault="00C06537" w:rsidP="00710D11">
            <w:pPr>
              <w:pStyle w:val="TableHeading"/>
            </w:pPr>
            <w:r w:rsidRPr="005764FC">
              <w:t>Option Description</w:t>
            </w:r>
          </w:p>
        </w:tc>
        <w:tc>
          <w:tcPr>
            <w:tcW w:w="2820" w:type="pct"/>
          </w:tcPr>
          <w:p w14:paraId="16BE2FA6" w14:textId="77777777" w:rsidR="00C06537" w:rsidRPr="005764FC" w:rsidRDefault="00C06537" w:rsidP="00710D11">
            <w:pPr>
              <w:pStyle w:val="TableHeading"/>
            </w:pPr>
            <w:r w:rsidRPr="005764FC">
              <w:t>Use Cases Included</w:t>
            </w:r>
          </w:p>
        </w:tc>
      </w:tr>
      <w:tr w:rsidR="00C06537" w:rsidRPr="005764FC" w14:paraId="5E96C895" w14:textId="77777777" w:rsidTr="004D7D9A">
        <w:trPr>
          <w:cantSplit/>
        </w:trPr>
        <w:tc>
          <w:tcPr>
            <w:tcW w:w="156" w:type="pct"/>
            <w:hideMark/>
          </w:tcPr>
          <w:p w14:paraId="64356F76" w14:textId="77777777" w:rsidR="00C06537" w:rsidRPr="005764FC" w:rsidRDefault="00C06537" w:rsidP="00710D11">
            <w:pPr>
              <w:pStyle w:val="TableText"/>
              <w:rPr>
                <w:rFonts w:eastAsiaTheme="minorEastAsia"/>
                <w:b/>
              </w:rPr>
            </w:pPr>
            <w:r w:rsidRPr="005764FC">
              <w:rPr>
                <w:rFonts w:eastAsiaTheme="minorEastAsia"/>
                <w:b/>
              </w:rPr>
              <w:t>1</w:t>
            </w:r>
          </w:p>
        </w:tc>
        <w:tc>
          <w:tcPr>
            <w:tcW w:w="2024" w:type="pct"/>
            <w:hideMark/>
          </w:tcPr>
          <w:p w14:paraId="7101DD5A" w14:textId="77777777" w:rsidR="00C06537" w:rsidRPr="005764FC" w:rsidRDefault="00C06537" w:rsidP="00710D11">
            <w:pPr>
              <w:pStyle w:val="TableText"/>
            </w:pPr>
            <w:r w:rsidRPr="005764FC">
              <w:t>Do Minimum</w:t>
            </w:r>
          </w:p>
        </w:tc>
        <w:tc>
          <w:tcPr>
            <w:tcW w:w="2820" w:type="pct"/>
          </w:tcPr>
          <w:p w14:paraId="6F95BD94" w14:textId="4E310D86" w:rsidR="00C06537" w:rsidRPr="005764FC" w:rsidRDefault="00C06537" w:rsidP="00710D11">
            <w:pPr>
              <w:pStyle w:val="TableText"/>
            </w:pPr>
            <w:r w:rsidRPr="005764FC">
              <w:t xml:space="preserve">No specific Day 1 and 1.5 use cases addressed from C‑ITS. </w:t>
            </w:r>
          </w:p>
        </w:tc>
      </w:tr>
      <w:tr w:rsidR="00C06537" w:rsidRPr="005764FC" w14:paraId="47394123" w14:textId="77777777" w:rsidTr="004D7D9A">
        <w:trPr>
          <w:cantSplit/>
        </w:trPr>
        <w:tc>
          <w:tcPr>
            <w:tcW w:w="156" w:type="pct"/>
            <w:hideMark/>
          </w:tcPr>
          <w:p w14:paraId="5999D2AB" w14:textId="77777777" w:rsidR="00C06537" w:rsidRPr="005764FC" w:rsidRDefault="00C06537" w:rsidP="00710D11">
            <w:pPr>
              <w:pStyle w:val="TableText"/>
              <w:rPr>
                <w:rFonts w:eastAsiaTheme="minorEastAsia"/>
                <w:b/>
              </w:rPr>
            </w:pPr>
            <w:r w:rsidRPr="005764FC">
              <w:rPr>
                <w:rFonts w:eastAsiaTheme="minorEastAsia"/>
                <w:b/>
              </w:rPr>
              <w:t>2</w:t>
            </w:r>
          </w:p>
        </w:tc>
        <w:tc>
          <w:tcPr>
            <w:tcW w:w="2024" w:type="pct"/>
            <w:hideMark/>
          </w:tcPr>
          <w:p w14:paraId="7D33E274" w14:textId="64349E31" w:rsidR="00C06537" w:rsidRPr="005764FC" w:rsidRDefault="00C06537" w:rsidP="000A655F">
            <w:pPr>
              <w:pStyle w:val="TableText"/>
            </w:pPr>
            <w:r w:rsidRPr="005764FC">
              <w:t>Improve safety (decrease crashes, fatalities and injuries) on motorways, arterial and rural roads</w:t>
            </w:r>
          </w:p>
        </w:tc>
        <w:tc>
          <w:tcPr>
            <w:tcW w:w="2820" w:type="pct"/>
          </w:tcPr>
          <w:p w14:paraId="4A837167" w14:textId="77777777" w:rsidR="00C06537" w:rsidRPr="005764FC" w:rsidRDefault="00C06537" w:rsidP="000A655F">
            <w:pPr>
              <w:pStyle w:val="TableBullet1"/>
              <w:contextualSpacing/>
            </w:pPr>
            <w:r w:rsidRPr="005764FC">
              <w:t>Emergency Electronic Brake Light</w:t>
            </w:r>
          </w:p>
          <w:p w14:paraId="2FA26099" w14:textId="77777777" w:rsidR="00C06537" w:rsidRPr="005764FC" w:rsidRDefault="00C06537" w:rsidP="000A655F">
            <w:pPr>
              <w:pStyle w:val="TableBullet1"/>
              <w:contextualSpacing/>
            </w:pPr>
            <w:r w:rsidRPr="005764FC">
              <w:t>Slow or Stationary Vehicles</w:t>
            </w:r>
          </w:p>
          <w:p w14:paraId="0360A1CE" w14:textId="77777777" w:rsidR="00C06537" w:rsidRPr="005764FC" w:rsidRDefault="00C06537" w:rsidP="000A655F">
            <w:pPr>
              <w:pStyle w:val="TableBullet1"/>
              <w:contextualSpacing/>
            </w:pPr>
            <w:r w:rsidRPr="005764FC">
              <w:t>Traffic Jam Ahead Warning</w:t>
            </w:r>
          </w:p>
          <w:p w14:paraId="2D2C159B" w14:textId="77777777" w:rsidR="00C06537" w:rsidRPr="005764FC" w:rsidRDefault="00C06537" w:rsidP="000A655F">
            <w:pPr>
              <w:pStyle w:val="TableBullet1"/>
              <w:contextualSpacing/>
            </w:pPr>
            <w:r w:rsidRPr="005764FC">
              <w:t>Hazardous Location Notification</w:t>
            </w:r>
          </w:p>
          <w:p w14:paraId="0F45B6E0" w14:textId="0C8BDCB8" w:rsidR="00C06537" w:rsidRPr="005764FC" w:rsidRDefault="00C06537" w:rsidP="000A655F">
            <w:pPr>
              <w:pStyle w:val="TableBullet1"/>
              <w:contextualSpacing/>
            </w:pPr>
            <w:r w:rsidRPr="005764FC">
              <w:t>Road Works Warning</w:t>
            </w:r>
          </w:p>
          <w:p w14:paraId="00856182" w14:textId="77777777" w:rsidR="00C06537" w:rsidRPr="005764FC" w:rsidRDefault="00C06537" w:rsidP="000A655F">
            <w:pPr>
              <w:pStyle w:val="TableBullet1"/>
              <w:contextualSpacing/>
            </w:pPr>
            <w:r w:rsidRPr="005764FC">
              <w:t>Weather Conditions</w:t>
            </w:r>
          </w:p>
          <w:p w14:paraId="17FA5933" w14:textId="77777777" w:rsidR="00C06537" w:rsidRPr="005764FC" w:rsidRDefault="00C06537" w:rsidP="000A655F">
            <w:pPr>
              <w:pStyle w:val="TableBullet1"/>
              <w:contextualSpacing/>
            </w:pPr>
            <w:r w:rsidRPr="005764FC">
              <w:t>In-Vehicle Signage</w:t>
            </w:r>
          </w:p>
          <w:p w14:paraId="7A3CAA01" w14:textId="77777777" w:rsidR="00C06537" w:rsidRPr="005764FC" w:rsidRDefault="00C06537" w:rsidP="000A655F">
            <w:pPr>
              <w:pStyle w:val="TableBullet1"/>
              <w:contextualSpacing/>
            </w:pPr>
            <w:r w:rsidRPr="005764FC">
              <w:t>In-Vehicle Speed Limits</w:t>
            </w:r>
          </w:p>
          <w:p w14:paraId="0452E1B7" w14:textId="77777777" w:rsidR="00C06537" w:rsidRPr="005764FC" w:rsidRDefault="00C06537" w:rsidP="000A655F">
            <w:pPr>
              <w:pStyle w:val="TableBullet1"/>
              <w:contextualSpacing/>
            </w:pPr>
            <w:r w:rsidRPr="005764FC">
              <w:t>Probe Vehicle Data</w:t>
            </w:r>
          </w:p>
          <w:p w14:paraId="7AA9D037" w14:textId="77777777" w:rsidR="00C06537" w:rsidRPr="005764FC" w:rsidRDefault="00C06537" w:rsidP="000A655F">
            <w:pPr>
              <w:pStyle w:val="TableBullet1"/>
              <w:contextualSpacing/>
            </w:pPr>
            <w:r w:rsidRPr="005764FC">
              <w:t>Shockwave Damping</w:t>
            </w:r>
          </w:p>
          <w:p w14:paraId="5FA5CAA9" w14:textId="77777777" w:rsidR="00C06537" w:rsidRPr="005764FC" w:rsidRDefault="00C06537" w:rsidP="000A655F">
            <w:pPr>
              <w:pStyle w:val="TableBullet1"/>
              <w:contextualSpacing/>
            </w:pPr>
            <w:r w:rsidRPr="005764FC">
              <w:t>Cooperative Collision Risk Warning</w:t>
            </w:r>
          </w:p>
          <w:p w14:paraId="765C98D2" w14:textId="77777777" w:rsidR="00C06537" w:rsidRPr="005764FC" w:rsidRDefault="00C06537" w:rsidP="000A655F">
            <w:pPr>
              <w:pStyle w:val="TableBullet1"/>
              <w:contextualSpacing/>
            </w:pPr>
            <w:r w:rsidRPr="005764FC">
              <w:t>Motorcycle Approaching Indication</w:t>
            </w:r>
          </w:p>
          <w:p w14:paraId="595FB1EA" w14:textId="52431F98" w:rsidR="00C06537" w:rsidRPr="005764FC" w:rsidRDefault="00C06537" w:rsidP="000A655F">
            <w:pPr>
              <w:pStyle w:val="TableBullet1"/>
              <w:contextualSpacing/>
            </w:pPr>
            <w:r w:rsidRPr="005764FC">
              <w:t>Wrong</w:t>
            </w:r>
            <w:r w:rsidR="0005582A" w:rsidRPr="005764FC">
              <w:t>-</w:t>
            </w:r>
            <w:r w:rsidRPr="005764FC">
              <w:t>Way Driving</w:t>
            </w:r>
          </w:p>
        </w:tc>
      </w:tr>
      <w:tr w:rsidR="00C06537" w:rsidRPr="005764FC" w14:paraId="64FEC8DE" w14:textId="77777777" w:rsidTr="004D7D9A">
        <w:trPr>
          <w:cantSplit/>
        </w:trPr>
        <w:tc>
          <w:tcPr>
            <w:tcW w:w="156" w:type="pct"/>
            <w:hideMark/>
          </w:tcPr>
          <w:p w14:paraId="7A84C177" w14:textId="77777777" w:rsidR="00C06537" w:rsidRPr="005764FC" w:rsidRDefault="00C06537" w:rsidP="00710D11">
            <w:pPr>
              <w:pStyle w:val="TableText"/>
              <w:rPr>
                <w:rFonts w:eastAsiaTheme="minorEastAsia"/>
                <w:b/>
              </w:rPr>
            </w:pPr>
            <w:r w:rsidRPr="005764FC">
              <w:rPr>
                <w:rFonts w:eastAsiaTheme="minorEastAsia"/>
                <w:b/>
              </w:rPr>
              <w:t>3</w:t>
            </w:r>
          </w:p>
        </w:tc>
        <w:tc>
          <w:tcPr>
            <w:tcW w:w="2024" w:type="pct"/>
            <w:hideMark/>
          </w:tcPr>
          <w:p w14:paraId="51FEE5B2" w14:textId="77777777" w:rsidR="00C06537" w:rsidRPr="005764FC" w:rsidRDefault="00C06537" w:rsidP="00710D11">
            <w:pPr>
              <w:pStyle w:val="TableText"/>
            </w:pPr>
            <w:r w:rsidRPr="005764FC">
              <w:t>Reduce congestion in metro areas and on all motorways and arterials</w:t>
            </w:r>
          </w:p>
        </w:tc>
        <w:tc>
          <w:tcPr>
            <w:tcW w:w="2820" w:type="pct"/>
          </w:tcPr>
          <w:p w14:paraId="3ABEB40F" w14:textId="77777777" w:rsidR="00C06537" w:rsidRPr="005764FC" w:rsidRDefault="00C06537" w:rsidP="000A655F">
            <w:pPr>
              <w:pStyle w:val="TableBullet1"/>
              <w:contextualSpacing/>
            </w:pPr>
            <w:r w:rsidRPr="005764FC">
              <w:t>Slow or Stationary Vehicles</w:t>
            </w:r>
          </w:p>
          <w:p w14:paraId="410E677C" w14:textId="77777777" w:rsidR="00C06537" w:rsidRPr="005764FC" w:rsidRDefault="00C06537" w:rsidP="000A655F">
            <w:pPr>
              <w:pStyle w:val="TableBullet1"/>
              <w:contextualSpacing/>
            </w:pPr>
            <w:r w:rsidRPr="005764FC">
              <w:t>Traffic Jam Ahead Warning</w:t>
            </w:r>
          </w:p>
          <w:p w14:paraId="60A4D730" w14:textId="77777777" w:rsidR="00C06537" w:rsidRPr="005764FC" w:rsidRDefault="00C06537" w:rsidP="000A655F">
            <w:pPr>
              <w:pStyle w:val="TableBullet1"/>
              <w:contextualSpacing/>
            </w:pPr>
            <w:r w:rsidRPr="005764FC">
              <w:t>Hazardous Location Notification</w:t>
            </w:r>
          </w:p>
          <w:p w14:paraId="2EE02FCB" w14:textId="3B6106E9" w:rsidR="00C06537" w:rsidRPr="005764FC" w:rsidRDefault="00C06537" w:rsidP="000A655F">
            <w:pPr>
              <w:pStyle w:val="TableBullet1"/>
              <w:contextualSpacing/>
            </w:pPr>
            <w:r w:rsidRPr="005764FC">
              <w:t>Road Works Warning</w:t>
            </w:r>
          </w:p>
          <w:p w14:paraId="6996530A" w14:textId="77777777" w:rsidR="00C06537" w:rsidRPr="005764FC" w:rsidRDefault="00C06537" w:rsidP="000A655F">
            <w:pPr>
              <w:pStyle w:val="TableBullet1"/>
              <w:contextualSpacing/>
            </w:pPr>
            <w:r w:rsidRPr="005764FC">
              <w:t>Weather Conditions</w:t>
            </w:r>
          </w:p>
          <w:p w14:paraId="46FC8DBC" w14:textId="77777777" w:rsidR="00C06537" w:rsidRPr="005764FC" w:rsidRDefault="00C06537" w:rsidP="000A655F">
            <w:pPr>
              <w:pStyle w:val="TableBullet1"/>
              <w:contextualSpacing/>
            </w:pPr>
            <w:r w:rsidRPr="005764FC">
              <w:t>In-Vehicle Signage</w:t>
            </w:r>
          </w:p>
          <w:p w14:paraId="61D63CBD" w14:textId="77777777" w:rsidR="00C06537" w:rsidRPr="005764FC" w:rsidRDefault="00C06537" w:rsidP="000A655F">
            <w:pPr>
              <w:pStyle w:val="TableBullet1"/>
              <w:contextualSpacing/>
            </w:pPr>
            <w:r w:rsidRPr="005764FC">
              <w:t>In-Vehicle Speed Limits</w:t>
            </w:r>
          </w:p>
          <w:p w14:paraId="72E4F786" w14:textId="77777777" w:rsidR="00C06537" w:rsidRPr="005764FC" w:rsidRDefault="00C06537" w:rsidP="000A655F">
            <w:pPr>
              <w:pStyle w:val="TableBullet1"/>
              <w:contextualSpacing/>
            </w:pPr>
            <w:r w:rsidRPr="005764FC">
              <w:t xml:space="preserve">Probe Vehicle Data </w:t>
            </w:r>
          </w:p>
          <w:p w14:paraId="54F8B9DA" w14:textId="77777777" w:rsidR="00C06537" w:rsidRPr="005764FC" w:rsidRDefault="00C06537" w:rsidP="000A655F">
            <w:pPr>
              <w:pStyle w:val="TableBullet1"/>
              <w:contextualSpacing/>
            </w:pPr>
            <w:r w:rsidRPr="005764FC">
              <w:t>Shockwave Damping</w:t>
            </w:r>
          </w:p>
        </w:tc>
      </w:tr>
      <w:tr w:rsidR="00C06537" w:rsidRPr="005764FC" w14:paraId="4F2A6242" w14:textId="77777777" w:rsidTr="004D7D9A">
        <w:trPr>
          <w:cantSplit/>
        </w:trPr>
        <w:tc>
          <w:tcPr>
            <w:tcW w:w="156" w:type="pct"/>
            <w:hideMark/>
          </w:tcPr>
          <w:p w14:paraId="1D6CE356" w14:textId="77777777" w:rsidR="00C06537" w:rsidRPr="005764FC" w:rsidRDefault="00C06537" w:rsidP="00710D11">
            <w:pPr>
              <w:pStyle w:val="TableText"/>
              <w:rPr>
                <w:rFonts w:eastAsiaTheme="minorEastAsia"/>
                <w:b/>
              </w:rPr>
            </w:pPr>
            <w:r w:rsidRPr="005764FC">
              <w:rPr>
                <w:rFonts w:eastAsiaTheme="minorEastAsia"/>
                <w:b/>
              </w:rPr>
              <w:t>4</w:t>
            </w:r>
          </w:p>
        </w:tc>
        <w:tc>
          <w:tcPr>
            <w:tcW w:w="2024" w:type="pct"/>
            <w:hideMark/>
          </w:tcPr>
          <w:p w14:paraId="755A294A" w14:textId="08A63BCB" w:rsidR="00C06537" w:rsidRPr="005764FC" w:rsidRDefault="00C06537" w:rsidP="00710D11">
            <w:pPr>
              <w:pStyle w:val="TableText"/>
            </w:pPr>
            <w:r w:rsidRPr="005764FC">
              <w:t>Promote pedestrian and cycling modes of travel by improving safety and mobility for VRUs</w:t>
            </w:r>
          </w:p>
        </w:tc>
        <w:tc>
          <w:tcPr>
            <w:tcW w:w="2820" w:type="pct"/>
          </w:tcPr>
          <w:p w14:paraId="1EEEEDED" w14:textId="77777777" w:rsidR="00C06537" w:rsidRPr="005764FC" w:rsidRDefault="00C06537" w:rsidP="000A655F">
            <w:pPr>
              <w:pStyle w:val="TableBullet1"/>
              <w:contextualSpacing/>
            </w:pPr>
            <w:r w:rsidRPr="005764FC">
              <w:t>Vulnerable Road User Protection (pedestrians and cyclists)</w:t>
            </w:r>
          </w:p>
        </w:tc>
      </w:tr>
      <w:tr w:rsidR="00C06537" w:rsidRPr="005764FC" w14:paraId="0523CE9C" w14:textId="77777777" w:rsidTr="004D7D9A">
        <w:trPr>
          <w:cantSplit/>
        </w:trPr>
        <w:tc>
          <w:tcPr>
            <w:tcW w:w="156" w:type="pct"/>
            <w:hideMark/>
          </w:tcPr>
          <w:p w14:paraId="28084A8E" w14:textId="77777777" w:rsidR="00C06537" w:rsidRPr="005764FC" w:rsidRDefault="00C06537" w:rsidP="00710D11">
            <w:pPr>
              <w:pStyle w:val="TableText"/>
              <w:rPr>
                <w:rFonts w:eastAsiaTheme="minorEastAsia"/>
                <w:b/>
              </w:rPr>
            </w:pPr>
            <w:r w:rsidRPr="005764FC">
              <w:rPr>
                <w:rFonts w:eastAsiaTheme="minorEastAsia"/>
                <w:b/>
              </w:rPr>
              <w:t>5</w:t>
            </w:r>
          </w:p>
        </w:tc>
        <w:tc>
          <w:tcPr>
            <w:tcW w:w="2024" w:type="pct"/>
            <w:hideMark/>
          </w:tcPr>
          <w:p w14:paraId="6120F57D" w14:textId="77777777" w:rsidR="00C06537" w:rsidRPr="005764FC" w:rsidRDefault="00C06537" w:rsidP="00710D11">
            <w:pPr>
              <w:pStyle w:val="TableText"/>
            </w:pPr>
            <w:r w:rsidRPr="005764FC">
              <w:t>Improve the convenience and ease of travel for road users</w:t>
            </w:r>
          </w:p>
        </w:tc>
        <w:tc>
          <w:tcPr>
            <w:tcW w:w="2820" w:type="pct"/>
          </w:tcPr>
          <w:p w14:paraId="48769653" w14:textId="77777777" w:rsidR="00C06537" w:rsidRPr="005764FC" w:rsidRDefault="00C06537" w:rsidP="000A655F">
            <w:pPr>
              <w:pStyle w:val="TableBullet1"/>
              <w:contextualSpacing/>
            </w:pPr>
            <w:r w:rsidRPr="005764FC">
              <w:t>Weather Conditions</w:t>
            </w:r>
          </w:p>
          <w:p w14:paraId="0871C6CC" w14:textId="77777777" w:rsidR="00C06537" w:rsidRPr="005764FC" w:rsidRDefault="00C06537" w:rsidP="000A655F">
            <w:pPr>
              <w:pStyle w:val="TableBullet1"/>
              <w:contextualSpacing/>
            </w:pPr>
            <w:r w:rsidRPr="005764FC">
              <w:t>In-Vehicle Signage</w:t>
            </w:r>
          </w:p>
          <w:p w14:paraId="0FE42F05" w14:textId="77777777" w:rsidR="00C06537" w:rsidRPr="005764FC" w:rsidRDefault="00C06537" w:rsidP="000A655F">
            <w:pPr>
              <w:pStyle w:val="TableBullet1"/>
              <w:contextualSpacing/>
            </w:pPr>
            <w:r w:rsidRPr="005764FC">
              <w:t>In-Vehicle Speed Limits</w:t>
            </w:r>
          </w:p>
          <w:p w14:paraId="3FEC7B0E" w14:textId="77777777" w:rsidR="00C06537" w:rsidRPr="005764FC" w:rsidRDefault="00C06537" w:rsidP="000A655F">
            <w:pPr>
              <w:pStyle w:val="TableBullet1"/>
              <w:contextualSpacing/>
            </w:pPr>
            <w:r w:rsidRPr="005764FC">
              <w:t>Green Light Optimal Speed Advisory (GLOSA) / Time to Green (TTG)</w:t>
            </w:r>
          </w:p>
          <w:p w14:paraId="6E399050" w14:textId="77777777" w:rsidR="00C06537" w:rsidRPr="005764FC" w:rsidRDefault="00C06537" w:rsidP="000A655F">
            <w:pPr>
              <w:pStyle w:val="TableBullet1"/>
              <w:contextualSpacing/>
            </w:pPr>
            <w:r w:rsidRPr="005764FC">
              <w:t>Off Street Parking Information</w:t>
            </w:r>
          </w:p>
          <w:p w14:paraId="3162512A" w14:textId="77777777" w:rsidR="00C06537" w:rsidRPr="005764FC" w:rsidRDefault="00C06537" w:rsidP="000A655F">
            <w:pPr>
              <w:pStyle w:val="TableBullet1"/>
              <w:contextualSpacing/>
            </w:pPr>
            <w:r w:rsidRPr="005764FC">
              <w:t>On Street Parking Information and Management</w:t>
            </w:r>
          </w:p>
          <w:p w14:paraId="23D074BA" w14:textId="77777777" w:rsidR="00C06537" w:rsidRPr="005764FC" w:rsidRDefault="00C06537" w:rsidP="000A655F">
            <w:pPr>
              <w:pStyle w:val="TableBullet1"/>
              <w:contextualSpacing/>
            </w:pPr>
            <w:r w:rsidRPr="005764FC">
              <w:t>Park and Ride Information</w:t>
            </w:r>
          </w:p>
          <w:p w14:paraId="0F1ACD74" w14:textId="7AC53BE7" w:rsidR="00C06537" w:rsidRPr="005764FC" w:rsidRDefault="00C06537" w:rsidP="000A655F">
            <w:pPr>
              <w:pStyle w:val="TableBullet1"/>
              <w:contextualSpacing/>
            </w:pPr>
            <w:r w:rsidRPr="005764FC">
              <w:t xml:space="preserve">Information on AFV </w:t>
            </w:r>
            <w:r w:rsidR="00541820" w:rsidRPr="005764FC">
              <w:t>Fuelling</w:t>
            </w:r>
            <w:r w:rsidRPr="005764FC">
              <w:t xml:space="preserve"> and Charging Stations</w:t>
            </w:r>
          </w:p>
          <w:p w14:paraId="1248925E" w14:textId="77777777" w:rsidR="00C06537" w:rsidRPr="005764FC" w:rsidRDefault="00C06537" w:rsidP="000A655F">
            <w:pPr>
              <w:pStyle w:val="TableBullet1"/>
              <w:contextualSpacing/>
            </w:pPr>
            <w:r w:rsidRPr="005764FC">
              <w:t>Traffic Information and Smart Routing</w:t>
            </w:r>
          </w:p>
        </w:tc>
      </w:tr>
      <w:tr w:rsidR="00C06537" w:rsidRPr="005764FC" w14:paraId="35C56CA2" w14:textId="77777777" w:rsidTr="004D7D9A">
        <w:trPr>
          <w:cantSplit/>
        </w:trPr>
        <w:tc>
          <w:tcPr>
            <w:tcW w:w="156" w:type="pct"/>
            <w:hideMark/>
          </w:tcPr>
          <w:p w14:paraId="49B9DB76" w14:textId="77777777" w:rsidR="00C06537" w:rsidRPr="005764FC" w:rsidRDefault="00C06537" w:rsidP="00710D11">
            <w:pPr>
              <w:pStyle w:val="TableText"/>
              <w:rPr>
                <w:rFonts w:eastAsiaTheme="minorEastAsia"/>
                <w:b/>
              </w:rPr>
            </w:pPr>
            <w:r w:rsidRPr="005764FC">
              <w:rPr>
                <w:rFonts w:eastAsiaTheme="minorEastAsia"/>
                <w:b/>
              </w:rPr>
              <w:t>6</w:t>
            </w:r>
          </w:p>
        </w:tc>
        <w:tc>
          <w:tcPr>
            <w:tcW w:w="2024" w:type="pct"/>
            <w:hideMark/>
          </w:tcPr>
          <w:p w14:paraId="7A251ED2" w14:textId="3F351A10" w:rsidR="00C06537" w:rsidRPr="005764FC" w:rsidRDefault="00C06537" w:rsidP="00710D11">
            <w:pPr>
              <w:pStyle w:val="TableText"/>
            </w:pPr>
            <w:r w:rsidRPr="005764FC">
              <w:t>Improve the safety and efficiency of travel for commuters in urbani</w:t>
            </w:r>
            <w:r w:rsidR="00657E54" w:rsidRPr="005764FC">
              <w:t>s</w:t>
            </w:r>
            <w:r w:rsidRPr="005764FC">
              <w:t>ed areas</w:t>
            </w:r>
          </w:p>
        </w:tc>
        <w:tc>
          <w:tcPr>
            <w:tcW w:w="2820" w:type="pct"/>
          </w:tcPr>
          <w:p w14:paraId="7D1C6023" w14:textId="77777777" w:rsidR="00C06537" w:rsidRPr="005764FC" w:rsidRDefault="00C06537" w:rsidP="000A655F">
            <w:pPr>
              <w:pStyle w:val="TableBullet1"/>
              <w:contextualSpacing/>
            </w:pPr>
            <w:r w:rsidRPr="005764FC">
              <w:t>Emergency Electronic Brake Light</w:t>
            </w:r>
          </w:p>
          <w:p w14:paraId="44A116AD" w14:textId="77777777" w:rsidR="00C06537" w:rsidRPr="005764FC" w:rsidRDefault="00C06537" w:rsidP="000A655F">
            <w:pPr>
              <w:pStyle w:val="TableBullet1"/>
              <w:contextualSpacing/>
            </w:pPr>
            <w:r w:rsidRPr="005764FC">
              <w:t>Slow or Stationary Vehicles</w:t>
            </w:r>
          </w:p>
          <w:p w14:paraId="72EFBD57" w14:textId="77777777" w:rsidR="00C06537" w:rsidRPr="005764FC" w:rsidRDefault="00C06537" w:rsidP="000A655F">
            <w:pPr>
              <w:pStyle w:val="TableBullet1"/>
              <w:contextualSpacing/>
            </w:pPr>
            <w:r w:rsidRPr="005764FC">
              <w:t>Traffic Jam Ahead Warning</w:t>
            </w:r>
          </w:p>
          <w:p w14:paraId="723FB248" w14:textId="77777777" w:rsidR="00C06537" w:rsidRPr="005764FC" w:rsidRDefault="00C06537" w:rsidP="000A655F">
            <w:pPr>
              <w:pStyle w:val="TableBullet1"/>
              <w:contextualSpacing/>
            </w:pPr>
            <w:r w:rsidRPr="005764FC">
              <w:t>Hazardous Location Notification</w:t>
            </w:r>
          </w:p>
          <w:p w14:paraId="10A761C8" w14:textId="2314342B" w:rsidR="00C06537" w:rsidRPr="005764FC" w:rsidRDefault="00C06537" w:rsidP="000A655F">
            <w:pPr>
              <w:pStyle w:val="TableBullet1"/>
              <w:contextualSpacing/>
            </w:pPr>
            <w:r w:rsidRPr="005764FC">
              <w:t>Road Works Warning</w:t>
            </w:r>
          </w:p>
          <w:p w14:paraId="005EDF3F" w14:textId="77777777" w:rsidR="00C06537" w:rsidRPr="005764FC" w:rsidRDefault="00C06537" w:rsidP="000A655F">
            <w:pPr>
              <w:pStyle w:val="TableBullet1"/>
              <w:contextualSpacing/>
            </w:pPr>
            <w:r w:rsidRPr="005764FC">
              <w:t>Weather Conditions</w:t>
            </w:r>
          </w:p>
          <w:p w14:paraId="52A72018" w14:textId="77777777" w:rsidR="00C06537" w:rsidRPr="005764FC" w:rsidRDefault="00C06537" w:rsidP="000A655F">
            <w:pPr>
              <w:pStyle w:val="TableBullet1"/>
              <w:contextualSpacing/>
            </w:pPr>
            <w:r w:rsidRPr="005764FC">
              <w:t>In-Vehicle Signage</w:t>
            </w:r>
          </w:p>
          <w:p w14:paraId="70871900" w14:textId="77777777" w:rsidR="00C06537" w:rsidRPr="005764FC" w:rsidRDefault="00C06537" w:rsidP="000A655F">
            <w:pPr>
              <w:pStyle w:val="TableBullet1"/>
              <w:contextualSpacing/>
            </w:pPr>
            <w:r w:rsidRPr="005764FC">
              <w:t>In-Vehicle Speed Limits</w:t>
            </w:r>
          </w:p>
          <w:p w14:paraId="09D70CE4" w14:textId="77777777" w:rsidR="00C06537" w:rsidRPr="005764FC" w:rsidRDefault="00C06537" w:rsidP="000A655F">
            <w:pPr>
              <w:pStyle w:val="TableBullet1"/>
              <w:contextualSpacing/>
            </w:pPr>
            <w:r w:rsidRPr="005764FC">
              <w:t>Probe Vehicle Data</w:t>
            </w:r>
          </w:p>
          <w:p w14:paraId="1A162BEC" w14:textId="77777777" w:rsidR="00C06537" w:rsidRPr="005764FC" w:rsidRDefault="00C06537" w:rsidP="000A655F">
            <w:pPr>
              <w:pStyle w:val="TableBullet1"/>
              <w:contextualSpacing/>
            </w:pPr>
            <w:r w:rsidRPr="005764FC">
              <w:t>Shockwave Damping</w:t>
            </w:r>
          </w:p>
          <w:p w14:paraId="5F9FACD6" w14:textId="77777777" w:rsidR="00C06537" w:rsidRPr="005764FC" w:rsidRDefault="00C06537" w:rsidP="000A655F">
            <w:pPr>
              <w:pStyle w:val="TableBullet1"/>
              <w:contextualSpacing/>
            </w:pPr>
            <w:r w:rsidRPr="005764FC">
              <w:t>Green Light Optimal Speed Advisory (GLOSA) / Time to Green (TTG)</w:t>
            </w:r>
          </w:p>
          <w:p w14:paraId="0BB67F1D" w14:textId="77777777" w:rsidR="00C06537" w:rsidRPr="005764FC" w:rsidRDefault="00C06537" w:rsidP="000A655F">
            <w:pPr>
              <w:pStyle w:val="TableBullet1"/>
              <w:contextualSpacing/>
            </w:pPr>
            <w:r w:rsidRPr="005764FC">
              <w:t>Signal Violation/ Intersection Safety</w:t>
            </w:r>
          </w:p>
          <w:p w14:paraId="73372831" w14:textId="77777777" w:rsidR="00C06537" w:rsidRPr="005764FC" w:rsidRDefault="00C06537" w:rsidP="000A655F">
            <w:pPr>
              <w:pStyle w:val="TableBullet1"/>
              <w:contextualSpacing/>
            </w:pPr>
            <w:r w:rsidRPr="005764FC">
              <w:t xml:space="preserve">Traffic Signal Priority (Request by Designated Vehicles) </w:t>
            </w:r>
          </w:p>
          <w:p w14:paraId="260DC388" w14:textId="77777777" w:rsidR="00C06537" w:rsidRPr="005764FC" w:rsidRDefault="00C06537" w:rsidP="000A655F">
            <w:pPr>
              <w:pStyle w:val="TableBullet1"/>
              <w:contextualSpacing/>
            </w:pPr>
            <w:r w:rsidRPr="005764FC">
              <w:t>Off Street Parking Information</w:t>
            </w:r>
          </w:p>
          <w:p w14:paraId="79130940" w14:textId="77777777" w:rsidR="00C06537" w:rsidRPr="005764FC" w:rsidRDefault="00C06537" w:rsidP="000A655F">
            <w:pPr>
              <w:pStyle w:val="TableBullet1"/>
              <w:contextualSpacing/>
            </w:pPr>
            <w:r w:rsidRPr="005764FC">
              <w:t>On Street Parking Information and Management</w:t>
            </w:r>
          </w:p>
          <w:p w14:paraId="6A56DC13" w14:textId="77777777" w:rsidR="00C06537" w:rsidRPr="005764FC" w:rsidRDefault="00C06537" w:rsidP="000A655F">
            <w:pPr>
              <w:pStyle w:val="TableBullet1"/>
              <w:contextualSpacing/>
            </w:pPr>
            <w:r w:rsidRPr="005764FC">
              <w:t>Park and Ride Information</w:t>
            </w:r>
          </w:p>
          <w:p w14:paraId="2145C09C" w14:textId="77777777" w:rsidR="00C06537" w:rsidRPr="005764FC" w:rsidRDefault="00C06537" w:rsidP="000A655F">
            <w:pPr>
              <w:pStyle w:val="TableBullet1"/>
              <w:contextualSpacing/>
            </w:pPr>
            <w:r w:rsidRPr="005764FC">
              <w:t>Traffic Information and Smart Routing</w:t>
            </w:r>
          </w:p>
          <w:p w14:paraId="0BFAF63E" w14:textId="77777777" w:rsidR="00C06537" w:rsidRPr="005764FC" w:rsidRDefault="00C06537" w:rsidP="000A655F">
            <w:pPr>
              <w:pStyle w:val="TableBullet1"/>
              <w:contextualSpacing/>
            </w:pPr>
            <w:r w:rsidRPr="005764FC">
              <w:t>Cooperative Collision Risk Warning</w:t>
            </w:r>
          </w:p>
        </w:tc>
      </w:tr>
      <w:tr w:rsidR="00C06537" w:rsidRPr="005764FC" w14:paraId="2A80E320" w14:textId="77777777" w:rsidTr="004D7D9A">
        <w:trPr>
          <w:cantSplit/>
        </w:trPr>
        <w:tc>
          <w:tcPr>
            <w:tcW w:w="156" w:type="pct"/>
            <w:hideMark/>
          </w:tcPr>
          <w:p w14:paraId="71E560F5" w14:textId="77777777" w:rsidR="00C06537" w:rsidRPr="005764FC" w:rsidRDefault="00C06537" w:rsidP="00710D11">
            <w:pPr>
              <w:pStyle w:val="TableText"/>
              <w:rPr>
                <w:rFonts w:eastAsiaTheme="minorEastAsia"/>
                <w:b/>
              </w:rPr>
            </w:pPr>
            <w:r w:rsidRPr="005764FC">
              <w:rPr>
                <w:rFonts w:eastAsiaTheme="minorEastAsia"/>
                <w:b/>
              </w:rPr>
              <w:t>7</w:t>
            </w:r>
          </w:p>
        </w:tc>
        <w:tc>
          <w:tcPr>
            <w:tcW w:w="2024" w:type="pct"/>
            <w:hideMark/>
          </w:tcPr>
          <w:p w14:paraId="07C59C9B" w14:textId="77777777" w:rsidR="00C06537" w:rsidRPr="005764FC" w:rsidRDefault="00C06537" w:rsidP="00710D11">
            <w:pPr>
              <w:pStyle w:val="TableText"/>
            </w:pPr>
            <w:r w:rsidRPr="005764FC">
              <w:t>Enable more efficient movement of freight vehicles making deliveries in urban areas</w:t>
            </w:r>
          </w:p>
        </w:tc>
        <w:tc>
          <w:tcPr>
            <w:tcW w:w="2820" w:type="pct"/>
          </w:tcPr>
          <w:p w14:paraId="431594B0" w14:textId="77777777" w:rsidR="00C06537" w:rsidRPr="005764FC" w:rsidRDefault="00C06537" w:rsidP="000A655F">
            <w:pPr>
              <w:pStyle w:val="TableBullet1"/>
              <w:contextualSpacing/>
            </w:pPr>
            <w:r w:rsidRPr="005764FC">
              <w:t>In-Vehicle Signage</w:t>
            </w:r>
          </w:p>
          <w:p w14:paraId="2DF60E7D" w14:textId="77777777" w:rsidR="00C06537" w:rsidRPr="005764FC" w:rsidRDefault="00C06537" w:rsidP="000A655F">
            <w:pPr>
              <w:pStyle w:val="TableBullet1"/>
              <w:contextualSpacing/>
            </w:pPr>
            <w:r w:rsidRPr="005764FC">
              <w:t>Shockwave Damping</w:t>
            </w:r>
          </w:p>
          <w:p w14:paraId="53969020" w14:textId="77777777" w:rsidR="00C06537" w:rsidRPr="005764FC" w:rsidRDefault="00C06537" w:rsidP="000A655F">
            <w:pPr>
              <w:pStyle w:val="TableBullet1"/>
              <w:contextualSpacing/>
            </w:pPr>
            <w:r w:rsidRPr="005764FC">
              <w:t>Green Light Optimal Speed Advisory (GLOSA) / Time to Green (TTG)</w:t>
            </w:r>
          </w:p>
          <w:p w14:paraId="5223F6BD" w14:textId="77777777" w:rsidR="00C06537" w:rsidRPr="005764FC" w:rsidRDefault="00C06537" w:rsidP="000A655F">
            <w:pPr>
              <w:pStyle w:val="TableBullet1"/>
              <w:contextualSpacing/>
            </w:pPr>
            <w:r w:rsidRPr="005764FC">
              <w:t xml:space="preserve">Traffic Signal Priority (Request by Designated Vehicles) </w:t>
            </w:r>
          </w:p>
          <w:p w14:paraId="48BD85B4" w14:textId="77777777" w:rsidR="00C06537" w:rsidRPr="005764FC" w:rsidRDefault="00C06537" w:rsidP="000A655F">
            <w:pPr>
              <w:pStyle w:val="TableBullet1"/>
              <w:contextualSpacing/>
            </w:pPr>
            <w:r w:rsidRPr="005764FC">
              <w:t>Traffic Information and Smart Routing</w:t>
            </w:r>
          </w:p>
          <w:p w14:paraId="29BF2A73" w14:textId="77777777" w:rsidR="00C06537" w:rsidRPr="005764FC" w:rsidRDefault="00C06537" w:rsidP="000A655F">
            <w:pPr>
              <w:pStyle w:val="TableBullet1"/>
              <w:contextualSpacing/>
            </w:pPr>
            <w:r w:rsidRPr="005764FC">
              <w:t>Zone Access Control for Urban Areas</w:t>
            </w:r>
          </w:p>
          <w:p w14:paraId="25CC5260" w14:textId="77777777" w:rsidR="00C06537" w:rsidRPr="005764FC" w:rsidRDefault="00C06537" w:rsidP="000A655F">
            <w:pPr>
              <w:pStyle w:val="TableBullet1"/>
              <w:contextualSpacing/>
            </w:pPr>
            <w:r w:rsidRPr="005764FC">
              <w:t>Loading Zone Management</w:t>
            </w:r>
          </w:p>
        </w:tc>
      </w:tr>
      <w:tr w:rsidR="00C06537" w:rsidRPr="005764FC" w14:paraId="729E19AA" w14:textId="77777777" w:rsidTr="004D7D9A">
        <w:trPr>
          <w:cantSplit/>
        </w:trPr>
        <w:tc>
          <w:tcPr>
            <w:tcW w:w="156" w:type="pct"/>
            <w:hideMark/>
          </w:tcPr>
          <w:p w14:paraId="2D960995" w14:textId="77777777" w:rsidR="00C06537" w:rsidRPr="005764FC" w:rsidRDefault="00C06537" w:rsidP="00710D11">
            <w:pPr>
              <w:pStyle w:val="TableText"/>
              <w:rPr>
                <w:rFonts w:eastAsiaTheme="minorEastAsia"/>
                <w:b/>
              </w:rPr>
            </w:pPr>
            <w:r w:rsidRPr="005764FC">
              <w:rPr>
                <w:rFonts w:eastAsiaTheme="minorEastAsia"/>
                <w:b/>
              </w:rPr>
              <w:t>8</w:t>
            </w:r>
          </w:p>
        </w:tc>
        <w:tc>
          <w:tcPr>
            <w:tcW w:w="2024" w:type="pct"/>
            <w:hideMark/>
          </w:tcPr>
          <w:p w14:paraId="6FFA737D" w14:textId="77777777" w:rsidR="00C06537" w:rsidRPr="005764FC" w:rsidRDefault="00C06537" w:rsidP="00710D11">
            <w:pPr>
              <w:pStyle w:val="TableText"/>
            </w:pPr>
            <w:r w:rsidRPr="005764FC">
              <w:t>Enable the safe and efficient movement of long-haul freight traffic</w:t>
            </w:r>
          </w:p>
        </w:tc>
        <w:tc>
          <w:tcPr>
            <w:tcW w:w="2820" w:type="pct"/>
          </w:tcPr>
          <w:p w14:paraId="762D84DB" w14:textId="77777777" w:rsidR="00C06537" w:rsidRPr="005764FC" w:rsidRDefault="00C06537" w:rsidP="000A655F">
            <w:pPr>
              <w:pStyle w:val="TableBullet1"/>
              <w:contextualSpacing/>
            </w:pPr>
            <w:r w:rsidRPr="005764FC">
              <w:t>Emergency Electronic Brake Light</w:t>
            </w:r>
          </w:p>
          <w:p w14:paraId="4B4ECEE7" w14:textId="77777777" w:rsidR="00C06537" w:rsidRPr="005764FC" w:rsidRDefault="00C06537" w:rsidP="000A655F">
            <w:pPr>
              <w:pStyle w:val="TableBullet1"/>
              <w:contextualSpacing/>
            </w:pPr>
            <w:r w:rsidRPr="005764FC">
              <w:t>Emergency Vehicle Approaching</w:t>
            </w:r>
          </w:p>
          <w:p w14:paraId="29644BD0" w14:textId="77777777" w:rsidR="00C06537" w:rsidRPr="005764FC" w:rsidRDefault="00C06537" w:rsidP="000A655F">
            <w:pPr>
              <w:pStyle w:val="TableBullet1"/>
              <w:contextualSpacing/>
            </w:pPr>
            <w:r w:rsidRPr="005764FC">
              <w:t>Slow or Stationary Vehicles</w:t>
            </w:r>
          </w:p>
          <w:p w14:paraId="07BD2084" w14:textId="77777777" w:rsidR="00C06537" w:rsidRPr="005764FC" w:rsidRDefault="00C06537" w:rsidP="000A655F">
            <w:pPr>
              <w:pStyle w:val="TableBullet1"/>
              <w:contextualSpacing/>
            </w:pPr>
            <w:r w:rsidRPr="005764FC">
              <w:t>Traffic Jam Ahead Warning</w:t>
            </w:r>
          </w:p>
          <w:p w14:paraId="7D951309" w14:textId="77777777" w:rsidR="00C06537" w:rsidRPr="005764FC" w:rsidRDefault="00C06537" w:rsidP="000A655F">
            <w:pPr>
              <w:pStyle w:val="TableBullet1"/>
              <w:contextualSpacing/>
            </w:pPr>
            <w:r w:rsidRPr="005764FC">
              <w:t>Hazardous Location Notification</w:t>
            </w:r>
          </w:p>
          <w:p w14:paraId="5B082B1E" w14:textId="539EDB1B" w:rsidR="00C06537" w:rsidRPr="005764FC" w:rsidRDefault="00C06537" w:rsidP="000A655F">
            <w:pPr>
              <w:pStyle w:val="TableBullet1"/>
              <w:contextualSpacing/>
            </w:pPr>
            <w:r w:rsidRPr="005764FC">
              <w:t>Road Works Warning</w:t>
            </w:r>
          </w:p>
          <w:p w14:paraId="636AF8A2" w14:textId="77777777" w:rsidR="00C06537" w:rsidRPr="005764FC" w:rsidRDefault="00C06537" w:rsidP="000A655F">
            <w:pPr>
              <w:pStyle w:val="TableBullet1"/>
              <w:contextualSpacing/>
            </w:pPr>
            <w:r w:rsidRPr="005764FC">
              <w:t>Weather Conditions</w:t>
            </w:r>
          </w:p>
          <w:p w14:paraId="19D15DC8" w14:textId="77777777" w:rsidR="00C06537" w:rsidRPr="005764FC" w:rsidRDefault="00C06537" w:rsidP="000A655F">
            <w:pPr>
              <w:pStyle w:val="TableBullet1"/>
              <w:contextualSpacing/>
            </w:pPr>
            <w:r w:rsidRPr="005764FC">
              <w:t>In-Vehicle Signage</w:t>
            </w:r>
          </w:p>
          <w:p w14:paraId="10078FF6" w14:textId="77777777" w:rsidR="00C06537" w:rsidRPr="005764FC" w:rsidRDefault="00C06537" w:rsidP="000A655F">
            <w:pPr>
              <w:pStyle w:val="TableBullet1"/>
              <w:contextualSpacing/>
            </w:pPr>
            <w:r w:rsidRPr="005764FC">
              <w:t>In-Vehicle Speed Limits</w:t>
            </w:r>
          </w:p>
          <w:p w14:paraId="0D2A7CBA" w14:textId="77777777" w:rsidR="00C06537" w:rsidRPr="005764FC" w:rsidRDefault="00C06537" w:rsidP="000A655F">
            <w:pPr>
              <w:pStyle w:val="TableBullet1"/>
              <w:contextualSpacing/>
            </w:pPr>
            <w:r w:rsidRPr="005764FC">
              <w:t>Probe Vehicle Data</w:t>
            </w:r>
          </w:p>
          <w:p w14:paraId="31FFB36D" w14:textId="77777777" w:rsidR="00C06537" w:rsidRPr="005764FC" w:rsidRDefault="00C06537" w:rsidP="000A655F">
            <w:pPr>
              <w:pStyle w:val="TableBullet1"/>
              <w:contextualSpacing/>
            </w:pPr>
            <w:r w:rsidRPr="005764FC">
              <w:t>Shockwave Damping</w:t>
            </w:r>
          </w:p>
          <w:p w14:paraId="39933DDB" w14:textId="20E31BC1" w:rsidR="00C06537" w:rsidRPr="005764FC" w:rsidRDefault="00C06537" w:rsidP="000A655F">
            <w:pPr>
              <w:pStyle w:val="TableBullet1"/>
              <w:contextualSpacing/>
            </w:pPr>
            <w:r w:rsidRPr="005764FC">
              <w:t>Signal Violation/Intersection Safety</w:t>
            </w:r>
          </w:p>
          <w:p w14:paraId="60B8CB8E" w14:textId="77777777" w:rsidR="00C06537" w:rsidRPr="005764FC" w:rsidRDefault="00C06537" w:rsidP="000A655F">
            <w:pPr>
              <w:pStyle w:val="TableBullet1"/>
              <w:contextualSpacing/>
            </w:pPr>
            <w:r w:rsidRPr="005764FC">
              <w:t>Traffic Information and Smart Routing</w:t>
            </w:r>
          </w:p>
          <w:p w14:paraId="2C65EDFD" w14:textId="77777777" w:rsidR="00C06537" w:rsidRPr="005764FC" w:rsidRDefault="00C06537" w:rsidP="000A655F">
            <w:pPr>
              <w:pStyle w:val="TableBullet1"/>
              <w:contextualSpacing/>
            </w:pPr>
            <w:r w:rsidRPr="005764FC">
              <w:t>Zone Access Control for Urban Areas</w:t>
            </w:r>
          </w:p>
          <w:p w14:paraId="5D67CFDC" w14:textId="77777777" w:rsidR="00C06537" w:rsidRPr="005764FC" w:rsidRDefault="00C06537" w:rsidP="000A655F">
            <w:pPr>
              <w:pStyle w:val="TableBullet1"/>
              <w:contextualSpacing/>
            </w:pPr>
            <w:r w:rsidRPr="005764FC">
              <w:t>Loading Zone Management</w:t>
            </w:r>
          </w:p>
        </w:tc>
      </w:tr>
      <w:tr w:rsidR="00C06537" w:rsidRPr="005764FC" w14:paraId="375A76DB" w14:textId="77777777" w:rsidTr="004D7D9A">
        <w:trPr>
          <w:cantSplit/>
        </w:trPr>
        <w:tc>
          <w:tcPr>
            <w:tcW w:w="156" w:type="pct"/>
            <w:hideMark/>
          </w:tcPr>
          <w:p w14:paraId="364B7A6E" w14:textId="77777777" w:rsidR="00C06537" w:rsidRPr="005764FC" w:rsidRDefault="00C06537" w:rsidP="00710D11">
            <w:pPr>
              <w:pStyle w:val="TableText"/>
              <w:rPr>
                <w:rFonts w:eastAsiaTheme="minorEastAsia"/>
                <w:b/>
              </w:rPr>
            </w:pPr>
            <w:r w:rsidRPr="005764FC">
              <w:rPr>
                <w:rFonts w:eastAsiaTheme="minorEastAsia"/>
                <w:b/>
              </w:rPr>
              <w:t>9</w:t>
            </w:r>
          </w:p>
        </w:tc>
        <w:tc>
          <w:tcPr>
            <w:tcW w:w="2024" w:type="pct"/>
            <w:hideMark/>
          </w:tcPr>
          <w:p w14:paraId="08A4A88E" w14:textId="77777777" w:rsidR="00C06537" w:rsidRPr="005764FC" w:rsidRDefault="00C06537" w:rsidP="00710D11">
            <w:pPr>
              <w:pStyle w:val="TableText"/>
            </w:pPr>
            <w:r w:rsidRPr="005764FC">
              <w:t>Deliver faster and safer travel for emergency vehicles</w:t>
            </w:r>
          </w:p>
        </w:tc>
        <w:tc>
          <w:tcPr>
            <w:tcW w:w="2820" w:type="pct"/>
          </w:tcPr>
          <w:p w14:paraId="2FE2F3DA" w14:textId="77777777" w:rsidR="00C06537" w:rsidRPr="005764FC" w:rsidRDefault="00C06537" w:rsidP="000A655F">
            <w:pPr>
              <w:pStyle w:val="TableBullet1"/>
              <w:contextualSpacing/>
            </w:pPr>
            <w:r w:rsidRPr="005764FC">
              <w:t>Emergency Vehicle Approaching</w:t>
            </w:r>
          </w:p>
          <w:p w14:paraId="30B1C8BD" w14:textId="18E09B4A" w:rsidR="00C06537" w:rsidRPr="005764FC" w:rsidRDefault="00C06537" w:rsidP="000A655F">
            <w:pPr>
              <w:pStyle w:val="TableBullet1"/>
              <w:contextualSpacing/>
            </w:pPr>
            <w:r w:rsidRPr="005764FC">
              <w:t>Green Light Optimal Speed Advisory (GLOSA)/Time to Green (TTG)</w:t>
            </w:r>
          </w:p>
          <w:p w14:paraId="2F6ECCA2" w14:textId="77777777" w:rsidR="00C06537" w:rsidRPr="005764FC" w:rsidRDefault="00C06537" w:rsidP="000A655F">
            <w:pPr>
              <w:pStyle w:val="TableBullet1"/>
              <w:contextualSpacing/>
            </w:pPr>
            <w:r w:rsidRPr="005764FC">
              <w:t xml:space="preserve">Traffic Signal Priority (Request by Designated Vehicles) </w:t>
            </w:r>
          </w:p>
          <w:p w14:paraId="48AD31C0" w14:textId="77777777" w:rsidR="00C06537" w:rsidRPr="005764FC" w:rsidRDefault="00C06537" w:rsidP="000A655F">
            <w:pPr>
              <w:pStyle w:val="TableBullet1"/>
              <w:contextualSpacing/>
            </w:pPr>
            <w:r w:rsidRPr="005764FC">
              <w:t>Traffic Information and Smart Routing</w:t>
            </w:r>
          </w:p>
        </w:tc>
      </w:tr>
      <w:tr w:rsidR="00C06537" w:rsidRPr="005764FC" w14:paraId="7EE8DAE5" w14:textId="77777777" w:rsidTr="004D7D9A">
        <w:trPr>
          <w:cantSplit/>
        </w:trPr>
        <w:tc>
          <w:tcPr>
            <w:tcW w:w="156" w:type="pct"/>
            <w:hideMark/>
          </w:tcPr>
          <w:p w14:paraId="248E7CD0" w14:textId="77777777" w:rsidR="00C06537" w:rsidRPr="005764FC" w:rsidRDefault="00C06537" w:rsidP="00710D11">
            <w:pPr>
              <w:pStyle w:val="TableText"/>
              <w:rPr>
                <w:rFonts w:eastAsiaTheme="minorEastAsia"/>
                <w:b/>
              </w:rPr>
            </w:pPr>
            <w:r w:rsidRPr="005764FC">
              <w:rPr>
                <w:rFonts w:eastAsiaTheme="minorEastAsia"/>
                <w:b/>
              </w:rPr>
              <w:t>10</w:t>
            </w:r>
          </w:p>
        </w:tc>
        <w:tc>
          <w:tcPr>
            <w:tcW w:w="2024" w:type="pct"/>
            <w:hideMark/>
          </w:tcPr>
          <w:p w14:paraId="0956F575" w14:textId="77777777" w:rsidR="00C06537" w:rsidRPr="005764FC" w:rsidRDefault="00C06537" w:rsidP="00710D11">
            <w:pPr>
              <w:pStyle w:val="TableText"/>
            </w:pPr>
            <w:r w:rsidRPr="005764FC">
              <w:t>Improve the safety of motorcycle travel on motorways</w:t>
            </w:r>
          </w:p>
        </w:tc>
        <w:tc>
          <w:tcPr>
            <w:tcW w:w="2820" w:type="pct"/>
          </w:tcPr>
          <w:p w14:paraId="68133E54" w14:textId="77777777" w:rsidR="00C06537" w:rsidRPr="005764FC" w:rsidRDefault="00C06537" w:rsidP="000A655F">
            <w:pPr>
              <w:pStyle w:val="TableBullet1"/>
              <w:contextualSpacing/>
            </w:pPr>
            <w:r w:rsidRPr="005764FC">
              <w:t>Emergency Electronic Brake Light</w:t>
            </w:r>
          </w:p>
          <w:p w14:paraId="454AF887" w14:textId="77777777" w:rsidR="00C06537" w:rsidRPr="005764FC" w:rsidRDefault="00C06537" w:rsidP="000A655F">
            <w:pPr>
              <w:pStyle w:val="TableBullet1"/>
              <w:contextualSpacing/>
            </w:pPr>
            <w:r w:rsidRPr="005764FC">
              <w:t>Emergency Vehicle Approaching</w:t>
            </w:r>
          </w:p>
          <w:p w14:paraId="682D2EFA" w14:textId="77777777" w:rsidR="00C06537" w:rsidRPr="005764FC" w:rsidRDefault="00C06537" w:rsidP="000A655F">
            <w:pPr>
              <w:pStyle w:val="TableBullet1"/>
              <w:contextualSpacing/>
            </w:pPr>
            <w:r w:rsidRPr="005764FC">
              <w:t>Slow or Stationary Vehicles</w:t>
            </w:r>
          </w:p>
          <w:p w14:paraId="28702827" w14:textId="77777777" w:rsidR="00C06537" w:rsidRPr="005764FC" w:rsidRDefault="00C06537" w:rsidP="000A655F">
            <w:pPr>
              <w:pStyle w:val="TableBullet1"/>
              <w:contextualSpacing/>
            </w:pPr>
            <w:r w:rsidRPr="005764FC">
              <w:t>Traffic Jam Ahead Warning</w:t>
            </w:r>
          </w:p>
          <w:p w14:paraId="71C13941" w14:textId="77777777" w:rsidR="00C06537" w:rsidRPr="005764FC" w:rsidRDefault="00C06537" w:rsidP="000A655F">
            <w:pPr>
              <w:pStyle w:val="TableBullet1"/>
              <w:contextualSpacing/>
            </w:pPr>
            <w:r w:rsidRPr="005764FC">
              <w:t>Hazardous Location Notification</w:t>
            </w:r>
          </w:p>
          <w:p w14:paraId="1CBE71B2" w14:textId="7FDAC7B7" w:rsidR="00C06537" w:rsidRPr="005764FC" w:rsidRDefault="00C06537" w:rsidP="000A655F">
            <w:pPr>
              <w:pStyle w:val="TableBullet1"/>
              <w:contextualSpacing/>
            </w:pPr>
            <w:r w:rsidRPr="005764FC">
              <w:t>Road Works Warning</w:t>
            </w:r>
          </w:p>
          <w:p w14:paraId="511C6F89" w14:textId="77777777" w:rsidR="00C06537" w:rsidRPr="005764FC" w:rsidRDefault="00C06537" w:rsidP="000A655F">
            <w:pPr>
              <w:pStyle w:val="TableBullet1"/>
              <w:contextualSpacing/>
            </w:pPr>
            <w:r w:rsidRPr="005764FC">
              <w:t>Weather Conditions</w:t>
            </w:r>
          </w:p>
          <w:p w14:paraId="4AEFCB9C" w14:textId="77777777" w:rsidR="00C06537" w:rsidRPr="005764FC" w:rsidRDefault="00C06537" w:rsidP="000A655F">
            <w:pPr>
              <w:pStyle w:val="TableBullet1"/>
              <w:contextualSpacing/>
            </w:pPr>
            <w:r w:rsidRPr="005764FC">
              <w:t>In-Vehicle Signage</w:t>
            </w:r>
          </w:p>
          <w:p w14:paraId="6C630EA3" w14:textId="77777777" w:rsidR="00C06537" w:rsidRPr="005764FC" w:rsidRDefault="00C06537" w:rsidP="000A655F">
            <w:pPr>
              <w:pStyle w:val="TableBullet1"/>
              <w:contextualSpacing/>
            </w:pPr>
            <w:r w:rsidRPr="005764FC">
              <w:t>In-Vehicle Speed Limits</w:t>
            </w:r>
          </w:p>
          <w:p w14:paraId="2F3583CB" w14:textId="77777777" w:rsidR="00C06537" w:rsidRPr="005764FC" w:rsidRDefault="00C06537" w:rsidP="000A655F">
            <w:pPr>
              <w:pStyle w:val="TableBullet1"/>
              <w:contextualSpacing/>
            </w:pPr>
            <w:r w:rsidRPr="005764FC">
              <w:t>Probe Vehicle Data</w:t>
            </w:r>
          </w:p>
          <w:p w14:paraId="330DD0E6" w14:textId="77777777" w:rsidR="00C06537" w:rsidRPr="005764FC" w:rsidRDefault="00C06537" w:rsidP="000A655F">
            <w:pPr>
              <w:pStyle w:val="TableBullet1"/>
              <w:contextualSpacing/>
            </w:pPr>
            <w:r w:rsidRPr="005764FC">
              <w:t>Shockwave Damping</w:t>
            </w:r>
          </w:p>
          <w:p w14:paraId="3413CC57" w14:textId="77777777" w:rsidR="00C06537" w:rsidRPr="005764FC" w:rsidRDefault="00C06537" w:rsidP="000A655F">
            <w:pPr>
              <w:pStyle w:val="TableBullet1"/>
              <w:contextualSpacing/>
            </w:pPr>
            <w:r w:rsidRPr="005764FC">
              <w:t>Signal Violation/ Intersection Safety</w:t>
            </w:r>
          </w:p>
          <w:p w14:paraId="7692F5B3" w14:textId="77777777" w:rsidR="00C06537" w:rsidRPr="005764FC" w:rsidRDefault="00C06537" w:rsidP="000A655F">
            <w:pPr>
              <w:pStyle w:val="TableBullet1"/>
              <w:contextualSpacing/>
            </w:pPr>
            <w:r w:rsidRPr="005764FC">
              <w:t>Motorcycle Approaching Indication</w:t>
            </w:r>
          </w:p>
        </w:tc>
      </w:tr>
    </w:tbl>
    <w:p w14:paraId="337BE361" w14:textId="77777777" w:rsidR="00C06537" w:rsidRPr="005764FC" w:rsidRDefault="00C06537" w:rsidP="00820648">
      <w:pPr>
        <w:pStyle w:val="BodyText"/>
        <w:rPr>
          <w:lang w:eastAsia="fr-CA"/>
        </w:rPr>
      </w:pPr>
    </w:p>
    <w:p w14:paraId="6323178C" w14:textId="77777777" w:rsidR="00C06537" w:rsidRPr="005764FC" w:rsidRDefault="00C06537" w:rsidP="00820648">
      <w:pPr>
        <w:pStyle w:val="BodyText"/>
        <w:rPr>
          <w:lang w:eastAsia="fr-CA"/>
        </w:rPr>
      </w:pPr>
    </w:p>
    <w:p w14:paraId="39C7C5D1" w14:textId="202C1DED" w:rsidR="00820648" w:rsidRPr="005764FC" w:rsidRDefault="00820648" w:rsidP="00820648">
      <w:pPr>
        <w:pStyle w:val="BodyText"/>
        <w:rPr>
          <w:lang w:eastAsia="fr-CA"/>
        </w:rPr>
        <w:sectPr w:rsidR="00820648" w:rsidRPr="005764FC" w:rsidSect="001428F9">
          <w:pgSz w:w="11907" w:h="16839" w:code="9"/>
          <w:pgMar w:top="1417" w:right="1077" w:bottom="737" w:left="1077" w:header="720" w:footer="720" w:gutter="0"/>
          <w:pgNumType w:fmt="lowerRoman"/>
          <w:cols w:space="708"/>
          <w:docGrid w:linePitch="360"/>
        </w:sectPr>
      </w:pPr>
    </w:p>
    <w:p w14:paraId="45861575" w14:textId="1F4AE161" w:rsidR="00673F14" w:rsidRPr="005764FC" w:rsidRDefault="00673F14" w:rsidP="00C70FEA">
      <w:pPr>
        <w:pStyle w:val="Heading1NoNumber"/>
      </w:pPr>
      <w:bookmarkStart w:id="44" w:name="_Toc94453134"/>
      <w:bookmarkStart w:id="45" w:name="_Toc97807781"/>
      <w:r w:rsidRPr="005764FC">
        <w:t>Executive Summary</w:t>
      </w:r>
      <w:bookmarkStart w:id="46" w:name="_ExecutiveSummaryMarker"/>
      <w:bookmarkEnd w:id="32"/>
      <w:bookmarkEnd w:id="44"/>
      <w:bookmarkEnd w:id="45"/>
      <w:bookmarkEnd w:id="46"/>
    </w:p>
    <w:p w14:paraId="43F20691" w14:textId="529EA97E" w:rsidR="00673F14" w:rsidRPr="005764FC" w:rsidRDefault="00562950" w:rsidP="00D60ADF">
      <w:pPr>
        <w:pStyle w:val="Heading2"/>
        <w:numPr>
          <w:ilvl w:val="0"/>
          <w:numId w:val="0"/>
        </w:numPr>
        <w:ind w:left="1134" w:hanging="1134"/>
      </w:pPr>
      <w:r w:rsidRPr="005764FC">
        <w:t>C-ITS in Australia</w:t>
      </w:r>
    </w:p>
    <w:p w14:paraId="17CCEE45" w14:textId="73D61581" w:rsidR="00673F14" w:rsidRPr="005764FC" w:rsidRDefault="00673F14" w:rsidP="00673F14">
      <w:pPr>
        <w:pStyle w:val="BodyText"/>
      </w:pPr>
      <w:r w:rsidRPr="005764FC">
        <w:t xml:space="preserve">This report </w:t>
      </w:r>
      <w:r w:rsidR="00DD518D" w:rsidRPr="005764FC">
        <w:t>summarises</w:t>
      </w:r>
      <w:r w:rsidRPr="005764FC">
        <w:t xml:space="preserve"> and </w:t>
      </w:r>
      <w:r w:rsidR="00DD518D" w:rsidRPr="005764FC">
        <w:t xml:space="preserve">presents the findings </w:t>
      </w:r>
      <w:r w:rsidR="00585D68" w:rsidRPr="005764FC">
        <w:t>that emerged from the research project</w:t>
      </w:r>
      <w:r w:rsidRPr="005764FC">
        <w:t xml:space="preserve"> </w:t>
      </w:r>
      <w:r w:rsidR="00A460F8" w:rsidRPr="005764FC">
        <w:t xml:space="preserve">on </w:t>
      </w:r>
      <w:r w:rsidRPr="005764FC">
        <w:t xml:space="preserve">the potential </w:t>
      </w:r>
      <w:r w:rsidR="006248FE" w:rsidRPr="005764FC">
        <w:t>‘</w:t>
      </w:r>
      <w:r w:rsidRPr="005764FC">
        <w:t>Strategies to support Co-operative Intelligent Transport Systems (</w:t>
      </w:r>
      <w:r w:rsidRPr="005764FC" w:rsidDel="008A3437">
        <w:t>C</w:t>
      </w:r>
      <w:r w:rsidR="008A3437" w:rsidRPr="005764FC">
        <w:t>‑ITS</w:t>
      </w:r>
      <w:r w:rsidRPr="005764FC">
        <w:t xml:space="preserve">) deployment </w:t>
      </w:r>
      <w:r w:rsidR="00562950" w:rsidRPr="005764FC">
        <w:t>models</w:t>
      </w:r>
      <w:r w:rsidR="00DA1140" w:rsidRPr="005764FC">
        <w:t>’</w:t>
      </w:r>
      <w:r w:rsidR="00E64A8F" w:rsidRPr="005764FC">
        <w:t xml:space="preserve"> undertaken by WSP</w:t>
      </w:r>
      <w:r w:rsidR="0081281A" w:rsidRPr="005764FC">
        <w:t xml:space="preserve"> and partners for the Department of Infrastructure, Transport, Regional Development and Communications</w:t>
      </w:r>
      <w:r w:rsidRPr="005764FC">
        <w:t xml:space="preserve">. </w:t>
      </w:r>
      <w:r w:rsidRPr="005764FC" w:rsidDel="008A3437">
        <w:t>C</w:t>
      </w:r>
      <w:r w:rsidR="008A3437" w:rsidRPr="005764FC">
        <w:t>‑ITS</w:t>
      </w:r>
      <w:r w:rsidRPr="005764FC">
        <w:t xml:space="preserve"> is a range of technologies </w:t>
      </w:r>
      <w:r w:rsidR="008050D5" w:rsidRPr="005764FC">
        <w:t xml:space="preserve">that </w:t>
      </w:r>
      <w:r w:rsidRPr="005764FC">
        <w:t>allow</w:t>
      </w:r>
      <w:r w:rsidR="00C01F22" w:rsidRPr="005764FC">
        <w:t>s</w:t>
      </w:r>
      <w:r w:rsidRPr="005764FC">
        <w:t xml:space="preserve"> vehicles to communicate with each other and with road infrastructure, to share information and help drivers and road operators make better real-time decisions. Such enhanced decision making has the potential to benefit community safety, productivity</w:t>
      </w:r>
      <w:r w:rsidR="00514B6B" w:rsidRPr="005764FC">
        <w:t>, sustainability</w:t>
      </w:r>
      <w:r w:rsidR="00A460F8" w:rsidRPr="005764FC">
        <w:t>,</w:t>
      </w:r>
      <w:r w:rsidRPr="005764FC">
        <w:t xml:space="preserve"> and journey experience. </w:t>
      </w:r>
      <w:r w:rsidR="001F4021" w:rsidRPr="005764FC">
        <w:t xml:space="preserve">The </w:t>
      </w:r>
      <w:r w:rsidR="008801B0" w:rsidRPr="005764FC">
        <w:t xml:space="preserve">interrelationships </w:t>
      </w:r>
      <w:r w:rsidR="001201D0" w:rsidRPr="005764FC">
        <w:t xml:space="preserve">underpinning </w:t>
      </w:r>
      <w:r w:rsidR="00AC770A" w:rsidRPr="005764FC">
        <w:t xml:space="preserve">cooperative </w:t>
      </w:r>
      <w:r w:rsidR="008801B0" w:rsidRPr="005764FC">
        <w:t>vehicle</w:t>
      </w:r>
      <w:r w:rsidR="0038653E" w:rsidRPr="005764FC">
        <w:t>s</w:t>
      </w:r>
      <w:r w:rsidR="008801B0" w:rsidRPr="005764FC">
        <w:t xml:space="preserve"> and infrastructure </w:t>
      </w:r>
      <w:r w:rsidR="00DF284E" w:rsidRPr="005764FC">
        <w:t xml:space="preserve">are </w:t>
      </w:r>
      <w:r w:rsidR="00947542" w:rsidRPr="005764FC">
        <w:t xml:space="preserve">different </w:t>
      </w:r>
      <w:r w:rsidR="00DF284E" w:rsidRPr="005764FC">
        <w:t xml:space="preserve">from </w:t>
      </w:r>
      <w:r w:rsidR="00947542" w:rsidRPr="005764FC">
        <w:t xml:space="preserve">existing transport </w:t>
      </w:r>
      <w:r w:rsidR="00AC770A" w:rsidRPr="005764FC">
        <w:t>technology</w:t>
      </w:r>
      <w:r w:rsidR="00947542" w:rsidRPr="005764FC">
        <w:t xml:space="preserve">. </w:t>
      </w:r>
      <w:r w:rsidRPr="005764FC">
        <w:t xml:space="preserve">Used wisely, </w:t>
      </w:r>
      <w:r w:rsidRPr="005764FC" w:rsidDel="008A3437">
        <w:t>C</w:t>
      </w:r>
      <w:r w:rsidR="008A3437" w:rsidRPr="005764FC">
        <w:t>‑ITS</w:t>
      </w:r>
      <w:r w:rsidRPr="005764FC">
        <w:t xml:space="preserve"> could improve </w:t>
      </w:r>
      <w:r w:rsidR="00791538" w:rsidRPr="005764FC">
        <w:t>the benefits receive</w:t>
      </w:r>
      <w:r w:rsidR="00A77873" w:rsidRPr="005764FC">
        <w:t>d</w:t>
      </w:r>
      <w:r w:rsidR="00791538" w:rsidRPr="005764FC">
        <w:t xml:space="preserve"> from existing </w:t>
      </w:r>
      <w:r w:rsidRPr="005764FC">
        <w:t>infrastructure use and defer</w:t>
      </w:r>
      <w:r w:rsidR="00394433" w:rsidRPr="005764FC">
        <w:t>/</w:t>
      </w:r>
      <w:r w:rsidRPr="005764FC">
        <w:t>avoid capital</w:t>
      </w:r>
      <w:r w:rsidR="00394433" w:rsidRPr="005764FC">
        <w:t>-</w:t>
      </w:r>
      <w:r w:rsidRPr="005764FC">
        <w:t>intensive infrastructure expansion.</w:t>
      </w:r>
    </w:p>
    <w:p w14:paraId="296A7421" w14:textId="172EB76E" w:rsidR="001D6E23" w:rsidRPr="005764FC" w:rsidRDefault="000239C5" w:rsidP="00673F14">
      <w:pPr>
        <w:pStyle w:val="BodyText"/>
      </w:pPr>
      <w:r w:rsidRPr="005764FC">
        <w:t>S</w:t>
      </w:r>
      <w:r w:rsidR="00454BD9" w:rsidRPr="005764FC">
        <w:t xml:space="preserve">ignificant </w:t>
      </w:r>
      <w:r w:rsidR="005979F3" w:rsidRPr="005764FC">
        <w:t>improvement</w:t>
      </w:r>
      <w:r w:rsidR="00D210AF" w:rsidRPr="005764FC">
        <w:t>s</w:t>
      </w:r>
      <w:r w:rsidR="00454BD9" w:rsidRPr="005764FC">
        <w:t xml:space="preserve"> </w:t>
      </w:r>
      <w:r w:rsidRPr="005764FC">
        <w:t xml:space="preserve">have </w:t>
      </w:r>
      <w:r w:rsidR="00454BD9" w:rsidRPr="005764FC">
        <w:t>be</w:t>
      </w:r>
      <w:r w:rsidRPr="005764FC">
        <w:t>en</w:t>
      </w:r>
      <w:r w:rsidR="00454BD9" w:rsidRPr="005764FC">
        <w:t xml:space="preserve"> made in</w:t>
      </w:r>
      <w:r w:rsidR="005979F3" w:rsidRPr="005764FC">
        <w:t xml:space="preserve"> </w:t>
      </w:r>
      <w:r w:rsidR="00711F12" w:rsidRPr="005764FC">
        <w:t xml:space="preserve">vehicle </w:t>
      </w:r>
      <w:r w:rsidR="005979F3" w:rsidRPr="005764FC">
        <w:t>operation</w:t>
      </w:r>
      <w:r w:rsidR="00711F12" w:rsidRPr="005764FC">
        <w:t>s</w:t>
      </w:r>
      <w:r w:rsidR="00AC6A54" w:rsidRPr="005764FC">
        <w:t xml:space="preserve"> </w:t>
      </w:r>
      <w:r w:rsidR="005979F3" w:rsidRPr="005764FC">
        <w:t>and our roads</w:t>
      </w:r>
      <w:r w:rsidRPr="005764FC">
        <w:t xml:space="preserve">. However, </w:t>
      </w:r>
      <w:r w:rsidR="00567807" w:rsidRPr="005764FC">
        <w:t>shortfalls</w:t>
      </w:r>
      <w:r w:rsidR="005E7128" w:rsidRPr="005764FC">
        <w:t xml:space="preserve"> </w:t>
      </w:r>
      <w:r w:rsidR="00FE76E8" w:rsidRPr="005764FC">
        <w:t>remain</w:t>
      </w:r>
      <w:r w:rsidR="00B63B91" w:rsidRPr="005764FC">
        <w:t xml:space="preserve"> </w:t>
      </w:r>
      <w:r w:rsidR="00FE76E8" w:rsidRPr="005764FC">
        <w:t xml:space="preserve">in </w:t>
      </w:r>
      <w:r w:rsidR="00B63B91" w:rsidRPr="005764FC">
        <w:t>safety</w:t>
      </w:r>
      <w:r w:rsidR="00102300" w:rsidRPr="005764FC">
        <w:t>, efficiency and sustainability</w:t>
      </w:r>
      <w:r w:rsidR="00B214AB" w:rsidRPr="005764FC">
        <w:t xml:space="preserve"> against </w:t>
      </w:r>
      <w:r w:rsidR="00E77937" w:rsidRPr="005764FC">
        <w:t xml:space="preserve">targets </w:t>
      </w:r>
      <w:r w:rsidR="00B214AB" w:rsidRPr="005764FC">
        <w:t>sought</w:t>
      </w:r>
      <w:r w:rsidR="0014766D" w:rsidRPr="005764FC">
        <w:t xml:space="preserve"> </w:t>
      </w:r>
      <w:r w:rsidR="00FE76E8" w:rsidRPr="005764FC">
        <w:t xml:space="preserve">by </w:t>
      </w:r>
      <w:r w:rsidR="00B214AB" w:rsidRPr="005764FC">
        <w:t>key strategies including</w:t>
      </w:r>
      <w:r w:rsidR="0014766D" w:rsidRPr="005764FC">
        <w:t xml:space="preserve"> towards</w:t>
      </w:r>
      <w:r w:rsidR="00A74005" w:rsidRPr="005764FC">
        <w:t xml:space="preserve"> Vision Zero</w:t>
      </w:r>
      <w:r w:rsidR="00F80E14" w:rsidRPr="005764FC">
        <w:t xml:space="preserve"> deaths and serious injuries by 2050</w:t>
      </w:r>
      <w:r w:rsidR="004648A4" w:rsidRPr="005764FC">
        <w:t xml:space="preserve">, </w:t>
      </w:r>
      <w:r w:rsidRPr="005764FC">
        <w:t>reducing</w:t>
      </w:r>
      <w:r w:rsidR="004648A4" w:rsidRPr="005764FC">
        <w:t xml:space="preserve"> </w:t>
      </w:r>
      <w:r w:rsidR="00D710A6" w:rsidRPr="005764FC">
        <w:t>transport n</w:t>
      </w:r>
      <w:r w:rsidR="00A74005" w:rsidRPr="005764FC">
        <w:t>e</w:t>
      </w:r>
      <w:r w:rsidR="00D710A6" w:rsidRPr="005764FC">
        <w:t xml:space="preserve">twork </w:t>
      </w:r>
      <w:r w:rsidR="00C62143" w:rsidRPr="005764FC">
        <w:t>congestion</w:t>
      </w:r>
      <w:r w:rsidR="00394014" w:rsidRPr="005764FC">
        <w:t>,</w:t>
      </w:r>
      <w:r w:rsidR="00C62143" w:rsidRPr="005764FC">
        <w:t xml:space="preserve"> and </w:t>
      </w:r>
      <w:r w:rsidR="005265F2" w:rsidRPr="005764FC">
        <w:t>Towards Net Zero</w:t>
      </w:r>
      <w:r w:rsidR="005265F2" w:rsidRPr="005764FC" w:rsidDel="005265F2">
        <w:t xml:space="preserve"> </w:t>
      </w:r>
      <w:r w:rsidR="0022021C" w:rsidRPr="005764FC">
        <w:t>carbon</w:t>
      </w:r>
      <w:r w:rsidR="005265F2" w:rsidRPr="005764FC">
        <w:t xml:space="preserve"> emissions by 2050</w:t>
      </w:r>
      <w:r w:rsidR="00102300" w:rsidRPr="005764FC">
        <w:t xml:space="preserve">. </w:t>
      </w:r>
      <w:r w:rsidR="000434E7" w:rsidRPr="005764FC">
        <w:t>N</w:t>
      </w:r>
      <w:r w:rsidR="006E10A3" w:rsidRPr="005764FC">
        <w:t>ew solutions t</w:t>
      </w:r>
      <w:r w:rsidR="0014766D" w:rsidRPr="005764FC">
        <w:t>o bridge the gap</w:t>
      </w:r>
      <w:r w:rsidR="0022021C" w:rsidRPr="005764FC">
        <w:t xml:space="preserve"> and meet the</w:t>
      </w:r>
      <w:r w:rsidR="0014766D" w:rsidRPr="005764FC">
        <w:t xml:space="preserve"> projections </w:t>
      </w:r>
      <w:r w:rsidR="004178B8" w:rsidRPr="005764FC">
        <w:t xml:space="preserve">must be </w:t>
      </w:r>
      <w:r w:rsidR="00567807" w:rsidRPr="005764FC">
        <w:t>sought</w:t>
      </w:r>
      <w:r w:rsidR="006D738B" w:rsidRPr="005764FC">
        <w:t>.</w:t>
      </w:r>
      <w:r w:rsidR="001D6E23" w:rsidRPr="005764FC">
        <w:t xml:space="preserve"> </w:t>
      </w:r>
      <w:r w:rsidR="00202A74" w:rsidRPr="005764FC">
        <w:t xml:space="preserve">C-ITS is one such </w:t>
      </w:r>
      <w:r w:rsidR="006A7E4E" w:rsidRPr="005764FC">
        <w:t>solution</w:t>
      </w:r>
      <w:r w:rsidR="00202A74" w:rsidRPr="005764FC">
        <w:t xml:space="preserve"> available to </w:t>
      </w:r>
      <w:r w:rsidR="006A7E4E" w:rsidRPr="005764FC">
        <w:t>Australia t</w:t>
      </w:r>
      <w:r w:rsidR="00C1725F" w:rsidRPr="005764FC">
        <w:t xml:space="preserve">o </w:t>
      </w:r>
      <w:r w:rsidR="006A7E4E" w:rsidRPr="005764FC">
        <w:t>target these issue</w:t>
      </w:r>
      <w:r w:rsidR="006E3747" w:rsidRPr="005764FC">
        <w:t>s.</w:t>
      </w:r>
    </w:p>
    <w:p w14:paraId="4C17D9F5" w14:textId="64EB4787" w:rsidR="00A718E9" w:rsidRPr="005764FC" w:rsidRDefault="00B965BF" w:rsidP="00673F14">
      <w:pPr>
        <w:pStyle w:val="BodyText"/>
      </w:pPr>
      <w:r w:rsidRPr="005764FC">
        <w:t xml:space="preserve">Project research </w:t>
      </w:r>
      <w:r w:rsidR="00681165" w:rsidRPr="005764FC">
        <w:t>found</w:t>
      </w:r>
      <w:r w:rsidRPr="005764FC">
        <w:t xml:space="preserve"> </w:t>
      </w:r>
      <w:r w:rsidR="00C237D2" w:rsidRPr="005764FC">
        <w:t xml:space="preserve">C-ITS </w:t>
      </w:r>
      <w:r w:rsidR="00681165" w:rsidRPr="005764FC">
        <w:t xml:space="preserve">to be </w:t>
      </w:r>
      <w:r w:rsidR="00C237D2" w:rsidRPr="005764FC">
        <w:t>a viable technolog</w:t>
      </w:r>
      <w:r w:rsidR="00A16E6C" w:rsidRPr="005764FC">
        <w:t>y</w:t>
      </w:r>
      <w:r w:rsidR="00681165" w:rsidRPr="005764FC">
        <w:t>, as</w:t>
      </w:r>
      <w:r w:rsidR="003108D6" w:rsidRPr="005764FC">
        <w:t xml:space="preserve"> proved </w:t>
      </w:r>
      <w:r w:rsidR="00A16E6C" w:rsidRPr="005764FC">
        <w:t xml:space="preserve">in Australia and internationally. </w:t>
      </w:r>
      <w:r w:rsidR="00F3582A" w:rsidRPr="005764FC">
        <w:t xml:space="preserve">Strategic analysis determined that </w:t>
      </w:r>
      <w:r w:rsidR="00FB27D8" w:rsidRPr="005764FC">
        <w:t xml:space="preserve">C-ITS </w:t>
      </w:r>
      <w:r w:rsidR="009C7A33" w:rsidRPr="005764FC">
        <w:t>could</w:t>
      </w:r>
      <w:r w:rsidR="00FB27D8" w:rsidRPr="005764FC">
        <w:t xml:space="preserve"> benefit many areas</w:t>
      </w:r>
      <w:r w:rsidR="00C96639" w:rsidRPr="005764FC">
        <w:t>, particularly safety, efficiency and sustainability</w:t>
      </w:r>
      <w:r w:rsidR="00FB27D8" w:rsidRPr="005764FC">
        <w:t xml:space="preserve">. </w:t>
      </w:r>
      <w:r w:rsidR="00A3585A" w:rsidRPr="005764FC">
        <w:t>Defining</w:t>
      </w:r>
      <w:r w:rsidR="00C33EAF" w:rsidRPr="005764FC">
        <w:t xml:space="preserve"> and </w:t>
      </w:r>
      <w:r w:rsidR="005344B2" w:rsidRPr="005764FC">
        <w:t>deliver</w:t>
      </w:r>
      <w:r w:rsidR="009C7A33" w:rsidRPr="005764FC">
        <w:t>ing</w:t>
      </w:r>
      <w:r w:rsidR="005344B2" w:rsidRPr="005764FC">
        <w:t xml:space="preserve"> on</w:t>
      </w:r>
      <w:r w:rsidR="00C33EAF" w:rsidRPr="005764FC">
        <w:t xml:space="preserve"> a </w:t>
      </w:r>
      <w:r w:rsidR="009A4A67" w:rsidRPr="005764FC">
        <w:t>single business model</w:t>
      </w:r>
      <w:r w:rsidR="00A3585A" w:rsidRPr="005764FC">
        <w:t xml:space="preserve"> has been a</w:t>
      </w:r>
      <w:r w:rsidR="00980495" w:rsidRPr="005764FC">
        <w:t xml:space="preserve"> key </w:t>
      </w:r>
      <w:r w:rsidR="009C7A33" w:rsidRPr="005764FC">
        <w:t xml:space="preserve">C-ITS </w:t>
      </w:r>
      <w:r w:rsidR="00980495" w:rsidRPr="005764FC">
        <w:t>challenge</w:t>
      </w:r>
      <w:r w:rsidR="009A4A67" w:rsidRPr="005764FC">
        <w:t xml:space="preserve">. C-ITS in the long term will </w:t>
      </w:r>
      <w:r w:rsidR="008C21D3" w:rsidRPr="005764FC">
        <w:t>have many value-chains</w:t>
      </w:r>
      <w:r w:rsidR="004834F1" w:rsidRPr="005764FC">
        <w:t xml:space="preserve"> that </w:t>
      </w:r>
      <w:r w:rsidR="00EA1DDF" w:rsidRPr="005764FC">
        <w:t xml:space="preserve">will only eventuate from </w:t>
      </w:r>
      <w:r w:rsidR="00D92A5E" w:rsidRPr="005764FC">
        <w:t>deliver</w:t>
      </w:r>
      <w:r w:rsidR="009C7A33" w:rsidRPr="005764FC">
        <w:t>ing</w:t>
      </w:r>
      <w:r w:rsidR="00D92A5E" w:rsidRPr="005764FC">
        <w:t xml:space="preserve"> </w:t>
      </w:r>
      <w:r w:rsidR="00EA1DDF" w:rsidRPr="005764FC">
        <w:t>a base ecosystem</w:t>
      </w:r>
      <w:r w:rsidR="008C21D3" w:rsidRPr="005764FC">
        <w:t xml:space="preserve">. Further, </w:t>
      </w:r>
      <w:r w:rsidR="000544C7" w:rsidRPr="005764FC">
        <w:t xml:space="preserve">research </w:t>
      </w:r>
      <w:r w:rsidR="00E5090D" w:rsidRPr="005764FC">
        <w:t>has</w:t>
      </w:r>
      <w:r w:rsidR="008C21D3" w:rsidRPr="005764FC">
        <w:t xml:space="preserve"> </w:t>
      </w:r>
      <w:r w:rsidR="00A718E9" w:rsidRPr="005764FC">
        <w:t xml:space="preserve">found </w:t>
      </w:r>
      <w:r w:rsidR="008C21D3" w:rsidRPr="005764FC">
        <w:t xml:space="preserve">that no single use case </w:t>
      </w:r>
      <w:r w:rsidR="007F643C">
        <w:t>can</w:t>
      </w:r>
      <w:r w:rsidR="007F643C" w:rsidRPr="005764FC">
        <w:t xml:space="preserve"> </w:t>
      </w:r>
      <w:r w:rsidR="007F643C">
        <w:t xml:space="preserve">individually </w:t>
      </w:r>
      <w:r w:rsidR="00FA13F2" w:rsidRPr="005764FC">
        <w:t xml:space="preserve">deliver </w:t>
      </w:r>
      <w:r w:rsidR="007F643C">
        <w:t>sufficient</w:t>
      </w:r>
      <w:r w:rsidR="00FA13F2" w:rsidRPr="005764FC">
        <w:t xml:space="preserve"> C-ITS</w:t>
      </w:r>
      <w:r w:rsidR="007F643C">
        <w:t xml:space="preserve"> benefits</w:t>
      </w:r>
      <w:r w:rsidR="00A718E9" w:rsidRPr="005764FC">
        <w:t>:</w:t>
      </w:r>
      <w:r w:rsidR="00FA13F2" w:rsidRPr="005764FC">
        <w:t xml:space="preserve"> the real value </w:t>
      </w:r>
      <w:r w:rsidR="00E95BBA" w:rsidRPr="005764FC">
        <w:t xml:space="preserve">to society </w:t>
      </w:r>
      <w:r w:rsidR="00FA13F2" w:rsidRPr="005764FC">
        <w:t xml:space="preserve">of C-ITS </w:t>
      </w:r>
      <w:r w:rsidR="00B66DEA" w:rsidRPr="005764FC">
        <w:t xml:space="preserve">is realised when </w:t>
      </w:r>
      <w:r w:rsidR="00331FEA">
        <w:t>compatible</w:t>
      </w:r>
      <w:r w:rsidR="00331FEA" w:rsidRPr="005764FC">
        <w:t xml:space="preserve"> </w:t>
      </w:r>
      <w:r w:rsidR="00B66DEA" w:rsidRPr="005764FC">
        <w:t xml:space="preserve">technology and data is used to generate many </w:t>
      </w:r>
      <w:r w:rsidR="00301A37" w:rsidRPr="005764FC">
        <w:t xml:space="preserve">uses and benefits. </w:t>
      </w:r>
    </w:p>
    <w:p w14:paraId="64D23CF9" w14:textId="17CDFEE0" w:rsidR="00B4710D" w:rsidRPr="005764FC" w:rsidRDefault="00301A37" w:rsidP="00673F14">
      <w:pPr>
        <w:pStyle w:val="BodyText"/>
      </w:pPr>
      <w:r w:rsidRPr="005764FC">
        <w:t>This</w:t>
      </w:r>
      <w:r w:rsidR="008534EA" w:rsidRPr="005764FC">
        <w:t xml:space="preserve"> </w:t>
      </w:r>
      <w:r w:rsidR="00F4304A" w:rsidRPr="005764FC">
        <w:t xml:space="preserve">standard </w:t>
      </w:r>
      <w:r w:rsidR="00135F8A" w:rsidRPr="005764FC">
        <w:t xml:space="preserve">technology </w:t>
      </w:r>
      <w:r w:rsidR="000B1641" w:rsidRPr="005764FC">
        <w:t xml:space="preserve">approach to </w:t>
      </w:r>
      <w:r w:rsidR="00642651" w:rsidRPr="005764FC">
        <w:t xml:space="preserve">C-ITS </w:t>
      </w:r>
      <w:r w:rsidR="00135F8A" w:rsidRPr="005764FC">
        <w:t xml:space="preserve">delivery </w:t>
      </w:r>
      <w:r w:rsidR="009E0C9D" w:rsidRPr="005764FC">
        <w:t>formed the basis of the Cost</w:t>
      </w:r>
      <w:r w:rsidR="00053105" w:rsidRPr="005764FC">
        <w:t>-</w:t>
      </w:r>
      <w:r w:rsidR="009E0C9D" w:rsidRPr="005764FC">
        <w:t xml:space="preserve">Benefit Analysis (CBA) where </w:t>
      </w:r>
      <w:r w:rsidR="00F52012" w:rsidRPr="005764FC">
        <w:t>options</w:t>
      </w:r>
      <w:r w:rsidR="00E476B6" w:rsidRPr="005764FC">
        <w:t xml:space="preserve"> based on bundles of use cases</w:t>
      </w:r>
      <w:r w:rsidR="00F52012" w:rsidRPr="005764FC">
        <w:t xml:space="preserve"> </w:t>
      </w:r>
      <w:r w:rsidR="00B80081" w:rsidRPr="005764FC">
        <w:t xml:space="preserve">were analysed </w:t>
      </w:r>
      <w:r w:rsidR="000853DB" w:rsidRPr="005764FC">
        <w:t>according to</w:t>
      </w:r>
      <w:r w:rsidR="00B80081" w:rsidRPr="005764FC">
        <w:t xml:space="preserve"> technology and market. </w:t>
      </w:r>
      <w:r w:rsidR="00E95BBA" w:rsidRPr="005764FC">
        <w:t xml:space="preserve">A 10-year appraisal forecast for each investment option was used to align with the forecast methodology used in Austroads Future Vehicles 2030 and its 2031 update. The Austroads report outlined a medium scenario (by 2031) whereby 93 per cent of vehicle sales have embedded mobile data connectivity and 25 per cent have short-range communications. This connectivity offers more opportunity for services related to vehicle safety, efficiency, sustainability, and drivers’ comfort. </w:t>
      </w:r>
    </w:p>
    <w:p w14:paraId="637EDADB" w14:textId="74791973" w:rsidR="001D6E23" w:rsidRPr="00855A08" w:rsidRDefault="00644BF1" w:rsidP="00673F14">
      <w:pPr>
        <w:pStyle w:val="BodyText"/>
      </w:pPr>
      <w:r w:rsidRPr="005764FC">
        <w:t xml:space="preserve">The </w:t>
      </w:r>
      <w:r w:rsidR="003E0F99" w:rsidRPr="00855A08">
        <w:t xml:space="preserve">CBA </w:t>
      </w:r>
      <w:r w:rsidRPr="00855A08">
        <w:t xml:space="preserve">results were: </w:t>
      </w:r>
    </w:p>
    <w:p w14:paraId="162CEA0C" w14:textId="00290536" w:rsidR="00644BF1" w:rsidRPr="00855A08" w:rsidRDefault="00741BC2" w:rsidP="00FE11C4">
      <w:pPr>
        <w:pStyle w:val="ListBullet"/>
      </w:pPr>
      <w:r w:rsidRPr="00855A08">
        <w:rPr>
          <w:i/>
          <w:iCs/>
        </w:rPr>
        <w:t>CBA</w:t>
      </w:r>
      <w:r w:rsidR="0029628A" w:rsidRPr="00855A08">
        <w:rPr>
          <w:i/>
          <w:iCs/>
        </w:rPr>
        <w:t>-</w:t>
      </w:r>
      <w:r w:rsidR="00644BF1" w:rsidRPr="00855A08">
        <w:rPr>
          <w:i/>
          <w:iCs/>
        </w:rPr>
        <w:t>Option 1</w:t>
      </w:r>
      <w:r w:rsidR="003E2661" w:rsidRPr="00855A08">
        <w:rPr>
          <w:i/>
          <w:iCs/>
        </w:rPr>
        <w:t xml:space="preserve"> (BCR 0.57)</w:t>
      </w:r>
      <w:r w:rsidR="00C02EB9" w:rsidRPr="00855A08">
        <w:t>:</w:t>
      </w:r>
      <w:r w:rsidR="00644BF1" w:rsidRPr="00855A08">
        <w:t xml:space="preserve"> </w:t>
      </w:r>
      <w:r w:rsidR="00C02EB9" w:rsidRPr="00855A08">
        <w:t>V</w:t>
      </w:r>
      <w:r w:rsidR="00644BF1" w:rsidRPr="00855A08">
        <w:t xml:space="preserve">ehicle-to-vehicle centric with minimal infrastructure support has a Benefit-Cost Ratio (BCR) below 1 and is not considered viable </w:t>
      </w:r>
    </w:p>
    <w:p w14:paraId="541B7D90" w14:textId="4583680C" w:rsidR="00644BF1" w:rsidRPr="00855A08" w:rsidRDefault="0029628A" w:rsidP="00FE11C4">
      <w:pPr>
        <w:pStyle w:val="ListBullet"/>
      </w:pPr>
      <w:r w:rsidRPr="00855A08">
        <w:rPr>
          <w:i/>
          <w:iCs/>
        </w:rPr>
        <w:t>CBA-</w:t>
      </w:r>
      <w:r w:rsidR="00644BF1" w:rsidRPr="00855A08">
        <w:rPr>
          <w:i/>
          <w:iCs/>
        </w:rPr>
        <w:t>Option 2</w:t>
      </w:r>
      <w:r w:rsidR="003E2661" w:rsidRPr="00855A08">
        <w:rPr>
          <w:i/>
          <w:iCs/>
        </w:rPr>
        <w:t xml:space="preserve"> (BCR </w:t>
      </w:r>
      <w:r w:rsidR="00EF49FB" w:rsidRPr="00855A08">
        <w:rPr>
          <w:i/>
          <w:iCs/>
        </w:rPr>
        <w:t>2.91)</w:t>
      </w:r>
      <w:r w:rsidR="00B8257D" w:rsidRPr="00855A08">
        <w:t>:</w:t>
      </w:r>
      <w:r w:rsidR="00644BF1" w:rsidRPr="00855A08">
        <w:t xml:space="preserve"> Ports/Freight Corridors (Vehicle-to-vehicle, plus roadside stations at cities and central systems for intercity motorways focused on freight corridors)</w:t>
      </w:r>
      <w:r w:rsidR="003E0F99" w:rsidRPr="00855A08">
        <w:t>,</w:t>
      </w:r>
      <w:r w:rsidR="00644BF1" w:rsidRPr="00855A08">
        <w:t xml:space="preserve"> has the best economic return. However, </w:t>
      </w:r>
      <w:r w:rsidR="00E7172A" w:rsidRPr="00855A08">
        <w:t>the scale of</w:t>
      </w:r>
      <w:r w:rsidR="00644BF1" w:rsidRPr="00855A08">
        <w:t xml:space="preserve"> its benefits are </w:t>
      </w:r>
      <w:r w:rsidR="007C1A2A" w:rsidRPr="00855A08">
        <w:t>comparatively</w:t>
      </w:r>
      <w:r w:rsidR="00644BF1" w:rsidRPr="00855A08">
        <w:t xml:space="preserve"> modest (~$1</w:t>
      </w:r>
      <w:r w:rsidR="00B86F1E" w:rsidRPr="00855A08">
        <w:t xml:space="preserve"> billion</w:t>
      </w:r>
      <w:r w:rsidR="00644BF1" w:rsidRPr="00855A08">
        <w:t xml:space="preserve">) </w:t>
      </w:r>
    </w:p>
    <w:p w14:paraId="3DACE7C9" w14:textId="2A3F0E41" w:rsidR="00644BF1" w:rsidRPr="00855A08" w:rsidRDefault="0029628A" w:rsidP="00FE11C4">
      <w:pPr>
        <w:pStyle w:val="ListBullet"/>
      </w:pPr>
      <w:r w:rsidRPr="00855A08">
        <w:rPr>
          <w:i/>
          <w:iCs/>
        </w:rPr>
        <w:t>CBA-</w:t>
      </w:r>
      <w:r w:rsidR="00644BF1" w:rsidRPr="00855A08">
        <w:rPr>
          <w:i/>
          <w:iCs/>
        </w:rPr>
        <w:t xml:space="preserve">Option </w:t>
      </w:r>
      <w:r w:rsidR="00B8257D" w:rsidRPr="00855A08">
        <w:rPr>
          <w:i/>
          <w:iCs/>
        </w:rPr>
        <w:t>3</w:t>
      </w:r>
      <w:r w:rsidR="00A351FC" w:rsidRPr="00855A08">
        <w:rPr>
          <w:i/>
          <w:iCs/>
        </w:rPr>
        <w:t xml:space="preserve"> (BCR </w:t>
      </w:r>
      <w:r w:rsidR="00D8117C" w:rsidRPr="00855A08">
        <w:rPr>
          <w:i/>
          <w:iCs/>
        </w:rPr>
        <w:t>2.32)</w:t>
      </w:r>
      <w:r w:rsidR="00B8257D" w:rsidRPr="00855A08">
        <w:t>:</w:t>
      </w:r>
      <w:r w:rsidR="00644BF1" w:rsidRPr="00855A08">
        <w:t xml:space="preserve"> </w:t>
      </w:r>
      <w:r w:rsidR="007526F1" w:rsidRPr="00855A08">
        <w:t>U</w:t>
      </w:r>
      <w:r w:rsidR="00644BF1" w:rsidRPr="00855A08">
        <w:t xml:space="preserve">rban delivery of C‑ITS with mostly roadside station deployment, </w:t>
      </w:r>
      <w:r w:rsidR="00C139B8" w:rsidRPr="00855A08">
        <w:t xml:space="preserve">is </w:t>
      </w:r>
      <w:r w:rsidR="00644BF1" w:rsidRPr="00855A08">
        <w:t>also cost-effective</w:t>
      </w:r>
      <w:r w:rsidR="007C1A2A" w:rsidRPr="00855A08">
        <w:t xml:space="preserve"> with</w:t>
      </w:r>
      <w:r w:rsidR="00AE6E26" w:rsidRPr="00855A08">
        <w:t xml:space="preserve"> </w:t>
      </w:r>
      <w:r w:rsidR="00FD4258" w:rsidRPr="00855A08">
        <w:t>a broader</w:t>
      </w:r>
      <w:r w:rsidR="004D7295" w:rsidRPr="00855A08">
        <w:t xml:space="preserve"> range of</w:t>
      </w:r>
      <w:r w:rsidR="00AE6E26" w:rsidRPr="00855A08">
        <w:t xml:space="preserve"> benefits</w:t>
      </w:r>
      <w:r w:rsidR="007C1A2A" w:rsidRPr="00855A08">
        <w:t xml:space="preserve"> </w:t>
      </w:r>
      <w:r w:rsidR="00741BC2" w:rsidRPr="00855A08">
        <w:t xml:space="preserve">than option 2 </w:t>
      </w:r>
      <w:r w:rsidR="009E097E" w:rsidRPr="00855A08">
        <w:t>(~$</w:t>
      </w:r>
      <w:r w:rsidR="00741BC2" w:rsidRPr="00855A08">
        <w:t>2</w:t>
      </w:r>
      <w:r w:rsidR="00A11B0F" w:rsidRPr="00855A08">
        <w:t xml:space="preserve"> </w:t>
      </w:r>
      <w:r w:rsidR="00B86F1E" w:rsidRPr="00855A08">
        <w:t>b</w:t>
      </w:r>
      <w:r w:rsidR="00A11B0F" w:rsidRPr="00855A08">
        <w:t>illion</w:t>
      </w:r>
      <w:r w:rsidR="009E097E" w:rsidRPr="00855A08">
        <w:t>)</w:t>
      </w:r>
    </w:p>
    <w:p w14:paraId="37C94FFA" w14:textId="21089FF2" w:rsidR="0073460E" w:rsidRPr="00855A08" w:rsidRDefault="0029628A" w:rsidP="00FE11C4">
      <w:pPr>
        <w:pStyle w:val="ListBullet"/>
      </w:pPr>
      <w:r w:rsidRPr="00855A08">
        <w:rPr>
          <w:i/>
          <w:iCs/>
        </w:rPr>
        <w:t>CBA-</w:t>
      </w:r>
      <w:r w:rsidR="00644BF1" w:rsidRPr="00855A08">
        <w:rPr>
          <w:i/>
          <w:iCs/>
        </w:rPr>
        <w:t>Option 4</w:t>
      </w:r>
      <w:r w:rsidR="00D8117C" w:rsidRPr="00855A08">
        <w:rPr>
          <w:i/>
          <w:iCs/>
        </w:rPr>
        <w:t xml:space="preserve"> (BCR </w:t>
      </w:r>
      <w:r w:rsidR="002A209B" w:rsidRPr="00855A08">
        <w:rPr>
          <w:i/>
          <w:iCs/>
        </w:rPr>
        <w:t>1.52)</w:t>
      </w:r>
      <w:r w:rsidR="007526F1" w:rsidRPr="00855A08">
        <w:t>: A</w:t>
      </w:r>
      <w:r w:rsidR="00644BF1" w:rsidRPr="00855A08">
        <w:t xml:space="preserve">dvisory information through cellular communications </w:t>
      </w:r>
      <w:r w:rsidR="00883F33" w:rsidRPr="00855A08">
        <w:t xml:space="preserve">has </w:t>
      </w:r>
      <w:r w:rsidR="005B13AB" w:rsidRPr="00855A08">
        <w:t>high social benefits</w:t>
      </w:r>
      <w:r w:rsidR="00E0743A" w:rsidRPr="00855A08">
        <w:t xml:space="preserve"> return (</w:t>
      </w:r>
      <w:r w:rsidR="00883F33" w:rsidRPr="00855A08">
        <w:t>$11.0 billion</w:t>
      </w:r>
      <w:r w:rsidR="00E0743A" w:rsidRPr="00855A08">
        <w:t>)</w:t>
      </w:r>
    </w:p>
    <w:p w14:paraId="2D44E822" w14:textId="30CDE98D" w:rsidR="00644BF1" w:rsidRPr="00855A08" w:rsidRDefault="0073460E" w:rsidP="00FE11C4">
      <w:pPr>
        <w:pStyle w:val="ListBullet"/>
      </w:pPr>
      <w:r w:rsidRPr="00855A08">
        <w:rPr>
          <w:i/>
          <w:iCs/>
        </w:rPr>
        <w:t>C</w:t>
      </w:r>
      <w:r w:rsidR="0029628A" w:rsidRPr="00855A08">
        <w:rPr>
          <w:i/>
          <w:iCs/>
        </w:rPr>
        <w:t>BA-</w:t>
      </w:r>
      <w:r w:rsidR="00644BF1" w:rsidRPr="00855A08">
        <w:rPr>
          <w:i/>
          <w:iCs/>
        </w:rPr>
        <w:t>Option 5</w:t>
      </w:r>
      <w:r w:rsidR="00735B92" w:rsidRPr="00855A08">
        <w:rPr>
          <w:i/>
          <w:iCs/>
        </w:rPr>
        <w:t xml:space="preserve"> (BCR 1.47)</w:t>
      </w:r>
      <w:r w:rsidR="007526F1" w:rsidRPr="00855A08">
        <w:t>:</w:t>
      </w:r>
      <w:r w:rsidR="00644BF1" w:rsidRPr="00855A08">
        <w:t xml:space="preserve"> </w:t>
      </w:r>
      <w:r w:rsidR="00034565" w:rsidRPr="00855A08">
        <w:t>B</w:t>
      </w:r>
      <w:r w:rsidR="00644BF1" w:rsidRPr="00855A08">
        <w:t>alanced hybrid</w:t>
      </w:r>
      <w:r w:rsidR="00396BF5" w:rsidRPr="00855A08">
        <w:t xml:space="preserve"> of city and rural deployment with both technologies</w:t>
      </w:r>
      <w:r w:rsidR="001F25D9" w:rsidRPr="00855A08">
        <w:t xml:space="preserve"> </w:t>
      </w:r>
      <w:r w:rsidR="00644BF1" w:rsidRPr="00855A08">
        <w:t>realise</w:t>
      </w:r>
      <w:r w:rsidR="001F25D9" w:rsidRPr="00855A08">
        <w:t>s</w:t>
      </w:r>
      <w:r w:rsidR="00644BF1" w:rsidRPr="00855A08">
        <w:t xml:space="preserve"> the highest benefits </w:t>
      </w:r>
      <w:r w:rsidR="001F25D9" w:rsidRPr="00855A08">
        <w:t>(</w:t>
      </w:r>
      <w:r w:rsidR="00644BF1" w:rsidRPr="00855A08">
        <w:t>$11.8</w:t>
      </w:r>
      <w:r w:rsidR="00A11B0F" w:rsidRPr="00855A08">
        <w:t xml:space="preserve"> billion</w:t>
      </w:r>
      <w:r w:rsidR="001F25D9" w:rsidRPr="00855A08">
        <w:t>)</w:t>
      </w:r>
      <w:r w:rsidR="009B3AF4">
        <w:t>.</w:t>
      </w:r>
    </w:p>
    <w:p w14:paraId="52099E9E" w14:textId="7399DFCC" w:rsidR="00671086" w:rsidRPr="005764FC" w:rsidRDefault="0015120C" w:rsidP="00671086">
      <w:pPr>
        <w:pStyle w:val="BodyText"/>
      </w:pPr>
      <w:r w:rsidRPr="005764FC">
        <w:t>C-ITS is a solution that has been around for over a decade. In Australia, two major pilots (CITI and CAVI) and further tests in multiple states</w:t>
      </w:r>
      <w:r w:rsidR="002449EC" w:rsidRPr="005764FC">
        <w:t>,</w:t>
      </w:r>
      <w:r w:rsidRPr="005764FC">
        <w:t xml:space="preserve"> have provided opportunit</w:t>
      </w:r>
      <w:r w:rsidR="003E7C5D" w:rsidRPr="005764FC">
        <w:t>i</w:t>
      </w:r>
      <w:r w:rsidR="00883AD2" w:rsidRPr="005764FC">
        <w:t>es</w:t>
      </w:r>
      <w:r w:rsidRPr="005764FC">
        <w:t xml:space="preserve"> to identify issues</w:t>
      </w:r>
      <w:r w:rsidR="002E3290">
        <w:t>, benefits</w:t>
      </w:r>
      <w:r w:rsidRPr="005764FC">
        <w:t xml:space="preserve"> and understand what </w:t>
      </w:r>
      <w:r w:rsidR="003635CF" w:rsidRPr="005764FC">
        <w:t xml:space="preserve">deployment </w:t>
      </w:r>
      <w:r w:rsidRPr="005764FC">
        <w:t>require</w:t>
      </w:r>
      <w:r w:rsidR="003635CF" w:rsidRPr="005764FC">
        <w:t>s</w:t>
      </w:r>
      <w:r w:rsidRPr="005764FC">
        <w:t xml:space="preserve">. Both Europe (EU) and the United States (US) have had many different pilots and deployment sites </w:t>
      </w:r>
      <w:r w:rsidR="004715AA" w:rsidRPr="005764FC">
        <w:t>with</w:t>
      </w:r>
      <w:r w:rsidRPr="005764FC">
        <w:t xml:space="preserve"> iterative testing that </w:t>
      </w:r>
      <w:r w:rsidR="004715AA" w:rsidRPr="005764FC">
        <w:t xml:space="preserve">has </w:t>
      </w:r>
      <w:r w:rsidRPr="005764FC">
        <w:t>improved the technology, functionality, standards and processes.</w:t>
      </w:r>
      <w:r w:rsidR="002B3E89" w:rsidRPr="005764FC">
        <w:t xml:space="preserve"> Japan have deployed </w:t>
      </w:r>
      <w:r w:rsidR="00F5501A" w:rsidRPr="005764FC">
        <w:t>DSRC solutions</w:t>
      </w:r>
      <w:r w:rsidR="002B3E89" w:rsidRPr="005764FC">
        <w:t xml:space="preserve"> since </w:t>
      </w:r>
      <w:r w:rsidR="00F5501A" w:rsidRPr="005764FC">
        <w:t>2014.</w:t>
      </w:r>
      <w:r w:rsidRPr="005764FC">
        <w:t xml:space="preserve"> </w:t>
      </w:r>
      <w:r w:rsidR="00DF0D4F" w:rsidRPr="005764FC">
        <w:t xml:space="preserve">The </w:t>
      </w:r>
      <w:r w:rsidRPr="005764FC">
        <w:t xml:space="preserve">US </w:t>
      </w:r>
      <w:r w:rsidR="00BE67EC" w:rsidRPr="005764FC">
        <w:t xml:space="preserve">Federal </w:t>
      </w:r>
      <w:r w:rsidR="00C919C2" w:rsidRPr="005764FC">
        <w:t>Communications Commission (</w:t>
      </w:r>
      <w:r w:rsidRPr="005764FC">
        <w:t>FCC</w:t>
      </w:r>
      <w:r w:rsidR="00C919C2" w:rsidRPr="005764FC">
        <w:t>)</w:t>
      </w:r>
      <w:r w:rsidRPr="005764FC">
        <w:t xml:space="preserve"> </w:t>
      </w:r>
      <w:r w:rsidR="00A26F56" w:rsidRPr="005764FC">
        <w:rPr>
          <w:lang w:eastAsia="en-AU"/>
        </w:rPr>
        <w:t xml:space="preserve">decision to </w:t>
      </w:r>
      <w:r w:rsidR="001216D7" w:rsidRPr="005764FC">
        <w:rPr>
          <w:lang w:eastAsia="en-AU"/>
        </w:rPr>
        <w:t>redesignate</w:t>
      </w:r>
      <w:r w:rsidR="00A26F56" w:rsidRPr="005764FC">
        <w:rPr>
          <w:lang w:eastAsia="en-AU"/>
        </w:rPr>
        <w:t xml:space="preserve"> a portion of the 5.9 GHz band previously reserved for Intelligent Transport Systems (ITS) use, and to mandate C-V2X as the technology standard for safety-related transportation and vehicular communications </w:t>
      </w:r>
      <w:r w:rsidR="001216D7" w:rsidRPr="005764FC">
        <w:rPr>
          <w:lang w:eastAsia="en-AU"/>
        </w:rPr>
        <w:t>in</w:t>
      </w:r>
      <w:r w:rsidR="00A26F56" w:rsidRPr="005764FC">
        <w:rPr>
          <w:lang w:eastAsia="en-AU"/>
        </w:rPr>
        <w:t xml:space="preserve"> the remaining spectrum, remains a point of concern to US transport sector stakeho</w:t>
      </w:r>
      <w:r w:rsidR="00A26F56" w:rsidRPr="00057FB6">
        <w:rPr>
          <w:lang w:eastAsia="en-AU"/>
        </w:rPr>
        <w:t>lders</w:t>
      </w:r>
      <w:r w:rsidR="00AE36D8" w:rsidRPr="00057FB6">
        <w:rPr>
          <w:lang w:eastAsia="en-AU"/>
        </w:rPr>
        <w:t>,</w:t>
      </w:r>
      <w:r w:rsidR="008A2F34" w:rsidRPr="00057FB6">
        <w:rPr>
          <w:lang w:eastAsia="en-AU"/>
        </w:rPr>
        <w:t xml:space="preserve"> </w:t>
      </w:r>
      <w:r w:rsidR="00AE36D8" w:rsidRPr="00057FB6">
        <w:rPr>
          <w:lang w:eastAsia="en-AU"/>
        </w:rPr>
        <w:t xml:space="preserve">including the </w:t>
      </w:r>
      <w:r w:rsidR="008A2F34" w:rsidRPr="00057FB6">
        <w:rPr>
          <w:lang w:eastAsia="en-AU"/>
        </w:rPr>
        <w:t>US D</w:t>
      </w:r>
      <w:r w:rsidR="00AE36D8" w:rsidRPr="00057FB6">
        <w:rPr>
          <w:lang w:eastAsia="en-AU"/>
        </w:rPr>
        <w:t>epartment of Transportation</w:t>
      </w:r>
      <w:r w:rsidR="003029EF" w:rsidRPr="00057FB6">
        <w:rPr>
          <w:lang w:eastAsia="en-AU"/>
        </w:rPr>
        <w:t>,</w:t>
      </w:r>
      <w:r w:rsidR="003029EF" w:rsidRPr="00057FB6">
        <w:rPr>
          <w:lang w:eastAsia="fr-CA"/>
        </w:rPr>
        <w:t xml:space="preserve"> ITS America</w:t>
      </w:r>
      <w:r w:rsidR="008A2F34" w:rsidRPr="00057FB6">
        <w:rPr>
          <w:lang w:eastAsia="en-AU"/>
        </w:rPr>
        <w:t xml:space="preserve"> and </w:t>
      </w:r>
      <w:r w:rsidR="00AE36D8" w:rsidRPr="00057FB6">
        <w:rPr>
          <w:lang w:eastAsia="en-AU"/>
        </w:rPr>
        <w:t>the American Association of State Highway and Transportation Officials (</w:t>
      </w:r>
      <w:r w:rsidR="008A2F34" w:rsidRPr="00057FB6">
        <w:rPr>
          <w:lang w:eastAsia="en-AU"/>
        </w:rPr>
        <w:t>AASHTO</w:t>
      </w:r>
      <w:r w:rsidR="00AE36D8" w:rsidRPr="00057FB6">
        <w:rPr>
          <w:lang w:eastAsia="en-AU"/>
        </w:rPr>
        <w:t>)</w:t>
      </w:r>
      <w:r w:rsidR="001C0839" w:rsidRPr="00057FB6">
        <w:rPr>
          <w:lang w:eastAsia="en-AU"/>
        </w:rPr>
        <w:t xml:space="preserve"> – the latter two of whom have joined to file an appeal against the FCC’s order</w:t>
      </w:r>
      <w:r w:rsidRPr="00057FB6">
        <w:t xml:space="preserve">. </w:t>
      </w:r>
      <w:r w:rsidR="003635CF" w:rsidRPr="00057FB6">
        <w:t xml:space="preserve">The </w:t>
      </w:r>
      <w:r w:rsidRPr="00057FB6">
        <w:t>EU</w:t>
      </w:r>
      <w:r w:rsidR="001216D7" w:rsidRPr="00057FB6">
        <w:t>’s approach has been more</w:t>
      </w:r>
      <w:r w:rsidRPr="00057FB6">
        <w:t xml:space="preserve"> </w:t>
      </w:r>
      <w:r w:rsidR="001216D7" w:rsidRPr="00057FB6">
        <w:t>‘</w:t>
      </w:r>
      <w:r w:rsidRPr="00057FB6">
        <w:t>open</w:t>
      </w:r>
      <w:r w:rsidR="001216D7" w:rsidRPr="00057FB6">
        <w:t>’</w:t>
      </w:r>
      <w:r w:rsidRPr="00057FB6">
        <w:t xml:space="preserve"> and </w:t>
      </w:r>
      <w:r w:rsidR="001216D7" w:rsidRPr="00057FB6">
        <w:t>is</w:t>
      </w:r>
      <w:r w:rsidRPr="00057FB6">
        <w:t xml:space="preserve"> focused on shared deployment</w:t>
      </w:r>
      <w:r w:rsidR="00523F05" w:rsidRPr="00057FB6">
        <w:t>,</w:t>
      </w:r>
      <w:r w:rsidRPr="00057FB6">
        <w:t xml:space="preserve"> which has culminated in a proposed</w:t>
      </w:r>
      <w:r w:rsidR="00F40E84" w:rsidRPr="00057FB6">
        <w:t xml:space="preserve"> European</w:t>
      </w:r>
      <w:r w:rsidRPr="00057FB6">
        <w:t xml:space="preserve"> directive</w:t>
      </w:r>
      <w:r w:rsidRPr="005764FC">
        <w:t xml:space="preserve"> amendment to include </w:t>
      </w:r>
      <w:r w:rsidR="00B800EB" w:rsidRPr="005764FC">
        <w:t xml:space="preserve">mandated </w:t>
      </w:r>
      <w:r w:rsidR="001974DB" w:rsidRPr="005764FC">
        <w:t xml:space="preserve">sharing of </w:t>
      </w:r>
      <w:r w:rsidRPr="005764FC">
        <w:t xml:space="preserve">safety data and </w:t>
      </w:r>
      <w:r w:rsidR="00B022A0" w:rsidRPr="005764FC">
        <w:t xml:space="preserve">availability of </w:t>
      </w:r>
      <w:r w:rsidR="002A435F" w:rsidRPr="005764FC">
        <w:t xml:space="preserve">safety-related </w:t>
      </w:r>
      <w:r w:rsidRPr="005764FC">
        <w:t>C</w:t>
      </w:r>
      <w:r w:rsidR="003363EF" w:rsidRPr="005764FC">
        <w:rPr>
          <w:rFonts w:cstheme="minorHAnsi"/>
        </w:rPr>
        <w:t>‑</w:t>
      </w:r>
      <w:r w:rsidRPr="005764FC">
        <w:t>ITS services</w:t>
      </w:r>
      <w:r w:rsidR="00607F20" w:rsidRPr="005764FC">
        <w:t xml:space="preserve"> (day 1 use cases)</w:t>
      </w:r>
      <w:r w:rsidRPr="005764FC">
        <w:t xml:space="preserve"> in new vehicles.</w:t>
      </w:r>
      <w:r w:rsidR="00763995">
        <w:t xml:space="preserve">  </w:t>
      </w:r>
    </w:p>
    <w:p w14:paraId="3FFD9C56" w14:textId="475B22DD" w:rsidR="00031A3D" w:rsidRPr="005764FC" w:rsidRDefault="00BA44BD" w:rsidP="0015120C">
      <w:pPr>
        <w:pStyle w:val="BodyText"/>
        <w:rPr>
          <w:lang w:eastAsia="fr-CA"/>
        </w:rPr>
      </w:pPr>
      <w:r w:rsidRPr="005764FC">
        <w:t xml:space="preserve">Short-range </w:t>
      </w:r>
      <w:r w:rsidR="002978AB" w:rsidRPr="005764FC">
        <w:t xml:space="preserve">communication </w:t>
      </w:r>
      <w:r w:rsidR="00426358" w:rsidRPr="005764FC">
        <w:t>has</w:t>
      </w:r>
      <w:r w:rsidR="000D56A7" w:rsidRPr="005764FC">
        <w:t xml:space="preserve"> two </w:t>
      </w:r>
      <w:r w:rsidR="00426358" w:rsidRPr="005764FC">
        <w:t xml:space="preserve">competing </w:t>
      </w:r>
      <w:r w:rsidR="000D56A7" w:rsidRPr="005764FC">
        <w:t>technologies</w:t>
      </w:r>
      <w:r w:rsidR="003635CF" w:rsidRPr="005764FC">
        <w:t>:</w:t>
      </w:r>
      <w:r w:rsidR="000D56A7" w:rsidRPr="005764FC">
        <w:t xml:space="preserve"> DSRC</w:t>
      </w:r>
      <w:r w:rsidR="00AE6E32" w:rsidRPr="005764FC">
        <w:t xml:space="preserve"> (the European standard for</w:t>
      </w:r>
      <w:r w:rsidR="00134FD7">
        <w:t xml:space="preserve"> this is</w:t>
      </w:r>
      <w:r w:rsidR="00AE6E32" w:rsidRPr="005764FC">
        <w:t xml:space="preserve"> ITS-G5</w:t>
      </w:r>
      <w:r w:rsidR="000D56A7" w:rsidRPr="005764FC">
        <w:t xml:space="preserve">) and </w:t>
      </w:r>
      <w:r w:rsidR="0067114C" w:rsidRPr="005764FC">
        <w:t>C</w:t>
      </w:r>
      <w:r w:rsidR="00AE6E32" w:rsidRPr="005764FC">
        <w:noBreakHyphen/>
      </w:r>
      <w:r w:rsidR="0067114C" w:rsidRPr="005764FC">
        <w:t>V2X</w:t>
      </w:r>
      <w:r w:rsidR="00426358" w:rsidRPr="005764FC">
        <w:t xml:space="preserve">. </w:t>
      </w:r>
      <w:r w:rsidR="004A0511" w:rsidRPr="005764FC">
        <w:t>T</w:t>
      </w:r>
      <w:r w:rsidR="00AE6E32" w:rsidRPr="005764FC">
        <w:t xml:space="preserve">hrough the </w:t>
      </w:r>
      <w:r w:rsidR="00AE6E32" w:rsidRPr="005764FC">
        <w:rPr>
          <w:i/>
        </w:rPr>
        <w:t>Radiocommunications (Intelligent Transport Systems) Class Licence 2017</w:t>
      </w:r>
      <w:r w:rsidR="00AE6E32" w:rsidRPr="005764FC">
        <w:t xml:space="preserve"> t</w:t>
      </w:r>
      <w:r w:rsidR="0047027A" w:rsidRPr="005764FC">
        <w:rPr>
          <w:lang w:eastAsia="fr-CA"/>
        </w:rPr>
        <w:t xml:space="preserve">he Australian Communications and Media Authority (ACMA) has </w:t>
      </w:r>
      <w:r w:rsidR="00AE6E32" w:rsidRPr="005764FC">
        <w:rPr>
          <w:lang w:eastAsia="fr-CA"/>
        </w:rPr>
        <w:t>made available</w:t>
      </w:r>
      <w:r w:rsidR="0047027A" w:rsidRPr="005764FC">
        <w:rPr>
          <w:lang w:eastAsia="fr-CA"/>
        </w:rPr>
        <w:t xml:space="preserve"> </w:t>
      </w:r>
      <w:r w:rsidR="00AE6E32" w:rsidRPr="005764FC">
        <w:rPr>
          <w:lang w:eastAsia="fr-CA"/>
        </w:rPr>
        <w:t xml:space="preserve">70 MHz of spectrum in </w:t>
      </w:r>
      <w:r w:rsidR="0047027A" w:rsidRPr="005764FC">
        <w:rPr>
          <w:lang w:eastAsia="fr-CA"/>
        </w:rPr>
        <w:t>the 5.9</w:t>
      </w:r>
      <w:r w:rsidR="00AE6E32" w:rsidRPr="005764FC">
        <w:rPr>
          <w:lang w:eastAsia="fr-CA"/>
        </w:rPr>
        <w:t xml:space="preserve"> </w:t>
      </w:r>
      <w:r w:rsidR="0047027A" w:rsidRPr="005764FC">
        <w:rPr>
          <w:lang w:eastAsia="fr-CA"/>
        </w:rPr>
        <w:t xml:space="preserve">GHz band </w:t>
      </w:r>
      <w:r w:rsidR="00AE6E32" w:rsidRPr="005764FC">
        <w:rPr>
          <w:lang w:eastAsia="fr-CA"/>
        </w:rPr>
        <w:t>for</w:t>
      </w:r>
      <w:r w:rsidR="0047027A" w:rsidRPr="005764FC">
        <w:rPr>
          <w:lang w:eastAsia="fr-CA"/>
        </w:rPr>
        <w:t xml:space="preserve"> ITS </w:t>
      </w:r>
      <w:r w:rsidR="00AE6E32" w:rsidRPr="005764FC">
        <w:rPr>
          <w:lang w:eastAsia="fr-CA"/>
        </w:rPr>
        <w:t>use</w:t>
      </w:r>
      <w:r w:rsidR="004A0511" w:rsidRPr="005764FC">
        <w:rPr>
          <w:lang w:eastAsia="fr-CA"/>
        </w:rPr>
        <w:t xml:space="preserve"> in Australia</w:t>
      </w:r>
      <w:r w:rsidR="00AE6E32" w:rsidRPr="005764FC">
        <w:rPr>
          <w:lang w:eastAsia="fr-CA"/>
        </w:rPr>
        <w:t>. A</w:t>
      </w:r>
      <w:r w:rsidR="00E57DD1" w:rsidRPr="005764FC">
        <w:rPr>
          <w:lang w:eastAsia="fr-CA"/>
        </w:rPr>
        <w:t>s a</w:t>
      </w:r>
      <w:r w:rsidR="00AE6E32" w:rsidRPr="005764FC">
        <w:rPr>
          <w:lang w:eastAsia="fr-CA"/>
        </w:rPr>
        <w:t xml:space="preserve"> condition of the class licence</w:t>
      </w:r>
      <w:r w:rsidR="00E57DD1" w:rsidRPr="005764FC">
        <w:rPr>
          <w:lang w:eastAsia="fr-CA"/>
        </w:rPr>
        <w:t>, a</w:t>
      </w:r>
      <w:r w:rsidR="000A655F">
        <w:rPr>
          <w:lang w:eastAsia="fr-CA"/>
        </w:rPr>
        <w:t xml:space="preserve"> </w:t>
      </w:r>
      <w:r w:rsidR="00AE6E32" w:rsidRPr="005764FC">
        <w:rPr>
          <w:lang w:eastAsia="fr-CA"/>
        </w:rPr>
        <w:t>ITS station</w:t>
      </w:r>
      <w:r w:rsidR="000A655F">
        <w:rPr>
          <w:lang w:eastAsia="fr-CA"/>
        </w:rPr>
        <w:t xml:space="preserve"> </w:t>
      </w:r>
      <w:r w:rsidR="00E57DD1" w:rsidRPr="005764FC">
        <w:rPr>
          <w:lang w:eastAsia="fr-CA"/>
        </w:rPr>
        <w:t xml:space="preserve">operating in this spectrum </w:t>
      </w:r>
      <w:r w:rsidR="00AE6E32" w:rsidRPr="005764FC">
        <w:rPr>
          <w:lang w:eastAsia="fr-CA"/>
        </w:rPr>
        <w:t xml:space="preserve">must comply with </w:t>
      </w:r>
      <w:r w:rsidR="00E57DD1" w:rsidRPr="005764FC">
        <w:rPr>
          <w:lang w:eastAsia="fr-CA"/>
        </w:rPr>
        <w:t xml:space="preserve">the </w:t>
      </w:r>
      <w:r w:rsidR="00E57DD1" w:rsidRPr="005764FC">
        <w:rPr>
          <w:color w:val="000000"/>
          <w:shd w:val="clear" w:color="auto" w:fill="FFFFFF"/>
        </w:rPr>
        <w:t>European Telecommunications Standards Institute (</w:t>
      </w:r>
      <w:r w:rsidR="00AE6E32" w:rsidRPr="005764FC">
        <w:rPr>
          <w:lang w:eastAsia="fr-CA"/>
        </w:rPr>
        <w:t>ETSI</w:t>
      </w:r>
      <w:r w:rsidR="00E57DD1" w:rsidRPr="005764FC">
        <w:rPr>
          <w:lang w:eastAsia="fr-CA"/>
        </w:rPr>
        <w:t>)</w:t>
      </w:r>
      <w:r w:rsidR="00AE6E32" w:rsidRPr="005764FC">
        <w:rPr>
          <w:lang w:eastAsia="fr-CA"/>
        </w:rPr>
        <w:t xml:space="preserve"> Standard EN 302 571</w:t>
      </w:r>
      <w:r w:rsidR="008B1199" w:rsidRPr="005764FC">
        <w:rPr>
          <w:lang w:eastAsia="fr-CA"/>
        </w:rPr>
        <w:t>.</w:t>
      </w:r>
      <w:r w:rsidR="00D34412" w:rsidRPr="005764FC">
        <w:rPr>
          <w:lang w:eastAsia="fr-CA"/>
        </w:rPr>
        <w:t xml:space="preserve"> </w:t>
      </w:r>
    </w:p>
    <w:p w14:paraId="5854AFC5" w14:textId="462BCA59" w:rsidR="00BA44BD" w:rsidRPr="005764FC" w:rsidRDefault="00F216E4" w:rsidP="0015120C">
      <w:pPr>
        <w:pStyle w:val="BodyText"/>
        <w:rPr>
          <w:lang w:eastAsia="fr-CA"/>
        </w:rPr>
      </w:pPr>
      <w:r w:rsidRPr="005764FC">
        <w:rPr>
          <w:lang w:eastAsia="fr-CA"/>
        </w:rPr>
        <w:t>DSRC</w:t>
      </w:r>
      <w:r w:rsidR="00D34412" w:rsidRPr="005764FC">
        <w:rPr>
          <w:lang w:eastAsia="fr-CA"/>
        </w:rPr>
        <w:t xml:space="preserve"> </w:t>
      </w:r>
      <w:r w:rsidR="004C1E52" w:rsidRPr="005764FC">
        <w:rPr>
          <w:lang w:eastAsia="fr-CA"/>
        </w:rPr>
        <w:t xml:space="preserve">and C-V2X </w:t>
      </w:r>
      <w:r w:rsidR="0067602B" w:rsidRPr="005764FC">
        <w:rPr>
          <w:lang w:eastAsia="fr-CA"/>
        </w:rPr>
        <w:t>are not interoperable</w:t>
      </w:r>
      <w:r w:rsidR="00A2653F" w:rsidRPr="005764FC">
        <w:rPr>
          <w:lang w:eastAsia="fr-CA"/>
        </w:rPr>
        <w:t>: they</w:t>
      </w:r>
      <w:r w:rsidR="0067602B" w:rsidRPr="005764FC">
        <w:rPr>
          <w:lang w:eastAsia="fr-CA"/>
        </w:rPr>
        <w:t xml:space="preserve"> </w:t>
      </w:r>
      <w:r w:rsidR="006C0D1A" w:rsidRPr="005764FC">
        <w:rPr>
          <w:lang w:eastAsia="fr-CA"/>
        </w:rPr>
        <w:t xml:space="preserve">are </w:t>
      </w:r>
      <w:r w:rsidR="00A2653F" w:rsidRPr="005764FC">
        <w:rPr>
          <w:lang w:eastAsia="fr-CA"/>
        </w:rPr>
        <w:t>un</w:t>
      </w:r>
      <w:r w:rsidR="006C0D1A" w:rsidRPr="005764FC">
        <w:rPr>
          <w:lang w:eastAsia="fr-CA"/>
        </w:rPr>
        <w:t xml:space="preserve">able </w:t>
      </w:r>
      <w:r w:rsidR="00A2653F" w:rsidRPr="005764FC">
        <w:rPr>
          <w:lang w:eastAsia="fr-CA"/>
        </w:rPr>
        <w:t>to</w:t>
      </w:r>
      <w:r w:rsidR="006C0D1A" w:rsidRPr="005764FC">
        <w:rPr>
          <w:lang w:eastAsia="fr-CA"/>
        </w:rPr>
        <w:t xml:space="preserve"> </w:t>
      </w:r>
      <w:r w:rsidR="00311BE7" w:rsidRPr="005764FC">
        <w:rPr>
          <w:lang w:eastAsia="fr-CA"/>
        </w:rPr>
        <w:t xml:space="preserve">share information. </w:t>
      </w:r>
      <w:r w:rsidR="004F643F" w:rsidRPr="005764FC">
        <w:rPr>
          <w:lang w:eastAsia="fr-CA"/>
        </w:rPr>
        <w:t>C</w:t>
      </w:r>
      <w:r w:rsidR="00F51BE5" w:rsidRPr="005764FC">
        <w:rPr>
          <w:lang w:eastAsia="fr-CA"/>
        </w:rPr>
        <w:t>o-</w:t>
      </w:r>
      <w:r w:rsidR="00E728E1" w:rsidRPr="005764FC">
        <w:rPr>
          <w:lang w:eastAsia="fr-CA"/>
        </w:rPr>
        <w:t>existence</w:t>
      </w:r>
      <w:r w:rsidR="00F51BE5" w:rsidRPr="005764FC">
        <w:rPr>
          <w:lang w:eastAsia="fr-CA"/>
        </w:rPr>
        <w:t xml:space="preserve"> </w:t>
      </w:r>
      <w:r w:rsidR="00E728E1" w:rsidRPr="005764FC">
        <w:rPr>
          <w:lang w:eastAsia="fr-CA"/>
        </w:rPr>
        <w:t>standards</w:t>
      </w:r>
      <w:r w:rsidR="00E22DAC" w:rsidRPr="005764FC">
        <w:rPr>
          <w:lang w:eastAsia="fr-CA"/>
        </w:rPr>
        <w:t xml:space="preserve"> </w:t>
      </w:r>
      <w:r w:rsidR="00BA613B" w:rsidRPr="005764FC">
        <w:rPr>
          <w:lang w:eastAsia="fr-CA"/>
        </w:rPr>
        <w:t>require that</w:t>
      </w:r>
      <w:r w:rsidR="00E22DAC" w:rsidRPr="005764FC">
        <w:rPr>
          <w:lang w:eastAsia="fr-CA"/>
        </w:rPr>
        <w:t xml:space="preserve"> </w:t>
      </w:r>
      <w:r w:rsidR="00231184" w:rsidRPr="005764FC">
        <w:rPr>
          <w:lang w:eastAsia="fr-CA"/>
        </w:rPr>
        <w:t xml:space="preserve">the two technologies </w:t>
      </w:r>
      <w:r w:rsidR="00854A58" w:rsidRPr="005764FC">
        <w:rPr>
          <w:lang w:eastAsia="fr-CA"/>
        </w:rPr>
        <w:t xml:space="preserve">must “detect and avoid” </w:t>
      </w:r>
      <w:r w:rsidR="007A11E3" w:rsidRPr="005764FC">
        <w:rPr>
          <w:lang w:eastAsia="fr-CA"/>
        </w:rPr>
        <w:t>meaning</w:t>
      </w:r>
      <w:r w:rsidR="00610990" w:rsidRPr="005764FC">
        <w:rPr>
          <w:lang w:eastAsia="fr-CA"/>
        </w:rPr>
        <w:t xml:space="preserve"> </w:t>
      </w:r>
      <w:r w:rsidR="00AD5D3B" w:rsidRPr="005764FC">
        <w:rPr>
          <w:lang w:eastAsia="fr-CA"/>
        </w:rPr>
        <w:t xml:space="preserve">each set of stations </w:t>
      </w:r>
      <w:r w:rsidR="00031A3D" w:rsidRPr="005764FC">
        <w:rPr>
          <w:lang w:eastAsia="fr-CA"/>
        </w:rPr>
        <w:t>cannot</w:t>
      </w:r>
      <w:r w:rsidR="00AD5D3B" w:rsidRPr="005764FC">
        <w:rPr>
          <w:lang w:eastAsia="fr-CA"/>
        </w:rPr>
        <w:t xml:space="preserve"> hear the other</w:t>
      </w:r>
      <w:r w:rsidR="00031A3D" w:rsidRPr="005764FC">
        <w:rPr>
          <w:lang w:eastAsia="fr-CA"/>
        </w:rPr>
        <w:t>,</w:t>
      </w:r>
      <w:r w:rsidR="00AD5D3B" w:rsidRPr="005764FC">
        <w:rPr>
          <w:lang w:eastAsia="fr-CA"/>
        </w:rPr>
        <w:t xml:space="preserve"> and one set of stations must stop broadcasting (potentially switching to another channel).</w:t>
      </w:r>
      <w:r w:rsidR="00324A3B" w:rsidRPr="005764FC">
        <w:rPr>
          <w:lang w:eastAsia="fr-CA"/>
        </w:rPr>
        <w:t xml:space="preserve"> This </w:t>
      </w:r>
      <w:r w:rsidR="009E0C6D" w:rsidRPr="005764FC">
        <w:rPr>
          <w:lang w:eastAsia="fr-CA"/>
        </w:rPr>
        <w:t>introduce</w:t>
      </w:r>
      <w:r w:rsidR="00324A3B" w:rsidRPr="005764FC">
        <w:rPr>
          <w:lang w:eastAsia="fr-CA"/>
        </w:rPr>
        <w:t xml:space="preserve">s </w:t>
      </w:r>
      <w:r w:rsidR="006A25FE" w:rsidRPr="005764FC">
        <w:rPr>
          <w:lang w:eastAsia="fr-CA"/>
        </w:rPr>
        <w:t>a</w:t>
      </w:r>
      <w:r w:rsidR="00324A3B" w:rsidRPr="005764FC">
        <w:rPr>
          <w:lang w:eastAsia="fr-CA"/>
        </w:rPr>
        <w:t xml:space="preserve"> </w:t>
      </w:r>
      <w:r w:rsidR="004F7CBF" w:rsidRPr="005764FC">
        <w:rPr>
          <w:lang w:eastAsia="fr-CA"/>
        </w:rPr>
        <w:t xml:space="preserve">technical complexity </w:t>
      </w:r>
      <w:r w:rsidR="00E56E71" w:rsidRPr="005764FC">
        <w:rPr>
          <w:lang w:eastAsia="fr-CA"/>
        </w:rPr>
        <w:t xml:space="preserve">where a vehicle’s equipment only works part of the time </w:t>
      </w:r>
      <w:r w:rsidR="00174795" w:rsidRPr="005764FC">
        <w:rPr>
          <w:lang w:eastAsia="fr-CA"/>
        </w:rPr>
        <w:t>resulting in</w:t>
      </w:r>
      <w:r w:rsidR="00DA2530" w:rsidRPr="005764FC">
        <w:rPr>
          <w:lang w:eastAsia="fr-CA"/>
        </w:rPr>
        <w:t xml:space="preserve"> at-best</w:t>
      </w:r>
      <w:r w:rsidR="00174795" w:rsidRPr="005764FC">
        <w:rPr>
          <w:lang w:eastAsia="fr-CA"/>
        </w:rPr>
        <w:t xml:space="preserve"> equal</w:t>
      </w:r>
      <w:r w:rsidR="00DB3683" w:rsidRPr="005764FC">
        <w:rPr>
          <w:lang w:eastAsia="fr-CA"/>
        </w:rPr>
        <w:t xml:space="preserve"> </w:t>
      </w:r>
      <w:r w:rsidR="00DA2530" w:rsidRPr="005764FC">
        <w:rPr>
          <w:lang w:eastAsia="fr-CA"/>
        </w:rPr>
        <w:t xml:space="preserve">benefits </w:t>
      </w:r>
      <w:r w:rsidR="00DB3683" w:rsidRPr="005764FC">
        <w:rPr>
          <w:lang w:eastAsia="fr-CA"/>
        </w:rPr>
        <w:t>o</w:t>
      </w:r>
      <w:r w:rsidR="00844DFA" w:rsidRPr="005764FC">
        <w:rPr>
          <w:lang w:eastAsia="fr-CA"/>
        </w:rPr>
        <w:t>r</w:t>
      </w:r>
      <w:r w:rsidR="00DB3683" w:rsidRPr="005764FC">
        <w:rPr>
          <w:lang w:eastAsia="fr-CA"/>
        </w:rPr>
        <w:t xml:space="preserve"> </w:t>
      </w:r>
      <w:r w:rsidR="00DA2530" w:rsidRPr="005764FC">
        <w:rPr>
          <w:lang w:eastAsia="fr-CA"/>
        </w:rPr>
        <w:t>at-</w:t>
      </w:r>
      <w:r w:rsidR="00DB3683" w:rsidRPr="005764FC">
        <w:rPr>
          <w:lang w:eastAsia="fr-CA"/>
        </w:rPr>
        <w:t>wors</w:t>
      </w:r>
      <w:r w:rsidR="00DA2530" w:rsidRPr="005764FC">
        <w:rPr>
          <w:lang w:eastAsia="fr-CA"/>
        </w:rPr>
        <w:t>t</w:t>
      </w:r>
      <w:r w:rsidR="004F7CBF" w:rsidRPr="005764FC">
        <w:rPr>
          <w:lang w:eastAsia="fr-CA"/>
        </w:rPr>
        <w:t xml:space="preserve"> </w:t>
      </w:r>
      <w:r w:rsidR="00E56E71" w:rsidRPr="005764FC">
        <w:rPr>
          <w:lang w:eastAsia="fr-CA"/>
        </w:rPr>
        <w:t>less than half</w:t>
      </w:r>
      <w:r w:rsidR="009E0C6D" w:rsidRPr="005764FC">
        <w:rPr>
          <w:lang w:eastAsia="fr-CA"/>
        </w:rPr>
        <w:t xml:space="preserve"> </w:t>
      </w:r>
      <w:r w:rsidR="00116ABE" w:rsidRPr="005764FC">
        <w:rPr>
          <w:lang w:eastAsia="fr-CA"/>
        </w:rPr>
        <w:t xml:space="preserve">relative </w:t>
      </w:r>
      <w:r w:rsidR="00DB3683" w:rsidRPr="005764FC">
        <w:rPr>
          <w:lang w:eastAsia="fr-CA"/>
        </w:rPr>
        <w:t>benefit</w:t>
      </w:r>
      <w:r w:rsidR="006A25FE" w:rsidRPr="005764FC">
        <w:rPr>
          <w:lang w:eastAsia="fr-CA"/>
        </w:rPr>
        <w:t>s</w:t>
      </w:r>
      <w:r w:rsidR="00E56E71" w:rsidRPr="005764FC">
        <w:rPr>
          <w:lang w:eastAsia="fr-CA"/>
        </w:rPr>
        <w:t xml:space="preserve"> realised</w:t>
      </w:r>
      <w:r w:rsidR="00DB3683" w:rsidRPr="005764FC">
        <w:rPr>
          <w:lang w:eastAsia="fr-CA"/>
        </w:rPr>
        <w:t xml:space="preserve">. </w:t>
      </w:r>
    </w:p>
    <w:p w14:paraId="3F1B3272" w14:textId="78ED3003" w:rsidR="00691F3E" w:rsidRPr="005764FC" w:rsidRDefault="00044499" w:rsidP="0015120C">
      <w:pPr>
        <w:pStyle w:val="BodyText"/>
      </w:pPr>
      <w:r w:rsidRPr="005764FC">
        <w:t>Existing Australia</w:t>
      </w:r>
      <w:r w:rsidR="009E0C6D" w:rsidRPr="005764FC">
        <w:t>n</w:t>
      </w:r>
      <w:r w:rsidRPr="005764FC">
        <w:t xml:space="preserve"> road safety law</w:t>
      </w:r>
      <w:r w:rsidR="009E0C6D" w:rsidRPr="005764FC">
        <w:t>s</w:t>
      </w:r>
      <w:r w:rsidRPr="005764FC">
        <w:t xml:space="preserve"> and </w:t>
      </w:r>
      <w:r w:rsidR="00096119" w:rsidRPr="005764FC">
        <w:t>Australian design rules</w:t>
      </w:r>
      <w:r w:rsidR="00F55846" w:rsidRPr="005764FC">
        <w:t xml:space="preserve"> for vehicles</w:t>
      </w:r>
      <w:r w:rsidR="00096119" w:rsidRPr="005764FC">
        <w:t xml:space="preserve"> harmonise </w:t>
      </w:r>
      <w:r w:rsidR="00B11CCF" w:rsidRPr="005764FC">
        <w:t>with</w:t>
      </w:r>
      <w:r w:rsidR="00096119" w:rsidRPr="005764FC">
        <w:t xml:space="preserve"> </w:t>
      </w:r>
      <w:r w:rsidR="00096119" w:rsidRPr="005764FC">
        <w:rPr>
          <w:lang w:eastAsia="fr-CA"/>
        </w:rPr>
        <w:t xml:space="preserve">the United Nations Economic Commission for Europe (UNECE) </w:t>
      </w:r>
      <w:r w:rsidR="00BC1533" w:rsidRPr="005764FC">
        <w:rPr>
          <w:lang w:eastAsia="fr-CA"/>
        </w:rPr>
        <w:t>World Forum for Harmonization of Vehicle Regulations</w:t>
      </w:r>
      <w:r w:rsidR="00C40133" w:rsidRPr="005764FC">
        <w:rPr>
          <w:lang w:eastAsia="fr-CA"/>
        </w:rPr>
        <w:t>,</w:t>
      </w:r>
      <w:r w:rsidR="00BC1533" w:rsidRPr="005764FC">
        <w:rPr>
          <w:lang w:eastAsia="fr-CA"/>
        </w:rPr>
        <w:t xml:space="preserve"> </w:t>
      </w:r>
      <w:r w:rsidR="00096119" w:rsidRPr="005764FC">
        <w:rPr>
          <w:lang w:eastAsia="fr-CA"/>
        </w:rPr>
        <w:t>Working Party</w:t>
      </w:r>
      <w:r w:rsidR="00C40133" w:rsidRPr="005764FC">
        <w:rPr>
          <w:lang w:eastAsia="fr-CA"/>
        </w:rPr>
        <w:t xml:space="preserve"> </w:t>
      </w:r>
      <w:r w:rsidR="0076334E" w:rsidRPr="005764FC">
        <w:rPr>
          <w:lang w:eastAsia="fr-CA"/>
        </w:rPr>
        <w:t>29 (</w:t>
      </w:r>
      <w:r w:rsidR="0023772F" w:rsidRPr="005764FC">
        <w:rPr>
          <w:lang w:eastAsia="fr-CA"/>
        </w:rPr>
        <w:t xml:space="preserve">known as </w:t>
      </w:r>
      <w:r w:rsidR="00096119" w:rsidRPr="005764FC">
        <w:rPr>
          <w:lang w:eastAsia="fr-CA"/>
        </w:rPr>
        <w:t xml:space="preserve">WP.29). </w:t>
      </w:r>
      <w:r w:rsidR="00290A58" w:rsidRPr="005764FC">
        <w:rPr>
          <w:b/>
          <w:bCs/>
          <w:lang w:eastAsia="fr-CA"/>
        </w:rPr>
        <w:t xml:space="preserve">This means </w:t>
      </w:r>
      <w:r w:rsidR="00B11CCF" w:rsidRPr="005764FC">
        <w:rPr>
          <w:b/>
          <w:bCs/>
          <w:lang w:eastAsia="fr-CA"/>
        </w:rPr>
        <w:t xml:space="preserve">vehicle designs entering the Australian market </w:t>
      </w:r>
      <w:r w:rsidR="0046068B" w:rsidRPr="005764FC">
        <w:rPr>
          <w:b/>
          <w:bCs/>
          <w:lang w:eastAsia="fr-CA"/>
        </w:rPr>
        <w:t xml:space="preserve">are </w:t>
      </w:r>
      <w:r w:rsidR="00134FD7">
        <w:rPr>
          <w:b/>
          <w:bCs/>
          <w:lang w:eastAsia="fr-CA"/>
        </w:rPr>
        <w:t xml:space="preserve">currently </w:t>
      </w:r>
      <w:r w:rsidR="0046068B" w:rsidRPr="005764FC">
        <w:rPr>
          <w:b/>
          <w:bCs/>
          <w:lang w:eastAsia="fr-CA"/>
        </w:rPr>
        <w:t>harmonised to Europe</w:t>
      </w:r>
      <w:r w:rsidR="00F43D1F" w:rsidRPr="005764FC">
        <w:rPr>
          <w:lang w:eastAsia="fr-CA"/>
        </w:rPr>
        <w:t xml:space="preserve">. </w:t>
      </w:r>
      <w:r w:rsidR="006A4084" w:rsidRPr="005764FC">
        <w:rPr>
          <w:lang w:eastAsia="fr-CA"/>
        </w:rPr>
        <w:t>Similarly, Austral</w:t>
      </w:r>
      <w:r w:rsidR="005458D2" w:rsidRPr="005764FC">
        <w:rPr>
          <w:lang w:eastAsia="fr-CA"/>
        </w:rPr>
        <w:t>asia</w:t>
      </w:r>
      <w:r w:rsidR="006A4084" w:rsidRPr="005764FC">
        <w:rPr>
          <w:lang w:eastAsia="fr-CA"/>
        </w:rPr>
        <w:t xml:space="preserve">’s </w:t>
      </w:r>
      <w:r w:rsidR="00ED6EDD" w:rsidRPr="005764FC">
        <w:rPr>
          <w:lang w:eastAsia="fr-CA"/>
        </w:rPr>
        <w:t xml:space="preserve">New Car Assessment Program </w:t>
      </w:r>
      <w:r w:rsidR="00D05416" w:rsidRPr="005764FC">
        <w:rPr>
          <w:lang w:eastAsia="fr-CA"/>
        </w:rPr>
        <w:t>(ANCAP) harmonises with Europe</w:t>
      </w:r>
      <w:r w:rsidR="00B11CCF" w:rsidRPr="005764FC">
        <w:rPr>
          <w:lang w:eastAsia="fr-CA"/>
        </w:rPr>
        <w:t>’s</w:t>
      </w:r>
      <w:r w:rsidR="00D05416" w:rsidRPr="005764FC">
        <w:rPr>
          <w:lang w:eastAsia="fr-CA"/>
        </w:rPr>
        <w:t xml:space="preserve"> (</w:t>
      </w:r>
      <w:r w:rsidR="008323E2" w:rsidRPr="005764FC">
        <w:rPr>
          <w:lang w:eastAsia="fr-CA"/>
        </w:rPr>
        <w:t>Euro</w:t>
      </w:r>
      <w:r w:rsidR="00D05416" w:rsidRPr="005764FC">
        <w:rPr>
          <w:lang w:eastAsia="fr-CA"/>
        </w:rPr>
        <w:t xml:space="preserve"> NCAP)</w:t>
      </w:r>
      <w:r w:rsidR="00905097" w:rsidRPr="00905097">
        <w:t xml:space="preserve"> </w:t>
      </w:r>
      <w:r w:rsidR="00905097" w:rsidRPr="00B742AA">
        <w:rPr>
          <w:lang w:eastAsia="fr-CA"/>
        </w:rPr>
        <w:t xml:space="preserve">which both have C-ITS on their roadmap for </w:t>
      </w:r>
      <w:r w:rsidR="00B742AA" w:rsidRPr="00B742AA">
        <w:rPr>
          <w:lang w:eastAsia="fr-CA"/>
        </w:rPr>
        <w:t xml:space="preserve">assessment in new vehicles by </w:t>
      </w:r>
      <w:r w:rsidR="00905097" w:rsidRPr="00B742AA">
        <w:rPr>
          <w:lang w:eastAsia="fr-CA"/>
        </w:rPr>
        <w:t>2025</w:t>
      </w:r>
      <w:r w:rsidR="00D05416" w:rsidRPr="005764FC">
        <w:rPr>
          <w:lang w:eastAsia="fr-CA"/>
        </w:rPr>
        <w:t xml:space="preserve">. </w:t>
      </w:r>
      <w:r w:rsidR="00324777" w:rsidRPr="005764FC">
        <w:rPr>
          <w:lang w:eastAsia="fr-CA"/>
        </w:rPr>
        <w:t xml:space="preserve">This provides a strong </w:t>
      </w:r>
      <w:r w:rsidR="00ED09D2" w:rsidRPr="005764FC">
        <w:rPr>
          <w:lang w:eastAsia="fr-CA"/>
        </w:rPr>
        <w:t>linkage for C-ITS and the European implementation.</w:t>
      </w:r>
      <w:r w:rsidR="00A15B4E">
        <w:rPr>
          <w:lang w:eastAsia="fr-CA"/>
        </w:rPr>
        <w:t xml:space="preserve"> </w:t>
      </w:r>
    </w:p>
    <w:p w14:paraId="345D9953" w14:textId="35E09523" w:rsidR="00385487" w:rsidRPr="005764FC" w:rsidRDefault="00385487" w:rsidP="00D60ADF">
      <w:pPr>
        <w:pStyle w:val="Heading2"/>
        <w:numPr>
          <w:ilvl w:val="0"/>
          <w:numId w:val="0"/>
        </w:numPr>
        <w:ind w:left="1134" w:hanging="1134"/>
      </w:pPr>
      <w:r w:rsidRPr="005764FC">
        <w:t>The problem</w:t>
      </w:r>
    </w:p>
    <w:p w14:paraId="42C4E3AF" w14:textId="405E30A8" w:rsidR="00E71500" w:rsidRPr="005764FC" w:rsidRDefault="00E71500" w:rsidP="00E71500">
      <w:pPr>
        <w:pStyle w:val="BodyText"/>
      </w:pPr>
      <w:r w:rsidRPr="005764FC">
        <w:t xml:space="preserve">Based on the current issues on Australian roads and the </w:t>
      </w:r>
      <w:r w:rsidR="00E016F8" w:rsidRPr="005764FC">
        <w:t xml:space="preserve">opportunities presented by </w:t>
      </w:r>
      <w:r w:rsidRPr="005764FC">
        <w:t>C-ITS</w:t>
      </w:r>
      <w:r w:rsidR="008457CD" w:rsidRPr="005764FC">
        <w:t>,</w:t>
      </w:r>
      <w:r w:rsidRPr="005764FC">
        <w:t xml:space="preserve"> th</w:t>
      </w:r>
      <w:r w:rsidR="008D3232" w:rsidRPr="005764FC">
        <w:t>is</w:t>
      </w:r>
      <w:r w:rsidRPr="005764FC">
        <w:t xml:space="preserve"> project</w:t>
      </w:r>
      <w:r w:rsidR="00E016F8" w:rsidRPr="005764FC">
        <w:t>’s</w:t>
      </w:r>
      <w:r w:rsidRPr="005764FC">
        <w:t xml:space="preserve"> research has</w:t>
      </w:r>
      <w:r w:rsidRPr="005764FC" w:rsidDel="00A5395B">
        <w:t xml:space="preserve"> </w:t>
      </w:r>
      <w:r w:rsidRPr="005764FC">
        <w:t xml:space="preserve">identified the </w:t>
      </w:r>
      <w:r w:rsidR="009218D7" w:rsidRPr="005764FC">
        <w:t>‘</w:t>
      </w:r>
      <w:r w:rsidRPr="005764FC">
        <w:t>problem statement</w:t>
      </w:r>
      <w:r w:rsidR="009218D7" w:rsidRPr="005764FC">
        <w:t>’</w:t>
      </w:r>
      <w:r w:rsidRPr="005764FC">
        <w:t xml:space="preserve"> as </w:t>
      </w:r>
      <w:r w:rsidR="00DF090E">
        <w:t>answering</w:t>
      </w:r>
      <w:r w:rsidR="00DF090E" w:rsidRPr="005764FC">
        <w:t xml:space="preserve"> </w:t>
      </w:r>
      <w:r w:rsidR="00E016F8" w:rsidRPr="005764FC">
        <w:t xml:space="preserve">– </w:t>
      </w:r>
      <w:r w:rsidR="00A85F90" w:rsidRPr="005764FC">
        <w:t>what is</w:t>
      </w:r>
      <w:r w:rsidR="00E016F8" w:rsidRPr="005764FC">
        <w:t xml:space="preserve"> </w:t>
      </w:r>
      <w:r w:rsidR="00A85F90" w:rsidRPr="005764FC">
        <w:t xml:space="preserve">preventing the </w:t>
      </w:r>
      <w:r w:rsidRPr="005764FC">
        <w:t>deploy</w:t>
      </w:r>
      <w:r w:rsidR="00A85F90" w:rsidRPr="005764FC">
        <w:t>ment of</w:t>
      </w:r>
      <w:r w:rsidRPr="005764FC">
        <w:t xml:space="preserve"> C-ITS in a way that achieves </w:t>
      </w:r>
      <w:r w:rsidR="009218D7" w:rsidRPr="005764FC">
        <w:t xml:space="preserve">Australia’s </w:t>
      </w:r>
      <w:r w:rsidRPr="005764FC">
        <w:t>national transport strategic objectives</w:t>
      </w:r>
      <w:r w:rsidR="00E016F8" w:rsidRPr="005764FC">
        <w:t>?</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6F0" w:themeFill="accent2"/>
        <w:tblLook w:val="0600" w:firstRow="0" w:lastRow="0" w:firstColumn="0" w:lastColumn="0" w:noHBand="1" w:noVBand="1"/>
      </w:tblPr>
      <w:tblGrid>
        <w:gridCol w:w="9747"/>
      </w:tblGrid>
      <w:tr w:rsidR="00F439AD" w:rsidRPr="005764FC" w14:paraId="526D852F" w14:textId="77777777" w:rsidTr="00FE11C4">
        <w:tc>
          <w:tcPr>
            <w:tcW w:w="9747" w:type="dxa"/>
            <w:shd w:val="clear" w:color="auto" w:fill="D8E6F0" w:themeFill="accent2"/>
          </w:tcPr>
          <w:p w14:paraId="233C1139" w14:textId="2AD23C82" w:rsidR="00F439AD" w:rsidRPr="005764FC" w:rsidRDefault="001418B9" w:rsidP="00FE11C4">
            <w:pPr>
              <w:pStyle w:val="BodyText"/>
            </w:pPr>
            <w:r w:rsidRPr="005764FC">
              <w:t xml:space="preserve">There is currently no harmonised </w:t>
            </w:r>
            <w:r w:rsidR="00A85F90" w:rsidRPr="005764FC">
              <w:t>C-ITS</w:t>
            </w:r>
            <w:r w:rsidRPr="005764FC">
              <w:t xml:space="preserve"> ecosystem </w:t>
            </w:r>
            <w:r w:rsidR="00020AA2" w:rsidRPr="005764FC">
              <w:t xml:space="preserve">available </w:t>
            </w:r>
            <w:r w:rsidR="00F93A97" w:rsidRPr="005764FC">
              <w:t>to</w:t>
            </w:r>
            <w:r w:rsidRPr="005764FC">
              <w:t xml:space="preserve"> all vehicle manufacturers and governments to share information </w:t>
            </w:r>
            <w:r w:rsidR="00D95217" w:rsidRPr="005764FC">
              <w:t>that</w:t>
            </w:r>
            <w:r w:rsidR="002452CA" w:rsidRPr="005764FC">
              <w:t xml:space="preserve"> can</w:t>
            </w:r>
            <w:r w:rsidR="00D95217" w:rsidRPr="005764FC">
              <w:t xml:space="preserve"> </w:t>
            </w:r>
            <w:r w:rsidRPr="005764FC">
              <w:t xml:space="preserve">deliver </w:t>
            </w:r>
            <w:r w:rsidR="00771E0C" w:rsidRPr="005764FC">
              <w:t xml:space="preserve">all Australians the desired </w:t>
            </w:r>
            <w:r w:rsidRPr="005764FC">
              <w:t>road safety, efficiency, sustainability, and accessibility benefits</w:t>
            </w:r>
            <w:r w:rsidR="001730A8" w:rsidRPr="005764FC">
              <w:t xml:space="preserve"> that these technologies have to offer</w:t>
            </w:r>
            <w:r w:rsidRPr="005764FC">
              <w:t>.</w:t>
            </w:r>
          </w:p>
        </w:tc>
      </w:tr>
    </w:tbl>
    <w:p w14:paraId="6888E933" w14:textId="54A1F483" w:rsidR="00452142" w:rsidRPr="005764FC" w:rsidRDefault="004F6155" w:rsidP="00D60ADF">
      <w:pPr>
        <w:pStyle w:val="Heading3"/>
        <w:numPr>
          <w:ilvl w:val="0"/>
          <w:numId w:val="0"/>
        </w:numPr>
        <w:ind w:left="1134" w:hanging="1134"/>
      </w:pPr>
      <w:r w:rsidRPr="005764FC">
        <w:t>Options</w:t>
      </w:r>
    </w:p>
    <w:p w14:paraId="0AAF69FC" w14:textId="7CFBC7AE" w:rsidR="004F6155" w:rsidRPr="00905097" w:rsidRDefault="00E71500" w:rsidP="004F6155">
      <w:pPr>
        <w:pStyle w:val="BodyText"/>
        <w:rPr>
          <w:lang w:eastAsia="fr-CA"/>
        </w:rPr>
      </w:pPr>
      <w:r w:rsidRPr="00905097">
        <w:rPr>
          <w:lang w:eastAsia="fr-CA"/>
        </w:rPr>
        <w:t>To address the problem, t</w:t>
      </w:r>
      <w:r w:rsidR="004F6155" w:rsidRPr="00905097">
        <w:rPr>
          <w:lang w:eastAsia="fr-CA"/>
        </w:rPr>
        <w:t xml:space="preserve">hree policy </w:t>
      </w:r>
      <w:r w:rsidR="00991DA1" w:rsidRPr="00905097">
        <w:rPr>
          <w:lang w:eastAsia="fr-CA"/>
        </w:rPr>
        <w:t xml:space="preserve">approaches </w:t>
      </w:r>
      <w:r w:rsidR="00612D3A" w:rsidRPr="00905097">
        <w:rPr>
          <w:lang w:eastAsia="fr-CA"/>
        </w:rPr>
        <w:t>(P</w:t>
      </w:r>
      <w:r w:rsidR="00991DA1" w:rsidRPr="00905097">
        <w:rPr>
          <w:lang w:eastAsia="fr-CA"/>
        </w:rPr>
        <w:t>A</w:t>
      </w:r>
      <w:r w:rsidR="005625B8" w:rsidRPr="00905097">
        <w:rPr>
          <w:lang w:eastAsia="fr-CA"/>
        </w:rPr>
        <w:t>s</w:t>
      </w:r>
      <w:r w:rsidR="00612D3A" w:rsidRPr="00905097">
        <w:rPr>
          <w:lang w:eastAsia="fr-CA"/>
        </w:rPr>
        <w:t>)</w:t>
      </w:r>
      <w:r w:rsidR="004F6155" w:rsidRPr="00905097">
        <w:rPr>
          <w:lang w:eastAsia="fr-CA"/>
        </w:rPr>
        <w:t xml:space="preserve"> </w:t>
      </w:r>
      <w:r w:rsidR="002C05C4" w:rsidRPr="00905097">
        <w:rPr>
          <w:lang w:eastAsia="fr-CA"/>
        </w:rPr>
        <w:t>were</w:t>
      </w:r>
      <w:r w:rsidR="004F6155" w:rsidRPr="00905097">
        <w:rPr>
          <w:lang w:eastAsia="fr-CA"/>
        </w:rPr>
        <w:t xml:space="preserve"> considered:</w:t>
      </w:r>
    </w:p>
    <w:p w14:paraId="62F28C35" w14:textId="5330B0AB" w:rsidR="00D40585" w:rsidRPr="00905097" w:rsidRDefault="00D40585" w:rsidP="00FE11C4">
      <w:pPr>
        <w:pStyle w:val="ListNumber"/>
        <w:rPr>
          <w:lang w:eastAsia="fr-CA"/>
        </w:rPr>
      </w:pPr>
      <w:r w:rsidRPr="00905097">
        <w:rPr>
          <w:b/>
          <w:bCs/>
          <w:color w:val="F9423A" w:themeColor="text2"/>
          <w:lang w:eastAsia="fr-CA"/>
        </w:rPr>
        <w:t>P</w:t>
      </w:r>
      <w:r w:rsidR="00991DA1" w:rsidRPr="00905097">
        <w:rPr>
          <w:b/>
          <w:bCs/>
          <w:color w:val="F9423A" w:themeColor="text2"/>
          <w:lang w:eastAsia="fr-CA"/>
        </w:rPr>
        <w:t>A</w:t>
      </w:r>
      <w:r w:rsidRPr="00905097">
        <w:rPr>
          <w:b/>
          <w:bCs/>
          <w:color w:val="F9423A" w:themeColor="text2"/>
          <w:lang w:eastAsia="fr-CA"/>
        </w:rPr>
        <w:t>1</w:t>
      </w:r>
      <w:r w:rsidRPr="00905097">
        <w:rPr>
          <w:color w:val="F9423A" w:themeColor="text2"/>
          <w:lang w:eastAsia="fr-CA"/>
        </w:rPr>
        <w:t xml:space="preserve"> </w:t>
      </w:r>
      <w:r w:rsidRPr="00905097">
        <w:rPr>
          <w:b/>
          <w:lang w:eastAsia="fr-CA"/>
        </w:rPr>
        <w:t>Market-led</w:t>
      </w:r>
      <w:r w:rsidRPr="00905097">
        <w:rPr>
          <w:lang w:eastAsia="fr-CA"/>
        </w:rPr>
        <w:t xml:space="preserve">, </w:t>
      </w:r>
      <w:r w:rsidR="00060A39" w:rsidRPr="00905097">
        <w:rPr>
          <w:lang w:eastAsia="fr-CA"/>
        </w:rPr>
        <w:t xml:space="preserve">allowing market </w:t>
      </w:r>
      <w:r w:rsidR="00060A39" w:rsidRPr="00855A08">
        <w:rPr>
          <w:lang w:eastAsia="fr-CA"/>
        </w:rPr>
        <w:t xml:space="preserve">participants </w:t>
      </w:r>
      <w:r w:rsidR="00905097" w:rsidRPr="00855A08">
        <w:rPr>
          <w:lang w:eastAsia="fr-CA"/>
        </w:rPr>
        <w:t>(</w:t>
      </w:r>
      <w:r w:rsidR="00142C09">
        <w:rPr>
          <w:lang w:eastAsia="fr-CA"/>
        </w:rPr>
        <w:t xml:space="preserve">vehicle manufacturer </w:t>
      </w:r>
      <w:r w:rsidR="00C61439" w:rsidRPr="00855A08">
        <w:rPr>
          <w:lang w:eastAsia="fr-CA"/>
        </w:rPr>
        <w:t>industry</w:t>
      </w:r>
      <w:r w:rsidR="00905097" w:rsidRPr="00855A08">
        <w:rPr>
          <w:lang w:eastAsia="fr-CA"/>
        </w:rPr>
        <w:t>)</w:t>
      </w:r>
      <w:r w:rsidR="00905097" w:rsidRPr="00905097">
        <w:rPr>
          <w:lang w:eastAsia="fr-CA"/>
        </w:rPr>
        <w:t xml:space="preserve"> </w:t>
      </w:r>
      <w:r w:rsidR="00060A39" w:rsidRPr="00905097">
        <w:rPr>
          <w:lang w:eastAsia="fr-CA"/>
        </w:rPr>
        <w:t xml:space="preserve">to make </w:t>
      </w:r>
      <w:r w:rsidR="00DF090E">
        <w:rPr>
          <w:lang w:eastAsia="fr-CA"/>
        </w:rPr>
        <w:t xml:space="preserve">their own </w:t>
      </w:r>
      <w:r w:rsidR="00060A39" w:rsidRPr="00905097">
        <w:rPr>
          <w:lang w:eastAsia="fr-CA"/>
        </w:rPr>
        <w:t>choices on technologies and standards</w:t>
      </w:r>
      <w:r w:rsidR="0024492C">
        <w:rPr>
          <w:lang w:eastAsia="fr-CA"/>
        </w:rPr>
        <w:t>.</w:t>
      </w:r>
    </w:p>
    <w:p w14:paraId="3CEAEB84" w14:textId="6FD93BFE" w:rsidR="00F01E71" w:rsidRPr="005764FC" w:rsidRDefault="00D40585" w:rsidP="00F01E71">
      <w:pPr>
        <w:pStyle w:val="ListNumber"/>
        <w:rPr>
          <w:lang w:eastAsia="fr-CA"/>
        </w:rPr>
      </w:pPr>
      <w:r w:rsidRPr="005764FC">
        <w:rPr>
          <w:b/>
          <w:bCs/>
          <w:color w:val="F9423A" w:themeColor="text2"/>
          <w:lang w:eastAsia="fr-CA"/>
        </w:rPr>
        <w:t>P</w:t>
      </w:r>
      <w:r w:rsidR="00991DA1" w:rsidRPr="005764FC">
        <w:rPr>
          <w:b/>
          <w:bCs/>
          <w:color w:val="F9423A" w:themeColor="text2"/>
          <w:lang w:eastAsia="fr-CA"/>
        </w:rPr>
        <w:t>A</w:t>
      </w:r>
      <w:r w:rsidRPr="005764FC">
        <w:rPr>
          <w:b/>
          <w:bCs/>
          <w:color w:val="F9423A" w:themeColor="text2"/>
          <w:lang w:eastAsia="fr-CA"/>
        </w:rPr>
        <w:t xml:space="preserve">2 </w:t>
      </w:r>
      <w:r w:rsidRPr="005764FC">
        <w:rPr>
          <w:b/>
          <w:lang w:eastAsia="fr-CA"/>
        </w:rPr>
        <w:t xml:space="preserve">Government leadership </w:t>
      </w:r>
      <w:r w:rsidR="00993DFC" w:rsidRPr="005764FC">
        <w:rPr>
          <w:b/>
          <w:lang w:eastAsia="fr-CA"/>
        </w:rPr>
        <w:t>and</w:t>
      </w:r>
      <w:r w:rsidRPr="005764FC">
        <w:rPr>
          <w:b/>
          <w:lang w:eastAsia="fr-CA"/>
        </w:rPr>
        <w:t xml:space="preserve"> </w:t>
      </w:r>
      <w:r w:rsidR="00200F96" w:rsidRPr="005764FC">
        <w:rPr>
          <w:b/>
          <w:lang w:eastAsia="fr-CA"/>
        </w:rPr>
        <w:t>direction</w:t>
      </w:r>
      <w:r w:rsidR="003419F7" w:rsidRPr="005764FC">
        <w:rPr>
          <w:b/>
          <w:lang w:eastAsia="fr-CA"/>
        </w:rPr>
        <w:t xml:space="preserve"> </w:t>
      </w:r>
      <w:r w:rsidR="00993DFC" w:rsidRPr="005764FC">
        <w:rPr>
          <w:bCs/>
          <w:lang w:eastAsia="fr-CA"/>
        </w:rPr>
        <w:t xml:space="preserve">to </w:t>
      </w:r>
      <w:r w:rsidR="00804F4E" w:rsidRPr="005764FC">
        <w:rPr>
          <w:bCs/>
          <w:lang w:eastAsia="fr-CA"/>
        </w:rPr>
        <w:t xml:space="preserve">support </w:t>
      </w:r>
      <w:r w:rsidR="002B14FA" w:rsidRPr="005764FC">
        <w:rPr>
          <w:lang w:eastAsia="fr-CA"/>
        </w:rPr>
        <w:t>creat</w:t>
      </w:r>
      <w:r w:rsidR="00804F4E" w:rsidRPr="005764FC">
        <w:rPr>
          <w:bCs/>
          <w:lang w:eastAsia="fr-CA"/>
        </w:rPr>
        <w:t>ion of</w:t>
      </w:r>
      <w:r w:rsidR="007B26E5" w:rsidRPr="005764FC">
        <w:rPr>
          <w:lang w:eastAsia="fr-CA"/>
        </w:rPr>
        <w:t xml:space="preserve"> </w:t>
      </w:r>
      <w:r w:rsidRPr="005764FC">
        <w:rPr>
          <w:lang w:eastAsia="fr-CA"/>
        </w:rPr>
        <w:t xml:space="preserve">a </w:t>
      </w:r>
      <w:r w:rsidR="003419F7" w:rsidRPr="005764FC">
        <w:rPr>
          <w:lang w:eastAsia="fr-CA"/>
        </w:rPr>
        <w:t>national</w:t>
      </w:r>
      <w:r w:rsidRPr="005764FC">
        <w:rPr>
          <w:lang w:eastAsia="fr-CA"/>
        </w:rPr>
        <w:t xml:space="preserve"> framework for </w:t>
      </w:r>
      <w:r w:rsidR="0059220A" w:rsidRPr="005764FC">
        <w:rPr>
          <w:lang w:eastAsia="fr-CA"/>
        </w:rPr>
        <w:t>the rollout of</w:t>
      </w:r>
      <w:r w:rsidRPr="005764FC">
        <w:rPr>
          <w:lang w:eastAsia="fr-CA"/>
        </w:rPr>
        <w:t xml:space="preserve"> essential enabling technology</w:t>
      </w:r>
      <w:r w:rsidR="0024492C">
        <w:rPr>
          <w:lang w:eastAsia="fr-CA"/>
        </w:rPr>
        <w:t>.</w:t>
      </w:r>
    </w:p>
    <w:p w14:paraId="44275024" w14:textId="65B16EC8" w:rsidR="00D303FD" w:rsidRPr="005764FC" w:rsidRDefault="00D40585" w:rsidP="00F01E71">
      <w:pPr>
        <w:pStyle w:val="ListNumber"/>
        <w:rPr>
          <w:lang w:eastAsia="fr-CA"/>
        </w:rPr>
      </w:pPr>
      <w:r w:rsidRPr="005764FC">
        <w:rPr>
          <w:b/>
          <w:bCs/>
          <w:color w:val="F9423A" w:themeColor="text2"/>
          <w:lang w:eastAsia="fr-CA"/>
        </w:rPr>
        <w:t>P</w:t>
      </w:r>
      <w:r w:rsidR="00991DA1" w:rsidRPr="005764FC">
        <w:rPr>
          <w:b/>
          <w:bCs/>
          <w:color w:val="F9423A" w:themeColor="text2"/>
          <w:lang w:eastAsia="fr-CA"/>
        </w:rPr>
        <w:t>A</w:t>
      </w:r>
      <w:r w:rsidRPr="005764FC">
        <w:rPr>
          <w:b/>
          <w:bCs/>
          <w:color w:val="F9423A" w:themeColor="text2"/>
          <w:lang w:eastAsia="fr-CA"/>
        </w:rPr>
        <w:t xml:space="preserve">3 </w:t>
      </w:r>
      <w:r w:rsidR="003419F7" w:rsidRPr="005764FC">
        <w:rPr>
          <w:b/>
          <w:lang w:eastAsia="fr-CA"/>
        </w:rPr>
        <w:t>Introduc</w:t>
      </w:r>
      <w:r w:rsidR="00513C45" w:rsidRPr="005764FC">
        <w:rPr>
          <w:b/>
          <w:lang w:eastAsia="fr-CA"/>
        </w:rPr>
        <w:t>ing</w:t>
      </w:r>
      <w:r w:rsidR="003419F7" w:rsidRPr="005764FC">
        <w:rPr>
          <w:b/>
          <w:lang w:eastAsia="fr-CA"/>
        </w:rPr>
        <w:t xml:space="preserve"> </w:t>
      </w:r>
      <w:r w:rsidR="00991DA1" w:rsidRPr="005764FC">
        <w:rPr>
          <w:b/>
          <w:lang w:eastAsia="fr-CA"/>
        </w:rPr>
        <w:t>obligations</w:t>
      </w:r>
      <w:r w:rsidR="003419F7" w:rsidRPr="005764FC">
        <w:rPr>
          <w:b/>
          <w:lang w:eastAsia="fr-CA"/>
        </w:rPr>
        <w:t xml:space="preserve"> for </w:t>
      </w:r>
      <w:r w:rsidRPr="005764FC">
        <w:rPr>
          <w:b/>
          <w:lang w:eastAsia="fr-CA"/>
        </w:rPr>
        <w:t xml:space="preserve">C-ITS services and data </w:t>
      </w:r>
      <w:r w:rsidR="00991DA1" w:rsidRPr="005764FC">
        <w:rPr>
          <w:b/>
          <w:lang w:eastAsia="fr-CA"/>
        </w:rPr>
        <w:t>to be require</w:t>
      </w:r>
      <w:r w:rsidR="00513C45" w:rsidRPr="005764FC">
        <w:rPr>
          <w:b/>
          <w:lang w:eastAsia="fr-CA"/>
        </w:rPr>
        <w:t>d in</w:t>
      </w:r>
      <w:r w:rsidRPr="005764FC">
        <w:rPr>
          <w:b/>
          <w:lang w:eastAsia="fr-CA"/>
        </w:rPr>
        <w:t xml:space="preserve"> new vehicles</w:t>
      </w:r>
      <w:r w:rsidR="002D0C65" w:rsidRPr="005764FC">
        <w:rPr>
          <w:b/>
          <w:lang w:eastAsia="fr-CA"/>
        </w:rPr>
        <w:t>,</w:t>
      </w:r>
      <w:r w:rsidRPr="005764FC">
        <w:rPr>
          <w:lang w:eastAsia="fr-CA"/>
        </w:rPr>
        <w:t xml:space="preserve"> </w:t>
      </w:r>
      <w:r w:rsidR="002D0C65" w:rsidRPr="005764FC">
        <w:rPr>
          <w:lang w:eastAsia="fr-CA"/>
        </w:rPr>
        <w:t>thereby</w:t>
      </w:r>
      <w:r w:rsidRPr="005764FC">
        <w:rPr>
          <w:lang w:eastAsia="fr-CA"/>
        </w:rPr>
        <w:t xml:space="preserve"> en</w:t>
      </w:r>
      <w:r w:rsidR="00C77C97" w:rsidRPr="005764FC">
        <w:rPr>
          <w:lang w:eastAsia="fr-CA"/>
        </w:rPr>
        <w:t>sur</w:t>
      </w:r>
      <w:r w:rsidRPr="005764FC">
        <w:rPr>
          <w:lang w:eastAsia="fr-CA"/>
        </w:rPr>
        <w:t>ing</w:t>
      </w:r>
      <w:r w:rsidR="002C0AE1" w:rsidRPr="005764FC">
        <w:rPr>
          <w:lang w:eastAsia="fr-CA"/>
        </w:rPr>
        <w:t xml:space="preserve"> </w:t>
      </w:r>
      <w:r w:rsidR="006F510B" w:rsidRPr="005764FC">
        <w:rPr>
          <w:lang w:eastAsia="fr-CA"/>
        </w:rPr>
        <w:br/>
      </w:r>
      <w:r w:rsidR="002D0C65" w:rsidRPr="005764FC">
        <w:rPr>
          <w:lang w:eastAsia="fr-CA"/>
        </w:rPr>
        <w:t xml:space="preserve">C-ITS </w:t>
      </w:r>
      <w:r w:rsidRPr="005764FC">
        <w:rPr>
          <w:lang w:eastAsia="fr-CA"/>
        </w:rPr>
        <w:t>uptake</w:t>
      </w:r>
      <w:r w:rsidR="0024492C">
        <w:rPr>
          <w:lang w:eastAsia="fr-CA"/>
        </w:rPr>
        <w:t>.</w:t>
      </w:r>
    </w:p>
    <w:p w14:paraId="32DF26A6" w14:textId="03C6351A" w:rsidR="00B23994" w:rsidRPr="005764FC" w:rsidRDefault="00B23994" w:rsidP="00D60ADF">
      <w:pPr>
        <w:pStyle w:val="Heading3"/>
        <w:numPr>
          <w:ilvl w:val="0"/>
          <w:numId w:val="0"/>
        </w:numPr>
        <w:ind w:left="1134" w:hanging="1134"/>
      </w:pPr>
      <w:r w:rsidRPr="005764FC">
        <w:t>Policy Analysis and Outcomes</w:t>
      </w:r>
    </w:p>
    <w:p w14:paraId="712C250E" w14:textId="44E3258F" w:rsidR="0029508A" w:rsidRPr="005764FC" w:rsidRDefault="0061270E" w:rsidP="0024492C">
      <w:pPr>
        <w:pStyle w:val="BodyText"/>
        <w:keepNext/>
        <w:rPr>
          <w:lang w:eastAsia="fr-CA"/>
        </w:rPr>
      </w:pPr>
      <w:r w:rsidRPr="005764FC">
        <w:t xml:space="preserve">As part of this analysis, </w:t>
      </w:r>
      <w:r w:rsidR="0073727E" w:rsidRPr="005764FC">
        <w:t xml:space="preserve">key policy issues are </w:t>
      </w:r>
      <w:r w:rsidR="00EE3CF5" w:rsidRPr="005764FC">
        <w:t>identif</w:t>
      </w:r>
      <w:r w:rsidR="0073727E" w:rsidRPr="005764FC">
        <w:t>ied</w:t>
      </w:r>
      <w:r w:rsidR="00EE3CF5" w:rsidRPr="005764FC">
        <w:t xml:space="preserve"> and examine</w:t>
      </w:r>
      <w:r w:rsidR="0073727E" w:rsidRPr="005764FC">
        <w:t>d</w:t>
      </w:r>
      <w:r w:rsidR="00EE3CF5" w:rsidRPr="005764FC">
        <w:t xml:space="preserve"> </w:t>
      </w:r>
      <w:r w:rsidR="003317F5" w:rsidRPr="005764FC">
        <w:t xml:space="preserve">to </w:t>
      </w:r>
      <w:r w:rsidR="00991DA1" w:rsidRPr="005764FC">
        <w:t>help</w:t>
      </w:r>
      <w:r w:rsidR="003317F5" w:rsidRPr="005764FC">
        <w:t xml:space="preserve"> </w:t>
      </w:r>
      <w:r w:rsidR="0029508A" w:rsidRPr="005764FC">
        <w:rPr>
          <w:lang w:eastAsia="fr-CA"/>
        </w:rPr>
        <w:t>guide the national strategies in relation to C‑ITS</w:t>
      </w:r>
      <w:r w:rsidR="00D75008" w:rsidRPr="005764FC">
        <w:rPr>
          <w:lang w:eastAsia="fr-CA"/>
        </w:rPr>
        <w:t xml:space="preserve"> deployment</w:t>
      </w:r>
      <w:r w:rsidR="0029508A" w:rsidRPr="005764FC">
        <w:rPr>
          <w:lang w:eastAsia="fr-CA"/>
        </w:rPr>
        <w:t xml:space="preserve">: </w:t>
      </w:r>
    </w:p>
    <w:p w14:paraId="11D37490" w14:textId="66FBDC31" w:rsidR="00B85EB9" w:rsidRPr="005764FC" w:rsidRDefault="00991DA1" w:rsidP="00D60ADF">
      <w:pPr>
        <w:pStyle w:val="ListNumber"/>
        <w:keepNext/>
        <w:numPr>
          <w:ilvl w:val="0"/>
          <w:numId w:val="20"/>
        </w:numPr>
      </w:pPr>
      <w:bookmarkStart w:id="47" w:name="_Hlk96036336"/>
      <w:r w:rsidRPr="005764FC">
        <w:t>To what extent does</w:t>
      </w:r>
      <w:r w:rsidR="0029508A" w:rsidRPr="005764FC">
        <w:t xml:space="preserve"> C-ITS need government direction and intervention</w:t>
      </w:r>
      <w:r w:rsidR="007C0EF2" w:rsidRPr="005764FC">
        <w:t xml:space="preserve">? </w:t>
      </w:r>
      <w:r w:rsidR="002057CC" w:rsidRPr="005764FC">
        <w:t>What are the benefits</w:t>
      </w:r>
      <w:r w:rsidR="00874FCD">
        <w:t>/risks</w:t>
      </w:r>
      <w:r w:rsidR="002057CC" w:rsidRPr="005764FC">
        <w:t xml:space="preserve"> in maintaining</w:t>
      </w:r>
      <w:r w:rsidR="00100431" w:rsidRPr="005764FC">
        <w:t xml:space="preserve"> </w:t>
      </w:r>
      <w:r w:rsidR="0029508A" w:rsidRPr="005764FC">
        <w:t xml:space="preserve">the </w:t>
      </w:r>
      <w:r w:rsidR="00DA336E" w:rsidRPr="005764FC">
        <w:t xml:space="preserve">wait-and-see </w:t>
      </w:r>
      <w:r w:rsidR="0029508A" w:rsidRPr="005764FC">
        <w:t xml:space="preserve">approach taken to date? </w:t>
      </w:r>
    </w:p>
    <w:p w14:paraId="74866195" w14:textId="2147E4A8" w:rsidR="00B85EB9" w:rsidRPr="005764FC" w:rsidRDefault="00991DA1" w:rsidP="00D60ADF">
      <w:pPr>
        <w:pStyle w:val="ListNumber"/>
        <w:numPr>
          <w:ilvl w:val="0"/>
          <w:numId w:val="20"/>
        </w:numPr>
      </w:pPr>
      <w:r w:rsidRPr="005764FC">
        <w:t>H</w:t>
      </w:r>
      <w:r w:rsidR="0029508A" w:rsidRPr="005764FC">
        <w:t xml:space="preserve">ow is progress with </w:t>
      </w:r>
      <w:r w:rsidRPr="005764FC">
        <w:t xml:space="preserve">international </w:t>
      </w:r>
      <w:r w:rsidR="0029508A" w:rsidRPr="005764FC">
        <w:t>standards relevant to Australia</w:t>
      </w:r>
      <w:r w:rsidR="00513C45" w:rsidRPr="005764FC">
        <w:t>?</w:t>
      </w:r>
      <w:r w:rsidRPr="005764FC">
        <w:t xml:space="preserve"> </w:t>
      </w:r>
      <w:r w:rsidR="00513C45" w:rsidRPr="005764FC">
        <w:t>W</w:t>
      </w:r>
      <w:r w:rsidR="002057CC" w:rsidRPr="005764FC">
        <w:t>hat are the pros and cons of</w:t>
      </w:r>
      <w:r w:rsidRPr="005764FC">
        <w:t xml:space="preserve"> </w:t>
      </w:r>
      <w:r w:rsidR="002057CC" w:rsidRPr="005764FC">
        <w:t xml:space="preserve">looking </w:t>
      </w:r>
      <w:r w:rsidRPr="005764FC">
        <w:t>to align with a specific suite of these standards?</w:t>
      </w:r>
      <w:r w:rsidR="0029508A" w:rsidRPr="005764FC">
        <w:t xml:space="preserve"> </w:t>
      </w:r>
    </w:p>
    <w:p w14:paraId="49EF1A9F" w14:textId="74D96E64" w:rsidR="00342A07" w:rsidRPr="00342A07" w:rsidRDefault="00991DA1" w:rsidP="00342A07">
      <w:pPr>
        <w:pStyle w:val="ListNumber"/>
        <w:numPr>
          <w:ilvl w:val="0"/>
          <w:numId w:val="16"/>
        </w:numPr>
      </w:pPr>
      <w:r w:rsidRPr="005764FC">
        <w:t>What kinds of</w:t>
      </w:r>
      <w:r w:rsidR="0029508A" w:rsidRPr="005764FC">
        <w:t xml:space="preserve"> decision</w:t>
      </w:r>
      <w:r w:rsidRPr="005764FC">
        <w:t>s are</w:t>
      </w:r>
      <w:r w:rsidR="0029508A" w:rsidRPr="005764FC">
        <w:t xml:space="preserve"> needed </w:t>
      </w:r>
      <w:r w:rsidRPr="005764FC">
        <w:t>in relation to the</w:t>
      </w:r>
      <w:r w:rsidR="0029508A" w:rsidRPr="005764FC">
        <w:t xml:space="preserve"> physical technology used for short-range communications?</w:t>
      </w:r>
    </w:p>
    <w:p w14:paraId="7F40B4F1" w14:textId="6A963D5D" w:rsidR="00C47D9A" w:rsidRPr="005764FC" w:rsidRDefault="00C47D9A" w:rsidP="004F5211">
      <w:pPr>
        <w:pStyle w:val="ListNumber"/>
        <w:numPr>
          <w:ilvl w:val="0"/>
          <w:numId w:val="0"/>
        </w:numPr>
      </w:pPr>
      <w:r w:rsidRPr="00855A08">
        <w:t xml:space="preserve">Further </w:t>
      </w:r>
      <w:r w:rsidR="00FD3DCA" w:rsidRPr="00855A08">
        <w:t xml:space="preserve">detail on each of these policy </w:t>
      </w:r>
      <w:r w:rsidR="0056370A" w:rsidRPr="00855A08">
        <w:t>issues is provide</w:t>
      </w:r>
      <w:r w:rsidR="0047053E" w:rsidRPr="00855A08">
        <w:t>d</w:t>
      </w:r>
      <w:r w:rsidR="0056370A" w:rsidRPr="00855A08">
        <w:t xml:space="preserve"> below.</w:t>
      </w:r>
      <w:r w:rsidR="00A6412B" w:rsidRPr="00855A08">
        <w:t xml:space="preserve"> Fifteen key </w:t>
      </w:r>
      <w:r w:rsidR="00851F3A" w:rsidRPr="00855A08">
        <w:t>findings</w:t>
      </w:r>
      <w:r w:rsidR="00A6412B" w:rsidRPr="00855A08">
        <w:t xml:space="preserve"> </w:t>
      </w:r>
      <w:r w:rsidR="00323A65" w:rsidRPr="00855A08">
        <w:t xml:space="preserve">from the research </w:t>
      </w:r>
      <w:r w:rsidR="00A6412B" w:rsidRPr="00855A08">
        <w:t>are also outlined</w:t>
      </w:r>
      <w:r w:rsidR="00562814" w:rsidRPr="00855A08">
        <w:t xml:space="preserve"> </w:t>
      </w:r>
      <w:r w:rsidR="00B62116" w:rsidRPr="00855A08">
        <w:t>relating to</w:t>
      </w:r>
      <w:r w:rsidR="00562814" w:rsidRPr="00855A08">
        <w:t xml:space="preserve"> the three policy issue areas</w:t>
      </w:r>
      <w:r w:rsidR="00797D56" w:rsidRPr="00855A08">
        <w:t>.</w:t>
      </w:r>
    </w:p>
    <w:bookmarkEnd w:id="47"/>
    <w:p w14:paraId="627AD4A2" w14:textId="1EEEC3C4" w:rsidR="004914DB" w:rsidRPr="005764FC" w:rsidRDefault="00E71163" w:rsidP="00D60ADF">
      <w:pPr>
        <w:pStyle w:val="Heading3"/>
        <w:numPr>
          <w:ilvl w:val="0"/>
          <w:numId w:val="0"/>
        </w:numPr>
        <w:ind w:left="1134" w:hanging="1134"/>
        <w:rPr>
          <w:lang w:eastAsia="fr-CA"/>
        </w:rPr>
      </w:pPr>
      <w:r>
        <w:rPr>
          <w:lang w:eastAsia="fr-CA"/>
        </w:rPr>
        <w:t xml:space="preserve">1. </w:t>
      </w:r>
      <w:r w:rsidR="00E86E4C" w:rsidRPr="005764FC">
        <w:rPr>
          <w:lang w:eastAsia="fr-CA"/>
        </w:rPr>
        <w:t>WHAT LEVEL OF LEADERSHIP AND INTERVENTION IS APPROPRIATE</w:t>
      </w:r>
      <w:r w:rsidR="004914DB" w:rsidRPr="005764FC">
        <w:rPr>
          <w:lang w:eastAsia="fr-CA"/>
        </w:rPr>
        <w:t>?</w:t>
      </w:r>
    </w:p>
    <w:p w14:paraId="48E3F70B" w14:textId="7EF462D8" w:rsidR="004E7DB1" w:rsidRPr="005764FC" w:rsidRDefault="008B209A" w:rsidP="004E7DB1">
      <w:pPr>
        <w:pStyle w:val="BodyText"/>
        <w:rPr>
          <w:lang w:eastAsia="fr-CA"/>
        </w:rPr>
      </w:pPr>
      <w:r w:rsidRPr="005764FC">
        <w:rPr>
          <w:lang w:eastAsia="fr-CA"/>
        </w:rPr>
        <w:t>In the absence of</w:t>
      </w:r>
      <w:r w:rsidR="00557A06" w:rsidRPr="005764FC">
        <w:rPr>
          <w:lang w:eastAsia="fr-CA"/>
        </w:rPr>
        <w:t xml:space="preserve"> national action (</w:t>
      </w:r>
      <w:r w:rsidR="007F0C99" w:rsidRPr="005764FC">
        <w:rPr>
          <w:lang w:eastAsia="fr-CA"/>
        </w:rPr>
        <w:t>PA1</w:t>
      </w:r>
      <w:r w:rsidR="00557A06" w:rsidRPr="005764FC">
        <w:rPr>
          <w:lang w:eastAsia="fr-CA"/>
        </w:rPr>
        <w:t xml:space="preserve">), C-ITS deployment, which relies on interoperability </w:t>
      </w:r>
      <w:r w:rsidR="00023511" w:rsidRPr="005764FC">
        <w:rPr>
          <w:lang w:eastAsia="fr-CA"/>
        </w:rPr>
        <w:t>across the whole</w:t>
      </w:r>
      <w:r w:rsidR="00557A06" w:rsidRPr="005764FC">
        <w:rPr>
          <w:lang w:eastAsia="fr-CA"/>
        </w:rPr>
        <w:t xml:space="preserve"> of </w:t>
      </w:r>
      <w:r w:rsidR="00023511" w:rsidRPr="005764FC">
        <w:rPr>
          <w:lang w:eastAsia="fr-CA"/>
        </w:rPr>
        <w:t>an</w:t>
      </w:r>
      <w:r w:rsidR="00557A06" w:rsidRPr="005764FC">
        <w:rPr>
          <w:lang w:eastAsia="fr-CA"/>
        </w:rPr>
        <w:t xml:space="preserve"> ecosystem, will fail or be severely limited in </w:t>
      </w:r>
      <w:r w:rsidR="00557A06" w:rsidRPr="005764FC">
        <w:rPr>
          <w:bCs/>
          <w:lang w:eastAsia="fr-CA"/>
        </w:rPr>
        <w:t>achieving the projected benefits</w:t>
      </w:r>
      <w:r w:rsidR="00557A06" w:rsidRPr="005764FC">
        <w:rPr>
          <w:lang w:eastAsia="fr-CA"/>
        </w:rPr>
        <w:t>.</w:t>
      </w:r>
      <w:r w:rsidR="00D63C8F" w:rsidRPr="005764FC">
        <w:rPr>
          <w:lang w:eastAsia="fr-CA"/>
        </w:rPr>
        <w:t xml:space="preserve"> </w:t>
      </w:r>
      <w:r w:rsidR="00872C80" w:rsidRPr="005764FC">
        <w:rPr>
          <w:lang w:eastAsia="fr-CA"/>
        </w:rPr>
        <w:t>T</w:t>
      </w:r>
      <w:r w:rsidR="009F7B02" w:rsidRPr="005764FC">
        <w:rPr>
          <w:lang w:eastAsia="fr-CA"/>
        </w:rPr>
        <w:t xml:space="preserve">he introduction of </w:t>
      </w:r>
      <w:r w:rsidR="006F0C65" w:rsidRPr="005764FC">
        <w:rPr>
          <w:lang w:eastAsia="fr-CA"/>
        </w:rPr>
        <w:t>requirements</w:t>
      </w:r>
      <w:r w:rsidR="00B14AFF" w:rsidRPr="005764FC">
        <w:rPr>
          <w:lang w:eastAsia="fr-CA"/>
        </w:rPr>
        <w:t xml:space="preserve"> for C-ITS services and data</w:t>
      </w:r>
      <w:r w:rsidR="006F0C65" w:rsidRPr="005764FC">
        <w:rPr>
          <w:lang w:eastAsia="fr-CA"/>
        </w:rPr>
        <w:t xml:space="preserve"> in new vehicles</w:t>
      </w:r>
      <w:r w:rsidR="00BB5C71" w:rsidRPr="005764FC">
        <w:rPr>
          <w:lang w:eastAsia="fr-CA"/>
        </w:rPr>
        <w:t xml:space="preserve"> (PA3)</w:t>
      </w:r>
      <w:r w:rsidR="006F0C65" w:rsidRPr="005764FC">
        <w:rPr>
          <w:lang w:eastAsia="fr-CA"/>
        </w:rPr>
        <w:t xml:space="preserve"> </w:t>
      </w:r>
      <w:r w:rsidR="002E108E" w:rsidRPr="005764FC">
        <w:rPr>
          <w:lang w:eastAsia="fr-CA"/>
        </w:rPr>
        <w:t>is premature</w:t>
      </w:r>
      <w:r w:rsidR="00557A06" w:rsidRPr="005764FC">
        <w:rPr>
          <w:lang w:eastAsia="fr-CA"/>
        </w:rPr>
        <w:t xml:space="preserve"> </w:t>
      </w:r>
      <w:r w:rsidR="00872C80" w:rsidRPr="005764FC">
        <w:rPr>
          <w:lang w:eastAsia="fr-CA"/>
        </w:rPr>
        <w:t xml:space="preserve">without certainty of a national framework and deployment in place. </w:t>
      </w:r>
      <w:r w:rsidR="00582DDB" w:rsidRPr="005764FC">
        <w:rPr>
          <w:lang w:eastAsia="fr-CA"/>
        </w:rPr>
        <w:t xml:space="preserve">The policy analysis </w:t>
      </w:r>
      <w:r w:rsidR="00F110AE" w:rsidRPr="005764FC">
        <w:rPr>
          <w:lang w:eastAsia="fr-CA"/>
        </w:rPr>
        <w:t xml:space="preserve">resulted in the </w:t>
      </w:r>
      <w:r w:rsidR="00144EEA" w:rsidRPr="005764FC">
        <w:rPr>
          <w:bCs/>
          <w:lang w:eastAsia="fr-CA"/>
        </w:rPr>
        <w:t xml:space="preserve">preferred </w:t>
      </w:r>
      <w:r w:rsidR="004F643F" w:rsidRPr="005764FC">
        <w:rPr>
          <w:lang w:eastAsia="fr-CA"/>
        </w:rPr>
        <w:t xml:space="preserve">approach </w:t>
      </w:r>
      <w:r w:rsidR="00E06139" w:rsidRPr="005764FC">
        <w:rPr>
          <w:lang w:eastAsia="fr-CA"/>
        </w:rPr>
        <w:t>of</w:t>
      </w:r>
      <w:r w:rsidR="004F643F" w:rsidRPr="005764FC">
        <w:rPr>
          <w:lang w:eastAsia="fr-CA"/>
        </w:rPr>
        <w:t xml:space="preserve"> </w:t>
      </w:r>
      <w:r w:rsidR="00741609" w:rsidRPr="005764FC">
        <w:rPr>
          <w:b/>
          <w:bCs/>
          <w:lang w:eastAsia="fr-CA"/>
        </w:rPr>
        <w:t>PA2</w:t>
      </w:r>
      <w:r w:rsidR="00245EC8" w:rsidRPr="005764FC">
        <w:rPr>
          <w:b/>
          <w:bCs/>
          <w:lang w:eastAsia="fr-CA"/>
        </w:rPr>
        <w:t>:</w:t>
      </w:r>
      <w:r w:rsidR="009743C8" w:rsidRPr="005764FC">
        <w:rPr>
          <w:b/>
          <w:bCs/>
          <w:lang w:eastAsia="fr-CA"/>
        </w:rPr>
        <w:t xml:space="preserve"> </w:t>
      </w:r>
      <w:r w:rsidR="009743C8" w:rsidRPr="005764FC">
        <w:rPr>
          <w:b/>
          <w:lang w:eastAsia="fr-CA"/>
        </w:rPr>
        <w:t xml:space="preserve">Government </w:t>
      </w:r>
      <w:r w:rsidR="00687863" w:rsidRPr="005764FC">
        <w:rPr>
          <w:b/>
          <w:lang w:eastAsia="fr-CA"/>
        </w:rPr>
        <w:t xml:space="preserve">leadership </w:t>
      </w:r>
      <w:r w:rsidR="00993DFC" w:rsidRPr="005764FC">
        <w:rPr>
          <w:b/>
          <w:lang w:eastAsia="fr-CA"/>
        </w:rPr>
        <w:t>and</w:t>
      </w:r>
      <w:r w:rsidRPr="005764FC">
        <w:rPr>
          <w:b/>
          <w:lang w:eastAsia="fr-CA"/>
        </w:rPr>
        <w:t xml:space="preserve"> </w:t>
      </w:r>
      <w:r w:rsidR="006F510B" w:rsidRPr="005764FC">
        <w:rPr>
          <w:b/>
          <w:lang w:eastAsia="fr-CA"/>
        </w:rPr>
        <w:t>direction</w:t>
      </w:r>
      <w:r w:rsidR="00144EEA" w:rsidRPr="005764FC">
        <w:rPr>
          <w:bCs/>
          <w:lang w:eastAsia="fr-CA"/>
        </w:rPr>
        <w:t>,</w:t>
      </w:r>
      <w:r w:rsidR="00144EEA" w:rsidRPr="005764FC">
        <w:rPr>
          <w:b/>
          <w:lang w:eastAsia="fr-CA"/>
        </w:rPr>
        <w:t xml:space="preserve"> </w:t>
      </w:r>
      <w:r w:rsidR="00AB46E7" w:rsidRPr="005764FC">
        <w:rPr>
          <w:bCs/>
          <w:lang w:eastAsia="fr-CA"/>
        </w:rPr>
        <w:t xml:space="preserve">given </w:t>
      </w:r>
      <w:r w:rsidR="00951BF1" w:rsidRPr="005764FC">
        <w:rPr>
          <w:bCs/>
          <w:lang w:eastAsia="fr-CA"/>
        </w:rPr>
        <w:t xml:space="preserve">that </w:t>
      </w:r>
      <w:r w:rsidR="00865FFF" w:rsidRPr="005764FC">
        <w:rPr>
          <w:bCs/>
          <w:lang w:eastAsia="fr-CA"/>
        </w:rPr>
        <w:t xml:space="preserve">it </w:t>
      </w:r>
      <w:r w:rsidR="00323D69" w:rsidRPr="005764FC">
        <w:rPr>
          <w:bCs/>
          <w:lang w:eastAsia="fr-CA"/>
        </w:rPr>
        <w:t>can</w:t>
      </w:r>
      <w:r w:rsidR="00B85EB9" w:rsidRPr="005764FC">
        <w:rPr>
          <w:bCs/>
          <w:lang w:eastAsia="fr-CA"/>
        </w:rPr>
        <w:t xml:space="preserve"> help </w:t>
      </w:r>
      <w:r w:rsidR="00CD7536" w:rsidRPr="005764FC">
        <w:rPr>
          <w:lang w:eastAsia="fr-CA"/>
        </w:rPr>
        <w:t xml:space="preserve">break </w:t>
      </w:r>
      <w:r w:rsidRPr="005764FC">
        <w:rPr>
          <w:lang w:eastAsia="fr-CA"/>
        </w:rPr>
        <w:t>the</w:t>
      </w:r>
      <w:r w:rsidR="00144EEA" w:rsidRPr="005764FC">
        <w:rPr>
          <w:lang w:eastAsia="fr-CA"/>
        </w:rPr>
        <w:t xml:space="preserve"> </w:t>
      </w:r>
      <w:r w:rsidR="00726DBF" w:rsidRPr="005764FC">
        <w:rPr>
          <w:lang w:eastAsia="fr-CA"/>
        </w:rPr>
        <w:t>chicken</w:t>
      </w:r>
      <w:r w:rsidR="00513C45" w:rsidRPr="005764FC">
        <w:rPr>
          <w:lang w:eastAsia="fr-CA"/>
        </w:rPr>
        <w:t>-</w:t>
      </w:r>
      <w:r w:rsidR="00726DBF" w:rsidRPr="005764FC">
        <w:rPr>
          <w:lang w:eastAsia="fr-CA"/>
        </w:rPr>
        <w:t>and</w:t>
      </w:r>
      <w:r w:rsidR="00513C45" w:rsidRPr="005764FC">
        <w:rPr>
          <w:lang w:eastAsia="fr-CA"/>
        </w:rPr>
        <w:t>-</w:t>
      </w:r>
      <w:r w:rsidR="008314B7" w:rsidRPr="005764FC">
        <w:rPr>
          <w:lang w:eastAsia="fr-CA"/>
        </w:rPr>
        <w:t>egg</w:t>
      </w:r>
      <w:r w:rsidR="00726DBF" w:rsidRPr="005764FC">
        <w:rPr>
          <w:lang w:eastAsia="fr-CA"/>
        </w:rPr>
        <w:t xml:space="preserve"> dilemma </w:t>
      </w:r>
      <w:r w:rsidR="000F6FA3" w:rsidRPr="005764FC">
        <w:rPr>
          <w:bCs/>
          <w:lang w:eastAsia="fr-CA"/>
        </w:rPr>
        <w:t>by</w:t>
      </w:r>
      <w:r w:rsidR="00726DBF" w:rsidRPr="005764FC">
        <w:rPr>
          <w:lang w:eastAsia="fr-CA"/>
        </w:rPr>
        <w:t xml:space="preserve"> </w:t>
      </w:r>
      <w:r w:rsidR="00144EEA" w:rsidRPr="005764FC">
        <w:rPr>
          <w:lang w:eastAsia="fr-CA"/>
        </w:rPr>
        <w:t>acting</w:t>
      </w:r>
      <w:r w:rsidR="00726DBF" w:rsidRPr="005764FC">
        <w:rPr>
          <w:lang w:eastAsia="fr-CA"/>
        </w:rPr>
        <w:t xml:space="preserve"> to encourage</w:t>
      </w:r>
      <w:r w:rsidR="004F643F" w:rsidRPr="005764FC">
        <w:rPr>
          <w:lang w:eastAsia="fr-CA"/>
        </w:rPr>
        <w:t xml:space="preserve"> and leverage</w:t>
      </w:r>
      <w:r w:rsidR="00726DBF" w:rsidRPr="005764FC">
        <w:rPr>
          <w:lang w:eastAsia="fr-CA"/>
        </w:rPr>
        <w:t xml:space="preserve"> industry </w:t>
      </w:r>
      <w:r w:rsidR="00CA2762" w:rsidRPr="005764FC">
        <w:rPr>
          <w:bCs/>
          <w:lang w:eastAsia="fr-CA"/>
        </w:rPr>
        <w:t>development</w:t>
      </w:r>
      <w:r w:rsidR="00250BE3" w:rsidRPr="005764FC">
        <w:rPr>
          <w:bCs/>
          <w:lang w:eastAsia="fr-CA"/>
        </w:rPr>
        <w:t xml:space="preserve"> and investment</w:t>
      </w:r>
      <w:r w:rsidR="00A1295C" w:rsidRPr="005764FC">
        <w:rPr>
          <w:bCs/>
          <w:lang w:eastAsia="fr-CA"/>
        </w:rPr>
        <w:t xml:space="preserve">. </w:t>
      </w:r>
      <w:r w:rsidR="00C2169C" w:rsidRPr="005764FC">
        <w:rPr>
          <w:bCs/>
          <w:lang w:eastAsia="fr-CA"/>
        </w:rPr>
        <w:t>I</w:t>
      </w:r>
      <w:r w:rsidR="009B5CC4" w:rsidRPr="005764FC">
        <w:rPr>
          <w:bCs/>
          <w:lang w:eastAsia="fr-CA"/>
        </w:rPr>
        <w:t xml:space="preserve">t creates certainty for </w:t>
      </w:r>
      <w:r w:rsidR="00C2169C" w:rsidRPr="005764FC">
        <w:rPr>
          <w:bCs/>
          <w:lang w:eastAsia="fr-CA"/>
        </w:rPr>
        <w:t>industry to</w:t>
      </w:r>
      <w:r w:rsidR="003A336F" w:rsidRPr="005764FC">
        <w:rPr>
          <w:bCs/>
          <w:lang w:eastAsia="fr-CA"/>
        </w:rPr>
        <w:t xml:space="preserve"> </w:t>
      </w:r>
      <w:r w:rsidR="00A22BD8" w:rsidRPr="005764FC">
        <w:rPr>
          <w:bCs/>
          <w:lang w:eastAsia="fr-CA"/>
        </w:rPr>
        <w:t xml:space="preserve">progress towards </w:t>
      </w:r>
      <w:r w:rsidR="00CA7D23" w:rsidRPr="005764FC">
        <w:rPr>
          <w:bCs/>
          <w:lang w:eastAsia="fr-CA"/>
        </w:rPr>
        <w:t xml:space="preserve">delivering solutions that align to </w:t>
      </w:r>
      <w:r w:rsidR="00A22BD8" w:rsidRPr="005764FC">
        <w:rPr>
          <w:bCs/>
          <w:lang w:eastAsia="fr-CA"/>
        </w:rPr>
        <w:t xml:space="preserve">strategic </w:t>
      </w:r>
      <w:r w:rsidR="00CA7D23" w:rsidRPr="005764FC">
        <w:rPr>
          <w:bCs/>
          <w:lang w:eastAsia="fr-CA"/>
        </w:rPr>
        <w:t xml:space="preserve">societal </w:t>
      </w:r>
      <w:r w:rsidR="00A22BD8" w:rsidRPr="005764FC">
        <w:rPr>
          <w:bCs/>
          <w:lang w:eastAsia="fr-CA"/>
        </w:rPr>
        <w:t>objectives</w:t>
      </w:r>
      <w:r w:rsidR="00CA7D23" w:rsidRPr="005764FC">
        <w:rPr>
          <w:bCs/>
          <w:lang w:eastAsia="fr-CA"/>
        </w:rPr>
        <w:t>.</w:t>
      </w:r>
      <w:r w:rsidR="003A336F" w:rsidRPr="005764FC">
        <w:rPr>
          <w:bCs/>
          <w:lang w:eastAsia="fr-CA"/>
        </w:rPr>
        <w:t xml:space="preserve"> </w:t>
      </w:r>
      <w:r w:rsidR="00CA7D23" w:rsidRPr="005764FC">
        <w:rPr>
          <w:bCs/>
          <w:lang w:eastAsia="fr-CA"/>
        </w:rPr>
        <w:t xml:space="preserve">As the CBA evidenced, </w:t>
      </w:r>
      <w:r w:rsidR="00A43366" w:rsidRPr="005764FC">
        <w:rPr>
          <w:bCs/>
          <w:lang w:eastAsia="fr-CA"/>
        </w:rPr>
        <w:t xml:space="preserve">the introduction of a national framework with </w:t>
      </w:r>
      <w:r w:rsidR="00FB5918" w:rsidRPr="005764FC">
        <w:rPr>
          <w:lang w:eastAsia="fr-CA"/>
        </w:rPr>
        <w:t>government-led</w:t>
      </w:r>
      <w:r w:rsidR="00FB5918" w:rsidRPr="005764FC" w:rsidDel="002C0AE1">
        <w:rPr>
          <w:lang w:eastAsia="fr-CA"/>
        </w:rPr>
        <w:t xml:space="preserve"> </w:t>
      </w:r>
      <w:r w:rsidR="00A43366" w:rsidRPr="005764FC">
        <w:rPr>
          <w:bCs/>
          <w:lang w:eastAsia="fr-CA"/>
        </w:rPr>
        <w:t xml:space="preserve">infrastructure (roadside stations, central stations, security, etc) </w:t>
      </w:r>
      <w:r w:rsidR="00EF1373" w:rsidRPr="005764FC">
        <w:rPr>
          <w:bCs/>
          <w:lang w:eastAsia="fr-CA"/>
        </w:rPr>
        <w:t>encourages an</w:t>
      </w:r>
      <w:r w:rsidR="003A336F" w:rsidRPr="005764FC">
        <w:rPr>
          <w:bCs/>
          <w:lang w:eastAsia="fr-CA"/>
        </w:rPr>
        <w:t xml:space="preserve"> economically </w:t>
      </w:r>
      <w:r w:rsidR="00EF1373" w:rsidRPr="005764FC">
        <w:rPr>
          <w:bCs/>
          <w:lang w:eastAsia="fr-CA"/>
        </w:rPr>
        <w:t>sustainable</w:t>
      </w:r>
      <w:r w:rsidR="003A336F" w:rsidRPr="005764FC">
        <w:rPr>
          <w:bCs/>
          <w:lang w:eastAsia="fr-CA"/>
        </w:rPr>
        <w:t xml:space="preserve"> deployment</w:t>
      </w:r>
      <w:r w:rsidR="000B3024" w:rsidRPr="005764FC">
        <w:rPr>
          <w:bCs/>
          <w:lang w:eastAsia="fr-CA"/>
        </w:rPr>
        <w:t xml:space="preserve">. </w:t>
      </w:r>
      <w:r w:rsidR="00B27513" w:rsidRPr="005764FC">
        <w:rPr>
          <w:bCs/>
          <w:lang w:eastAsia="fr-CA"/>
        </w:rPr>
        <w:t xml:space="preserve"> </w:t>
      </w:r>
    </w:p>
    <w:tbl>
      <w:tblPr>
        <w:tblStyle w:val="Table1"/>
        <w:tblW w:w="5000" w:type="pct"/>
        <w:tblLayout w:type="fixed"/>
        <w:tblLook w:val="0620" w:firstRow="1" w:lastRow="0" w:firstColumn="0" w:lastColumn="0" w:noHBand="1" w:noVBand="1"/>
      </w:tblPr>
      <w:tblGrid>
        <w:gridCol w:w="990"/>
        <w:gridCol w:w="8757"/>
      </w:tblGrid>
      <w:tr w:rsidR="003C7DD7" w:rsidRPr="005764FC" w14:paraId="37AA0E92" w14:textId="77777777" w:rsidTr="00FE11C4">
        <w:trPr>
          <w:cnfStyle w:val="100000000000" w:firstRow="1" w:lastRow="0" w:firstColumn="0" w:lastColumn="0" w:oddVBand="0" w:evenVBand="0" w:oddHBand="0" w:evenHBand="0" w:firstRowFirstColumn="0" w:firstRowLastColumn="0" w:lastRowFirstColumn="0" w:lastRowLastColumn="0"/>
          <w:cantSplit/>
          <w:tblHeader/>
        </w:trPr>
        <w:tc>
          <w:tcPr>
            <w:tcW w:w="508" w:type="pct"/>
          </w:tcPr>
          <w:p w14:paraId="2E0E509B" w14:textId="77777777" w:rsidR="003C7DD7" w:rsidRPr="005764FC" w:rsidRDefault="003C7DD7" w:rsidP="00FE11C4">
            <w:pPr>
              <w:pStyle w:val="TableHeading"/>
              <w:keepNext/>
              <w:jc w:val="center"/>
              <w:rPr>
                <w:lang w:eastAsia="fr-CA"/>
              </w:rPr>
            </w:pPr>
            <w:r w:rsidRPr="005764FC">
              <w:rPr>
                <w:lang w:eastAsia="fr-CA"/>
              </w:rPr>
              <w:t>Number</w:t>
            </w:r>
          </w:p>
        </w:tc>
        <w:tc>
          <w:tcPr>
            <w:tcW w:w="4492" w:type="pct"/>
          </w:tcPr>
          <w:p w14:paraId="7637043A" w14:textId="7F1F5A83" w:rsidR="003C7DD7" w:rsidRPr="005764FC" w:rsidRDefault="003C7DD7" w:rsidP="00FE11C4">
            <w:pPr>
              <w:pStyle w:val="TableHeading"/>
              <w:keepNext/>
              <w:rPr>
                <w:lang w:eastAsia="fr-CA"/>
              </w:rPr>
            </w:pPr>
            <w:r w:rsidRPr="005764FC">
              <w:rPr>
                <w:lang w:eastAsia="fr-CA"/>
              </w:rPr>
              <w:t xml:space="preserve">Finding </w:t>
            </w:r>
          </w:p>
        </w:tc>
      </w:tr>
      <w:tr w:rsidR="0029551B" w:rsidRPr="005764FC" w14:paraId="29BBC86D" w14:textId="77777777" w:rsidTr="00FE11C4">
        <w:trPr>
          <w:cantSplit/>
        </w:trPr>
        <w:tc>
          <w:tcPr>
            <w:tcW w:w="508" w:type="pct"/>
          </w:tcPr>
          <w:p w14:paraId="00915E57" w14:textId="77777777" w:rsidR="0029551B" w:rsidRPr="005764FC" w:rsidRDefault="0029551B" w:rsidP="00FE11C4">
            <w:pPr>
              <w:pStyle w:val="TableText"/>
              <w:keepNext/>
              <w:jc w:val="center"/>
              <w:rPr>
                <w:lang w:eastAsia="fr-CA"/>
              </w:rPr>
            </w:pPr>
            <w:r w:rsidRPr="005764FC">
              <w:rPr>
                <w:lang w:eastAsia="fr-CA"/>
              </w:rPr>
              <w:t>1</w:t>
            </w:r>
          </w:p>
        </w:tc>
        <w:tc>
          <w:tcPr>
            <w:tcW w:w="4492" w:type="pct"/>
          </w:tcPr>
          <w:p w14:paraId="63DCD3F2" w14:textId="7A2DFDA0" w:rsidR="0029551B" w:rsidRPr="005764FC" w:rsidRDefault="003903C3" w:rsidP="00FE11C4">
            <w:pPr>
              <w:pStyle w:val="TableText"/>
              <w:keepNext/>
              <w:rPr>
                <w:lang w:eastAsia="fr-CA"/>
              </w:rPr>
            </w:pPr>
            <w:r w:rsidRPr="005764FC">
              <w:rPr>
                <w:lang w:eastAsia="fr-CA"/>
              </w:rPr>
              <w:t xml:space="preserve">The benefits that can be delivered by </w:t>
            </w:r>
            <w:r w:rsidR="0029551B" w:rsidRPr="005764FC">
              <w:rPr>
                <w:lang w:eastAsia="fr-CA"/>
              </w:rPr>
              <w:t>C‑ITS ha</w:t>
            </w:r>
            <w:r w:rsidRPr="005764FC">
              <w:rPr>
                <w:lang w:eastAsia="fr-CA"/>
              </w:rPr>
              <w:t>ve</w:t>
            </w:r>
            <w:r w:rsidR="0029551B" w:rsidRPr="005764FC">
              <w:rPr>
                <w:lang w:eastAsia="fr-CA"/>
              </w:rPr>
              <w:t xml:space="preserve"> </w:t>
            </w:r>
            <w:r w:rsidR="00060A39" w:rsidRPr="005764FC">
              <w:rPr>
                <w:lang w:eastAsia="fr-CA"/>
              </w:rPr>
              <w:t xml:space="preserve">been shown to </w:t>
            </w:r>
            <w:r w:rsidR="0029551B" w:rsidRPr="005764FC">
              <w:rPr>
                <w:lang w:eastAsia="fr-CA"/>
              </w:rPr>
              <w:t>target strategic priorities of the National Land Transport</w:t>
            </w:r>
            <w:r w:rsidR="00DE6350" w:rsidRPr="005764FC">
              <w:rPr>
                <w:lang w:eastAsia="fr-CA"/>
              </w:rPr>
              <w:t xml:space="preserve"> Technology</w:t>
            </w:r>
            <w:r w:rsidR="0029551B" w:rsidRPr="005764FC">
              <w:rPr>
                <w:lang w:eastAsia="fr-CA"/>
              </w:rPr>
              <w:t xml:space="preserve"> Action Plan </w:t>
            </w:r>
            <w:r w:rsidR="00144EEA" w:rsidRPr="005764FC">
              <w:rPr>
                <w:lang w:eastAsia="fr-CA"/>
              </w:rPr>
              <w:t xml:space="preserve">– </w:t>
            </w:r>
            <w:r w:rsidR="0029551B" w:rsidRPr="005764FC">
              <w:rPr>
                <w:lang w:eastAsia="fr-CA"/>
              </w:rPr>
              <w:t>safety, efficiency, sustainability and accessibility</w:t>
            </w:r>
            <w:r w:rsidR="00081212" w:rsidRPr="005764FC">
              <w:rPr>
                <w:lang w:eastAsia="fr-CA"/>
              </w:rPr>
              <w:t>.</w:t>
            </w:r>
          </w:p>
        </w:tc>
      </w:tr>
      <w:tr w:rsidR="0029551B" w:rsidRPr="005764FC" w14:paraId="19527E94" w14:textId="77777777" w:rsidTr="00FE11C4">
        <w:trPr>
          <w:cantSplit/>
        </w:trPr>
        <w:tc>
          <w:tcPr>
            <w:tcW w:w="508" w:type="pct"/>
          </w:tcPr>
          <w:p w14:paraId="2404D6EA" w14:textId="77777777" w:rsidR="0029551B" w:rsidRPr="005764FC" w:rsidRDefault="0029551B" w:rsidP="00FE11C4">
            <w:pPr>
              <w:pStyle w:val="TableText"/>
              <w:jc w:val="center"/>
              <w:rPr>
                <w:lang w:eastAsia="fr-CA"/>
              </w:rPr>
            </w:pPr>
            <w:r w:rsidRPr="005764FC">
              <w:rPr>
                <w:lang w:eastAsia="fr-CA"/>
              </w:rPr>
              <w:t>2</w:t>
            </w:r>
          </w:p>
        </w:tc>
        <w:tc>
          <w:tcPr>
            <w:tcW w:w="4492" w:type="pct"/>
          </w:tcPr>
          <w:p w14:paraId="68B59643" w14:textId="51CF4BB8" w:rsidR="0029551B" w:rsidRPr="005764FC" w:rsidRDefault="00977CD3" w:rsidP="00C92600">
            <w:pPr>
              <w:pStyle w:val="TableText"/>
              <w:rPr>
                <w:lang w:eastAsia="fr-CA"/>
              </w:rPr>
            </w:pPr>
            <w:r w:rsidRPr="005764FC">
              <w:rPr>
                <w:lang w:eastAsia="fr-CA"/>
              </w:rPr>
              <w:t>Deployment supported by government-led</w:t>
            </w:r>
            <w:r w:rsidRPr="005764FC" w:rsidDel="002C0AE1">
              <w:rPr>
                <w:lang w:eastAsia="fr-CA"/>
              </w:rPr>
              <w:t xml:space="preserve"> </w:t>
            </w:r>
            <w:r w:rsidRPr="005764FC">
              <w:rPr>
                <w:lang w:eastAsia="fr-CA"/>
              </w:rPr>
              <w:t xml:space="preserve">infrastructure (central or roadside or both) </w:t>
            </w:r>
            <w:r w:rsidR="006A37F6" w:rsidRPr="005764FC">
              <w:rPr>
                <w:lang w:eastAsia="fr-CA"/>
              </w:rPr>
              <w:t xml:space="preserve">presented economically sustainable </w:t>
            </w:r>
            <w:r w:rsidR="0008177A" w:rsidRPr="005764FC">
              <w:rPr>
                <w:lang w:eastAsia="fr-CA"/>
              </w:rPr>
              <w:t xml:space="preserve">options </w:t>
            </w:r>
            <w:r w:rsidR="0029551B" w:rsidRPr="005764FC">
              <w:rPr>
                <w:lang w:eastAsia="fr-CA"/>
              </w:rPr>
              <w:t>with BCRs ranging between 1.4 and 2.9</w:t>
            </w:r>
            <w:r w:rsidR="00DF090E">
              <w:rPr>
                <w:lang w:eastAsia="fr-CA"/>
              </w:rPr>
              <w:t>,</w:t>
            </w:r>
            <w:r w:rsidR="0029551B" w:rsidRPr="005764FC">
              <w:rPr>
                <w:lang w:eastAsia="fr-CA"/>
              </w:rPr>
              <w:t xml:space="preserve"> </w:t>
            </w:r>
            <w:r w:rsidR="0008177A" w:rsidRPr="005764FC">
              <w:rPr>
                <w:lang w:eastAsia="fr-CA"/>
              </w:rPr>
              <w:t xml:space="preserve">while a vehicle-to-vehicle </w:t>
            </w:r>
            <w:r w:rsidR="00111BE4" w:rsidRPr="005764FC">
              <w:rPr>
                <w:lang w:eastAsia="fr-CA"/>
              </w:rPr>
              <w:t xml:space="preserve">only </w:t>
            </w:r>
            <w:r w:rsidR="004327E7" w:rsidRPr="005764FC">
              <w:rPr>
                <w:lang w:eastAsia="fr-CA"/>
              </w:rPr>
              <w:t xml:space="preserve">deployment was unsustainable </w:t>
            </w:r>
            <w:r w:rsidR="001A5129" w:rsidRPr="005764FC">
              <w:rPr>
                <w:lang w:eastAsia="fr-CA"/>
              </w:rPr>
              <w:t xml:space="preserve">(BCR 0.57) </w:t>
            </w:r>
            <w:r w:rsidR="004327E7" w:rsidRPr="005764FC">
              <w:rPr>
                <w:lang w:eastAsia="fr-CA"/>
              </w:rPr>
              <w:t xml:space="preserve">within a </w:t>
            </w:r>
            <w:r w:rsidR="00111BE4" w:rsidRPr="005764FC">
              <w:rPr>
                <w:lang w:eastAsia="fr-CA"/>
              </w:rPr>
              <w:t>10-year</w:t>
            </w:r>
            <w:r w:rsidR="004327E7" w:rsidRPr="005764FC">
              <w:rPr>
                <w:lang w:eastAsia="fr-CA"/>
              </w:rPr>
              <w:t xml:space="preserve"> period</w:t>
            </w:r>
            <w:r w:rsidR="00081212" w:rsidRPr="005764FC">
              <w:rPr>
                <w:lang w:eastAsia="fr-CA"/>
              </w:rPr>
              <w:t>.</w:t>
            </w:r>
          </w:p>
        </w:tc>
      </w:tr>
      <w:tr w:rsidR="0029551B" w:rsidRPr="005764FC" w14:paraId="2761D359" w14:textId="77777777" w:rsidTr="00FE11C4">
        <w:trPr>
          <w:cantSplit/>
        </w:trPr>
        <w:tc>
          <w:tcPr>
            <w:tcW w:w="508" w:type="pct"/>
          </w:tcPr>
          <w:p w14:paraId="0CCEBF5F" w14:textId="77777777" w:rsidR="0029551B" w:rsidRPr="005764FC" w:rsidRDefault="0029551B" w:rsidP="00FE11C4">
            <w:pPr>
              <w:pStyle w:val="TableText"/>
              <w:jc w:val="center"/>
              <w:rPr>
                <w:lang w:eastAsia="fr-CA"/>
              </w:rPr>
            </w:pPr>
            <w:r w:rsidRPr="005764FC">
              <w:rPr>
                <w:lang w:eastAsia="fr-CA"/>
              </w:rPr>
              <w:t>3</w:t>
            </w:r>
          </w:p>
        </w:tc>
        <w:tc>
          <w:tcPr>
            <w:tcW w:w="4492" w:type="pct"/>
          </w:tcPr>
          <w:p w14:paraId="72905D8D" w14:textId="5F25C8F7" w:rsidR="0029551B" w:rsidRPr="005764FC" w:rsidRDefault="007062C0" w:rsidP="00C92600">
            <w:pPr>
              <w:pStyle w:val="TableText"/>
              <w:rPr>
                <w:lang w:eastAsia="fr-CA"/>
              </w:rPr>
            </w:pPr>
            <w:r w:rsidRPr="005764FC">
              <w:rPr>
                <w:lang w:eastAsia="fr-CA"/>
              </w:rPr>
              <w:t>Government leadership</w:t>
            </w:r>
            <w:r w:rsidR="0029551B" w:rsidRPr="005764FC">
              <w:rPr>
                <w:lang w:eastAsia="fr-CA"/>
              </w:rPr>
              <w:t xml:space="preserve"> based on a hybrid (both long-range and short-range </w:t>
            </w:r>
            <w:r w:rsidR="006F182F" w:rsidRPr="005764FC">
              <w:rPr>
                <w:lang w:eastAsia="fr-CA"/>
              </w:rPr>
              <w:t xml:space="preserve">distance </w:t>
            </w:r>
            <w:r w:rsidR="0029551B" w:rsidRPr="005764FC">
              <w:rPr>
                <w:lang w:eastAsia="fr-CA"/>
              </w:rPr>
              <w:t xml:space="preserve">communications) national deployment </w:t>
            </w:r>
            <w:r w:rsidR="00FC57C2" w:rsidRPr="005764FC">
              <w:rPr>
                <w:lang w:eastAsia="fr-CA"/>
              </w:rPr>
              <w:t xml:space="preserve">will </w:t>
            </w:r>
            <w:r w:rsidR="00512499" w:rsidRPr="005764FC">
              <w:rPr>
                <w:lang w:eastAsia="fr-CA"/>
              </w:rPr>
              <w:t xml:space="preserve">likely </w:t>
            </w:r>
            <w:r w:rsidRPr="005764FC">
              <w:rPr>
                <w:lang w:eastAsia="fr-CA"/>
              </w:rPr>
              <w:t xml:space="preserve">achieve the </w:t>
            </w:r>
            <w:r w:rsidR="0029551B" w:rsidRPr="005764FC">
              <w:rPr>
                <w:lang w:eastAsia="fr-CA"/>
              </w:rPr>
              <w:t>greatest benefits and encourage accessibility in both urban and rural environments</w:t>
            </w:r>
            <w:r w:rsidR="00081212" w:rsidRPr="005764FC">
              <w:rPr>
                <w:lang w:eastAsia="fr-CA"/>
              </w:rPr>
              <w:t>.</w:t>
            </w:r>
          </w:p>
        </w:tc>
      </w:tr>
      <w:tr w:rsidR="0029551B" w:rsidRPr="005764FC" w14:paraId="6488E351" w14:textId="77777777" w:rsidTr="00FE11C4">
        <w:trPr>
          <w:cantSplit/>
        </w:trPr>
        <w:tc>
          <w:tcPr>
            <w:tcW w:w="508" w:type="pct"/>
          </w:tcPr>
          <w:p w14:paraId="6EF5D12D" w14:textId="77777777" w:rsidR="0029551B" w:rsidRPr="005764FC" w:rsidRDefault="0029551B" w:rsidP="00FE11C4">
            <w:pPr>
              <w:pStyle w:val="TableText"/>
              <w:jc w:val="center"/>
              <w:rPr>
                <w:lang w:eastAsia="fr-CA"/>
              </w:rPr>
            </w:pPr>
            <w:r w:rsidRPr="005764FC">
              <w:rPr>
                <w:lang w:eastAsia="fr-CA"/>
              </w:rPr>
              <w:t>4</w:t>
            </w:r>
          </w:p>
        </w:tc>
        <w:tc>
          <w:tcPr>
            <w:tcW w:w="4492" w:type="pct"/>
          </w:tcPr>
          <w:p w14:paraId="67668F00" w14:textId="25D9B0D2" w:rsidR="0029551B" w:rsidRPr="005764FC" w:rsidRDefault="00F43A5D" w:rsidP="00C92600">
            <w:pPr>
              <w:pStyle w:val="TableText"/>
              <w:rPr>
                <w:lang w:eastAsia="fr-CA"/>
              </w:rPr>
            </w:pPr>
            <w:bookmarkStart w:id="48" w:name="_Hlk96088750"/>
            <w:r w:rsidRPr="005764FC">
              <w:rPr>
                <w:lang w:eastAsia="fr-CA"/>
              </w:rPr>
              <w:t>Government investment in enabling infrastructure (SCMS, central and roadside stations)</w:t>
            </w:r>
            <w:r w:rsidR="000C340B" w:rsidRPr="005764FC">
              <w:rPr>
                <w:lang w:eastAsia="fr-CA"/>
              </w:rPr>
              <w:t>,</w:t>
            </w:r>
            <w:r w:rsidRPr="005764FC">
              <w:rPr>
                <w:lang w:eastAsia="fr-CA"/>
              </w:rPr>
              <w:t xml:space="preserve"> of 1</w:t>
            </w:r>
            <w:r w:rsidR="00FC57C2" w:rsidRPr="005764FC">
              <w:rPr>
                <w:lang w:eastAsia="fr-CA"/>
              </w:rPr>
              <w:t>–</w:t>
            </w:r>
            <w:r w:rsidRPr="005764FC">
              <w:rPr>
                <w:lang w:eastAsia="fr-CA"/>
              </w:rPr>
              <w:t>7</w:t>
            </w:r>
            <w:r w:rsidR="00B546E1" w:rsidRPr="005764FC">
              <w:rPr>
                <w:lang w:eastAsia="fr-CA"/>
              </w:rPr>
              <w:t xml:space="preserve"> per cent</w:t>
            </w:r>
            <w:r w:rsidRPr="005764FC">
              <w:rPr>
                <w:lang w:eastAsia="fr-CA"/>
              </w:rPr>
              <w:t xml:space="preserve"> of the total cost</w:t>
            </w:r>
            <w:r w:rsidR="000C340B" w:rsidRPr="005764FC">
              <w:rPr>
                <w:lang w:eastAsia="fr-CA"/>
              </w:rPr>
              <w:t>,</w:t>
            </w:r>
            <w:r w:rsidRPr="005764FC">
              <w:rPr>
                <w:lang w:eastAsia="fr-CA"/>
              </w:rPr>
              <w:t xml:space="preserve"> leverages the vehicle manufacturers investment (93</w:t>
            </w:r>
            <w:r w:rsidR="00FC57C2" w:rsidRPr="005764FC">
              <w:rPr>
                <w:lang w:eastAsia="fr-CA"/>
              </w:rPr>
              <w:t>–</w:t>
            </w:r>
            <w:r w:rsidRPr="005764FC">
              <w:rPr>
                <w:lang w:eastAsia="fr-CA"/>
              </w:rPr>
              <w:t>99</w:t>
            </w:r>
            <w:r w:rsidR="00B546E1" w:rsidRPr="005764FC">
              <w:t xml:space="preserve"> </w:t>
            </w:r>
            <w:r w:rsidR="00B546E1" w:rsidRPr="005764FC">
              <w:rPr>
                <w:lang w:eastAsia="fr-CA"/>
              </w:rPr>
              <w:t>per cent)</w:t>
            </w:r>
            <w:r w:rsidRPr="005764FC">
              <w:rPr>
                <w:lang w:eastAsia="fr-CA"/>
              </w:rPr>
              <w:t xml:space="preserve"> in achieving the significant public interest benefit</w:t>
            </w:r>
            <w:r w:rsidR="00F36C41" w:rsidRPr="005764FC">
              <w:rPr>
                <w:lang w:eastAsia="fr-CA"/>
              </w:rPr>
              <w:t>s possible</w:t>
            </w:r>
            <w:r w:rsidR="00DB1758" w:rsidRPr="005764FC">
              <w:rPr>
                <w:lang w:eastAsia="fr-CA"/>
              </w:rPr>
              <w:t>.</w:t>
            </w:r>
            <w:bookmarkEnd w:id="48"/>
          </w:p>
        </w:tc>
      </w:tr>
      <w:tr w:rsidR="0029551B" w:rsidRPr="005764FC" w14:paraId="738430B4" w14:textId="77777777" w:rsidTr="00FE11C4">
        <w:trPr>
          <w:cantSplit/>
        </w:trPr>
        <w:tc>
          <w:tcPr>
            <w:tcW w:w="508" w:type="pct"/>
          </w:tcPr>
          <w:p w14:paraId="72857EFA" w14:textId="77777777" w:rsidR="0029551B" w:rsidRPr="005764FC" w:rsidRDefault="0029551B" w:rsidP="00FE11C4">
            <w:pPr>
              <w:pStyle w:val="TableText"/>
              <w:jc w:val="center"/>
              <w:rPr>
                <w:lang w:eastAsia="fr-CA"/>
              </w:rPr>
            </w:pPr>
            <w:r w:rsidRPr="005764FC">
              <w:rPr>
                <w:lang w:eastAsia="fr-CA"/>
              </w:rPr>
              <w:t>5</w:t>
            </w:r>
          </w:p>
        </w:tc>
        <w:tc>
          <w:tcPr>
            <w:tcW w:w="4492" w:type="pct"/>
          </w:tcPr>
          <w:p w14:paraId="066533E3" w14:textId="538CDB3C" w:rsidR="0029551B" w:rsidRPr="005764FC" w:rsidRDefault="007B302F" w:rsidP="00C92600">
            <w:pPr>
              <w:pStyle w:val="TableText"/>
              <w:rPr>
                <w:lang w:eastAsia="fr-CA"/>
              </w:rPr>
            </w:pPr>
            <w:r w:rsidRPr="005764FC">
              <w:rPr>
                <w:lang w:eastAsia="fr-CA"/>
              </w:rPr>
              <w:t>Heavy vehicles were found to have the strongest benefit-cost ratio</w:t>
            </w:r>
            <w:r w:rsidR="00DF090E">
              <w:rPr>
                <w:lang w:eastAsia="fr-CA"/>
              </w:rPr>
              <w:t>,</w:t>
            </w:r>
            <w:r w:rsidRPr="005764FC">
              <w:rPr>
                <w:lang w:eastAsia="fr-CA"/>
              </w:rPr>
              <w:t xml:space="preserve"> </w:t>
            </w:r>
            <w:r w:rsidR="00B742AA">
              <w:rPr>
                <w:lang w:eastAsia="fr-CA"/>
              </w:rPr>
              <w:t xml:space="preserve">due to </w:t>
            </w:r>
            <w:r w:rsidR="00442DE9">
              <w:rPr>
                <w:lang w:eastAsia="fr-CA"/>
              </w:rPr>
              <w:t xml:space="preserve">higher vehicle </w:t>
            </w:r>
            <w:r w:rsidR="00B07B11">
              <w:rPr>
                <w:lang w:eastAsia="fr-CA"/>
              </w:rPr>
              <w:t xml:space="preserve">operating costs and therefore </w:t>
            </w:r>
            <w:r w:rsidR="00D96D7F">
              <w:rPr>
                <w:lang w:eastAsia="fr-CA"/>
              </w:rPr>
              <w:t xml:space="preserve">increased </w:t>
            </w:r>
            <w:r w:rsidR="00B07B11">
              <w:rPr>
                <w:lang w:eastAsia="fr-CA"/>
              </w:rPr>
              <w:t xml:space="preserve">benefits resulting </w:t>
            </w:r>
            <w:r w:rsidR="00D96D7F">
              <w:rPr>
                <w:lang w:eastAsia="fr-CA"/>
              </w:rPr>
              <w:t>from</w:t>
            </w:r>
            <w:r w:rsidR="00B07B11">
              <w:rPr>
                <w:lang w:eastAsia="fr-CA"/>
              </w:rPr>
              <w:t xml:space="preserve"> </w:t>
            </w:r>
            <w:r w:rsidR="00B742AA">
              <w:rPr>
                <w:lang w:eastAsia="fr-CA"/>
              </w:rPr>
              <w:t>cost-efficien</w:t>
            </w:r>
            <w:r w:rsidR="00855A08">
              <w:rPr>
                <w:lang w:eastAsia="fr-CA"/>
              </w:rPr>
              <w:t>cies in targeted deployment</w:t>
            </w:r>
            <w:r w:rsidR="00B742AA">
              <w:rPr>
                <w:lang w:eastAsia="fr-CA"/>
              </w:rPr>
              <w:t xml:space="preserve">. </w:t>
            </w:r>
          </w:p>
        </w:tc>
      </w:tr>
      <w:tr w:rsidR="0029551B" w:rsidRPr="005764FC" w14:paraId="22EE37C9" w14:textId="77777777" w:rsidTr="00FE11C4">
        <w:trPr>
          <w:cantSplit/>
        </w:trPr>
        <w:tc>
          <w:tcPr>
            <w:tcW w:w="508" w:type="pct"/>
          </w:tcPr>
          <w:p w14:paraId="314D4DCC" w14:textId="77777777" w:rsidR="0029551B" w:rsidRPr="005764FC" w:rsidRDefault="0029551B" w:rsidP="00FE11C4">
            <w:pPr>
              <w:pStyle w:val="TableText"/>
              <w:jc w:val="center"/>
              <w:rPr>
                <w:lang w:eastAsia="fr-CA"/>
              </w:rPr>
            </w:pPr>
            <w:r w:rsidRPr="005764FC">
              <w:rPr>
                <w:lang w:eastAsia="fr-CA"/>
              </w:rPr>
              <w:t>6</w:t>
            </w:r>
          </w:p>
        </w:tc>
        <w:tc>
          <w:tcPr>
            <w:tcW w:w="4492" w:type="pct"/>
          </w:tcPr>
          <w:p w14:paraId="7DAE4DDE" w14:textId="653F8D8B" w:rsidR="00EA04A0" w:rsidRPr="005764FC" w:rsidRDefault="00EA04A0" w:rsidP="00C92600">
            <w:pPr>
              <w:pStyle w:val="TableText"/>
              <w:rPr>
                <w:lang w:eastAsia="fr-CA"/>
              </w:rPr>
            </w:pPr>
            <w:r w:rsidRPr="005764FC">
              <w:rPr>
                <w:lang w:eastAsia="fr-CA"/>
              </w:rPr>
              <w:t xml:space="preserve">Continued research and </w:t>
            </w:r>
            <w:r w:rsidR="00C1507A" w:rsidRPr="005764FC">
              <w:rPr>
                <w:lang w:eastAsia="fr-CA"/>
              </w:rPr>
              <w:t>trialling</w:t>
            </w:r>
            <w:r w:rsidRPr="005764FC">
              <w:rPr>
                <w:lang w:eastAsia="fr-CA"/>
              </w:rPr>
              <w:t xml:space="preserve"> </w:t>
            </w:r>
            <w:r w:rsidR="00C866A2" w:rsidRPr="005764FC">
              <w:rPr>
                <w:lang w:eastAsia="fr-CA"/>
              </w:rPr>
              <w:t>are</w:t>
            </w:r>
            <w:r w:rsidRPr="005764FC">
              <w:rPr>
                <w:lang w:eastAsia="fr-CA"/>
              </w:rPr>
              <w:t xml:space="preserve"> required </w:t>
            </w:r>
            <w:r w:rsidR="00AB565E" w:rsidRPr="005764FC">
              <w:rPr>
                <w:lang w:eastAsia="fr-CA"/>
              </w:rPr>
              <w:t xml:space="preserve">to overcome the economic and scalability challenges </w:t>
            </w:r>
            <w:r w:rsidR="00C1507A" w:rsidRPr="005764FC">
              <w:rPr>
                <w:lang w:eastAsia="fr-CA"/>
              </w:rPr>
              <w:t xml:space="preserve">for </w:t>
            </w:r>
            <w:r w:rsidR="00254F6C" w:rsidRPr="005764FC">
              <w:rPr>
                <w:lang w:eastAsia="fr-CA"/>
              </w:rPr>
              <w:t xml:space="preserve">delivering beneficial C-ITS technology solutions to </w:t>
            </w:r>
            <w:r w:rsidR="00C1507A" w:rsidRPr="005764FC">
              <w:rPr>
                <w:lang w:eastAsia="fr-CA"/>
              </w:rPr>
              <w:t>vulnerable road users</w:t>
            </w:r>
            <w:r w:rsidR="007B302F" w:rsidRPr="005764FC">
              <w:rPr>
                <w:lang w:eastAsia="fr-CA"/>
              </w:rPr>
              <w:t>.</w:t>
            </w:r>
          </w:p>
        </w:tc>
      </w:tr>
    </w:tbl>
    <w:p w14:paraId="18831040" w14:textId="71B98B71" w:rsidR="004914DB" w:rsidRPr="005764FC" w:rsidRDefault="00E71163" w:rsidP="00D60ADF">
      <w:pPr>
        <w:pStyle w:val="Heading3"/>
        <w:numPr>
          <w:ilvl w:val="0"/>
          <w:numId w:val="0"/>
        </w:numPr>
        <w:rPr>
          <w:lang w:eastAsia="fr-CA"/>
        </w:rPr>
      </w:pPr>
      <w:r>
        <w:rPr>
          <w:lang w:eastAsia="fr-CA"/>
        </w:rPr>
        <w:t xml:space="preserve">2. </w:t>
      </w:r>
      <w:r w:rsidR="004914DB" w:rsidRPr="005764FC">
        <w:rPr>
          <w:lang w:eastAsia="fr-CA"/>
        </w:rPr>
        <w:t>IS THERE A NEED TO ALIGN WITH A SPECIFIC SUITE OF INTERNATIONAL STANDARDS?</w:t>
      </w:r>
    </w:p>
    <w:p w14:paraId="04514E24" w14:textId="30EC9FA8" w:rsidR="009C4B2A" w:rsidRPr="005764FC" w:rsidRDefault="00687863" w:rsidP="00CE06B8">
      <w:pPr>
        <w:pStyle w:val="BodyText"/>
        <w:rPr>
          <w:bCs/>
          <w:lang w:eastAsia="fr-CA"/>
        </w:rPr>
      </w:pPr>
      <w:r w:rsidRPr="005764FC">
        <w:rPr>
          <w:bCs/>
          <w:lang w:eastAsia="fr-CA"/>
        </w:rPr>
        <w:t xml:space="preserve">To provide the </w:t>
      </w:r>
      <w:r w:rsidR="007F0C99" w:rsidRPr="005764FC">
        <w:rPr>
          <w:b/>
          <w:i/>
          <w:iCs/>
          <w:lang w:eastAsia="fr-CA"/>
        </w:rPr>
        <w:t>PA2</w:t>
      </w:r>
      <w:r w:rsidR="00ED7929" w:rsidRPr="005764FC">
        <w:rPr>
          <w:b/>
          <w:i/>
          <w:iCs/>
          <w:lang w:eastAsia="fr-CA"/>
        </w:rPr>
        <w:t xml:space="preserve"> </w:t>
      </w:r>
      <w:r w:rsidRPr="005764FC">
        <w:rPr>
          <w:b/>
          <w:i/>
          <w:iCs/>
          <w:lang w:eastAsia="fr-CA"/>
        </w:rPr>
        <w:t>leadership and direction</w:t>
      </w:r>
      <w:r w:rsidR="00A1295C" w:rsidRPr="005764FC">
        <w:rPr>
          <w:bCs/>
          <w:lang w:eastAsia="fr-CA"/>
        </w:rPr>
        <w:t xml:space="preserve">, </w:t>
      </w:r>
      <w:r w:rsidR="00973ABE" w:rsidRPr="005764FC">
        <w:rPr>
          <w:bCs/>
          <w:lang w:eastAsia="fr-CA"/>
        </w:rPr>
        <w:t xml:space="preserve">the </w:t>
      </w:r>
      <w:r w:rsidR="00CB1DBD" w:rsidRPr="005764FC">
        <w:rPr>
          <w:bCs/>
          <w:lang w:eastAsia="fr-CA"/>
        </w:rPr>
        <w:t xml:space="preserve">analysis found that policy should </w:t>
      </w:r>
      <w:r w:rsidR="009E0BB8" w:rsidRPr="005764FC">
        <w:rPr>
          <w:bCs/>
          <w:lang w:eastAsia="fr-CA"/>
        </w:rPr>
        <w:t xml:space="preserve">provide certainty by </w:t>
      </w:r>
      <w:r w:rsidR="00914F87" w:rsidRPr="005764FC">
        <w:rPr>
          <w:bCs/>
          <w:lang w:eastAsia="fr-CA"/>
        </w:rPr>
        <w:t>support</w:t>
      </w:r>
      <w:r w:rsidR="009E0BB8" w:rsidRPr="005764FC">
        <w:rPr>
          <w:bCs/>
          <w:lang w:eastAsia="fr-CA"/>
        </w:rPr>
        <w:t>ing</w:t>
      </w:r>
      <w:r w:rsidR="00914F87" w:rsidRPr="005764FC">
        <w:rPr>
          <w:bCs/>
          <w:lang w:eastAsia="fr-CA"/>
        </w:rPr>
        <w:t xml:space="preserve"> alignment to a </w:t>
      </w:r>
      <w:r w:rsidR="00914F87" w:rsidRPr="005764FC">
        <w:rPr>
          <w:b/>
          <w:lang w:eastAsia="fr-CA"/>
        </w:rPr>
        <w:t>European standards suite</w:t>
      </w:r>
      <w:r w:rsidR="00D74120" w:rsidRPr="005764FC">
        <w:rPr>
          <w:b/>
          <w:lang w:eastAsia="fr-CA"/>
        </w:rPr>
        <w:t xml:space="preserve">. </w:t>
      </w:r>
      <w:r w:rsidR="008328B2" w:rsidRPr="005764FC">
        <w:rPr>
          <w:bCs/>
          <w:lang w:eastAsia="fr-CA"/>
        </w:rPr>
        <w:t xml:space="preserve">Aligning </w:t>
      </w:r>
      <w:r w:rsidR="00F07419" w:rsidRPr="005764FC">
        <w:rPr>
          <w:bCs/>
          <w:lang w:eastAsia="fr-CA"/>
        </w:rPr>
        <w:t xml:space="preserve">implementation </w:t>
      </w:r>
      <w:r w:rsidR="002451B1" w:rsidRPr="005764FC">
        <w:rPr>
          <w:bCs/>
          <w:lang w:eastAsia="fr-CA"/>
        </w:rPr>
        <w:t xml:space="preserve">to Europe </w:t>
      </w:r>
      <w:r w:rsidR="00F07419" w:rsidRPr="005764FC">
        <w:rPr>
          <w:bCs/>
          <w:lang w:eastAsia="fr-CA"/>
        </w:rPr>
        <w:t>where possible</w:t>
      </w:r>
      <w:r w:rsidR="00ED7929" w:rsidRPr="005764FC">
        <w:rPr>
          <w:bCs/>
          <w:lang w:eastAsia="fr-CA"/>
        </w:rPr>
        <w:t>,</w:t>
      </w:r>
      <w:r w:rsidR="00F07419" w:rsidRPr="005764FC">
        <w:rPr>
          <w:bCs/>
          <w:lang w:eastAsia="fr-CA"/>
        </w:rPr>
        <w:t xml:space="preserve"> </w:t>
      </w:r>
      <w:r w:rsidR="00F15AB1" w:rsidRPr="005764FC">
        <w:rPr>
          <w:bCs/>
          <w:lang w:eastAsia="fr-CA"/>
        </w:rPr>
        <w:t>leverage</w:t>
      </w:r>
      <w:r w:rsidR="008328B2" w:rsidRPr="005764FC">
        <w:rPr>
          <w:bCs/>
          <w:lang w:eastAsia="fr-CA"/>
        </w:rPr>
        <w:t>s</w:t>
      </w:r>
      <w:r w:rsidR="00F15AB1" w:rsidRPr="005764FC">
        <w:rPr>
          <w:bCs/>
          <w:lang w:eastAsia="fr-CA"/>
        </w:rPr>
        <w:t xml:space="preserve"> </w:t>
      </w:r>
      <w:r w:rsidR="007D502B" w:rsidRPr="005764FC">
        <w:rPr>
          <w:bCs/>
          <w:lang w:eastAsia="fr-CA"/>
        </w:rPr>
        <w:t>the</w:t>
      </w:r>
      <w:r w:rsidR="00E344DC" w:rsidRPr="005764FC">
        <w:rPr>
          <w:bCs/>
          <w:lang w:eastAsia="fr-CA"/>
        </w:rPr>
        <w:t xml:space="preserve"> development and testing undertaken to date</w:t>
      </w:r>
      <w:r w:rsidR="00426A6E" w:rsidRPr="005764FC">
        <w:rPr>
          <w:bCs/>
          <w:lang w:eastAsia="fr-CA"/>
        </w:rPr>
        <w:t>. Given vehicle</w:t>
      </w:r>
      <w:r w:rsidR="00673223" w:rsidRPr="005764FC">
        <w:rPr>
          <w:bCs/>
          <w:lang w:eastAsia="fr-CA"/>
        </w:rPr>
        <w:t>s</w:t>
      </w:r>
      <w:r w:rsidR="00426A6E" w:rsidRPr="005764FC">
        <w:rPr>
          <w:bCs/>
          <w:lang w:eastAsia="fr-CA"/>
        </w:rPr>
        <w:t xml:space="preserve"> imported to Australia are based on European designs, using the harmonised standards of </w:t>
      </w:r>
      <w:r w:rsidR="00F12BF0" w:rsidRPr="005764FC">
        <w:rPr>
          <w:bCs/>
          <w:lang w:eastAsia="fr-CA"/>
        </w:rPr>
        <w:t>WP.29</w:t>
      </w:r>
      <w:r w:rsidR="00EA6387" w:rsidRPr="005764FC">
        <w:rPr>
          <w:bCs/>
          <w:lang w:eastAsia="fr-CA"/>
        </w:rPr>
        <w:t>, it is logical for C-ITS to follow a similar path to encourage consistency</w:t>
      </w:r>
      <w:r w:rsidR="00883F17" w:rsidRPr="005764FC">
        <w:rPr>
          <w:bCs/>
          <w:lang w:eastAsia="fr-CA"/>
        </w:rPr>
        <w:t>. It also</w:t>
      </w:r>
      <w:r w:rsidR="00E344DC" w:rsidRPr="005764FC">
        <w:rPr>
          <w:bCs/>
          <w:lang w:eastAsia="fr-CA"/>
        </w:rPr>
        <w:t xml:space="preserve"> </w:t>
      </w:r>
      <w:r w:rsidR="00F15AB1" w:rsidRPr="005764FC">
        <w:rPr>
          <w:bCs/>
          <w:lang w:eastAsia="fr-CA"/>
        </w:rPr>
        <w:t>reduce</w:t>
      </w:r>
      <w:r w:rsidR="003D3096" w:rsidRPr="005764FC">
        <w:rPr>
          <w:bCs/>
          <w:lang w:eastAsia="fr-CA"/>
        </w:rPr>
        <w:t>s</w:t>
      </w:r>
      <w:r w:rsidR="00F15AB1" w:rsidRPr="005764FC">
        <w:rPr>
          <w:bCs/>
          <w:lang w:eastAsia="fr-CA"/>
        </w:rPr>
        <w:t xml:space="preserve"> complexity</w:t>
      </w:r>
      <w:r w:rsidR="00E344DC" w:rsidRPr="005764FC">
        <w:rPr>
          <w:bCs/>
          <w:lang w:eastAsia="fr-CA"/>
        </w:rPr>
        <w:t xml:space="preserve"> and</w:t>
      </w:r>
      <w:r w:rsidR="00F15AB1" w:rsidRPr="005764FC">
        <w:rPr>
          <w:bCs/>
          <w:lang w:eastAsia="fr-CA"/>
        </w:rPr>
        <w:t xml:space="preserve"> </w:t>
      </w:r>
      <w:r w:rsidR="00F07419" w:rsidRPr="005764FC">
        <w:rPr>
          <w:lang w:eastAsia="fr-CA"/>
        </w:rPr>
        <w:t>encourage</w:t>
      </w:r>
      <w:r w:rsidR="00883F17" w:rsidRPr="005764FC">
        <w:rPr>
          <w:lang w:eastAsia="fr-CA"/>
        </w:rPr>
        <w:t>s</w:t>
      </w:r>
      <w:r w:rsidR="00F07419" w:rsidRPr="005764FC">
        <w:rPr>
          <w:lang w:eastAsia="fr-CA"/>
        </w:rPr>
        <w:t xml:space="preserve"> industry uptake</w:t>
      </w:r>
      <w:r w:rsidR="005F2AD4" w:rsidRPr="005764FC">
        <w:rPr>
          <w:lang w:eastAsia="fr-CA"/>
        </w:rPr>
        <w:t>,</w:t>
      </w:r>
      <w:r w:rsidR="003D3096" w:rsidRPr="005764FC">
        <w:rPr>
          <w:lang w:eastAsia="fr-CA"/>
        </w:rPr>
        <w:t xml:space="preserve"> given the need for </w:t>
      </w:r>
      <w:r w:rsidR="007B017E" w:rsidRPr="005764FC">
        <w:rPr>
          <w:lang w:eastAsia="fr-CA"/>
        </w:rPr>
        <w:t xml:space="preserve">maximum </w:t>
      </w:r>
      <w:r w:rsidR="003D3096" w:rsidRPr="005764FC">
        <w:rPr>
          <w:lang w:eastAsia="fr-CA"/>
        </w:rPr>
        <w:t>global harmonisation</w:t>
      </w:r>
      <w:r w:rsidR="00E344DC" w:rsidRPr="005764FC">
        <w:rPr>
          <w:bCs/>
          <w:lang w:eastAsia="fr-CA"/>
        </w:rPr>
        <w:t>.</w:t>
      </w:r>
      <w:r w:rsidR="00EC1416" w:rsidRPr="005764FC">
        <w:rPr>
          <w:bCs/>
          <w:lang w:eastAsia="fr-CA"/>
        </w:rPr>
        <w:t xml:space="preserve"> </w:t>
      </w:r>
      <w:r w:rsidR="002301E4">
        <w:rPr>
          <w:bCs/>
          <w:lang w:eastAsia="fr-CA"/>
        </w:rPr>
        <w:t>Resea</w:t>
      </w:r>
      <w:r w:rsidR="00547AF6">
        <w:rPr>
          <w:bCs/>
          <w:lang w:eastAsia="fr-CA"/>
        </w:rPr>
        <w:t xml:space="preserve">rch </w:t>
      </w:r>
      <w:r w:rsidR="00B017A3">
        <w:rPr>
          <w:bCs/>
          <w:lang w:eastAsia="fr-CA"/>
        </w:rPr>
        <w:t xml:space="preserve">in the </w:t>
      </w:r>
      <w:r w:rsidR="00B017A3" w:rsidRPr="005764FC">
        <w:rPr>
          <w:bCs/>
          <w:lang w:eastAsia="fr-CA"/>
        </w:rPr>
        <w:t>Austroads</w:t>
      </w:r>
      <w:r w:rsidR="00B017A3">
        <w:rPr>
          <w:bCs/>
          <w:lang w:eastAsia="fr-CA"/>
        </w:rPr>
        <w:t xml:space="preserve"> </w:t>
      </w:r>
      <w:r w:rsidR="00CE06B8" w:rsidRPr="00CE06B8">
        <w:rPr>
          <w:bCs/>
          <w:lang w:eastAsia="fr-CA"/>
        </w:rPr>
        <w:t>C-ITS Standards Assessment</w:t>
      </w:r>
      <w:r w:rsidR="00B017A3">
        <w:rPr>
          <w:bCs/>
          <w:lang w:eastAsia="fr-CA"/>
        </w:rPr>
        <w:t xml:space="preserve"> (</w:t>
      </w:r>
      <w:r w:rsidR="00B017A3" w:rsidRPr="00B017A3">
        <w:rPr>
          <w:bCs/>
          <w:lang w:eastAsia="fr-CA"/>
        </w:rPr>
        <w:t>AP-R474-15</w:t>
      </w:r>
      <w:r w:rsidR="00B017A3">
        <w:rPr>
          <w:bCs/>
          <w:lang w:eastAsia="fr-CA"/>
        </w:rPr>
        <w:t>)</w:t>
      </w:r>
      <w:r w:rsidR="00CE06B8" w:rsidRPr="00CE06B8">
        <w:rPr>
          <w:bCs/>
          <w:lang w:eastAsia="fr-CA"/>
        </w:rPr>
        <w:t xml:space="preserve"> </w:t>
      </w:r>
      <w:r w:rsidR="007975A0" w:rsidRPr="005764FC">
        <w:rPr>
          <w:bCs/>
          <w:lang w:eastAsia="fr-CA"/>
        </w:rPr>
        <w:t xml:space="preserve">found that a single standard suite was likely necessary for C-ITS </w:t>
      </w:r>
      <w:r w:rsidR="00A12B93" w:rsidRPr="005764FC">
        <w:rPr>
          <w:bCs/>
          <w:lang w:eastAsia="fr-CA"/>
        </w:rPr>
        <w:t>deployment</w:t>
      </w:r>
      <w:r w:rsidR="00192AE7">
        <w:rPr>
          <w:bCs/>
          <w:lang w:eastAsia="fr-CA"/>
        </w:rPr>
        <w:t>.</w:t>
      </w:r>
      <w:r w:rsidR="002B32D0" w:rsidRPr="005764FC">
        <w:rPr>
          <w:bCs/>
          <w:lang w:eastAsia="fr-CA"/>
        </w:rPr>
        <w:t xml:space="preserve"> </w:t>
      </w:r>
      <w:r w:rsidR="00192AE7">
        <w:rPr>
          <w:bCs/>
          <w:lang w:eastAsia="fr-CA"/>
        </w:rPr>
        <w:t>V</w:t>
      </w:r>
      <w:r w:rsidR="00EC1416" w:rsidRPr="005764FC">
        <w:rPr>
          <w:lang w:eastAsia="fr-CA"/>
        </w:rPr>
        <w:t>ehicle manufacturer</w:t>
      </w:r>
      <w:r w:rsidR="00B633A8" w:rsidRPr="005764FC">
        <w:rPr>
          <w:lang w:eastAsia="fr-CA"/>
        </w:rPr>
        <w:t xml:space="preserve"> representatives </w:t>
      </w:r>
      <w:r w:rsidR="004F7F4B" w:rsidRPr="005764FC">
        <w:rPr>
          <w:lang w:eastAsia="fr-CA"/>
        </w:rPr>
        <w:t>(</w:t>
      </w:r>
      <w:r w:rsidR="00084C86">
        <w:rPr>
          <w:lang w:eastAsia="fr-CA"/>
        </w:rPr>
        <w:t>through the</w:t>
      </w:r>
      <w:r w:rsidR="00E272DF">
        <w:rPr>
          <w:lang w:eastAsia="fr-CA"/>
        </w:rPr>
        <w:t xml:space="preserve"> Federal Chamber of Automotive</w:t>
      </w:r>
      <w:r w:rsidR="003631DE">
        <w:rPr>
          <w:lang w:eastAsia="fr-CA"/>
        </w:rPr>
        <w:t xml:space="preserve"> Industries (</w:t>
      </w:r>
      <w:r w:rsidR="004F7F4B" w:rsidRPr="005764FC">
        <w:rPr>
          <w:lang w:eastAsia="fr-CA"/>
        </w:rPr>
        <w:t>FCAI</w:t>
      </w:r>
      <w:r w:rsidR="003631DE">
        <w:rPr>
          <w:lang w:eastAsia="fr-CA"/>
        </w:rPr>
        <w:t>)</w:t>
      </w:r>
      <w:r w:rsidR="004F7F4B" w:rsidRPr="005764FC">
        <w:rPr>
          <w:lang w:eastAsia="fr-CA"/>
        </w:rPr>
        <w:t>)</w:t>
      </w:r>
      <w:r w:rsidR="004B591C" w:rsidRPr="004B591C">
        <w:rPr>
          <w:lang w:eastAsia="fr-CA"/>
        </w:rPr>
        <w:t xml:space="preserve"> </w:t>
      </w:r>
      <w:r w:rsidR="00084C86">
        <w:rPr>
          <w:lang w:eastAsia="fr-CA"/>
        </w:rPr>
        <w:t>have noted their</w:t>
      </w:r>
      <w:r w:rsidR="004B591C">
        <w:rPr>
          <w:lang w:eastAsia="fr-CA"/>
        </w:rPr>
        <w:t xml:space="preserve"> support for</w:t>
      </w:r>
      <w:r w:rsidR="004B591C" w:rsidRPr="005764FC">
        <w:rPr>
          <w:lang w:eastAsia="fr-CA"/>
        </w:rPr>
        <w:t xml:space="preserve"> us</w:t>
      </w:r>
      <w:r w:rsidR="004B591C">
        <w:rPr>
          <w:lang w:eastAsia="fr-CA"/>
        </w:rPr>
        <w:t>ing a standards suite based on the</w:t>
      </w:r>
      <w:r w:rsidR="004B591C" w:rsidRPr="005764FC">
        <w:rPr>
          <w:lang w:eastAsia="fr-CA"/>
        </w:rPr>
        <w:t xml:space="preserve"> Europe</w:t>
      </w:r>
      <w:r w:rsidR="004B591C">
        <w:rPr>
          <w:lang w:eastAsia="fr-CA"/>
        </w:rPr>
        <w:t>an (and therefore also UN) approach</w:t>
      </w:r>
      <w:r w:rsidR="000B3024" w:rsidRPr="005764FC">
        <w:rPr>
          <w:lang w:eastAsia="fr-CA"/>
        </w:rPr>
        <w:t xml:space="preserve">. </w:t>
      </w:r>
    </w:p>
    <w:tbl>
      <w:tblPr>
        <w:tblStyle w:val="Table1"/>
        <w:tblW w:w="5000" w:type="pct"/>
        <w:tblLayout w:type="fixed"/>
        <w:tblLook w:val="0620" w:firstRow="1" w:lastRow="0" w:firstColumn="0" w:lastColumn="0" w:noHBand="1" w:noVBand="1"/>
      </w:tblPr>
      <w:tblGrid>
        <w:gridCol w:w="990"/>
        <w:gridCol w:w="8757"/>
      </w:tblGrid>
      <w:tr w:rsidR="003C7DD7" w:rsidRPr="005764FC" w14:paraId="3D3DBA34" w14:textId="77777777" w:rsidTr="00FE11C4">
        <w:trPr>
          <w:cnfStyle w:val="100000000000" w:firstRow="1" w:lastRow="0" w:firstColumn="0" w:lastColumn="0" w:oddVBand="0" w:evenVBand="0" w:oddHBand="0" w:evenHBand="0" w:firstRowFirstColumn="0" w:firstRowLastColumn="0" w:lastRowFirstColumn="0" w:lastRowLastColumn="0"/>
          <w:cantSplit/>
          <w:tblHeader/>
        </w:trPr>
        <w:tc>
          <w:tcPr>
            <w:tcW w:w="508" w:type="pct"/>
          </w:tcPr>
          <w:p w14:paraId="4ACE6113" w14:textId="77777777" w:rsidR="003C7DD7" w:rsidRPr="005764FC" w:rsidRDefault="003C7DD7" w:rsidP="00FE11C4">
            <w:pPr>
              <w:pStyle w:val="TableHeading"/>
              <w:jc w:val="center"/>
              <w:rPr>
                <w:lang w:eastAsia="fr-CA"/>
              </w:rPr>
            </w:pPr>
            <w:r w:rsidRPr="005764FC">
              <w:rPr>
                <w:lang w:eastAsia="fr-CA"/>
              </w:rPr>
              <w:t>Number</w:t>
            </w:r>
          </w:p>
        </w:tc>
        <w:tc>
          <w:tcPr>
            <w:tcW w:w="4492" w:type="pct"/>
          </w:tcPr>
          <w:p w14:paraId="6A6EF1C3" w14:textId="77777777" w:rsidR="003C7DD7" w:rsidRPr="005764FC" w:rsidRDefault="003C7DD7" w:rsidP="003833D2">
            <w:pPr>
              <w:pStyle w:val="TableHeading"/>
              <w:rPr>
                <w:lang w:eastAsia="fr-CA"/>
              </w:rPr>
            </w:pPr>
            <w:r w:rsidRPr="005764FC">
              <w:rPr>
                <w:lang w:eastAsia="fr-CA"/>
              </w:rPr>
              <w:t xml:space="preserve">Finding </w:t>
            </w:r>
          </w:p>
        </w:tc>
      </w:tr>
      <w:tr w:rsidR="0029551B" w:rsidRPr="005764FC" w14:paraId="20D1838E" w14:textId="77777777" w:rsidTr="00FE11C4">
        <w:trPr>
          <w:cantSplit/>
        </w:trPr>
        <w:tc>
          <w:tcPr>
            <w:tcW w:w="508" w:type="pct"/>
          </w:tcPr>
          <w:p w14:paraId="6F191448" w14:textId="77777777" w:rsidR="0029551B" w:rsidRPr="005764FC" w:rsidRDefault="0029551B" w:rsidP="00FE11C4">
            <w:pPr>
              <w:pStyle w:val="TableText"/>
              <w:jc w:val="center"/>
              <w:rPr>
                <w:lang w:eastAsia="fr-CA"/>
              </w:rPr>
            </w:pPr>
            <w:r w:rsidRPr="005764FC">
              <w:rPr>
                <w:lang w:eastAsia="fr-CA"/>
              </w:rPr>
              <w:t>7</w:t>
            </w:r>
          </w:p>
        </w:tc>
        <w:tc>
          <w:tcPr>
            <w:tcW w:w="4492" w:type="pct"/>
          </w:tcPr>
          <w:p w14:paraId="302BF136" w14:textId="425389E8" w:rsidR="0029551B" w:rsidRPr="005764FC" w:rsidRDefault="0029551B" w:rsidP="00C92600">
            <w:pPr>
              <w:pStyle w:val="TableText"/>
              <w:rPr>
                <w:lang w:eastAsia="fr-CA"/>
              </w:rPr>
            </w:pPr>
            <w:r w:rsidRPr="005764FC">
              <w:rPr>
                <w:lang w:eastAsia="fr-CA"/>
              </w:rPr>
              <w:t xml:space="preserve">Standardisation is essential to </w:t>
            </w:r>
            <w:r w:rsidR="0012770F" w:rsidRPr="005764FC">
              <w:rPr>
                <w:lang w:eastAsia="fr-CA"/>
              </w:rPr>
              <w:t xml:space="preserve">achieve the level of </w:t>
            </w:r>
            <w:r w:rsidRPr="005764FC">
              <w:rPr>
                <w:lang w:eastAsia="fr-CA"/>
              </w:rPr>
              <w:t xml:space="preserve">interoperability required to realise </w:t>
            </w:r>
            <w:r w:rsidR="0012770F" w:rsidRPr="005764FC">
              <w:rPr>
                <w:lang w:eastAsia="fr-CA"/>
              </w:rPr>
              <w:t>the full</w:t>
            </w:r>
            <w:r w:rsidRPr="005764FC">
              <w:rPr>
                <w:lang w:eastAsia="fr-CA"/>
              </w:rPr>
              <w:t xml:space="preserve"> benefits </w:t>
            </w:r>
            <w:r w:rsidR="003D0A73" w:rsidRPr="005764FC">
              <w:rPr>
                <w:lang w:eastAsia="fr-CA"/>
              </w:rPr>
              <w:t xml:space="preserve">of </w:t>
            </w:r>
            <w:r w:rsidRPr="005764FC">
              <w:rPr>
                <w:lang w:eastAsia="fr-CA"/>
              </w:rPr>
              <w:t>C‑ITS</w:t>
            </w:r>
            <w:r w:rsidR="00102434" w:rsidRPr="005764FC">
              <w:rPr>
                <w:lang w:eastAsia="fr-CA"/>
              </w:rPr>
              <w:t>.</w:t>
            </w:r>
            <w:r w:rsidR="0073346B">
              <w:rPr>
                <w:lang w:eastAsia="fr-CA"/>
              </w:rPr>
              <w:t xml:space="preserve"> </w:t>
            </w:r>
          </w:p>
        </w:tc>
      </w:tr>
      <w:tr w:rsidR="0029551B" w:rsidRPr="005764FC" w14:paraId="3BC469AD" w14:textId="77777777" w:rsidTr="00FE11C4">
        <w:trPr>
          <w:cantSplit/>
        </w:trPr>
        <w:tc>
          <w:tcPr>
            <w:tcW w:w="508" w:type="pct"/>
          </w:tcPr>
          <w:p w14:paraId="20B09762" w14:textId="77777777" w:rsidR="0029551B" w:rsidRPr="005764FC" w:rsidRDefault="0029551B" w:rsidP="00FE11C4">
            <w:pPr>
              <w:pStyle w:val="TableText"/>
              <w:jc w:val="center"/>
              <w:rPr>
                <w:lang w:eastAsia="fr-CA"/>
              </w:rPr>
            </w:pPr>
            <w:r w:rsidRPr="005764FC">
              <w:rPr>
                <w:lang w:eastAsia="fr-CA"/>
              </w:rPr>
              <w:t>8</w:t>
            </w:r>
          </w:p>
        </w:tc>
        <w:tc>
          <w:tcPr>
            <w:tcW w:w="4492" w:type="pct"/>
          </w:tcPr>
          <w:p w14:paraId="31AC584E" w14:textId="156BD2C5" w:rsidR="0029551B" w:rsidRPr="005764FC" w:rsidRDefault="0023285F" w:rsidP="007F7712">
            <w:pPr>
              <w:pStyle w:val="TableText"/>
              <w:rPr>
                <w:lang w:eastAsia="fr-CA"/>
              </w:rPr>
            </w:pPr>
            <w:r w:rsidRPr="005764FC">
              <w:rPr>
                <w:lang w:eastAsia="fr-CA"/>
              </w:rPr>
              <w:t xml:space="preserve">A consistent </w:t>
            </w:r>
            <w:r w:rsidR="00A41534" w:rsidRPr="005764FC">
              <w:rPr>
                <w:lang w:eastAsia="fr-CA"/>
              </w:rPr>
              <w:t xml:space="preserve">suite of standards </w:t>
            </w:r>
            <w:r w:rsidR="00DB017E" w:rsidRPr="005764FC">
              <w:rPr>
                <w:lang w:eastAsia="fr-CA"/>
              </w:rPr>
              <w:t xml:space="preserve">(based on an international standards </w:t>
            </w:r>
            <w:r w:rsidR="0052076C" w:rsidRPr="005764FC">
              <w:rPr>
                <w:lang w:eastAsia="fr-CA"/>
              </w:rPr>
              <w:t>region</w:t>
            </w:r>
            <w:r w:rsidR="007F7712" w:rsidRPr="005764FC">
              <w:rPr>
                <w:lang w:eastAsia="fr-CA"/>
              </w:rPr>
              <w:t xml:space="preserve">) </w:t>
            </w:r>
            <w:r w:rsidR="00A41534" w:rsidRPr="005764FC">
              <w:rPr>
                <w:lang w:eastAsia="fr-CA"/>
              </w:rPr>
              <w:t xml:space="preserve">is </w:t>
            </w:r>
            <w:r w:rsidR="00BB4AB9" w:rsidRPr="005764FC">
              <w:rPr>
                <w:lang w:eastAsia="fr-CA"/>
              </w:rPr>
              <w:t xml:space="preserve">needed to efficiently harmonise standards, specifications and guidelines, given that complexity increases as large-scale deployment evolves. </w:t>
            </w:r>
          </w:p>
        </w:tc>
      </w:tr>
      <w:tr w:rsidR="00EA6387" w:rsidRPr="005764FC" w14:paraId="37537C53" w14:textId="77777777" w:rsidTr="00FE11C4">
        <w:trPr>
          <w:cantSplit/>
        </w:trPr>
        <w:tc>
          <w:tcPr>
            <w:tcW w:w="508" w:type="pct"/>
          </w:tcPr>
          <w:p w14:paraId="7916D44E" w14:textId="77777777" w:rsidR="00EA6387" w:rsidRPr="005764FC" w:rsidRDefault="00EA6387" w:rsidP="00EA6387">
            <w:pPr>
              <w:pStyle w:val="TableText"/>
              <w:jc w:val="center"/>
              <w:rPr>
                <w:lang w:eastAsia="fr-CA"/>
              </w:rPr>
            </w:pPr>
            <w:r w:rsidRPr="005764FC">
              <w:rPr>
                <w:lang w:eastAsia="fr-CA"/>
              </w:rPr>
              <w:t>9</w:t>
            </w:r>
          </w:p>
        </w:tc>
        <w:tc>
          <w:tcPr>
            <w:tcW w:w="4492" w:type="pct"/>
          </w:tcPr>
          <w:p w14:paraId="7BDBB8F5" w14:textId="0E2D6D1B" w:rsidR="00EA6387" w:rsidRPr="005764FC" w:rsidRDefault="00EA6387" w:rsidP="00EA6387">
            <w:pPr>
              <w:pStyle w:val="TableText"/>
              <w:rPr>
                <w:lang w:eastAsia="fr-CA"/>
              </w:rPr>
            </w:pPr>
            <w:r w:rsidRPr="005764FC">
              <w:rPr>
                <w:lang w:eastAsia="fr-CA"/>
              </w:rPr>
              <w:t xml:space="preserve">Europe </w:t>
            </w:r>
            <w:r w:rsidR="0012770F" w:rsidRPr="005764FC">
              <w:rPr>
                <w:lang w:eastAsia="fr-CA"/>
              </w:rPr>
              <w:t xml:space="preserve">has the most advanced </w:t>
            </w:r>
            <w:r w:rsidR="0012770F" w:rsidRPr="00F7514B">
              <w:rPr>
                <w:lang w:eastAsia="fr-CA"/>
              </w:rPr>
              <w:t xml:space="preserve">and comprehensive set of </w:t>
            </w:r>
            <w:r w:rsidRPr="00F7514B">
              <w:rPr>
                <w:lang w:eastAsia="fr-CA"/>
              </w:rPr>
              <w:t xml:space="preserve">standards and guidelines for deployment </w:t>
            </w:r>
            <w:r w:rsidR="00DF1DB1" w:rsidRPr="00F7514B">
              <w:rPr>
                <w:lang w:eastAsia="fr-CA"/>
              </w:rPr>
              <w:t xml:space="preserve">which </w:t>
            </w:r>
            <w:r w:rsidR="0012770F" w:rsidRPr="00F7514B">
              <w:rPr>
                <w:lang w:eastAsia="fr-CA"/>
              </w:rPr>
              <w:t xml:space="preserve">are </w:t>
            </w:r>
            <w:r w:rsidRPr="00F7514B">
              <w:rPr>
                <w:lang w:eastAsia="fr-CA"/>
              </w:rPr>
              <w:t>align</w:t>
            </w:r>
            <w:r w:rsidR="0012770F" w:rsidRPr="00F7514B">
              <w:rPr>
                <w:lang w:eastAsia="fr-CA"/>
              </w:rPr>
              <w:t>ed</w:t>
            </w:r>
            <w:r w:rsidRPr="00F7514B">
              <w:rPr>
                <w:lang w:eastAsia="fr-CA"/>
              </w:rPr>
              <w:t xml:space="preserve"> to existing </w:t>
            </w:r>
            <w:r w:rsidR="00A80BDA" w:rsidRPr="00F7514B">
              <w:rPr>
                <w:lang w:eastAsia="fr-CA"/>
              </w:rPr>
              <w:t xml:space="preserve">Australian </w:t>
            </w:r>
            <w:r w:rsidRPr="00F7514B">
              <w:rPr>
                <w:lang w:eastAsia="fr-CA"/>
              </w:rPr>
              <w:t xml:space="preserve">vehicle standards through WP.29 and </w:t>
            </w:r>
            <w:r w:rsidR="00AA3A7A" w:rsidRPr="00F7514B">
              <w:rPr>
                <w:lang w:eastAsia="fr-CA"/>
              </w:rPr>
              <w:t xml:space="preserve">Australian </w:t>
            </w:r>
            <w:r w:rsidRPr="00F7514B">
              <w:rPr>
                <w:lang w:eastAsia="fr-CA"/>
              </w:rPr>
              <w:t>vehicle manufacturer preference</w:t>
            </w:r>
            <w:r w:rsidR="009E4EFD" w:rsidRPr="00F7514B">
              <w:rPr>
                <w:lang w:eastAsia="fr-CA"/>
              </w:rPr>
              <w:t xml:space="preserve"> (</w:t>
            </w:r>
            <w:r w:rsidR="00AA3A7A" w:rsidRPr="00F7514B">
              <w:rPr>
                <w:lang w:eastAsia="fr-CA"/>
              </w:rPr>
              <w:t xml:space="preserve">as </w:t>
            </w:r>
            <w:r w:rsidR="00FC6928" w:rsidRPr="00F7514B">
              <w:rPr>
                <w:lang w:eastAsia="fr-CA"/>
              </w:rPr>
              <w:t>stated through FCAI)</w:t>
            </w:r>
            <w:r w:rsidR="009E4EFD" w:rsidRPr="00F7514B">
              <w:rPr>
                <w:lang w:eastAsia="fr-CA"/>
              </w:rPr>
              <w:t>.</w:t>
            </w:r>
            <w:r w:rsidRPr="00F7514B">
              <w:rPr>
                <w:lang w:eastAsia="fr-CA"/>
              </w:rPr>
              <w:t xml:space="preserve"> </w:t>
            </w:r>
            <w:r w:rsidR="0012770F" w:rsidRPr="00F7514B">
              <w:rPr>
                <w:lang w:eastAsia="fr-CA"/>
              </w:rPr>
              <w:t xml:space="preserve">Europe is focusing </w:t>
            </w:r>
            <w:r w:rsidRPr="00F7514B">
              <w:rPr>
                <w:lang w:eastAsia="fr-CA"/>
              </w:rPr>
              <w:t xml:space="preserve">effort now </w:t>
            </w:r>
            <w:r w:rsidR="0012770F" w:rsidRPr="00F7514B">
              <w:rPr>
                <w:lang w:eastAsia="fr-CA"/>
              </w:rPr>
              <w:t>on</w:t>
            </w:r>
            <w:r w:rsidRPr="00F7514B">
              <w:rPr>
                <w:lang w:eastAsia="fr-CA"/>
              </w:rPr>
              <w:t xml:space="preserve"> implementing the standards consistently across all suppliers (government and industry)</w:t>
            </w:r>
            <w:r w:rsidR="00102434" w:rsidRPr="00F7514B">
              <w:rPr>
                <w:lang w:eastAsia="fr-CA"/>
              </w:rPr>
              <w:t>.</w:t>
            </w:r>
            <w:r w:rsidR="00EA6970">
              <w:rPr>
                <w:lang w:eastAsia="fr-CA"/>
              </w:rPr>
              <w:t xml:space="preserve"> </w:t>
            </w:r>
          </w:p>
        </w:tc>
      </w:tr>
      <w:tr w:rsidR="00EA6387" w:rsidRPr="005764FC" w14:paraId="6686E66D" w14:textId="77777777" w:rsidTr="00FE11C4">
        <w:trPr>
          <w:cantSplit/>
        </w:trPr>
        <w:tc>
          <w:tcPr>
            <w:tcW w:w="508" w:type="pct"/>
          </w:tcPr>
          <w:p w14:paraId="18D55698" w14:textId="77777777" w:rsidR="00EA6387" w:rsidRPr="005764FC" w:rsidRDefault="00EA6387" w:rsidP="00EA6387">
            <w:pPr>
              <w:pStyle w:val="TableText"/>
              <w:jc w:val="center"/>
              <w:rPr>
                <w:lang w:eastAsia="fr-CA"/>
              </w:rPr>
            </w:pPr>
            <w:r w:rsidRPr="005764FC">
              <w:rPr>
                <w:lang w:eastAsia="fr-CA"/>
              </w:rPr>
              <w:t>10</w:t>
            </w:r>
          </w:p>
        </w:tc>
        <w:tc>
          <w:tcPr>
            <w:tcW w:w="4492" w:type="pct"/>
          </w:tcPr>
          <w:p w14:paraId="4B67C1E9" w14:textId="5B00453D" w:rsidR="00EA6387" w:rsidRPr="005764FC" w:rsidRDefault="00EA6387" w:rsidP="00EA6387">
            <w:pPr>
              <w:pStyle w:val="TableText"/>
              <w:rPr>
                <w:lang w:eastAsia="fr-CA"/>
              </w:rPr>
            </w:pPr>
            <w:r w:rsidRPr="005764FC">
              <w:rPr>
                <w:lang w:eastAsia="fr-CA"/>
              </w:rPr>
              <w:t xml:space="preserve">The ISO/CEN </w:t>
            </w:r>
            <w:r w:rsidR="007565E9" w:rsidRPr="005764FC">
              <w:rPr>
                <w:lang w:eastAsia="fr-CA"/>
              </w:rPr>
              <w:t>“</w:t>
            </w:r>
            <w:r w:rsidRPr="005764FC">
              <w:rPr>
                <w:lang w:eastAsia="fr-CA"/>
              </w:rPr>
              <w:t>Cooperative intelligent transport systems (C-ITS) Guidelines on the usage of standards</w:t>
            </w:r>
            <w:r w:rsidR="007565E9" w:rsidRPr="005764FC">
              <w:rPr>
                <w:lang w:eastAsia="fr-CA"/>
              </w:rPr>
              <w:t>”</w:t>
            </w:r>
            <w:r w:rsidRPr="005764FC">
              <w:t xml:space="preserve"> </w:t>
            </w:r>
            <w:r w:rsidRPr="005764FC">
              <w:rPr>
                <w:lang w:eastAsia="fr-CA"/>
              </w:rPr>
              <w:t>provides the most comprehensive collation of a standards suite identified in the analysis.</w:t>
            </w:r>
          </w:p>
        </w:tc>
      </w:tr>
      <w:tr w:rsidR="00EA6387" w:rsidRPr="005764FC" w14:paraId="39D93068" w14:textId="77777777" w:rsidTr="00FE11C4">
        <w:trPr>
          <w:cantSplit/>
        </w:trPr>
        <w:tc>
          <w:tcPr>
            <w:tcW w:w="508" w:type="pct"/>
          </w:tcPr>
          <w:p w14:paraId="6042DB2E" w14:textId="77777777" w:rsidR="00EA6387" w:rsidRPr="005764FC" w:rsidRDefault="00EA6387" w:rsidP="00EA6387">
            <w:pPr>
              <w:pStyle w:val="TableText"/>
              <w:jc w:val="center"/>
              <w:rPr>
                <w:lang w:eastAsia="fr-CA"/>
              </w:rPr>
            </w:pPr>
            <w:r w:rsidRPr="005764FC">
              <w:rPr>
                <w:lang w:eastAsia="fr-CA"/>
              </w:rPr>
              <w:t>11</w:t>
            </w:r>
          </w:p>
        </w:tc>
        <w:tc>
          <w:tcPr>
            <w:tcW w:w="4492" w:type="pct"/>
          </w:tcPr>
          <w:p w14:paraId="7FDF7003" w14:textId="6C87A1C1" w:rsidR="00EA6387" w:rsidRPr="005764FC" w:rsidRDefault="00172CAB" w:rsidP="00EA6387">
            <w:pPr>
              <w:pStyle w:val="TableText"/>
              <w:rPr>
                <w:b/>
                <w:bCs/>
                <w:lang w:eastAsia="fr-CA"/>
              </w:rPr>
            </w:pPr>
            <w:r w:rsidRPr="005764FC">
              <w:rPr>
                <w:lang w:eastAsia="fr-CA"/>
              </w:rPr>
              <w:t>I</w:t>
            </w:r>
            <w:r w:rsidR="00EA6387" w:rsidRPr="005764FC">
              <w:rPr>
                <w:lang w:eastAsia="fr-CA"/>
              </w:rPr>
              <w:t xml:space="preserve">nsights and learnings </w:t>
            </w:r>
            <w:r w:rsidRPr="005764FC">
              <w:rPr>
                <w:lang w:eastAsia="fr-CA"/>
              </w:rPr>
              <w:t>from other markets outside of Europe</w:t>
            </w:r>
            <w:r w:rsidR="00EA6387" w:rsidRPr="005764FC">
              <w:rPr>
                <w:lang w:eastAsia="fr-CA"/>
              </w:rPr>
              <w:t xml:space="preserve"> are beneficial to improve C-ITS deployment and should be considered within a governance framework that assesses the impacts of full harmonisation to European standards</w:t>
            </w:r>
            <w:r w:rsidR="003D0A73" w:rsidRPr="005764FC">
              <w:rPr>
                <w:lang w:eastAsia="fr-CA"/>
              </w:rPr>
              <w:t xml:space="preserve"> </w:t>
            </w:r>
            <w:r w:rsidR="00C8451A" w:rsidRPr="005764FC">
              <w:rPr>
                <w:lang w:eastAsia="fr-CA"/>
              </w:rPr>
              <w:t>f</w:t>
            </w:r>
            <w:r w:rsidR="003D0A73" w:rsidRPr="005764FC">
              <w:rPr>
                <w:lang w:eastAsia="fr-CA"/>
              </w:rPr>
              <w:t>o</w:t>
            </w:r>
            <w:r w:rsidR="00C8451A" w:rsidRPr="005764FC">
              <w:rPr>
                <w:lang w:eastAsia="fr-CA"/>
              </w:rPr>
              <w:t>r</w:t>
            </w:r>
            <w:r w:rsidR="003D0A73" w:rsidRPr="005764FC">
              <w:rPr>
                <w:lang w:eastAsia="fr-CA"/>
              </w:rPr>
              <w:t xml:space="preserve"> delivery </w:t>
            </w:r>
            <w:r w:rsidR="00C930D6" w:rsidRPr="005764FC">
              <w:rPr>
                <w:lang w:eastAsia="fr-CA"/>
              </w:rPr>
              <w:t>in Australia.</w:t>
            </w:r>
          </w:p>
        </w:tc>
      </w:tr>
    </w:tbl>
    <w:p w14:paraId="28133565" w14:textId="32C4B03E" w:rsidR="004914DB" w:rsidRPr="005764FC" w:rsidRDefault="00E71163" w:rsidP="00D60ADF">
      <w:pPr>
        <w:pStyle w:val="Heading3"/>
        <w:numPr>
          <w:ilvl w:val="0"/>
          <w:numId w:val="0"/>
        </w:numPr>
        <w:rPr>
          <w:lang w:eastAsia="fr-CA"/>
        </w:rPr>
      </w:pPr>
      <w:r>
        <w:rPr>
          <w:lang w:eastAsia="fr-CA"/>
        </w:rPr>
        <w:t xml:space="preserve">3. </w:t>
      </w:r>
      <w:r w:rsidR="004914DB" w:rsidRPr="005764FC">
        <w:rPr>
          <w:lang w:eastAsia="fr-CA"/>
        </w:rPr>
        <w:t>IS A DECISION NEEDED TO DETERMINE PHYSICAL TECHNOLOGY USED FOR SHORT-RANGE COMMUNICATIONS?</w:t>
      </w:r>
    </w:p>
    <w:p w14:paraId="73E89883" w14:textId="55CAB254" w:rsidR="00A1295C" w:rsidRPr="005764FC" w:rsidRDefault="00C2159C" w:rsidP="00FE11C4">
      <w:pPr>
        <w:pStyle w:val="BodyText"/>
        <w:keepNext/>
        <w:rPr>
          <w:lang w:eastAsia="fr-CA"/>
        </w:rPr>
      </w:pPr>
      <w:r w:rsidRPr="005764FC">
        <w:rPr>
          <w:bCs/>
          <w:lang w:eastAsia="fr-CA"/>
        </w:rPr>
        <w:t>T</w:t>
      </w:r>
      <w:r w:rsidR="0005410B" w:rsidRPr="005764FC">
        <w:rPr>
          <w:bCs/>
          <w:lang w:eastAsia="fr-CA"/>
        </w:rPr>
        <w:t>he technology approach for s</w:t>
      </w:r>
      <w:r w:rsidR="00FE3855" w:rsidRPr="005764FC">
        <w:rPr>
          <w:bCs/>
          <w:lang w:eastAsia="fr-CA"/>
        </w:rPr>
        <w:t>hort</w:t>
      </w:r>
      <w:r w:rsidR="00FE3855" w:rsidRPr="005764FC">
        <w:rPr>
          <w:lang w:eastAsia="fr-CA"/>
        </w:rPr>
        <w:t xml:space="preserve">-range communications should </w:t>
      </w:r>
      <w:r w:rsidR="000751D0" w:rsidRPr="005764FC">
        <w:rPr>
          <w:lang w:eastAsia="fr-CA"/>
        </w:rPr>
        <w:t xml:space="preserve">also </w:t>
      </w:r>
      <w:r w:rsidR="0039659F" w:rsidRPr="005764FC">
        <w:rPr>
          <w:lang w:eastAsia="fr-CA"/>
        </w:rPr>
        <w:t>align with Europe</w:t>
      </w:r>
      <w:r w:rsidR="002A7D3C" w:rsidRPr="005764FC">
        <w:rPr>
          <w:lang w:eastAsia="fr-CA"/>
        </w:rPr>
        <w:t xml:space="preserve"> as </w:t>
      </w:r>
      <w:r w:rsidR="00B239A8" w:rsidRPr="005764FC">
        <w:rPr>
          <w:lang w:eastAsia="fr-CA"/>
        </w:rPr>
        <w:t xml:space="preserve">this </w:t>
      </w:r>
      <w:r w:rsidR="00D31D6C" w:rsidRPr="005764FC">
        <w:rPr>
          <w:lang w:eastAsia="fr-CA"/>
        </w:rPr>
        <w:t xml:space="preserve">provides the certainty and consistency </w:t>
      </w:r>
      <w:r w:rsidR="00E5290A" w:rsidRPr="005764FC">
        <w:rPr>
          <w:lang w:eastAsia="fr-CA"/>
        </w:rPr>
        <w:t>for</w:t>
      </w:r>
      <w:r w:rsidR="00C57B0C" w:rsidRPr="005764FC">
        <w:rPr>
          <w:lang w:eastAsia="fr-CA"/>
        </w:rPr>
        <w:t xml:space="preserve"> C-ITS</w:t>
      </w:r>
      <w:r w:rsidR="00E5290A" w:rsidRPr="005764FC">
        <w:rPr>
          <w:lang w:eastAsia="fr-CA"/>
        </w:rPr>
        <w:t xml:space="preserve"> interaction</w:t>
      </w:r>
      <w:r w:rsidR="002C357A" w:rsidRPr="005764FC">
        <w:rPr>
          <w:lang w:eastAsia="fr-CA"/>
        </w:rPr>
        <w:t xml:space="preserve">s </w:t>
      </w:r>
      <w:r w:rsidR="008B755D" w:rsidRPr="005764FC">
        <w:rPr>
          <w:lang w:eastAsia="fr-CA"/>
        </w:rPr>
        <w:t xml:space="preserve">on </w:t>
      </w:r>
      <w:r w:rsidR="00FA1CC4" w:rsidRPr="005764FC">
        <w:rPr>
          <w:lang w:eastAsia="fr-CA"/>
        </w:rPr>
        <w:t xml:space="preserve">Australian </w:t>
      </w:r>
      <w:r w:rsidR="008B755D" w:rsidRPr="005764FC">
        <w:rPr>
          <w:lang w:eastAsia="fr-CA"/>
        </w:rPr>
        <w:t>road</w:t>
      </w:r>
      <w:r w:rsidR="00FA1CC4" w:rsidRPr="005764FC">
        <w:rPr>
          <w:lang w:eastAsia="fr-CA"/>
        </w:rPr>
        <w:t>s</w:t>
      </w:r>
      <w:r w:rsidR="00E5290A" w:rsidRPr="005764FC">
        <w:rPr>
          <w:lang w:eastAsia="fr-CA"/>
        </w:rPr>
        <w:t xml:space="preserve"> </w:t>
      </w:r>
      <w:r w:rsidR="008B755D" w:rsidRPr="005764FC">
        <w:rPr>
          <w:lang w:eastAsia="fr-CA"/>
        </w:rPr>
        <w:t xml:space="preserve">(as </w:t>
      </w:r>
      <w:r w:rsidR="003F086E">
        <w:rPr>
          <w:lang w:eastAsia="fr-CA"/>
        </w:rPr>
        <w:t>stated within</w:t>
      </w:r>
      <w:r w:rsidR="00AF34F5" w:rsidRPr="005764FC">
        <w:rPr>
          <w:lang w:eastAsia="fr-CA"/>
        </w:rPr>
        <w:t xml:space="preserve"> finding</w:t>
      </w:r>
      <w:r w:rsidR="003F086E">
        <w:rPr>
          <w:lang w:eastAsia="fr-CA"/>
        </w:rPr>
        <w:t>s</w:t>
      </w:r>
      <w:r w:rsidR="00AF34F5" w:rsidRPr="005764FC">
        <w:rPr>
          <w:lang w:eastAsia="fr-CA"/>
        </w:rPr>
        <w:t xml:space="preserve"> 8 and 9</w:t>
      </w:r>
      <w:r w:rsidR="008B755D" w:rsidRPr="005764FC">
        <w:rPr>
          <w:lang w:eastAsia="fr-CA"/>
        </w:rPr>
        <w:t xml:space="preserve"> above)</w:t>
      </w:r>
      <w:r w:rsidR="00B239A8" w:rsidRPr="005764FC">
        <w:rPr>
          <w:lang w:eastAsia="fr-CA"/>
        </w:rPr>
        <w:t xml:space="preserve">. </w:t>
      </w:r>
      <w:r w:rsidR="00BA095A" w:rsidRPr="005764FC">
        <w:rPr>
          <w:lang w:eastAsia="fr-CA"/>
        </w:rPr>
        <w:t xml:space="preserve">FCAI states that all vehicle manufacturer members support continued delivery of short-range communication to European standards. </w:t>
      </w:r>
      <w:r w:rsidR="00F0070F" w:rsidRPr="005764FC">
        <w:rPr>
          <w:lang w:eastAsia="fr-CA"/>
        </w:rPr>
        <w:t xml:space="preserve">Europe </w:t>
      </w:r>
      <w:r w:rsidR="0039659F" w:rsidRPr="005764FC">
        <w:rPr>
          <w:b/>
          <w:lang w:eastAsia="fr-CA"/>
        </w:rPr>
        <w:t>provide</w:t>
      </w:r>
      <w:r w:rsidR="000751D0" w:rsidRPr="005764FC">
        <w:rPr>
          <w:b/>
          <w:lang w:eastAsia="fr-CA"/>
        </w:rPr>
        <w:t>s</w:t>
      </w:r>
      <w:r w:rsidR="0039659F" w:rsidRPr="005764FC">
        <w:rPr>
          <w:b/>
          <w:lang w:eastAsia="fr-CA"/>
        </w:rPr>
        <w:t xml:space="preserve"> support for </w:t>
      </w:r>
      <w:r w:rsidR="00C654E4" w:rsidRPr="005764FC">
        <w:rPr>
          <w:b/>
          <w:lang w:eastAsia="fr-CA"/>
        </w:rPr>
        <w:t>DSRC (</w:t>
      </w:r>
      <w:r w:rsidR="00375CDC" w:rsidRPr="005764FC">
        <w:t>the European standard for</w:t>
      </w:r>
      <w:r w:rsidR="00375CDC">
        <w:t xml:space="preserve"> this is</w:t>
      </w:r>
      <w:r w:rsidR="00375CDC" w:rsidRPr="005764FC">
        <w:t xml:space="preserve"> ITS-G5</w:t>
      </w:r>
      <w:r w:rsidR="0039659F" w:rsidRPr="005764FC">
        <w:rPr>
          <w:b/>
          <w:lang w:eastAsia="fr-CA"/>
        </w:rPr>
        <w:t>) as the mature priority technology</w:t>
      </w:r>
      <w:r w:rsidR="00A3342A" w:rsidRPr="005764FC">
        <w:rPr>
          <w:b/>
          <w:lang w:eastAsia="fr-CA"/>
        </w:rPr>
        <w:t xml:space="preserve"> (</w:t>
      </w:r>
      <w:r w:rsidR="007C2F28" w:rsidRPr="005764FC">
        <w:rPr>
          <w:bCs/>
          <w:lang w:eastAsia="fr-CA"/>
        </w:rPr>
        <w:t>as in</w:t>
      </w:r>
      <w:r w:rsidR="007C2F28" w:rsidRPr="005764FC">
        <w:rPr>
          <w:b/>
          <w:lang w:eastAsia="fr-CA"/>
        </w:rPr>
        <w:t xml:space="preserve"> </w:t>
      </w:r>
      <w:r w:rsidR="007F0C99" w:rsidRPr="005764FC">
        <w:rPr>
          <w:b/>
          <w:lang w:eastAsia="fr-CA"/>
        </w:rPr>
        <w:t>PA2</w:t>
      </w:r>
      <w:r w:rsidR="00A3342A" w:rsidRPr="005764FC">
        <w:rPr>
          <w:b/>
          <w:lang w:eastAsia="fr-CA"/>
        </w:rPr>
        <w:t>)</w:t>
      </w:r>
      <w:r w:rsidR="00DD4A70" w:rsidRPr="005764FC">
        <w:rPr>
          <w:b/>
          <w:lang w:eastAsia="fr-CA"/>
        </w:rPr>
        <w:t>,</w:t>
      </w:r>
      <w:r w:rsidR="00D03F26" w:rsidRPr="005764FC">
        <w:rPr>
          <w:b/>
          <w:lang w:eastAsia="fr-CA"/>
        </w:rPr>
        <w:t xml:space="preserve"> for safety-related use </w:t>
      </w:r>
      <w:r w:rsidR="00B7589D" w:rsidRPr="005764FC">
        <w:rPr>
          <w:b/>
          <w:lang w:eastAsia="fr-CA"/>
        </w:rPr>
        <w:t>cases</w:t>
      </w:r>
      <w:r w:rsidR="00EA6387" w:rsidRPr="005764FC">
        <w:rPr>
          <w:b/>
          <w:lang w:eastAsia="fr-CA"/>
        </w:rPr>
        <w:t xml:space="preserve">. </w:t>
      </w:r>
      <w:r w:rsidR="00EA6387" w:rsidRPr="005764FC">
        <w:rPr>
          <w:bCs/>
          <w:lang w:eastAsia="fr-CA"/>
        </w:rPr>
        <w:t xml:space="preserve">Potential to use </w:t>
      </w:r>
      <w:r w:rsidR="00C654E4" w:rsidRPr="005764FC">
        <w:rPr>
          <w:bCs/>
          <w:lang w:eastAsia="fr-CA"/>
        </w:rPr>
        <w:t>DSRC</w:t>
      </w:r>
      <w:r w:rsidR="006632B6" w:rsidRPr="005764FC">
        <w:rPr>
          <w:bCs/>
          <w:lang w:eastAsia="fr-CA"/>
        </w:rPr>
        <w:t xml:space="preserve"> (ITS-G5) </w:t>
      </w:r>
      <w:r w:rsidR="00EA6387" w:rsidRPr="005764FC">
        <w:rPr>
          <w:bCs/>
          <w:lang w:eastAsia="fr-CA"/>
        </w:rPr>
        <w:t xml:space="preserve">or </w:t>
      </w:r>
      <w:r w:rsidR="00E411FB" w:rsidRPr="005764FC">
        <w:rPr>
          <w:bCs/>
          <w:lang w:eastAsia="fr-CA"/>
        </w:rPr>
        <w:t xml:space="preserve">C-V2X for other use </w:t>
      </w:r>
      <w:r w:rsidR="00E411FB" w:rsidRPr="005764FC">
        <w:rPr>
          <w:lang w:eastAsia="fr-CA"/>
        </w:rPr>
        <w:t>cases th</w:t>
      </w:r>
      <w:r w:rsidR="009C297F" w:rsidRPr="005764FC">
        <w:rPr>
          <w:lang w:eastAsia="fr-CA"/>
        </w:rPr>
        <w:t>at add benefit</w:t>
      </w:r>
      <w:r w:rsidR="00143BC2" w:rsidRPr="005764FC">
        <w:rPr>
          <w:lang w:eastAsia="fr-CA"/>
        </w:rPr>
        <w:t xml:space="preserve"> to users and society</w:t>
      </w:r>
      <w:r w:rsidR="00E411FB" w:rsidRPr="005764FC">
        <w:rPr>
          <w:lang w:eastAsia="fr-CA"/>
        </w:rPr>
        <w:t xml:space="preserve"> should </w:t>
      </w:r>
      <w:r w:rsidR="003C2EF6">
        <w:rPr>
          <w:lang w:eastAsia="fr-CA"/>
        </w:rPr>
        <w:t xml:space="preserve">also </w:t>
      </w:r>
      <w:r w:rsidR="00E411FB" w:rsidRPr="005764FC">
        <w:rPr>
          <w:lang w:eastAsia="fr-CA"/>
        </w:rPr>
        <w:t>be considered</w:t>
      </w:r>
      <w:r w:rsidR="00F6119D" w:rsidRPr="005764FC">
        <w:rPr>
          <w:lang w:eastAsia="fr-CA"/>
        </w:rPr>
        <w:t>.</w:t>
      </w:r>
      <w:r w:rsidR="00E411FB" w:rsidRPr="005764FC">
        <w:rPr>
          <w:lang w:eastAsia="fr-CA"/>
        </w:rPr>
        <w:t xml:space="preserve"> </w:t>
      </w:r>
      <w:r w:rsidR="00362317" w:rsidRPr="005764FC">
        <w:rPr>
          <w:lang w:eastAsia="fr-CA"/>
        </w:rPr>
        <w:t xml:space="preserve">However, these should </w:t>
      </w:r>
      <w:r w:rsidR="004E2D3B" w:rsidRPr="005764FC">
        <w:rPr>
          <w:lang w:eastAsia="fr-CA"/>
        </w:rPr>
        <w:t xml:space="preserve">not detract from the primary benefits </w:t>
      </w:r>
      <w:r w:rsidR="00FC2599" w:rsidRPr="005764FC">
        <w:rPr>
          <w:lang w:eastAsia="fr-CA"/>
        </w:rPr>
        <w:t xml:space="preserve">presented by Day 1 C-ITS deployment and should </w:t>
      </w:r>
      <w:r w:rsidR="00362317" w:rsidRPr="005764FC">
        <w:rPr>
          <w:lang w:eastAsia="fr-CA"/>
        </w:rPr>
        <w:t xml:space="preserve">be harmonised </w:t>
      </w:r>
      <w:r w:rsidR="00E411FB" w:rsidRPr="005764FC">
        <w:rPr>
          <w:lang w:eastAsia="fr-CA"/>
        </w:rPr>
        <w:t>based on European direction which will</w:t>
      </w:r>
      <w:r w:rsidR="003C2EF6">
        <w:rPr>
          <w:lang w:eastAsia="fr-CA"/>
        </w:rPr>
        <w:t>, in turn,</w:t>
      </w:r>
      <w:r w:rsidR="00E411FB" w:rsidRPr="005764FC">
        <w:rPr>
          <w:lang w:eastAsia="fr-CA"/>
        </w:rPr>
        <w:t xml:space="preserve"> </w:t>
      </w:r>
      <w:r w:rsidR="003C2EF6">
        <w:rPr>
          <w:lang w:eastAsia="fr-CA"/>
        </w:rPr>
        <w:t>determine</w:t>
      </w:r>
      <w:r w:rsidR="003C2EF6" w:rsidRPr="005764FC">
        <w:rPr>
          <w:lang w:eastAsia="fr-CA"/>
        </w:rPr>
        <w:t xml:space="preserve"> </w:t>
      </w:r>
      <w:r w:rsidR="00E411FB" w:rsidRPr="005764FC">
        <w:rPr>
          <w:lang w:eastAsia="fr-CA"/>
        </w:rPr>
        <w:t xml:space="preserve">what </w:t>
      </w:r>
      <w:r w:rsidR="003D5894">
        <w:rPr>
          <w:lang w:eastAsia="fr-CA"/>
        </w:rPr>
        <w:t>technology</w:t>
      </w:r>
      <w:r w:rsidR="00E411FB" w:rsidRPr="005764FC">
        <w:rPr>
          <w:lang w:eastAsia="fr-CA"/>
        </w:rPr>
        <w:t xml:space="preserve"> vehicles will support</w:t>
      </w:r>
      <w:r w:rsidR="00C05A7D" w:rsidRPr="005764FC">
        <w:rPr>
          <w:lang w:eastAsia="fr-CA"/>
        </w:rPr>
        <w:t xml:space="preserve">. </w:t>
      </w:r>
      <w:r w:rsidR="00122D4C" w:rsidRPr="005764FC">
        <w:rPr>
          <w:lang w:eastAsia="fr-CA"/>
        </w:rPr>
        <w:t xml:space="preserve"> </w:t>
      </w:r>
    </w:p>
    <w:tbl>
      <w:tblPr>
        <w:tblStyle w:val="Table1"/>
        <w:tblW w:w="5000" w:type="pct"/>
        <w:tblLayout w:type="fixed"/>
        <w:tblLook w:val="0620" w:firstRow="1" w:lastRow="0" w:firstColumn="0" w:lastColumn="0" w:noHBand="1" w:noVBand="1"/>
      </w:tblPr>
      <w:tblGrid>
        <w:gridCol w:w="990"/>
        <w:gridCol w:w="8757"/>
      </w:tblGrid>
      <w:tr w:rsidR="0029551B" w:rsidRPr="005764FC" w14:paraId="6BAEBC62" w14:textId="77777777" w:rsidTr="009B3AF4">
        <w:trPr>
          <w:cnfStyle w:val="100000000000" w:firstRow="1" w:lastRow="0" w:firstColumn="0" w:lastColumn="0" w:oddVBand="0" w:evenVBand="0" w:oddHBand="0" w:evenHBand="0" w:firstRowFirstColumn="0" w:firstRowLastColumn="0" w:lastRowFirstColumn="0" w:lastRowLastColumn="0"/>
          <w:cantSplit/>
        </w:trPr>
        <w:tc>
          <w:tcPr>
            <w:tcW w:w="508" w:type="pct"/>
          </w:tcPr>
          <w:p w14:paraId="6A901C32" w14:textId="77777777" w:rsidR="0029551B" w:rsidRPr="005764FC" w:rsidRDefault="0029551B" w:rsidP="00FE11C4">
            <w:pPr>
              <w:pStyle w:val="TableText"/>
              <w:keepNext/>
              <w:jc w:val="center"/>
              <w:rPr>
                <w:b/>
                <w:bCs/>
                <w:lang w:eastAsia="fr-CA"/>
              </w:rPr>
            </w:pPr>
            <w:r w:rsidRPr="005764FC">
              <w:rPr>
                <w:b/>
                <w:bCs/>
                <w:lang w:eastAsia="fr-CA"/>
              </w:rPr>
              <w:t>Number</w:t>
            </w:r>
          </w:p>
        </w:tc>
        <w:tc>
          <w:tcPr>
            <w:tcW w:w="4492" w:type="pct"/>
          </w:tcPr>
          <w:p w14:paraId="35968D12" w14:textId="77777777" w:rsidR="0029551B" w:rsidRPr="005764FC" w:rsidRDefault="0029551B" w:rsidP="00FE11C4">
            <w:pPr>
              <w:pStyle w:val="TableText"/>
              <w:keepNext/>
              <w:rPr>
                <w:b/>
                <w:bCs/>
                <w:lang w:eastAsia="fr-CA"/>
              </w:rPr>
            </w:pPr>
            <w:r w:rsidRPr="005764FC">
              <w:rPr>
                <w:b/>
                <w:bCs/>
                <w:lang w:eastAsia="fr-CA"/>
              </w:rPr>
              <w:t>Finding</w:t>
            </w:r>
          </w:p>
        </w:tc>
      </w:tr>
      <w:tr w:rsidR="0029551B" w:rsidRPr="005764FC" w14:paraId="29FE05E8" w14:textId="77777777" w:rsidTr="009B3AF4">
        <w:trPr>
          <w:cantSplit/>
        </w:trPr>
        <w:tc>
          <w:tcPr>
            <w:tcW w:w="508" w:type="pct"/>
          </w:tcPr>
          <w:p w14:paraId="297DFB6E" w14:textId="77777777" w:rsidR="0029551B" w:rsidRPr="005764FC" w:rsidRDefault="0029551B" w:rsidP="00FE11C4">
            <w:pPr>
              <w:pStyle w:val="TableText"/>
              <w:jc w:val="center"/>
              <w:rPr>
                <w:lang w:eastAsia="fr-CA"/>
              </w:rPr>
            </w:pPr>
            <w:r w:rsidRPr="005764FC">
              <w:rPr>
                <w:lang w:eastAsia="fr-CA"/>
              </w:rPr>
              <w:t>12</w:t>
            </w:r>
          </w:p>
        </w:tc>
        <w:tc>
          <w:tcPr>
            <w:tcW w:w="4492" w:type="pct"/>
          </w:tcPr>
          <w:p w14:paraId="6123804D" w14:textId="06AB6384" w:rsidR="0029551B" w:rsidRPr="005764FC" w:rsidRDefault="00172CAB" w:rsidP="00C92600">
            <w:pPr>
              <w:pStyle w:val="TableText"/>
              <w:rPr>
                <w:lang w:eastAsia="fr-CA"/>
              </w:rPr>
            </w:pPr>
            <w:r w:rsidRPr="005764FC">
              <w:rPr>
                <w:lang w:eastAsia="fr-CA"/>
              </w:rPr>
              <w:t xml:space="preserve">Prioritising support for a single short-range communications </w:t>
            </w:r>
            <w:r w:rsidR="008E6004" w:rsidRPr="005764FC">
              <w:rPr>
                <w:lang w:eastAsia="fr-CA"/>
              </w:rPr>
              <w:t>standard</w:t>
            </w:r>
            <w:r w:rsidRPr="005764FC">
              <w:rPr>
                <w:lang w:eastAsia="fr-CA"/>
              </w:rPr>
              <w:t xml:space="preserve"> will </w:t>
            </w:r>
            <w:r w:rsidR="0029551B" w:rsidRPr="005764FC">
              <w:rPr>
                <w:lang w:eastAsia="fr-CA"/>
              </w:rPr>
              <w:t xml:space="preserve">encourage uptake and achieve maximum benefits given by interoperability. Mixed technology delivering the same services will </w:t>
            </w:r>
            <w:r w:rsidR="00FE622C">
              <w:rPr>
                <w:lang w:eastAsia="fr-CA"/>
              </w:rPr>
              <w:t xml:space="preserve">more than </w:t>
            </w:r>
            <w:r w:rsidR="0029551B" w:rsidRPr="005764FC">
              <w:rPr>
                <w:lang w:eastAsia="fr-CA"/>
              </w:rPr>
              <w:t>hal</w:t>
            </w:r>
            <w:r w:rsidR="00A11BE3" w:rsidRPr="005764FC">
              <w:rPr>
                <w:lang w:eastAsia="fr-CA"/>
              </w:rPr>
              <w:t>ve</w:t>
            </w:r>
            <w:r w:rsidR="0029551B" w:rsidRPr="005764FC">
              <w:rPr>
                <w:lang w:eastAsia="fr-CA"/>
              </w:rPr>
              <w:t xml:space="preserve"> the CBA benefits</w:t>
            </w:r>
            <w:r w:rsidR="008F561F" w:rsidRPr="005764FC">
              <w:rPr>
                <w:lang w:eastAsia="fr-CA"/>
              </w:rPr>
              <w:t xml:space="preserve"> due </w:t>
            </w:r>
            <w:r w:rsidR="000B54B4" w:rsidRPr="005764FC">
              <w:rPr>
                <w:lang w:eastAsia="fr-CA"/>
              </w:rPr>
              <w:t xml:space="preserve">to splitting </w:t>
            </w:r>
            <w:r w:rsidR="00D164F8" w:rsidRPr="005764FC">
              <w:rPr>
                <w:lang w:eastAsia="fr-CA"/>
              </w:rPr>
              <w:t xml:space="preserve">the vehicle market into </w:t>
            </w:r>
            <w:r w:rsidR="000B54B4" w:rsidRPr="005764FC">
              <w:rPr>
                <w:lang w:eastAsia="fr-CA"/>
              </w:rPr>
              <w:t xml:space="preserve">two halves </w:t>
            </w:r>
            <w:r w:rsidR="00D164F8" w:rsidRPr="005764FC">
              <w:rPr>
                <w:lang w:eastAsia="fr-CA"/>
              </w:rPr>
              <w:t xml:space="preserve">which cannot interact with each other. </w:t>
            </w:r>
            <w:r w:rsidR="0029551B" w:rsidRPr="005764FC">
              <w:rPr>
                <w:lang w:eastAsia="fr-CA"/>
              </w:rPr>
              <w:t xml:space="preserve"> </w:t>
            </w:r>
          </w:p>
        </w:tc>
      </w:tr>
      <w:tr w:rsidR="00C57B0C" w:rsidRPr="005764FC" w14:paraId="6F0C265E" w14:textId="77777777" w:rsidTr="009B3AF4">
        <w:trPr>
          <w:cantSplit/>
        </w:trPr>
        <w:tc>
          <w:tcPr>
            <w:tcW w:w="508" w:type="pct"/>
          </w:tcPr>
          <w:p w14:paraId="0F592733" w14:textId="0662D4AB" w:rsidR="00C57B0C" w:rsidRPr="005764FC" w:rsidRDefault="00077B7A" w:rsidP="00FE11C4">
            <w:pPr>
              <w:pStyle w:val="TableText"/>
              <w:jc w:val="center"/>
              <w:rPr>
                <w:lang w:eastAsia="fr-CA"/>
              </w:rPr>
            </w:pPr>
            <w:r w:rsidRPr="005764FC">
              <w:rPr>
                <w:lang w:eastAsia="fr-CA"/>
              </w:rPr>
              <w:t>13</w:t>
            </w:r>
          </w:p>
        </w:tc>
        <w:tc>
          <w:tcPr>
            <w:tcW w:w="4492" w:type="pct"/>
          </w:tcPr>
          <w:p w14:paraId="6A418805" w14:textId="0E99B36B" w:rsidR="00C57B0C" w:rsidRPr="005764FC" w:rsidRDefault="00692F44" w:rsidP="00AC38B0">
            <w:pPr>
              <w:pStyle w:val="TableText"/>
              <w:rPr>
                <w:lang w:eastAsia="fr-CA"/>
              </w:rPr>
            </w:pPr>
            <w:r w:rsidRPr="005764FC">
              <w:rPr>
                <w:lang w:eastAsia="fr-CA"/>
              </w:rPr>
              <w:t xml:space="preserve">Dedicated Short-range Communications (DSRC) is </w:t>
            </w:r>
            <w:r w:rsidR="0066574E">
              <w:rPr>
                <w:lang w:eastAsia="fr-CA"/>
              </w:rPr>
              <w:t xml:space="preserve">currently </w:t>
            </w:r>
            <w:r w:rsidRPr="005764FC">
              <w:rPr>
                <w:lang w:eastAsia="fr-CA"/>
              </w:rPr>
              <w:t>the most mature technology for short-range communication deployment, has been used in all Australian pilots</w:t>
            </w:r>
            <w:r w:rsidR="003107C9" w:rsidRPr="00A50C5C">
              <w:rPr>
                <w:lang w:eastAsia="fr-CA"/>
              </w:rPr>
              <w:t xml:space="preserve">, </w:t>
            </w:r>
            <w:r w:rsidRPr="005764FC">
              <w:rPr>
                <w:lang w:eastAsia="fr-CA"/>
              </w:rPr>
              <w:t xml:space="preserve">and is prioritised for the European uptake of safety-related use cases. </w:t>
            </w:r>
          </w:p>
        </w:tc>
      </w:tr>
      <w:tr w:rsidR="0029551B" w:rsidRPr="005764FC" w14:paraId="6BA8CDD5" w14:textId="77777777" w:rsidTr="009B3AF4">
        <w:trPr>
          <w:cantSplit/>
        </w:trPr>
        <w:tc>
          <w:tcPr>
            <w:tcW w:w="508" w:type="pct"/>
          </w:tcPr>
          <w:p w14:paraId="3922C467" w14:textId="77777777" w:rsidR="0029551B" w:rsidRPr="005764FC" w:rsidRDefault="0029551B" w:rsidP="00FE11C4">
            <w:pPr>
              <w:pStyle w:val="TableText"/>
              <w:jc w:val="center"/>
              <w:rPr>
                <w:lang w:eastAsia="fr-CA"/>
              </w:rPr>
            </w:pPr>
            <w:r w:rsidRPr="005764FC">
              <w:rPr>
                <w:lang w:eastAsia="fr-CA"/>
              </w:rPr>
              <w:t>14</w:t>
            </w:r>
          </w:p>
        </w:tc>
        <w:tc>
          <w:tcPr>
            <w:tcW w:w="4492" w:type="pct"/>
          </w:tcPr>
          <w:p w14:paraId="05D58700" w14:textId="7B4233CC" w:rsidR="0029551B" w:rsidRPr="005764FC" w:rsidRDefault="00692F44" w:rsidP="00C92600">
            <w:pPr>
              <w:pStyle w:val="TableText"/>
              <w:rPr>
                <w:lang w:eastAsia="fr-CA"/>
              </w:rPr>
            </w:pPr>
            <w:r w:rsidRPr="005764FC">
              <w:rPr>
                <w:lang w:eastAsia="fr-CA"/>
              </w:rPr>
              <w:t xml:space="preserve">The progress of Cellular-V2X (C-V2X) should continue to be monitored for its potential to improve road safety and efficiency targets where the benefits of providing shared and nationally interoperable digital systems are not degraded. </w:t>
            </w:r>
          </w:p>
        </w:tc>
      </w:tr>
      <w:tr w:rsidR="00692F44" w:rsidRPr="005764FC" w14:paraId="1FF55D6C" w14:textId="77777777" w:rsidTr="009B3AF4">
        <w:trPr>
          <w:cantSplit/>
        </w:trPr>
        <w:tc>
          <w:tcPr>
            <w:tcW w:w="508" w:type="pct"/>
          </w:tcPr>
          <w:p w14:paraId="45ED657B" w14:textId="77777777" w:rsidR="00692F44" w:rsidRPr="005764FC" w:rsidRDefault="00692F44" w:rsidP="00692F44">
            <w:pPr>
              <w:pStyle w:val="TableText"/>
              <w:jc w:val="center"/>
              <w:rPr>
                <w:lang w:eastAsia="fr-CA"/>
              </w:rPr>
            </w:pPr>
            <w:r w:rsidRPr="005764FC">
              <w:rPr>
                <w:lang w:eastAsia="fr-CA"/>
              </w:rPr>
              <w:t>15</w:t>
            </w:r>
          </w:p>
        </w:tc>
        <w:tc>
          <w:tcPr>
            <w:tcW w:w="4492" w:type="pct"/>
          </w:tcPr>
          <w:p w14:paraId="3F5AF853" w14:textId="07E08FE6" w:rsidR="00692F44" w:rsidRPr="005764FC" w:rsidRDefault="00692F44" w:rsidP="00692F44">
            <w:pPr>
              <w:pStyle w:val="TableText"/>
              <w:rPr>
                <w:lang w:eastAsia="fr-CA"/>
              </w:rPr>
            </w:pPr>
            <w:r w:rsidRPr="005764FC">
              <w:rPr>
                <w:lang w:eastAsia="fr-CA"/>
              </w:rPr>
              <w:t xml:space="preserve">Full scale deployment delays have not been due to the short-range communication method but rather </w:t>
            </w:r>
            <w:r w:rsidR="00265FCD">
              <w:rPr>
                <w:lang w:eastAsia="fr-CA"/>
              </w:rPr>
              <w:t xml:space="preserve">due </w:t>
            </w:r>
            <w:r w:rsidRPr="005764FC">
              <w:rPr>
                <w:lang w:eastAsia="fr-CA"/>
              </w:rPr>
              <w:t xml:space="preserve">to solving challenges in delivering an operational ecosystem (such as user interaction and acceptance, business models with new interactions and processes, data readiness, security, </w:t>
            </w:r>
            <w:r w:rsidR="00C92AF0">
              <w:rPr>
                <w:lang w:eastAsia="fr-CA"/>
              </w:rPr>
              <w:t>etc.</w:t>
            </w:r>
            <w:r w:rsidRPr="005764FC">
              <w:rPr>
                <w:lang w:eastAsia="fr-CA"/>
              </w:rPr>
              <w:t>).</w:t>
            </w:r>
          </w:p>
        </w:tc>
      </w:tr>
    </w:tbl>
    <w:p w14:paraId="6629C877" w14:textId="2CCBFC07" w:rsidR="004A4547" w:rsidRPr="005764FC" w:rsidRDefault="004A4547" w:rsidP="00D60ADF">
      <w:pPr>
        <w:pStyle w:val="Heading2"/>
        <w:numPr>
          <w:ilvl w:val="0"/>
          <w:numId w:val="0"/>
        </w:numPr>
        <w:ind w:left="1134" w:hanging="1134"/>
      </w:pPr>
      <w:r w:rsidRPr="005764FC">
        <w:t>Principles</w:t>
      </w:r>
      <w:r w:rsidR="001730A8" w:rsidRPr="005764FC">
        <w:t xml:space="preserve"> </w:t>
      </w:r>
    </w:p>
    <w:p w14:paraId="6BFC65C1" w14:textId="6A119AD7" w:rsidR="004A4547" w:rsidRPr="005764FC" w:rsidRDefault="00B621A8" w:rsidP="00867113">
      <w:pPr>
        <w:pStyle w:val="BodyText"/>
        <w:keepLines/>
      </w:pPr>
      <w:r w:rsidRPr="005764FC">
        <w:t xml:space="preserve">A nationally consistent approach to C‑ITS is needed to move to a market that allows industry to deploy at-scale with certainty. Defining and supporting common priorities between government, industry and users is essential </w:t>
      </w:r>
      <w:r w:rsidR="004E3AE1" w:rsidRPr="005764FC">
        <w:t xml:space="preserve">for </w:t>
      </w:r>
      <w:r w:rsidRPr="005764FC">
        <w:t>ensur</w:t>
      </w:r>
      <w:r w:rsidR="004E3AE1" w:rsidRPr="005764FC">
        <w:t xml:space="preserve">ing </w:t>
      </w:r>
      <w:r w:rsidR="00104B46" w:rsidRPr="005764FC">
        <w:t>Australia</w:t>
      </w:r>
      <w:r w:rsidR="004E3AE1" w:rsidRPr="005764FC">
        <w:t xml:space="preserve"> ha</w:t>
      </w:r>
      <w:r w:rsidR="00104B46" w:rsidRPr="005764FC">
        <w:t>s</w:t>
      </w:r>
      <w:r w:rsidRPr="005764FC">
        <w:t xml:space="preserve"> the right aspects of a foundational C‑ITS ecosystem in place. C‑ITS should complement other national transport strategies and benefit enhanced transport systems</w:t>
      </w:r>
      <w:r w:rsidR="00104B46" w:rsidRPr="005764FC">
        <w:t xml:space="preserve"> – not</w:t>
      </w:r>
      <w:r w:rsidRPr="005764FC">
        <w:t xml:space="preserve"> represent a competing solution. </w:t>
      </w:r>
      <w:r w:rsidR="00541C8A" w:rsidRPr="005764FC">
        <w:t xml:space="preserve">The following principles </w:t>
      </w:r>
      <w:r w:rsidR="00BB5159" w:rsidRPr="005764FC">
        <w:t xml:space="preserve">provide </w:t>
      </w:r>
      <w:r w:rsidR="001730A8" w:rsidRPr="005764FC">
        <w:t>guidance</w:t>
      </w:r>
      <w:r w:rsidR="00BB5159" w:rsidRPr="005764FC">
        <w:t xml:space="preserve"> </w:t>
      </w:r>
      <w:r w:rsidR="00726A93" w:rsidRPr="005764FC">
        <w:t xml:space="preserve">in working towards national </w:t>
      </w:r>
      <w:r w:rsidR="00104B46" w:rsidRPr="005764FC">
        <w:t xml:space="preserve">C-ITS </w:t>
      </w:r>
      <w:r w:rsidR="00726A93" w:rsidRPr="005764FC">
        <w:t>deployment</w:t>
      </w:r>
      <w:r w:rsidR="003A7F40" w:rsidRPr="005764FC">
        <w:t xml:space="preserve">: </w:t>
      </w:r>
    </w:p>
    <w:p w14:paraId="4F4BECB1" w14:textId="53F9059D" w:rsidR="00C92600" w:rsidRPr="005764FC" w:rsidRDefault="00C92600" w:rsidP="00876EF3">
      <w:pPr>
        <w:pStyle w:val="ListNumber4"/>
        <w:ind w:left="357"/>
      </w:pPr>
      <w:r w:rsidRPr="005764FC">
        <w:t>Engagement between governments and industry</w:t>
      </w:r>
      <w:r w:rsidR="004B3A08" w:rsidRPr="005764FC">
        <w:t xml:space="preserve"> (specifically vehicle manufacturers)</w:t>
      </w:r>
      <w:r w:rsidR="00F90907" w:rsidRPr="005764FC">
        <w:t>,</w:t>
      </w:r>
      <w:r w:rsidR="001730A8" w:rsidRPr="005764FC">
        <w:t xml:space="preserve"> and agreement built on shared understanding of issues,</w:t>
      </w:r>
      <w:r w:rsidRPr="005764FC">
        <w:t xml:space="preserve"> </w:t>
      </w:r>
      <w:r w:rsidR="001730A8" w:rsidRPr="005764FC">
        <w:t xml:space="preserve">are key </w:t>
      </w:r>
      <w:r w:rsidRPr="005764FC">
        <w:t>to develop</w:t>
      </w:r>
      <w:r w:rsidR="001730A8" w:rsidRPr="005764FC">
        <w:t>ing</w:t>
      </w:r>
      <w:r w:rsidRPr="005764FC">
        <w:t xml:space="preserve"> an interoperable C-ITS ecosystem</w:t>
      </w:r>
      <w:r w:rsidR="00876EF3" w:rsidRPr="005764FC">
        <w:t>.</w:t>
      </w:r>
    </w:p>
    <w:p w14:paraId="2EC412A0" w14:textId="21D86E59" w:rsidR="00C92600" w:rsidRPr="005764FC" w:rsidRDefault="001730A8" w:rsidP="00876EF3">
      <w:pPr>
        <w:pStyle w:val="ListNumber4"/>
        <w:ind w:left="357"/>
      </w:pPr>
      <w:r w:rsidRPr="005764FC">
        <w:t>Uplifting d</w:t>
      </w:r>
      <w:r w:rsidR="00C92600" w:rsidRPr="005764FC">
        <w:t xml:space="preserve">igital capability </w:t>
      </w:r>
      <w:r w:rsidR="00F90907" w:rsidRPr="005764FC">
        <w:t>in people and infrastructure will support</w:t>
      </w:r>
      <w:r w:rsidR="00C92600" w:rsidRPr="005764FC">
        <w:t xml:space="preserve"> informed agencies, service providers and road users</w:t>
      </w:r>
      <w:r w:rsidR="00876EF3" w:rsidRPr="005764FC">
        <w:t>.</w:t>
      </w:r>
    </w:p>
    <w:p w14:paraId="330B532D" w14:textId="5C025470" w:rsidR="00C92600" w:rsidRPr="005764FC" w:rsidRDefault="00C92600" w:rsidP="00876EF3">
      <w:pPr>
        <w:pStyle w:val="ListNumber4"/>
        <w:ind w:left="357"/>
      </w:pPr>
      <w:r w:rsidRPr="005764FC">
        <w:t xml:space="preserve">Standards combined with </w:t>
      </w:r>
      <w:r w:rsidR="00104B46" w:rsidRPr="005764FC">
        <w:t xml:space="preserve">infrastructure </w:t>
      </w:r>
      <w:r w:rsidRPr="005764FC">
        <w:t>availability provide a platform for interoperability and long-term operational deployment</w:t>
      </w:r>
      <w:r w:rsidR="00876EF3" w:rsidRPr="005764FC">
        <w:t>.</w:t>
      </w:r>
    </w:p>
    <w:p w14:paraId="5482B106" w14:textId="46A63842" w:rsidR="00C92600" w:rsidRPr="005764FC" w:rsidRDefault="00F90907" w:rsidP="00876EF3">
      <w:pPr>
        <w:pStyle w:val="ListNumber4"/>
        <w:ind w:left="357"/>
      </w:pPr>
      <w:r w:rsidRPr="005764FC">
        <w:t>Early f</w:t>
      </w:r>
      <w:r w:rsidR="00C92600" w:rsidRPr="005764FC">
        <w:t xml:space="preserve">ocus on specific </w:t>
      </w:r>
      <w:r w:rsidR="00FA66C7" w:rsidRPr="005764FC">
        <w:t>public benefit</w:t>
      </w:r>
      <w:r w:rsidRPr="005764FC">
        <w:t xml:space="preserve"> use cases</w:t>
      </w:r>
      <w:r w:rsidR="00C92600" w:rsidRPr="005764FC">
        <w:t xml:space="preserve"> can realise targeted benefits and help </w:t>
      </w:r>
      <w:r w:rsidR="00FA66C7" w:rsidRPr="005764FC">
        <w:t xml:space="preserve">accelerate </w:t>
      </w:r>
      <w:r w:rsidR="00C92600" w:rsidRPr="005764FC">
        <w:t>establish</w:t>
      </w:r>
      <w:r w:rsidR="00FA66C7" w:rsidRPr="005764FC">
        <w:t>ment of</w:t>
      </w:r>
      <w:r w:rsidR="00C92600" w:rsidRPr="005764FC">
        <w:t xml:space="preserve"> the ecosystem</w:t>
      </w:r>
      <w:r w:rsidR="00876EF3" w:rsidRPr="005764FC">
        <w:t>.</w:t>
      </w:r>
    </w:p>
    <w:p w14:paraId="34CE1E8E" w14:textId="0D3215EC" w:rsidR="00C92600" w:rsidRPr="005764FC" w:rsidRDefault="00C92600" w:rsidP="00876EF3">
      <w:pPr>
        <w:pStyle w:val="ListNumber4"/>
        <w:ind w:left="357"/>
      </w:pPr>
      <w:r w:rsidRPr="005764FC">
        <w:t xml:space="preserve">A foundational ecosystem </w:t>
      </w:r>
      <w:r w:rsidR="00FA66C7" w:rsidRPr="005764FC">
        <w:t xml:space="preserve">should </w:t>
      </w:r>
      <w:r w:rsidRPr="005764FC">
        <w:t xml:space="preserve">allow </w:t>
      </w:r>
      <w:r w:rsidR="00BC0577" w:rsidRPr="005764FC">
        <w:t xml:space="preserve">for </w:t>
      </w:r>
      <w:r w:rsidRPr="005764FC">
        <w:t xml:space="preserve">future growth and </w:t>
      </w:r>
      <w:r w:rsidR="00FA66C7" w:rsidRPr="005764FC">
        <w:t>flexibility to accommodate</w:t>
      </w:r>
      <w:r w:rsidRPr="005764FC">
        <w:t xml:space="preserve"> </w:t>
      </w:r>
      <w:r w:rsidR="00BC0577" w:rsidRPr="005764FC">
        <w:t xml:space="preserve">a range of </w:t>
      </w:r>
      <w:r w:rsidRPr="005764FC">
        <w:t>business models</w:t>
      </w:r>
      <w:r w:rsidR="00876EF3" w:rsidRPr="005764FC">
        <w:t>.</w:t>
      </w:r>
    </w:p>
    <w:p w14:paraId="084ECAA1" w14:textId="65EFC5EA" w:rsidR="004A4547" w:rsidRPr="005764FC" w:rsidRDefault="004A4547" w:rsidP="00D60ADF">
      <w:pPr>
        <w:pStyle w:val="Heading2"/>
        <w:numPr>
          <w:ilvl w:val="0"/>
          <w:numId w:val="0"/>
        </w:numPr>
        <w:ind w:left="1134" w:hanging="1134"/>
      </w:pPr>
      <w:r w:rsidRPr="005764FC">
        <w:t>Road Ahead</w:t>
      </w:r>
    </w:p>
    <w:p w14:paraId="1400F746" w14:textId="3AB3D503" w:rsidR="009D69C4" w:rsidRPr="005764FC" w:rsidRDefault="00B81454" w:rsidP="00876EF3">
      <w:pPr>
        <w:pStyle w:val="BodyText"/>
        <w:keepLines/>
      </w:pPr>
      <w:r w:rsidRPr="005764FC">
        <w:t xml:space="preserve">The principles highlight a need to </w:t>
      </w:r>
      <w:r w:rsidRPr="005764FC">
        <w:rPr>
          <w:iCs/>
        </w:rPr>
        <w:t>kickstart</w:t>
      </w:r>
      <w:r w:rsidRPr="005764FC">
        <w:t xml:space="preserve"> the process of C‑ITS deployment given the ecosystem’s complexity.</w:t>
      </w:r>
      <w:r w:rsidR="009D69C4" w:rsidRPr="005764FC">
        <w:t xml:space="preserve"> A robust national framework will provide initial national direction for many different industries, levels of government</w:t>
      </w:r>
      <w:r w:rsidR="00104B46" w:rsidRPr="005764FC">
        <w:t>,</w:t>
      </w:r>
      <w:r w:rsidR="009D69C4" w:rsidRPr="005764FC">
        <w:t xml:space="preserve"> and users. A framework needs to be </w:t>
      </w:r>
      <w:r w:rsidR="00A05233" w:rsidRPr="005764FC">
        <w:t xml:space="preserve">adopted </w:t>
      </w:r>
      <w:r w:rsidR="009D69C4" w:rsidRPr="005764FC">
        <w:t xml:space="preserve">to meet the needs of all key parties and provide certainty </w:t>
      </w:r>
      <w:r w:rsidR="00A05233" w:rsidRPr="005764FC">
        <w:t>through</w:t>
      </w:r>
      <w:r w:rsidR="009D69C4" w:rsidRPr="005764FC">
        <w:t>:</w:t>
      </w:r>
    </w:p>
    <w:p w14:paraId="041AFDD1" w14:textId="117A6112" w:rsidR="009D69C4" w:rsidRPr="005764FC" w:rsidRDefault="003D4CB8" w:rsidP="00876EF3">
      <w:pPr>
        <w:pStyle w:val="ListBullet"/>
        <w:ind w:left="357" w:hanging="357"/>
        <w:contextualSpacing/>
      </w:pPr>
      <w:r w:rsidRPr="005764FC">
        <w:t>A</w:t>
      </w:r>
      <w:r w:rsidR="009D69C4" w:rsidRPr="005764FC">
        <w:t xml:space="preserve"> detailed roadmap with objectives, </w:t>
      </w:r>
      <w:r w:rsidR="000D0E51" w:rsidRPr="005764FC">
        <w:t xml:space="preserve">potential </w:t>
      </w:r>
      <w:r w:rsidR="004E133C" w:rsidRPr="005764FC">
        <w:t>future</w:t>
      </w:r>
      <w:r w:rsidR="009D69C4" w:rsidRPr="005764FC">
        <w:t xml:space="preserve"> state</w:t>
      </w:r>
      <w:r w:rsidR="00A74C11" w:rsidRPr="005764FC">
        <w:t xml:space="preserve">, </w:t>
      </w:r>
      <w:r w:rsidR="000D0E51" w:rsidRPr="005764FC">
        <w:t>integration needs</w:t>
      </w:r>
      <w:r w:rsidR="005241A7" w:rsidRPr="005764FC">
        <w:t>,</w:t>
      </w:r>
      <w:r w:rsidR="009D69C4" w:rsidRPr="005764FC">
        <w:t xml:space="preserve"> </w:t>
      </w:r>
      <w:r w:rsidR="00C80020" w:rsidRPr="005764FC">
        <w:t xml:space="preserve">investment strategies </w:t>
      </w:r>
      <w:r w:rsidR="009D69C4" w:rsidRPr="005764FC">
        <w:t xml:space="preserve">and timeframes to galvanise a </w:t>
      </w:r>
      <w:r w:rsidR="005241A7" w:rsidRPr="005764FC">
        <w:t xml:space="preserve">deployment </w:t>
      </w:r>
      <w:r w:rsidR="009D69C4" w:rsidRPr="005764FC">
        <w:t>approach</w:t>
      </w:r>
    </w:p>
    <w:p w14:paraId="1A87F60C" w14:textId="3203A5ED" w:rsidR="009D69C4" w:rsidRPr="005764FC" w:rsidRDefault="003D4CB8" w:rsidP="00876EF3">
      <w:pPr>
        <w:pStyle w:val="ListBullet"/>
        <w:ind w:left="357" w:hanging="357"/>
        <w:contextualSpacing/>
      </w:pPr>
      <w:r w:rsidRPr="005764FC">
        <w:t>E</w:t>
      </w:r>
      <w:r w:rsidR="009D69C4" w:rsidRPr="005764FC">
        <w:t xml:space="preserve">arly deployments </w:t>
      </w:r>
      <w:r w:rsidR="005241A7" w:rsidRPr="005764FC">
        <w:t>that</w:t>
      </w:r>
      <w:r w:rsidR="009D69C4" w:rsidRPr="005764FC">
        <w:t xml:space="preserve"> occur with investment confidence</w:t>
      </w:r>
    </w:p>
    <w:p w14:paraId="6CF6E9E5" w14:textId="51013995" w:rsidR="009D69C4" w:rsidRPr="005764FC" w:rsidRDefault="003D4CB8" w:rsidP="00876EF3">
      <w:pPr>
        <w:pStyle w:val="ListBullet"/>
        <w:ind w:left="357" w:hanging="357"/>
        <w:contextualSpacing/>
      </w:pPr>
      <w:r w:rsidRPr="005764FC">
        <w:t>E</w:t>
      </w:r>
      <w:r w:rsidR="009D69C4" w:rsidRPr="005764FC">
        <w:t>xperts establish</w:t>
      </w:r>
      <w:r w:rsidR="005241A7" w:rsidRPr="005764FC">
        <w:t>ing</w:t>
      </w:r>
      <w:r w:rsidR="009D69C4" w:rsidRPr="005764FC">
        <w:t xml:space="preserve"> delivery models for each aspect needed to deliver the roadmap</w:t>
      </w:r>
    </w:p>
    <w:p w14:paraId="5777F797" w14:textId="2EF2550E" w:rsidR="009D69C4" w:rsidRPr="005764FC" w:rsidRDefault="003D4CB8" w:rsidP="00876EF3">
      <w:pPr>
        <w:pStyle w:val="ListBullet"/>
        <w:ind w:left="357" w:hanging="357"/>
        <w:contextualSpacing/>
      </w:pPr>
      <w:r w:rsidRPr="005764FC">
        <w:t>I</w:t>
      </w:r>
      <w:r w:rsidR="009D69C4" w:rsidRPr="005764FC">
        <w:t>ndustry validat</w:t>
      </w:r>
      <w:r w:rsidR="005241A7" w:rsidRPr="005764FC">
        <w:t>ing</w:t>
      </w:r>
      <w:r w:rsidR="009D69C4" w:rsidRPr="005764FC">
        <w:t xml:space="preserve"> business models and technical delivery within the Australian context</w:t>
      </w:r>
      <w:r w:rsidR="000B3024" w:rsidRPr="005764FC">
        <w:t xml:space="preserve"> </w:t>
      </w:r>
    </w:p>
    <w:p w14:paraId="45B09A30" w14:textId="4ED1CCDB" w:rsidR="00D223F3" w:rsidRPr="005764FC" w:rsidRDefault="00FA66C7" w:rsidP="005067C7">
      <w:pPr>
        <w:pStyle w:val="BodyText"/>
      </w:pPr>
      <w:r w:rsidRPr="005764FC">
        <w:t>Early a</w:t>
      </w:r>
      <w:r w:rsidR="0044437E" w:rsidRPr="005764FC">
        <w:t xml:space="preserve">ction </w:t>
      </w:r>
      <w:r w:rsidRPr="005764FC">
        <w:t>can help</w:t>
      </w:r>
      <w:r w:rsidR="00D7670D" w:rsidRPr="005764FC">
        <w:t xml:space="preserve"> </w:t>
      </w:r>
      <w:r w:rsidR="004455DE" w:rsidRPr="005764FC">
        <w:t>enabl</w:t>
      </w:r>
      <w:r w:rsidR="007436D8" w:rsidRPr="005764FC">
        <w:t>e</w:t>
      </w:r>
      <w:r w:rsidR="004455DE" w:rsidRPr="005764FC">
        <w:t xml:space="preserve"> essential technology</w:t>
      </w:r>
      <w:r w:rsidR="004C5BBB" w:rsidRPr="005764FC">
        <w:t xml:space="preserve"> </w:t>
      </w:r>
      <w:r w:rsidR="001433CC" w:rsidRPr="005764FC">
        <w:t>and</w:t>
      </w:r>
      <w:r w:rsidR="00FE12AB" w:rsidRPr="005764FC">
        <w:t xml:space="preserve"> establish the basis for future C-ITS</w:t>
      </w:r>
      <w:r w:rsidR="004455DE" w:rsidRPr="005764FC">
        <w:t xml:space="preserve"> deployment,</w:t>
      </w:r>
      <w:r w:rsidR="00D223F3" w:rsidRPr="005764FC">
        <w:t xml:space="preserve"> including: </w:t>
      </w:r>
    </w:p>
    <w:p w14:paraId="3A892DB5" w14:textId="65B5D241" w:rsidR="00D223F3" w:rsidRPr="005764FC" w:rsidRDefault="00AE1748" w:rsidP="00876EF3">
      <w:pPr>
        <w:pStyle w:val="ListBullet"/>
        <w:ind w:left="357" w:hanging="357"/>
        <w:contextualSpacing/>
      </w:pPr>
      <w:r w:rsidRPr="005764FC">
        <w:t>D</w:t>
      </w:r>
      <w:r w:rsidR="00D13036" w:rsidRPr="005764FC">
        <w:t>eploy</w:t>
      </w:r>
      <w:r w:rsidR="005D12A1" w:rsidRPr="005764FC">
        <w:t>ing</w:t>
      </w:r>
      <w:r w:rsidR="00D13036" w:rsidRPr="005764FC">
        <w:t xml:space="preserve"> </w:t>
      </w:r>
      <w:r w:rsidR="00003FF1" w:rsidRPr="005764FC">
        <w:t xml:space="preserve">short-range </w:t>
      </w:r>
      <w:r w:rsidR="0039785D" w:rsidRPr="005764FC">
        <w:t>communications</w:t>
      </w:r>
      <w:r w:rsidR="00003FF1" w:rsidRPr="005764FC">
        <w:t xml:space="preserve"> </w:t>
      </w:r>
      <w:r w:rsidR="0039785D" w:rsidRPr="005764FC">
        <w:t xml:space="preserve">infrastructure that is interoperable </w:t>
      </w:r>
      <w:r w:rsidR="005D12A1" w:rsidRPr="005764FC">
        <w:t xml:space="preserve">and </w:t>
      </w:r>
      <w:r w:rsidR="0039785D" w:rsidRPr="005764FC">
        <w:t xml:space="preserve">supports delivery of priority benefits </w:t>
      </w:r>
    </w:p>
    <w:p w14:paraId="7BA17F5C" w14:textId="3DF43402" w:rsidR="00D223F3" w:rsidRPr="005764FC" w:rsidRDefault="00AE1748" w:rsidP="00876EF3">
      <w:pPr>
        <w:pStyle w:val="ListBullet"/>
        <w:ind w:left="357" w:hanging="357"/>
        <w:contextualSpacing/>
      </w:pPr>
      <w:r w:rsidRPr="005764FC">
        <w:t>E</w:t>
      </w:r>
      <w:r w:rsidR="005D12A1" w:rsidRPr="005764FC">
        <w:t xml:space="preserve">stablishing </w:t>
      </w:r>
      <w:r w:rsidR="00052DC9" w:rsidRPr="005764FC">
        <w:t xml:space="preserve">a </w:t>
      </w:r>
      <w:r w:rsidR="005D12A1" w:rsidRPr="005764FC">
        <w:t>Security Credential Management System (SCMS) as soon as possible so trusted information can flow. U</w:t>
      </w:r>
      <w:r w:rsidR="0039785D" w:rsidRPr="005764FC">
        <w:t xml:space="preserve">nsecured communications </w:t>
      </w:r>
      <w:r w:rsidR="005C34FE" w:rsidRPr="005764FC">
        <w:t>risk</w:t>
      </w:r>
      <w:r w:rsidR="0039785D" w:rsidRPr="005764FC">
        <w:t xml:space="preserve"> the end user </w:t>
      </w:r>
      <w:r w:rsidR="005C34FE" w:rsidRPr="005764FC">
        <w:t>receiving</w:t>
      </w:r>
      <w:r w:rsidR="0039785D" w:rsidRPr="005764FC">
        <w:t xml:space="preserve"> false information</w:t>
      </w:r>
      <w:r w:rsidRPr="005764FC">
        <w:t xml:space="preserve">, </w:t>
      </w:r>
      <w:r w:rsidR="0039785D" w:rsidRPr="005764FC">
        <w:t>damag</w:t>
      </w:r>
      <w:r w:rsidRPr="005764FC">
        <w:t>ing</w:t>
      </w:r>
      <w:r w:rsidR="0039785D" w:rsidRPr="005764FC">
        <w:t xml:space="preserve"> user</w:t>
      </w:r>
      <w:r w:rsidRPr="005764FC">
        <w:t>s’</w:t>
      </w:r>
      <w:r w:rsidR="0039785D" w:rsidRPr="005764FC">
        <w:t xml:space="preserve"> trust, privacy and experience</w:t>
      </w:r>
    </w:p>
    <w:p w14:paraId="3E75E930" w14:textId="770FCB2F" w:rsidR="00A631D4" w:rsidRPr="005764FC" w:rsidRDefault="00AE1748" w:rsidP="00876EF3">
      <w:pPr>
        <w:pStyle w:val="ListBullet"/>
        <w:ind w:left="357" w:hanging="357"/>
        <w:contextualSpacing/>
      </w:pPr>
      <w:r w:rsidRPr="005764FC">
        <w:t>P</w:t>
      </w:r>
      <w:r w:rsidR="0039785D" w:rsidRPr="005764FC">
        <w:t>rovid</w:t>
      </w:r>
      <w:r w:rsidR="005D12A1" w:rsidRPr="005764FC">
        <w:t>ing</w:t>
      </w:r>
      <w:r w:rsidR="0039785D" w:rsidRPr="005764FC">
        <w:t xml:space="preserve"> support </w:t>
      </w:r>
      <w:r w:rsidR="008B1BA0" w:rsidRPr="005764FC">
        <w:t xml:space="preserve">for positioning accuracy systems </w:t>
      </w:r>
      <w:r w:rsidR="005D12A1" w:rsidRPr="005764FC">
        <w:t>via</w:t>
      </w:r>
      <w:r w:rsidR="0039785D" w:rsidRPr="005764FC">
        <w:t xml:space="preserve"> guidelines</w:t>
      </w:r>
      <w:r w:rsidR="00411F3C" w:rsidRPr="005764FC">
        <w:t xml:space="preserve">, </w:t>
      </w:r>
      <w:r w:rsidR="0039785D" w:rsidRPr="005764FC">
        <w:t>testing</w:t>
      </w:r>
      <w:r w:rsidR="00411F3C" w:rsidRPr="005764FC">
        <w:t xml:space="preserve"> and infrastructure</w:t>
      </w:r>
      <w:r w:rsidR="008B1BA0" w:rsidRPr="005764FC">
        <w:t>, and</w:t>
      </w:r>
      <w:r w:rsidR="0039785D" w:rsidRPr="005764FC">
        <w:t xml:space="preserve"> encouraging higher accuracy, reliable, cost</w:t>
      </w:r>
      <w:r w:rsidRPr="005764FC">
        <w:t>-</w:t>
      </w:r>
      <w:r w:rsidR="0039785D" w:rsidRPr="005764FC">
        <w:t>effective solutions</w:t>
      </w:r>
    </w:p>
    <w:p w14:paraId="3AB35DF2" w14:textId="5C7C14FB" w:rsidR="00A631D4" w:rsidRPr="005764FC" w:rsidRDefault="00AE1748" w:rsidP="00876EF3">
      <w:pPr>
        <w:pStyle w:val="ListBullet"/>
        <w:ind w:left="357" w:hanging="357"/>
        <w:contextualSpacing/>
      </w:pPr>
      <w:r w:rsidRPr="005764FC">
        <w:t>P</w:t>
      </w:r>
      <w:r w:rsidR="00411F3C" w:rsidRPr="005764FC">
        <w:t>repar</w:t>
      </w:r>
      <w:r w:rsidRPr="005764FC">
        <w:t>ing</w:t>
      </w:r>
      <w:r w:rsidR="00411F3C" w:rsidRPr="005764FC">
        <w:t xml:space="preserve"> central systems </w:t>
      </w:r>
      <w:r w:rsidRPr="005764FC">
        <w:t>(</w:t>
      </w:r>
      <w:r w:rsidR="00411F3C" w:rsidRPr="005764FC">
        <w:t>such as traffic management centres</w:t>
      </w:r>
      <w:r w:rsidRPr="005764FC">
        <w:t>)</w:t>
      </w:r>
      <w:r w:rsidR="00411F3C" w:rsidRPr="005764FC">
        <w:t xml:space="preserve"> </w:t>
      </w:r>
      <w:r w:rsidRPr="005764FC">
        <w:t>to</w:t>
      </w:r>
      <w:r w:rsidR="00411F3C" w:rsidRPr="005764FC">
        <w:t xml:space="preserve"> provi</w:t>
      </w:r>
      <w:r w:rsidRPr="005764FC">
        <w:t xml:space="preserve">de </w:t>
      </w:r>
      <w:r w:rsidR="00411F3C" w:rsidRPr="005764FC">
        <w:t>event data to vehicles and recei</w:t>
      </w:r>
      <w:r w:rsidRPr="005764FC">
        <w:t>ve</w:t>
      </w:r>
      <w:r w:rsidR="00411F3C" w:rsidRPr="005764FC">
        <w:t xml:space="preserve"> data from vehicles. Establish</w:t>
      </w:r>
      <w:r w:rsidRPr="005764FC">
        <w:t>ing</w:t>
      </w:r>
      <w:r w:rsidR="00411F3C" w:rsidRPr="005764FC">
        <w:t xml:space="preserve"> the needs and technical requirements for national data exchange to share information consistently from central systems</w:t>
      </w:r>
      <w:r w:rsidR="0057402E" w:rsidRPr="005764FC">
        <w:t xml:space="preserve"> </w:t>
      </w:r>
    </w:p>
    <w:p w14:paraId="150A53E3" w14:textId="15C18D97" w:rsidR="00A631D4" w:rsidRPr="005764FC" w:rsidRDefault="0057402E" w:rsidP="00876EF3">
      <w:pPr>
        <w:pStyle w:val="ListBullet"/>
        <w:ind w:left="357" w:hanging="357"/>
        <w:contextualSpacing/>
      </w:pPr>
      <w:r w:rsidRPr="005764FC">
        <w:t>Continu</w:t>
      </w:r>
      <w:r w:rsidR="00AE1748" w:rsidRPr="005764FC">
        <w:t>ing</w:t>
      </w:r>
      <w:r w:rsidRPr="005764FC">
        <w:t xml:space="preserve"> </w:t>
      </w:r>
      <w:r w:rsidR="00AE1748" w:rsidRPr="005764FC">
        <w:t xml:space="preserve">the cellular network’s </w:t>
      </w:r>
      <w:r w:rsidRPr="005764FC">
        <w:t xml:space="preserve">growth </w:t>
      </w:r>
      <w:r w:rsidR="00AE1748" w:rsidRPr="005764FC">
        <w:t xml:space="preserve">so it can </w:t>
      </w:r>
      <w:r w:rsidRPr="005764FC">
        <w:t xml:space="preserve">support long-range communication services particularly </w:t>
      </w:r>
      <w:r w:rsidR="00416FFF" w:rsidRPr="005764FC">
        <w:t>o</w:t>
      </w:r>
      <w:r w:rsidRPr="005764FC">
        <w:t xml:space="preserve">n </w:t>
      </w:r>
      <w:r w:rsidR="00416FFF" w:rsidRPr="005764FC">
        <w:t xml:space="preserve">key corridors in </w:t>
      </w:r>
      <w:r w:rsidRPr="005764FC">
        <w:t>remote areas</w:t>
      </w:r>
    </w:p>
    <w:p w14:paraId="1AC817F8" w14:textId="0AFEE8BE" w:rsidR="00A631D4" w:rsidRPr="005764FC" w:rsidRDefault="0057402E" w:rsidP="00876EF3">
      <w:pPr>
        <w:pStyle w:val="ListBullet"/>
        <w:ind w:left="357" w:hanging="357"/>
        <w:contextualSpacing/>
      </w:pPr>
      <w:r w:rsidRPr="005764FC">
        <w:t>Build</w:t>
      </w:r>
      <w:r w:rsidR="00AE1748" w:rsidRPr="005764FC">
        <w:t>ing</w:t>
      </w:r>
      <w:r w:rsidRPr="005764FC">
        <w:t xml:space="preserve"> guidelines and example datasets that demonstrate Australia’s implementation of </w:t>
      </w:r>
      <w:r w:rsidR="00AE1748" w:rsidRPr="005764FC">
        <w:t xml:space="preserve">nationally consistent </w:t>
      </w:r>
      <w:r w:rsidRPr="005764FC">
        <w:t>standards</w:t>
      </w:r>
      <w:r w:rsidR="00292CF9" w:rsidRPr="005764FC">
        <w:t>: g</w:t>
      </w:r>
      <w:r w:rsidRPr="005764FC">
        <w:t xml:space="preserve">et the data flowing through the essential components to ensure </w:t>
      </w:r>
      <w:r w:rsidR="00AE1748" w:rsidRPr="005764FC">
        <w:t>it</w:t>
      </w:r>
      <w:r w:rsidRPr="005764FC">
        <w:t xml:space="preserve"> can be processed, stored, analysed and used</w:t>
      </w:r>
      <w:r w:rsidR="005067C7" w:rsidRPr="005764FC">
        <w:t xml:space="preserve"> </w:t>
      </w:r>
    </w:p>
    <w:p w14:paraId="574FB906" w14:textId="01506666" w:rsidR="005067C7" w:rsidRPr="005764FC" w:rsidRDefault="005067C7" w:rsidP="00876EF3">
      <w:pPr>
        <w:pStyle w:val="ListBullet"/>
        <w:ind w:left="357" w:hanging="357"/>
        <w:contextualSpacing/>
      </w:pPr>
      <w:r w:rsidRPr="005764FC">
        <w:t>Establish</w:t>
      </w:r>
      <w:r w:rsidR="00AE1748" w:rsidRPr="005764FC">
        <w:t>ing</w:t>
      </w:r>
      <w:r w:rsidRPr="005764FC">
        <w:t xml:space="preserve"> clarity on how Australia intends </w:t>
      </w:r>
      <w:r w:rsidR="00AE1748" w:rsidRPr="005764FC">
        <w:t xml:space="preserve">to implement </w:t>
      </w:r>
      <w:r w:rsidRPr="005764FC">
        <w:t xml:space="preserve">standards for deployment. The policy analysis </w:t>
      </w:r>
      <w:r w:rsidR="00AE1748" w:rsidRPr="005764FC">
        <w:t>suggests</w:t>
      </w:r>
      <w:r w:rsidRPr="005764FC">
        <w:t xml:space="preserve"> bas</w:t>
      </w:r>
      <w:r w:rsidR="00AE1748" w:rsidRPr="005764FC">
        <w:t>ing</w:t>
      </w:r>
      <w:r w:rsidRPr="005764FC">
        <w:t xml:space="preserve"> the </w:t>
      </w:r>
      <w:r w:rsidR="00AE1748" w:rsidRPr="005764FC">
        <w:t xml:space="preserve">standards on the </w:t>
      </w:r>
      <w:r w:rsidRPr="005764FC">
        <w:t>International Standards Organisation (ISO) Europe standards guideline</w:t>
      </w:r>
    </w:p>
    <w:p w14:paraId="53B56F7E" w14:textId="77777777" w:rsidR="004A4547" w:rsidRPr="005764FC" w:rsidRDefault="004A4547" w:rsidP="00D60ADF">
      <w:pPr>
        <w:pStyle w:val="Heading2"/>
        <w:numPr>
          <w:ilvl w:val="0"/>
          <w:numId w:val="0"/>
        </w:numPr>
        <w:ind w:left="1134" w:hanging="1134"/>
      </w:pPr>
      <w:r w:rsidRPr="005764FC">
        <w:t xml:space="preserve">Conclusion </w:t>
      </w:r>
    </w:p>
    <w:p w14:paraId="4A5FB040" w14:textId="2BC520B5" w:rsidR="00867113" w:rsidRDefault="00177717" w:rsidP="00EF3340">
      <w:pPr>
        <w:pStyle w:val="BodyText"/>
      </w:pPr>
      <w:r w:rsidRPr="005764FC">
        <w:t xml:space="preserve">The intention </w:t>
      </w:r>
      <w:r w:rsidR="00AE1748" w:rsidRPr="005764FC">
        <w:t>behind</w:t>
      </w:r>
      <w:r w:rsidRPr="005764FC">
        <w:t xml:space="preserve"> </w:t>
      </w:r>
      <w:r w:rsidR="00AE1748" w:rsidRPr="005764FC">
        <w:t xml:space="preserve">adopting </w:t>
      </w:r>
      <w:r w:rsidR="00EF3340" w:rsidRPr="005764FC">
        <w:t xml:space="preserve">C-ITS is to build an ecosystem </w:t>
      </w:r>
      <w:r w:rsidR="00B14DEA" w:rsidRPr="005764FC">
        <w:t xml:space="preserve">that </w:t>
      </w:r>
      <w:r w:rsidR="00EF3340" w:rsidRPr="005764FC">
        <w:t>encourag</w:t>
      </w:r>
      <w:r w:rsidR="00B14DEA" w:rsidRPr="005764FC">
        <w:t>es</w:t>
      </w:r>
      <w:r w:rsidRPr="005764FC">
        <w:t xml:space="preserve"> </w:t>
      </w:r>
      <w:r w:rsidR="00B14DEA" w:rsidRPr="005764FC">
        <w:t xml:space="preserve">information </w:t>
      </w:r>
      <w:r w:rsidR="00EF3340" w:rsidRPr="005764FC">
        <w:t xml:space="preserve">sharing between many vehicle types, road users and road infrastructure. When this information </w:t>
      </w:r>
      <w:r w:rsidR="008A4211" w:rsidRPr="005764FC">
        <w:t>is</w:t>
      </w:r>
      <w:r w:rsidR="00EF3340" w:rsidRPr="005764FC">
        <w:t xml:space="preserve"> safety-critical, for example from a </w:t>
      </w:r>
      <w:r w:rsidR="001F4E8D" w:rsidRPr="005764FC">
        <w:t xml:space="preserve">broken-down </w:t>
      </w:r>
      <w:r w:rsidR="00EF3340" w:rsidRPr="005764FC">
        <w:t xml:space="preserve">vehicle </w:t>
      </w:r>
      <w:r w:rsidR="00635E9F" w:rsidRPr="005764FC">
        <w:t>on the road</w:t>
      </w:r>
      <w:r w:rsidR="00EF3340" w:rsidRPr="005764FC">
        <w:t xml:space="preserve"> ahead, </w:t>
      </w:r>
      <w:r w:rsidR="008A4211" w:rsidRPr="005764FC">
        <w:t xml:space="preserve">the vehicle </w:t>
      </w:r>
      <w:r w:rsidR="00213D30" w:rsidRPr="005764FC">
        <w:t>brand</w:t>
      </w:r>
      <w:r w:rsidR="00B624E5" w:rsidRPr="005764FC">
        <w:t xml:space="preserve"> driven</w:t>
      </w:r>
      <w:r w:rsidR="008A4211" w:rsidRPr="005764FC">
        <w:t xml:space="preserve"> </w:t>
      </w:r>
      <w:r w:rsidR="00EF3340" w:rsidRPr="005764FC">
        <w:t xml:space="preserve">should not </w:t>
      </w:r>
      <w:r w:rsidR="00E52EED" w:rsidRPr="005764FC">
        <w:t>determine</w:t>
      </w:r>
      <w:r w:rsidR="00EF3340" w:rsidRPr="005764FC">
        <w:t xml:space="preserve"> whether the information can be shared. If shared with everyone consistently (with trust)</w:t>
      </w:r>
      <w:r w:rsidR="00DE2881" w:rsidRPr="005764FC">
        <w:t>,</w:t>
      </w:r>
      <w:r w:rsidR="00EF3340" w:rsidRPr="005764FC">
        <w:t xml:space="preserve"> the </w:t>
      </w:r>
      <w:r w:rsidR="00DE2881" w:rsidRPr="005764FC">
        <w:t xml:space="preserve">safety and efficiency </w:t>
      </w:r>
      <w:r w:rsidR="00EF3340" w:rsidRPr="005764FC">
        <w:t>benefits are accessible to all. While other solutions exist (and will arise) for certain specific issues and markets, C-ITS is the only available solution that provides this open</w:t>
      </w:r>
      <w:r w:rsidR="00F33ADF" w:rsidRPr="005764FC">
        <w:t xml:space="preserve"> and harmonised</w:t>
      </w:r>
      <w:r w:rsidR="00EF3340" w:rsidRPr="005764FC">
        <w:t xml:space="preserve"> ecosystem. </w:t>
      </w:r>
      <w:r w:rsidR="00F02B7A" w:rsidRPr="005764FC">
        <w:t xml:space="preserve">National direction </w:t>
      </w:r>
      <w:r w:rsidR="00D05441" w:rsidRPr="005764FC">
        <w:t xml:space="preserve">is needed </w:t>
      </w:r>
      <w:r w:rsidR="00544D1C" w:rsidRPr="005764FC">
        <w:t xml:space="preserve">through policy standards and guidelines </w:t>
      </w:r>
      <w:r w:rsidR="00D05441" w:rsidRPr="005764FC">
        <w:t xml:space="preserve">to provide certainty and equal opportunity </w:t>
      </w:r>
      <w:r w:rsidR="00E6240F" w:rsidRPr="005764FC">
        <w:t xml:space="preserve">for vehicle manufacturers and industry </w:t>
      </w:r>
      <w:r w:rsidR="00D05441" w:rsidRPr="005764FC">
        <w:t xml:space="preserve">to deliver </w:t>
      </w:r>
      <w:r w:rsidR="00544D1C" w:rsidRPr="005764FC">
        <w:t>beneficial solutions</w:t>
      </w:r>
      <w:r w:rsidR="00CC5691" w:rsidRPr="005764FC">
        <w:t xml:space="preserve"> within a known framework</w:t>
      </w:r>
      <w:r w:rsidR="00544D1C" w:rsidRPr="005764FC">
        <w:t xml:space="preserve">. </w:t>
      </w:r>
    </w:p>
    <w:p w14:paraId="0F3A2565" w14:textId="0F2C471A" w:rsidR="00EF3340" w:rsidRPr="005764FC" w:rsidRDefault="00813BB6" w:rsidP="00EF3340">
      <w:pPr>
        <w:pStyle w:val="BodyText"/>
      </w:pPr>
      <w:r w:rsidRPr="005764FC">
        <w:t xml:space="preserve">The </w:t>
      </w:r>
      <w:r w:rsidR="005F08B8" w:rsidRPr="005764FC">
        <w:t>economic analysis found that positive B</w:t>
      </w:r>
      <w:r w:rsidR="00051C46" w:rsidRPr="005764FC">
        <w:t>C</w:t>
      </w:r>
      <w:r w:rsidR="005F08B8" w:rsidRPr="005764FC">
        <w:t xml:space="preserve">Rs </w:t>
      </w:r>
      <w:r w:rsidR="00E73D44" w:rsidRPr="005764FC">
        <w:t xml:space="preserve">between </w:t>
      </w:r>
      <w:r w:rsidR="00E73D44" w:rsidRPr="005764FC">
        <w:rPr>
          <w:lang w:eastAsia="fr-CA"/>
        </w:rPr>
        <w:t xml:space="preserve">1.4 and 2.9 </w:t>
      </w:r>
      <w:r w:rsidR="005F08B8" w:rsidRPr="005764FC">
        <w:t xml:space="preserve">exist </w:t>
      </w:r>
      <w:r w:rsidR="009B31B4" w:rsidRPr="005764FC">
        <w:rPr>
          <w:lang w:eastAsia="fr-CA"/>
        </w:rPr>
        <w:t xml:space="preserve">when </w:t>
      </w:r>
      <w:r w:rsidR="00773D3F" w:rsidRPr="005764FC">
        <w:rPr>
          <w:lang w:eastAsia="fr-CA"/>
        </w:rPr>
        <w:t>supporting infrastructure is available</w:t>
      </w:r>
      <w:r w:rsidR="00E34517" w:rsidRPr="005764FC">
        <w:rPr>
          <w:lang w:eastAsia="fr-CA"/>
        </w:rPr>
        <w:t>,</w:t>
      </w:r>
      <w:r w:rsidR="00773D3F" w:rsidRPr="005764FC">
        <w:rPr>
          <w:lang w:eastAsia="fr-CA"/>
        </w:rPr>
        <w:t xml:space="preserve"> </w:t>
      </w:r>
      <w:r w:rsidR="009B31B4" w:rsidRPr="005764FC">
        <w:rPr>
          <w:lang w:eastAsia="fr-CA"/>
        </w:rPr>
        <w:t>highlighting the need for government</w:t>
      </w:r>
      <w:r w:rsidR="00E34517" w:rsidRPr="005764FC">
        <w:rPr>
          <w:lang w:eastAsia="fr-CA"/>
        </w:rPr>
        <w:t>-</w:t>
      </w:r>
      <w:r w:rsidR="009B31B4" w:rsidRPr="005764FC">
        <w:rPr>
          <w:lang w:eastAsia="fr-CA"/>
        </w:rPr>
        <w:t>led initiatives</w:t>
      </w:r>
      <w:r w:rsidR="00FA7682" w:rsidRPr="005764FC">
        <w:rPr>
          <w:lang w:eastAsia="fr-CA"/>
        </w:rPr>
        <w:t xml:space="preserve"> that drive </w:t>
      </w:r>
      <w:r w:rsidR="00E778F4" w:rsidRPr="005764FC">
        <w:rPr>
          <w:lang w:eastAsia="fr-CA"/>
        </w:rPr>
        <w:t>enabling technology and initial deployments</w:t>
      </w:r>
      <w:r w:rsidR="00773D3F" w:rsidRPr="005764FC">
        <w:rPr>
          <w:lang w:eastAsia="fr-CA"/>
        </w:rPr>
        <w:t>.</w:t>
      </w:r>
      <w:r w:rsidR="00106B36" w:rsidRPr="005764FC">
        <w:rPr>
          <w:lang w:eastAsia="fr-CA"/>
        </w:rPr>
        <w:t xml:space="preserve"> Given </w:t>
      </w:r>
      <w:r w:rsidR="00D34917" w:rsidRPr="005764FC">
        <w:rPr>
          <w:lang w:eastAsia="fr-CA"/>
        </w:rPr>
        <w:t>vehicles imported to Australia are</w:t>
      </w:r>
      <w:r w:rsidR="002D48F4">
        <w:rPr>
          <w:lang w:eastAsia="fr-CA"/>
        </w:rPr>
        <w:t xml:space="preserve"> largely</w:t>
      </w:r>
      <w:r w:rsidR="00D34917" w:rsidRPr="005764FC">
        <w:rPr>
          <w:lang w:eastAsia="fr-CA"/>
        </w:rPr>
        <w:t xml:space="preserve"> harmonised </w:t>
      </w:r>
      <w:r w:rsidR="002D48F4">
        <w:rPr>
          <w:lang w:eastAsia="fr-CA"/>
        </w:rPr>
        <w:t>with UN regulations, as are vehicles supplied to the European market</w:t>
      </w:r>
      <w:r w:rsidR="00D34917" w:rsidRPr="005764FC">
        <w:rPr>
          <w:lang w:eastAsia="fr-CA"/>
        </w:rPr>
        <w:t xml:space="preserve">, </w:t>
      </w:r>
      <w:r w:rsidR="00247BE4" w:rsidRPr="005764FC">
        <w:rPr>
          <w:lang w:eastAsia="fr-CA"/>
        </w:rPr>
        <w:t xml:space="preserve">it </w:t>
      </w:r>
      <w:r w:rsidR="00B66BEA">
        <w:rPr>
          <w:lang w:eastAsia="fr-CA"/>
        </w:rPr>
        <w:t xml:space="preserve">makes sense </w:t>
      </w:r>
      <w:r w:rsidR="002D48F4">
        <w:rPr>
          <w:lang w:eastAsia="fr-CA"/>
        </w:rPr>
        <w:t>to harmonise C-ITS requirements in</w:t>
      </w:r>
      <w:r w:rsidR="002D48F4" w:rsidRPr="005764FC">
        <w:rPr>
          <w:lang w:eastAsia="fr-CA"/>
        </w:rPr>
        <w:t xml:space="preserve"> </w:t>
      </w:r>
      <w:r w:rsidR="00247BE4" w:rsidRPr="005764FC">
        <w:rPr>
          <w:lang w:eastAsia="fr-CA"/>
        </w:rPr>
        <w:t xml:space="preserve">Australia </w:t>
      </w:r>
      <w:r w:rsidR="002D48F4">
        <w:rPr>
          <w:lang w:eastAsia="fr-CA"/>
        </w:rPr>
        <w:t>with</w:t>
      </w:r>
      <w:r w:rsidR="00247BE4" w:rsidRPr="005764FC">
        <w:rPr>
          <w:lang w:eastAsia="fr-CA"/>
        </w:rPr>
        <w:t xml:space="preserve"> </w:t>
      </w:r>
      <w:r w:rsidR="00CD4E15" w:rsidRPr="005764FC">
        <w:rPr>
          <w:lang w:eastAsia="fr-CA"/>
        </w:rPr>
        <w:t xml:space="preserve">European </w:t>
      </w:r>
      <w:r w:rsidR="002D48F4">
        <w:rPr>
          <w:lang w:eastAsia="fr-CA"/>
        </w:rPr>
        <w:t>requirements</w:t>
      </w:r>
      <w:r w:rsidR="00CD4E15" w:rsidRPr="005764FC">
        <w:rPr>
          <w:lang w:eastAsia="fr-CA"/>
        </w:rPr>
        <w:t xml:space="preserve">. </w:t>
      </w:r>
      <w:r w:rsidR="0000543B" w:rsidRPr="007E2480">
        <w:rPr>
          <w:lang w:eastAsia="fr-CA"/>
        </w:rPr>
        <w:t xml:space="preserve">Leadership and </w:t>
      </w:r>
      <w:r w:rsidR="004B5A2D" w:rsidRPr="007E2480">
        <w:rPr>
          <w:lang w:eastAsia="fr-CA"/>
        </w:rPr>
        <w:t>direction</w:t>
      </w:r>
      <w:r w:rsidR="00396B29" w:rsidRPr="007E2480">
        <w:rPr>
          <w:lang w:eastAsia="fr-CA"/>
        </w:rPr>
        <w:t xml:space="preserve"> </w:t>
      </w:r>
      <w:r w:rsidR="00761971" w:rsidRPr="007E2480">
        <w:rPr>
          <w:lang w:eastAsia="fr-CA"/>
        </w:rPr>
        <w:t>(</w:t>
      </w:r>
      <w:r w:rsidR="007F0C99" w:rsidRPr="007E2480">
        <w:rPr>
          <w:lang w:eastAsia="fr-CA"/>
        </w:rPr>
        <w:t>PA2</w:t>
      </w:r>
      <w:r w:rsidR="00761971" w:rsidRPr="007E2480">
        <w:rPr>
          <w:lang w:eastAsia="fr-CA"/>
        </w:rPr>
        <w:t xml:space="preserve">) </w:t>
      </w:r>
      <w:r w:rsidR="0000543B" w:rsidRPr="007E2480">
        <w:rPr>
          <w:lang w:eastAsia="fr-CA"/>
        </w:rPr>
        <w:t>now will position government</w:t>
      </w:r>
      <w:r w:rsidR="00C77E4B" w:rsidRPr="007E2480">
        <w:rPr>
          <w:lang w:eastAsia="fr-CA"/>
        </w:rPr>
        <w:t xml:space="preserve"> </w:t>
      </w:r>
      <w:r w:rsidR="0055329F" w:rsidRPr="007E2480">
        <w:rPr>
          <w:lang w:eastAsia="fr-CA"/>
        </w:rPr>
        <w:t xml:space="preserve">for critical </w:t>
      </w:r>
      <w:r w:rsidR="00991812" w:rsidRPr="007E2480">
        <w:rPr>
          <w:lang w:eastAsia="fr-CA"/>
        </w:rPr>
        <w:t>future decision-making</w:t>
      </w:r>
      <w:r w:rsidR="00396B29" w:rsidRPr="007E2480">
        <w:rPr>
          <w:lang w:eastAsia="fr-CA"/>
        </w:rPr>
        <w:t>,</w:t>
      </w:r>
      <w:r w:rsidR="00446B2C" w:rsidRPr="007E2480">
        <w:rPr>
          <w:lang w:eastAsia="fr-CA"/>
        </w:rPr>
        <w:t xml:space="preserve"> </w:t>
      </w:r>
      <w:r w:rsidR="00533E06" w:rsidRPr="007E2480">
        <w:rPr>
          <w:lang w:eastAsia="fr-CA"/>
        </w:rPr>
        <w:t>including</w:t>
      </w:r>
      <w:r w:rsidR="00446B2C" w:rsidRPr="007E2480">
        <w:rPr>
          <w:lang w:eastAsia="fr-CA"/>
        </w:rPr>
        <w:t xml:space="preserve"> the </w:t>
      </w:r>
      <w:r w:rsidR="00B016A0" w:rsidRPr="007E2480">
        <w:rPr>
          <w:lang w:eastAsia="fr-CA"/>
        </w:rPr>
        <w:t xml:space="preserve">ability to </w:t>
      </w:r>
      <w:r w:rsidR="00EB0EAB" w:rsidRPr="007E2480">
        <w:rPr>
          <w:lang w:eastAsia="fr-CA"/>
        </w:rPr>
        <w:t>identify</w:t>
      </w:r>
      <w:r w:rsidR="00446B2C" w:rsidRPr="007E2480">
        <w:rPr>
          <w:lang w:eastAsia="fr-CA"/>
        </w:rPr>
        <w:t xml:space="preserve"> </w:t>
      </w:r>
      <w:r w:rsidR="003E43DE" w:rsidRPr="007E2480">
        <w:rPr>
          <w:lang w:eastAsia="fr-CA"/>
        </w:rPr>
        <w:t xml:space="preserve">what </w:t>
      </w:r>
      <w:r w:rsidR="000D6F51" w:rsidRPr="007E2480">
        <w:rPr>
          <w:lang w:eastAsia="fr-CA"/>
        </w:rPr>
        <w:t xml:space="preserve">aspects </w:t>
      </w:r>
      <w:r w:rsidR="00B016A0" w:rsidRPr="007E2480">
        <w:rPr>
          <w:lang w:eastAsia="fr-CA"/>
        </w:rPr>
        <w:t>can</w:t>
      </w:r>
      <w:r w:rsidR="00C90E92" w:rsidRPr="007E2480">
        <w:rPr>
          <w:lang w:eastAsia="fr-CA"/>
        </w:rPr>
        <w:t xml:space="preserve"> be</w:t>
      </w:r>
      <w:r w:rsidR="003E43DE" w:rsidRPr="007E2480">
        <w:rPr>
          <w:lang w:eastAsia="fr-CA"/>
        </w:rPr>
        <w:t xml:space="preserve"> industry</w:t>
      </w:r>
      <w:r w:rsidR="00C90E92" w:rsidRPr="007E2480">
        <w:rPr>
          <w:lang w:eastAsia="fr-CA"/>
        </w:rPr>
        <w:t>-led</w:t>
      </w:r>
      <w:r w:rsidR="003E43DE" w:rsidRPr="007E2480">
        <w:rPr>
          <w:lang w:eastAsia="fr-CA"/>
        </w:rPr>
        <w:t xml:space="preserve"> (</w:t>
      </w:r>
      <w:r w:rsidR="007F0C99" w:rsidRPr="007E2480">
        <w:rPr>
          <w:lang w:eastAsia="fr-CA"/>
        </w:rPr>
        <w:t>PA1</w:t>
      </w:r>
      <w:r w:rsidR="003E43DE" w:rsidRPr="007E2480">
        <w:rPr>
          <w:lang w:eastAsia="fr-CA"/>
        </w:rPr>
        <w:t>) and what to regulate (</w:t>
      </w:r>
      <w:r w:rsidR="007F0C99" w:rsidRPr="007E2480">
        <w:rPr>
          <w:lang w:eastAsia="fr-CA"/>
        </w:rPr>
        <w:t>PA3</w:t>
      </w:r>
      <w:r w:rsidR="003E43DE" w:rsidRPr="007E2480">
        <w:rPr>
          <w:lang w:eastAsia="fr-CA"/>
        </w:rPr>
        <w:t>).</w:t>
      </w:r>
    </w:p>
    <w:p w14:paraId="72830804" w14:textId="77777777" w:rsidR="004A4547" w:rsidRPr="005764FC" w:rsidRDefault="004A4547" w:rsidP="004A4547">
      <w:pPr>
        <w:pStyle w:val="BodyText"/>
      </w:pPr>
    </w:p>
    <w:p w14:paraId="0B1AEED8" w14:textId="77777777" w:rsidR="00876EF3" w:rsidRPr="005764FC" w:rsidRDefault="00876EF3" w:rsidP="00673F14">
      <w:pPr>
        <w:pStyle w:val="BodyText"/>
        <w:rPr>
          <w:lang w:eastAsia="fr-CA"/>
        </w:rPr>
        <w:sectPr w:rsidR="00876EF3" w:rsidRPr="005764FC" w:rsidSect="001428F9">
          <w:pgSz w:w="11907" w:h="16839" w:code="9"/>
          <w:pgMar w:top="1418" w:right="1077" w:bottom="737" w:left="1077" w:header="720" w:footer="720" w:gutter="0"/>
          <w:pgNumType w:fmt="lowerRoman"/>
          <w:cols w:space="708"/>
          <w:docGrid w:linePitch="360"/>
        </w:sectPr>
      </w:pPr>
    </w:p>
    <w:p w14:paraId="5952B8F8" w14:textId="0DF61081" w:rsidR="00A466C0" w:rsidRPr="005764FC" w:rsidRDefault="00A47179" w:rsidP="00C70FEA">
      <w:pPr>
        <w:pStyle w:val="Heading1"/>
      </w:pPr>
      <w:bookmarkStart w:id="49" w:name="_Ref87343731"/>
      <w:bookmarkStart w:id="50" w:name="_Toc94536673"/>
      <w:bookmarkStart w:id="51" w:name="_Toc94453135"/>
      <w:bookmarkStart w:id="52" w:name="_Toc97807782"/>
      <w:bookmarkStart w:id="53" w:name="_Hlk85094264"/>
      <w:r w:rsidRPr="005764FC">
        <w:t>C</w:t>
      </w:r>
      <w:r w:rsidR="008A3437" w:rsidRPr="005764FC">
        <w:rPr>
          <w:rFonts w:ascii="Cambria Math" w:hAnsi="Cambria Math" w:cs="Cambria Math"/>
        </w:rPr>
        <w:t>‑</w:t>
      </w:r>
      <w:r w:rsidR="008A3437" w:rsidRPr="005764FC">
        <w:t>ITS</w:t>
      </w:r>
      <w:r w:rsidR="00C82DEC" w:rsidRPr="005764FC">
        <w:t xml:space="preserve"> </w:t>
      </w:r>
      <w:r w:rsidR="005622F2" w:rsidRPr="005764FC">
        <w:t>In</w:t>
      </w:r>
      <w:r w:rsidR="00C82DEC" w:rsidRPr="005764FC">
        <w:t xml:space="preserve"> Australia</w:t>
      </w:r>
      <w:bookmarkEnd w:id="49"/>
      <w:bookmarkEnd w:id="50"/>
      <w:bookmarkEnd w:id="51"/>
      <w:bookmarkEnd w:id="52"/>
    </w:p>
    <w:p w14:paraId="5D1E9F3A" w14:textId="66E4C54C" w:rsidR="00B6681A" w:rsidRPr="005764FC" w:rsidRDefault="00475047" w:rsidP="001308A3">
      <w:pPr>
        <w:pStyle w:val="BodyText"/>
      </w:pPr>
      <w:r w:rsidRPr="005764FC">
        <w:t>T</w:t>
      </w:r>
      <w:r w:rsidR="00D463B8" w:rsidRPr="005764FC">
        <w:t xml:space="preserve">he National </w:t>
      </w:r>
      <w:r w:rsidR="00AE284A" w:rsidRPr="005764FC">
        <w:t>Policy Framework for Land Transport</w:t>
      </w:r>
      <w:r w:rsidR="00FD60D5" w:rsidRPr="005764FC">
        <w:t xml:space="preserve"> </w:t>
      </w:r>
      <w:r w:rsidR="00905A11" w:rsidRPr="005764FC">
        <w:t>Technology</w:t>
      </w:r>
      <w:r w:rsidR="00B60B02">
        <w:t xml:space="preserve"> </w:t>
      </w:r>
      <w:sdt>
        <w:sdtPr>
          <w:id w:val="-27257547"/>
          <w:citation/>
        </w:sdtPr>
        <w:sdtContent>
          <w:r w:rsidR="00B60B02">
            <w:fldChar w:fldCharType="begin"/>
          </w:r>
          <w:r w:rsidR="00B60B02">
            <w:instrText xml:space="preserve"> CITATION DIT191 \l 3081 </w:instrText>
          </w:r>
          <w:r w:rsidR="00B60B02">
            <w:fldChar w:fldCharType="separate"/>
          </w:r>
          <w:r w:rsidR="001428F9">
            <w:rPr>
              <w:noProof/>
            </w:rPr>
            <w:t>(Transport and Infrastructure Council, 2019)</w:t>
          </w:r>
          <w:r w:rsidR="00B60B02">
            <w:fldChar w:fldCharType="end"/>
          </w:r>
        </w:sdtContent>
      </w:sdt>
      <w:r w:rsidR="00905A11" w:rsidRPr="005764FC">
        <w:t>, agreed by Australian Infrastructure and Transport Ministers,</w:t>
      </w:r>
      <w:r w:rsidR="00FD60D5" w:rsidRPr="005764FC">
        <w:t xml:space="preserve"> </w:t>
      </w:r>
      <w:r w:rsidR="00D95517" w:rsidRPr="005764FC">
        <w:t xml:space="preserve">states </w:t>
      </w:r>
      <w:r w:rsidR="00035FD7" w:rsidRPr="005764FC">
        <w:t>that</w:t>
      </w:r>
      <w:r w:rsidR="00D95517" w:rsidRPr="005764FC">
        <w:t xml:space="preserve"> </w:t>
      </w:r>
      <w:r w:rsidR="00AF7D90" w:rsidRPr="005764FC">
        <w:t>Co</w:t>
      </w:r>
      <w:r w:rsidR="00AF7D90" w:rsidRPr="005764FC">
        <w:rPr>
          <w:rFonts w:cstheme="minorHAnsi"/>
        </w:rPr>
        <w:t>‑</w:t>
      </w:r>
      <w:r w:rsidR="00AF7D90" w:rsidRPr="005764FC">
        <w:t>operative Intelligent Transport Systems (C</w:t>
      </w:r>
      <w:r w:rsidR="00AF7D90" w:rsidRPr="005764FC">
        <w:rPr>
          <w:rFonts w:cstheme="minorHAnsi"/>
        </w:rPr>
        <w:t>‑</w:t>
      </w:r>
      <w:r w:rsidR="00AF7D90" w:rsidRPr="005764FC">
        <w:t>ITS)</w:t>
      </w:r>
      <w:r w:rsidR="00E76999" w:rsidRPr="005764FC">
        <w:t xml:space="preserve"> is a</w:t>
      </w:r>
      <w:r w:rsidR="00B00844" w:rsidRPr="005764FC">
        <w:t xml:space="preserve">n emerging technology that </w:t>
      </w:r>
      <w:r w:rsidR="001308A3" w:rsidRPr="005764FC">
        <w:t>can improve safety by providing drivers with warnings of imminent collisions or dangerous conditions ahead</w:t>
      </w:r>
      <w:r w:rsidR="001B62CC" w:rsidRPr="005764FC">
        <w:t>,</w:t>
      </w:r>
      <w:r w:rsidR="00C63FB2" w:rsidRPr="005764FC">
        <w:t xml:space="preserve"> including</w:t>
      </w:r>
      <w:r w:rsidR="00112492" w:rsidRPr="005764FC">
        <w:t xml:space="preserve"> </w:t>
      </w:r>
      <w:r w:rsidR="002923AC" w:rsidRPr="005764FC">
        <w:t>preventin</w:t>
      </w:r>
      <w:r w:rsidR="001B62CC" w:rsidRPr="005764FC">
        <w:t>g</w:t>
      </w:r>
      <w:r w:rsidR="0063232C" w:rsidRPr="005764FC">
        <w:t xml:space="preserve"> 25</w:t>
      </w:r>
      <w:r w:rsidR="00BF7CC6" w:rsidRPr="005764FC">
        <w:t>–</w:t>
      </w:r>
      <w:r w:rsidR="0063232C" w:rsidRPr="005764FC">
        <w:t>35</w:t>
      </w:r>
      <w:r w:rsidR="004947CA" w:rsidRPr="005764FC">
        <w:t xml:space="preserve"> per</w:t>
      </w:r>
      <w:r w:rsidR="001B62CC" w:rsidRPr="005764FC">
        <w:t xml:space="preserve"> </w:t>
      </w:r>
      <w:r w:rsidR="004947CA" w:rsidRPr="005764FC">
        <w:t>cent of serious crashes</w:t>
      </w:r>
      <w:r w:rsidR="002D100D" w:rsidRPr="005764FC">
        <w:t xml:space="preserve"> (as estimated by Austroads)</w:t>
      </w:r>
      <w:r w:rsidR="006C7551" w:rsidRPr="005764FC">
        <w:t xml:space="preserve">. </w:t>
      </w:r>
      <w:r w:rsidR="00FB62C1" w:rsidRPr="005764FC">
        <w:t>Further, a</w:t>
      </w:r>
      <w:r w:rsidR="003209E0" w:rsidRPr="005764FC">
        <w:t xml:space="preserve"> </w:t>
      </w:r>
      <w:r w:rsidR="006C7551" w:rsidRPr="005764FC">
        <w:t>combination of Connect</w:t>
      </w:r>
      <w:r w:rsidR="00845AAC">
        <w:t>ed</w:t>
      </w:r>
      <w:r w:rsidR="006C7551" w:rsidRPr="005764FC">
        <w:t xml:space="preserve"> and Automated Vehicles (CAV) </w:t>
      </w:r>
      <w:r w:rsidR="003209E0" w:rsidRPr="005764FC">
        <w:t xml:space="preserve">linked </w:t>
      </w:r>
      <w:r w:rsidR="006C7551" w:rsidRPr="005764FC">
        <w:t xml:space="preserve">through </w:t>
      </w:r>
      <w:r w:rsidR="00035D14" w:rsidRPr="005764FC">
        <w:t>C</w:t>
      </w:r>
      <w:r w:rsidR="008A3437" w:rsidRPr="005764FC">
        <w:t>‑ITS</w:t>
      </w:r>
      <w:r w:rsidR="00035D14" w:rsidRPr="005764FC">
        <w:t xml:space="preserve"> </w:t>
      </w:r>
      <w:r w:rsidR="006F1F61" w:rsidRPr="005764FC">
        <w:t xml:space="preserve">is required </w:t>
      </w:r>
      <w:r w:rsidR="00035D14" w:rsidRPr="005764FC">
        <w:t xml:space="preserve">to </w:t>
      </w:r>
      <w:r w:rsidR="0087095A" w:rsidRPr="005764FC">
        <w:t xml:space="preserve">realise the largest improvements </w:t>
      </w:r>
      <w:r w:rsidR="00401AE4" w:rsidRPr="005764FC">
        <w:t>to congestion and safety</w:t>
      </w:r>
      <w:r w:rsidR="00AD6057" w:rsidRPr="005764FC">
        <w:t>.</w:t>
      </w:r>
    </w:p>
    <w:p w14:paraId="0D337DAC" w14:textId="491900EB" w:rsidR="00A24879" w:rsidRPr="005764FC" w:rsidRDefault="00AF7D90" w:rsidP="00A24879">
      <w:pPr>
        <w:pStyle w:val="BodyText"/>
      </w:pPr>
      <w:r w:rsidRPr="005764FC">
        <w:t xml:space="preserve">This report provides advice on the </w:t>
      </w:r>
      <w:r w:rsidR="003272BC" w:rsidRPr="005764FC">
        <w:t>capability of</w:t>
      </w:r>
      <w:r w:rsidRPr="005764FC">
        <w:t xml:space="preserve"> </w:t>
      </w:r>
      <w:r w:rsidR="00461510" w:rsidRPr="005764FC">
        <w:t xml:space="preserve">C‑ITS </w:t>
      </w:r>
      <w:r w:rsidRPr="005764FC">
        <w:t>to deliver beneficial outcomes for Australian</w:t>
      </w:r>
      <w:r w:rsidR="001063BA" w:rsidRPr="005764FC">
        <w:t xml:space="preserve"> road users </w:t>
      </w:r>
      <w:r w:rsidRPr="005764FC">
        <w:t xml:space="preserve">(including safety, efficiency, sustainability, and comfort) and the relevant </w:t>
      </w:r>
      <w:r w:rsidR="00526A75" w:rsidRPr="005764FC">
        <w:t xml:space="preserve">deployment </w:t>
      </w:r>
      <w:r w:rsidRPr="005764FC">
        <w:t xml:space="preserve">considerations for governments. </w:t>
      </w:r>
      <w:r w:rsidR="00A24879" w:rsidRPr="005764FC">
        <w:t>This report provides an analysis of the resulting policy issues and findings for government</w:t>
      </w:r>
      <w:r w:rsidR="00845AAC">
        <w:t>s</w:t>
      </w:r>
      <w:r w:rsidR="00A24879" w:rsidRPr="005764FC">
        <w:t xml:space="preserve"> to consider </w:t>
      </w:r>
      <w:r w:rsidR="007E5DF3" w:rsidRPr="005764FC">
        <w:t>when</w:t>
      </w:r>
      <w:r w:rsidR="00A24879" w:rsidRPr="005764FC">
        <w:t xml:space="preserve"> building on the previous project phases</w:t>
      </w:r>
      <w:r w:rsidR="00585015" w:rsidRPr="005764FC">
        <w:t xml:space="preserve"> being</w:t>
      </w:r>
      <w:r w:rsidR="00A24879" w:rsidRPr="005764FC">
        <w:t>:</w:t>
      </w:r>
    </w:p>
    <w:p w14:paraId="0B68F1E0" w14:textId="63D6A4A4" w:rsidR="00A24879" w:rsidRPr="005764FC" w:rsidRDefault="00213126" w:rsidP="009D7704">
      <w:pPr>
        <w:pStyle w:val="ListBullet"/>
        <w:ind w:left="357" w:hanging="357"/>
        <w:contextualSpacing/>
      </w:pPr>
      <w:r w:rsidRPr="005764FC">
        <w:t>A</w:t>
      </w:r>
      <w:r w:rsidR="00A24879" w:rsidRPr="005764FC">
        <w:t xml:space="preserve">n overview of the technology and an assessment of Australia’s readiness to adopt the required technologies </w:t>
      </w:r>
      <w:r w:rsidR="00A57487" w:rsidRPr="005764FC">
        <w:t>(see</w:t>
      </w:r>
      <w:r w:rsidR="00A57487">
        <w:t> </w:t>
      </w:r>
      <w:r w:rsidR="00A24879" w:rsidRPr="005764FC">
        <w:t xml:space="preserve">Section </w:t>
      </w:r>
      <w:r w:rsidR="00A24879" w:rsidRPr="005764FC">
        <w:rPr>
          <w:highlight w:val="yellow"/>
        </w:rPr>
        <w:fldChar w:fldCharType="begin" w:fldLock="1"/>
      </w:r>
      <w:r w:rsidR="00A24879" w:rsidRPr="005764FC">
        <w:instrText xml:space="preserve"> REF _Ref90971002 \r \h </w:instrText>
      </w:r>
      <w:r w:rsidR="00A24879" w:rsidRPr="005764FC">
        <w:rPr>
          <w:highlight w:val="yellow"/>
        </w:rPr>
      </w:r>
      <w:r w:rsidR="00A24879" w:rsidRPr="005764FC">
        <w:rPr>
          <w:highlight w:val="yellow"/>
        </w:rPr>
        <w:fldChar w:fldCharType="separate"/>
      </w:r>
      <w:r w:rsidR="00A34B27">
        <w:t>1.5.1</w:t>
      </w:r>
      <w:r w:rsidR="00A24879" w:rsidRPr="005764FC">
        <w:rPr>
          <w:highlight w:val="yellow"/>
        </w:rPr>
        <w:fldChar w:fldCharType="end"/>
      </w:r>
      <w:r w:rsidR="00A24879" w:rsidRPr="005764FC">
        <w:t xml:space="preserve"> for an overview and explanation of the technology work)</w:t>
      </w:r>
      <w:r w:rsidR="00A57487">
        <w:t>.</w:t>
      </w:r>
    </w:p>
    <w:p w14:paraId="5413CF4D" w14:textId="3CBD74B3" w:rsidR="00A24879" w:rsidRPr="005764FC" w:rsidRDefault="00213126" w:rsidP="009D7704">
      <w:pPr>
        <w:pStyle w:val="ListBullet"/>
        <w:ind w:left="357" w:hanging="357"/>
        <w:contextualSpacing/>
      </w:pPr>
      <w:r w:rsidRPr="005764FC">
        <w:t>A</w:t>
      </w:r>
      <w:r w:rsidR="00A24879" w:rsidRPr="005764FC">
        <w:t xml:space="preserve">dvice on the options and priorities to obtain benefits from the </w:t>
      </w:r>
      <w:r w:rsidR="00A24879" w:rsidRPr="005764FC" w:rsidDel="008A3437">
        <w:t>C</w:t>
      </w:r>
      <w:r w:rsidR="00A24879" w:rsidRPr="005764FC">
        <w:t>‑ITS investment, for government consideration (</w:t>
      </w:r>
      <w:r w:rsidR="00A57487" w:rsidRPr="005764FC">
        <w:t>see</w:t>
      </w:r>
      <w:r w:rsidR="00A57487">
        <w:t> </w:t>
      </w:r>
      <w:r w:rsidR="00A24879" w:rsidRPr="005764FC">
        <w:t xml:space="preserve">Section </w:t>
      </w:r>
      <w:r w:rsidR="00A24879" w:rsidRPr="005764FC">
        <w:rPr>
          <w:highlight w:val="yellow"/>
        </w:rPr>
        <w:fldChar w:fldCharType="begin" w:fldLock="1"/>
      </w:r>
      <w:r w:rsidR="00A24879" w:rsidRPr="005764FC">
        <w:instrText xml:space="preserve"> REF _Ref90971033 \r \h </w:instrText>
      </w:r>
      <w:r w:rsidR="00A24879" w:rsidRPr="005764FC">
        <w:rPr>
          <w:highlight w:val="yellow"/>
        </w:rPr>
      </w:r>
      <w:r w:rsidR="00A24879" w:rsidRPr="005764FC">
        <w:rPr>
          <w:highlight w:val="yellow"/>
        </w:rPr>
        <w:fldChar w:fldCharType="separate"/>
      </w:r>
      <w:r w:rsidR="00A34B27">
        <w:t>1.5.2</w:t>
      </w:r>
      <w:r w:rsidR="00A24879" w:rsidRPr="005764FC">
        <w:rPr>
          <w:highlight w:val="yellow"/>
        </w:rPr>
        <w:fldChar w:fldCharType="end"/>
      </w:r>
      <w:r w:rsidR="00A24879" w:rsidRPr="005764FC">
        <w:t xml:space="preserve"> for an overview and explanation of the priorities and options work)</w:t>
      </w:r>
      <w:r w:rsidR="00A57487">
        <w:t>.</w:t>
      </w:r>
    </w:p>
    <w:p w14:paraId="1704AE44" w14:textId="755BBF26" w:rsidR="00A24879" w:rsidRPr="005764FC" w:rsidRDefault="00213126" w:rsidP="009D7704">
      <w:pPr>
        <w:pStyle w:val="ListBullet"/>
        <w:ind w:left="357" w:hanging="357"/>
        <w:contextualSpacing/>
      </w:pPr>
      <w:r w:rsidRPr="005764FC">
        <w:t>A</w:t>
      </w:r>
      <w:r w:rsidR="00A24879" w:rsidRPr="005764FC">
        <w:t xml:space="preserve"> cost-benefit analysis </w:t>
      </w:r>
      <w:r w:rsidR="002E459A" w:rsidRPr="005764FC">
        <w:t xml:space="preserve">based </w:t>
      </w:r>
      <w:r w:rsidR="0043648C" w:rsidRPr="005764FC">
        <w:t>on regions and type</w:t>
      </w:r>
      <w:r w:rsidR="00D21798" w:rsidRPr="005764FC">
        <w:t xml:space="preserve">s of </w:t>
      </w:r>
      <w:r w:rsidR="005D5374" w:rsidRPr="005764FC">
        <w:t>C-ITS deployment</w:t>
      </w:r>
      <w:r w:rsidR="00A24879" w:rsidRPr="005764FC">
        <w:t xml:space="preserve"> (</w:t>
      </w:r>
      <w:r w:rsidR="00A57487" w:rsidRPr="005764FC">
        <w:t xml:space="preserve">see </w:t>
      </w:r>
      <w:r w:rsidR="00A24879" w:rsidRPr="005764FC">
        <w:t xml:space="preserve">Section </w:t>
      </w:r>
      <w:r w:rsidR="00A24879" w:rsidRPr="005764FC">
        <w:rPr>
          <w:highlight w:val="yellow"/>
        </w:rPr>
        <w:fldChar w:fldCharType="begin" w:fldLock="1"/>
      </w:r>
      <w:r w:rsidR="00A24879" w:rsidRPr="005764FC">
        <w:instrText xml:space="preserve"> REF _Ref90971055 \r \h </w:instrText>
      </w:r>
      <w:r w:rsidR="00A24879" w:rsidRPr="005764FC">
        <w:rPr>
          <w:highlight w:val="yellow"/>
        </w:rPr>
      </w:r>
      <w:r w:rsidR="00A24879" w:rsidRPr="005764FC">
        <w:rPr>
          <w:highlight w:val="yellow"/>
        </w:rPr>
        <w:fldChar w:fldCharType="separate"/>
      </w:r>
      <w:r w:rsidR="00A34B27">
        <w:t>1.5.3</w:t>
      </w:r>
      <w:r w:rsidR="00A24879" w:rsidRPr="005764FC">
        <w:rPr>
          <w:highlight w:val="yellow"/>
        </w:rPr>
        <w:fldChar w:fldCharType="end"/>
      </w:r>
      <w:r w:rsidR="00A24879" w:rsidRPr="005764FC">
        <w:t xml:space="preserve"> for an overview and explanation of the cost-benefit analysis work)</w:t>
      </w:r>
      <w:r w:rsidR="00A57487">
        <w:t>.</w:t>
      </w:r>
    </w:p>
    <w:p w14:paraId="18C23493" w14:textId="053B0F09" w:rsidR="00B8248F" w:rsidRPr="005764FC" w:rsidRDefault="00AF7D90" w:rsidP="00A87F03">
      <w:pPr>
        <w:pStyle w:val="BodyText"/>
      </w:pPr>
      <w:r w:rsidRPr="005764FC">
        <w:t>The report is delivered in partnership by WSP, Deloitte</w:t>
      </w:r>
      <w:r w:rsidR="00624549">
        <w:t xml:space="preserve"> Financial Advisory Pty Ltd (Deloitte)</w:t>
      </w:r>
      <w:r w:rsidRPr="005764FC">
        <w:t xml:space="preserve">, and the University of Melbourne for the </w:t>
      </w:r>
      <w:r w:rsidR="00E97822" w:rsidRPr="005764FC">
        <w:t xml:space="preserve">Australian </w:t>
      </w:r>
      <w:r w:rsidRPr="005764FC">
        <w:t>Department of Infrastructure, Transport, Regional Development and Communication</w:t>
      </w:r>
      <w:r w:rsidR="003272BC" w:rsidRPr="005764FC">
        <w:t>s</w:t>
      </w:r>
      <w:r w:rsidR="00D71DEC" w:rsidRPr="005764FC">
        <w:t xml:space="preserve"> (DITRDC)</w:t>
      </w:r>
      <w:r w:rsidR="00845AAC">
        <w:t xml:space="preserve"> and project partners</w:t>
      </w:r>
      <w:r w:rsidRPr="005764FC">
        <w:t xml:space="preserve">. </w:t>
      </w:r>
    </w:p>
    <w:p w14:paraId="301B5F28" w14:textId="055BB258" w:rsidR="008013ED" w:rsidRPr="005764FC" w:rsidRDefault="00855398" w:rsidP="008C1151">
      <w:pPr>
        <w:pStyle w:val="Heading2"/>
      </w:pPr>
      <w:bookmarkStart w:id="54" w:name="_Toc50041420"/>
      <w:bookmarkStart w:id="55" w:name="_Toc50041421"/>
      <w:bookmarkStart w:id="56" w:name="_Toc50040187"/>
      <w:bookmarkStart w:id="57" w:name="_Toc50041438"/>
      <w:bookmarkStart w:id="58" w:name="_Toc94536674"/>
      <w:bookmarkStart w:id="59" w:name="_Toc94453136"/>
      <w:bookmarkStart w:id="60" w:name="_Toc97807783"/>
      <w:bookmarkStart w:id="61" w:name="_Toc49421137"/>
      <w:bookmarkStart w:id="62" w:name="_Toc49515896"/>
      <w:bookmarkEnd w:id="53"/>
      <w:bookmarkEnd w:id="54"/>
      <w:bookmarkEnd w:id="55"/>
      <w:bookmarkEnd w:id="56"/>
      <w:bookmarkEnd w:id="57"/>
      <w:r w:rsidRPr="005764FC">
        <w:t xml:space="preserve">What </w:t>
      </w:r>
      <w:r w:rsidR="00EC79DA" w:rsidRPr="005764FC">
        <w:t>i</w:t>
      </w:r>
      <w:r w:rsidRPr="005764FC">
        <w:t xml:space="preserve">s </w:t>
      </w:r>
      <w:r w:rsidR="00266A4D" w:rsidRPr="005764FC">
        <w:t>C</w:t>
      </w:r>
      <w:r w:rsidR="00266A4D" w:rsidRPr="005764FC">
        <w:rPr>
          <w:rFonts w:ascii="Cambria Math" w:hAnsi="Cambria Math" w:cs="Cambria Math"/>
        </w:rPr>
        <w:t>‑</w:t>
      </w:r>
      <w:r w:rsidR="00266A4D" w:rsidRPr="005764FC">
        <w:t>ITS</w:t>
      </w:r>
      <w:r w:rsidRPr="005764FC">
        <w:t>?</w:t>
      </w:r>
      <w:bookmarkEnd w:id="58"/>
      <w:bookmarkEnd w:id="59"/>
      <w:bookmarkEnd w:id="60"/>
    </w:p>
    <w:tbl>
      <w:tblPr>
        <w:tblStyle w:val="PullOutBoxTable"/>
        <w:tblpPr w:leftFromText="180" w:rightFromText="180" w:vertAnchor="text" w:tblpXSpec="right" w:tblpY="1"/>
        <w:tblOverlap w:val="never"/>
        <w:tblW w:w="4536" w:type="dxa"/>
        <w:jc w:val="right"/>
        <w:tblInd w:w="0" w:type="dxa"/>
        <w:tblLook w:val="0600" w:firstRow="0" w:lastRow="0" w:firstColumn="0" w:lastColumn="0" w:noHBand="1" w:noVBand="1"/>
      </w:tblPr>
      <w:tblGrid>
        <w:gridCol w:w="4536"/>
      </w:tblGrid>
      <w:tr w:rsidR="009C1B21" w:rsidRPr="005764FC" w14:paraId="33D36E7E" w14:textId="77777777" w:rsidTr="008864B6">
        <w:trPr>
          <w:jc w:val="right"/>
        </w:trPr>
        <w:tc>
          <w:tcPr>
            <w:tcW w:w="5000" w:type="pct"/>
            <w:shd w:val="clear" w:color="auto" w:fill="E4E8EC" w:themeFill="accent3" w:themeFillTint="1A"/>
          </w:tcPr>
          <w:p w14:paraId="5547D310" w14:textId="38002490" w:rsidR="00D80937" w:rsidRPr="005764FC" w:rsidRDefault="00D80937" w:rsidP="009C1B21">
            <w:pPr>
              <w:pStyle w:val="PullOutBoxHeading"/>
            </w:pPr>
            <w:r w:rsidRPr="005764FC">
              <w:t>C-ITS</w:t>
            </w:r>
            <w:r w:rsidR="00883F2E" w:rsidRPr="005764FC">
              <w:t xml:space="preserve"> – A focus on </w:t>
            </w:r>
            <w:r w:rsidR="006A16AB" w:rsidRPr="005764FC">
              <w:t>‘</w:t>
            </w:r>
            <w:r w:rsidR="00883F2E" w:rsidRPr="005764FC">
              <w:t>Cooperative</w:t>
            </w:r>
            <w:r w:rsidR="006A16AB" w:rsidRPr="005764FC">
              <w:t>’</w:t>
            </w:r>
            <w:r w:rsidR="00883F2E" w:rsidRPr="005764FC">
              <w:t xml:space="preserve"> </w:t>
            </w:r>
          </w:p>
          <w:p w14:paraId="203F34A5" w14:textId="497DD9D6" w:rsidR="009C1B21" w:rsidRPr="005764FC" w:rsidRDefault="009C1B21" w:rsidP="00D80937">
            <w:pPr>
              <w:pStyle w:val="PullOutBoxBodyText"/>
            </w:pPr>
            <w:r w:rsidRPr="005764FC">
              <w:t>Co</w:t>
            </w:r>
            <w:r w:rsidRPr="005764FC">
              <w:rPr>
                <w:rFonts w:ascii="Cambria Math" w:hAnsi="Cambria Math" w:cs="Cambria Math"/>
              </w:rPr>
              <w:t>‑</w:t>
            </w:r>
            <w:r w:rsidRPr="005764FC">
              <w:t xml:space="preserve">operative Intelligent Transport Systems </w:t>
            </w:r>
            <w:r w:rsidR="001B52E4" w:rsidRPr="005764FC">
              <w:t>s</w:t>
            </w:r>
            <w:r w:rsidRPr="005764FC">
              <w:t xml:space="preserve">hare information between </w:t>
            </w:r>
            <w:r w:rsidR="00322246" w:rsidRPr="005764FC">
              <w:t xml:space="preserve">road users and operators through agreed, open and trusted channels to improve road safety, efficiency, sustainability, and travel comfort. </w:t>
            </w:r>
          </w:p>
        </w:tc>
      </w:tr>
    </w:tbl>
    <w:p w14:paraId="05C25A8B" w14:textId="77777777" w:rsidR="002D41B3" w:rsidRPr="005764FC" w:rsidRDefault="00D41933" w:rsidP="00A87F03">
      <w:pPr>
        <w:pStyle w:val="BodyText"/>
      </w:pPr>
      <w:r w:rsidRPr="005764FC">
        <w:t xml:space="preserve">Cooperative </w:t>
      </w:r>
      <w:r w:rsidR="0017723D" w:rsidRPr="005764FC">
        <w:t>ITS (</w:t>
      </w:r>
      <w:r w:rsidR="007B3DDD" w:rsidRPr="005764FC">
        <w:t>C</w:t>
      </w:r>
      <w:r w:rsidR="008A3437" w:rsidRPr="005764FC">
        <w:t>‑ITS</w:t>
      </w:r>
      <w:r w:rsidR="0017723D" w:rsidRPr="005764FC">
        <w:t>)</w:t>
      </w:r>
      <w:r w:rsidR="007B3DDD" w:rsidRPr="005764FC">
        <w:t xml:space="preserve"> </w:t>
      </w:r>
      <w:r w:rsidR="00BE1D11" w:rsidRPr="005764FC">
        <w:t xml:space="preserve">is a standardised system </w:t>
      </w:r>
      <w:r w:rsidR="00650A82" w:rsidRPr="005764FC">
        <w:t xml:space="preserve">for road users and road operators to </w:t>
      </w:r>
      <w:r w:rsidR="00BE1D11" w:rsidRPr="005764FC">
        <w:t>shar</w:t>
      </w:r>
      <w:r w:rsidR="00650A82" w:rsidRPr="005764FC">
        <w:t>e</w:t>
      </w:r>
      <w:r w:rsidR="00BE1D11" w:rsidRPr="005764FC">
        <w:t xml:space="preserve"> safety and real</w:t>
      </w:r>
      <w:r w:rsidR="00E21D26" w:rsidRPr="005764FC">
        <w:t>-</w:t>
      </w:r>
      <w:r w:rsidR="00BE1D11" w:rsidRPr="005764FC">
        <w:t xml:space="preserve">time information. </w:t>
      </w:r>
    </w:p>
    <w:p w14:paraId="0DB11425" w14:textId="780506F3" w:rsidR="00F06AFB" w:rsidRPr="005764FC" w:rsidRDefault="003B1F2F" w:rsidP="00A87F03">
      <w:pPr>
        <w:pStyle w:val="BodyText"/>
      </w:pPr>
      <w:r w:rsidRPr="005764FC">
        <w:t>C-ITS allows</w:t>
      </w:r>
      <w:r w:rsidR="00322246" w:rsidRPr="005764FC">
        <w:t xml:space="preserve"> </w:t>
      </w:r>
      <w:r w:rsidR="007E5670" w:rsidRPr="005764FC">
        <w:t xml:space="preserve">vehicles to communicate wirelessly with other vehicles, </w:t>
      </w:r>
      <w:r w:rsidR="004647D7" w:rsidRPr="005764FC">
        <w:t xml:space="preserve">and with </w:t>
      </w:r>
      <w:r w:rsidR="007E5670" w:rsidRPr="005764FC">
        <w:t>roadside infrastructure, management systems</w:t>
      </w:r>
      <w:r w:rsidR="00E21D26" w:rsidRPr="005764FC">
        <w:t>,</w:t>
      </w:r>
      <w:r w:rsidR="007E5670" w:rsidRPr="005764FC">
        <w:t xml:space="preserve"> and personal mobile devices. </w:t>
      </w:r>
      <w:r w:rsidR="008A3437" w:rsidRPr="005764FC">
        <w:t>C‑</w:t>
      </w:r>
      <w:r w:rsidR="007E5670" w:rsidRPr="005764FC">
        <w:t xml:space="preserve">ITS can improve the quality and reliability of information available to drivers about their immediate environment. </w:t>
      </w:r>
    </w:p>
    <w:p w14:paraId="1073A9BE" w14:textId="2EF57C8E" w:rsidR="007E5670" w:rsidRPr="005764FC" w:rsidRDefault="007E5670" w:rsidP="00A87F03">
      <w:pPr>
        <w:pStyle w:val="BodyText"/>
      </w:pPr>
      <w:r w:rsidRPr="005764FC">
        <w:t>C</w:t>
      </w:r>
      <w:r w:rsidR="008A3437" w:rsidRPr="005764FC">
        <w:t>‑</w:t>
      </w:r>
      <w:r w:rsidRPr="005764FC">
        <w:t>ITS is often referred to as ‘connected vehicles’</w:t>
      </w:r>
      <w:r w:rsidR="004A55C0" w:rsidRPr="005764FC">
        <w:t>,</w:t>
      </w:r>
      <w:r w:rsidR="00F755AE" w:rsidRPr="005764FC">
        <w:t xml:space="preserve"> Vehicle-to-Vehicle (V2V), Vehicle</w:t>
      </w:r>
      <w:r w:rsidR="003B1F2F" w:rsidRPr="005764FC">
        <w:t>-</w:t>
      </w:r>
      <w:r w:rsidR="00F755AE" w:rsidRPr="005764FC">
        <w:t>to</w:t>
      </w:r>
      <w:r w:rsidR="003B1F2F" w:rsidRPr="005764FC">
        <w:t>-</w:t>
      </w:r>
      <w:r w:rsidR="00F755AE" w:rsidRPr="005764FC">
        <w:t xml:space="preserve">Infrastructure (V2I), </w:t>
      </w:r>
      <w:r w:rsidRPr="005764FC">
        <w:t>Vehicle-to-Anything (V2X),</w:t>
      </w:r>
      <w:r w:rsidR="00164A93" w:rsidRPr="005764FC">
        <w:t xml:space="preserve"> or</w:t>
      </w:r>
      <w:r w:rsidRPr="005764FC">
        <w:t xml:space="preserve"> Car-2-Anything (Car2X).</w:t>
      </w:r>
    </w:p>
    <w:p w14:paraId="4D8601A0" w14:textId="059515A7" w:rsidR="004D1568" w:rsidRPr="005764FC" w:rsidRDefault="00B733DA" w:rsidP="00A87F03">
      <w:pPr>
        <w:pStyle w:val="BodyText"/>
      </w:pPr>
      <w:r w:rsidRPr="005764FC">
        <w:t xml:space="preserve">C‑ITS is a user-centric strategy to achieve safer journeys for all. </w:t>
      </w:r>
      <w:r w:rsidR="001C5030" w:rsidRPr="005764FC">
        <w:t xml:space="preserve">For road </w:t>
      </w:r>
      <w:r w:rsidR="00DC4FCC" w:rsidRPr="005764FC">
        <w:t>agencies</w:t>
      </w:r>
      <w:r w:rsidR="00A75FEA" w:rsidRPr="005764FC">
        <w:t>,</w:t>
      </w:r>
      <w:r w:rsidR="00DC4FCC" w:rsidRPr="005764FC">
        <w:t xml:space="preserve"> C</w:t>
      </w:r>
      <w:r w:rsidR="008A3437" w:rsidRPr="005764FC">
        <w:t>‑ITS</w:t>
      </w:r>
      <w:r w:rsidR="00DC4FCC" w:rsidRPr="005764FC">
        <w:t xml:space="preserve"> can be viewed </w:t>
      </w:r>
      <w:r w:rsidR="00526A75" w:rsidRPr="005764FC">
        <w:t>a</w:t>
      </w:r>
      <w:r w:rsidR="00D41933" w:rsidRPr="005764FC">
        <w:t>s an extension of ITS</w:t>
      </w:r>
      <w:bookmarkStart w:id="63" w:name="_GoBack"/>
      <w:r w:rsidR="00A02FF7" w:rsidRPr="005764FC">
        <w:rPr>
          <w:rStyle w:val="FootnoteReference"/>
        </w:rPr>
        <w:footnoteReference w:id="2"/>
      </w:r>
      <w:bookmarkEnd w:id="63"/>
      <w:r w:rsidR="007E5DF3" w:rsidRPr="005764FC">
        <w:t xml:space="preserve"> that</w:t>
      </w:r>
      <w:r w:rsidR="00D41933" w:rsidRPr="005764FC">
        <w:t xml:space="preserve"> </w:t>
      </w:r>
      <w:r w:rsidR="00424174" w:rsidRPr="005764FC">
        <w:t>mak</w:t>
      </w:r>
      <w:r w:rsidR="007E5DF3" w:rsidRPr="005764FC">
        <w:t>es</w:t>
      </w:r>
      <w:r w:rsidR="00323B87" w:rsidRPr="005764FC">
        <w:t xml:space="preserve"> </w:t>
      </w:r>
      <w:r w:rsidR="00B96272" w:rsidRPr="005764FC">
        <w:t>vehicle</w:t>
      </w:r>
      <w:r w:rsidR="00733AA0" w:rsidRPr="005764FC">
        <w:t>s</w:t>
      </w:r>
      <w:r w:rsidR="00B96272" w:rsidRPr="005764FC">
        <w:t xml:space="preserve"> </w:t>
      </w:r>
      <w:r w:rsidR="00733AA0" w:rsidRPr="005764FC">
        <w:t xml:space="preserve">part of the system </w:t>
      </w:r>
      <w:r w:rsidR="005F64CB" w:rsidRPr="005764FC">
        <w:t xml:space="preserve">and </w:t>
      </w:r>
      <w:r w:rsidR="00DB0FD9" w:rsidRPr="005764FC">
        <w:t>prioritis</w:t>
      </w:r>
      <w:r w:rsidR="00A0239F" w:rsidRPr="005764FC">
        <w:t>es</w:t>
      </w:r>
      <w:r w:rsidR="00DB0FD9" w:rsidRPr="005764FC">
        <w:t xml:space="preserve"> </w:t>
      </w:r>
      <w:r w:rsidR="00957417" w:rsidRPr="005764FC">
        <w:t>sharing</w:t>
      </w:r>
      <w:r w:rsidR="00DB0FD9" w:rsidRPr="005764FC">
        <w:t xml:space="preserve"> of</w:t>
      </w:r>
      <w:r w:rsidR="00957417" w:rsidRPr="005764FC">
        <w:t xml:space="preserve"> </w:t>
      </w:r>
      <w:r w:rsidR="00437BD6" w:rsidRPr="005764FC">
        <w:t>transport information</w:t>
      </w:r>
      <w:r w:rsidR="00C678D6" w:rsidRPr="005764FC">
        <w:t xml:space="preserve"> </w:t>
      </w:r>
      <w:r w:rsidR="0011063D" w:rsidRPr="005764FC">
        <w:t xml:space="preserve">between </w:t>
      </w:r>
      <w:r w:rsidR="008E378D" w:rsidRPr="005764FC">
        <w:t xml:space="preserve">road users </w:t>
      </w:r>
      <w:r w:rsidR="0065558C" w:rsidRPr="005764FC">
        <w:t>and operators</w:t>
      </w:r>
      <w:r w:rsidR="007E5DF3" w:rsidRPr="005764FC">
        <w:t>,</w:t>
      </w:r>
      <w:r w:rsidR="00AD5076" w:rsidRPr="005764FC">
        <w:t xml:space="preserve"> </w:t>
      </w:r>
      <w:r w:rsidR="001446B6" w:rsidRPr="005764FC">
        <w:t>improv</w:t>
      </w:r>
      <w:r w:rsidR="007E5DF3" w:rsidRPr="005764FC">
        <w:t>ing</w:t>
      </w:r>
      <w:r w:rsidR="0065558C" w:rsidRPr="005764FC">
        <w:t xml:space="preserve"> </w:t>
      </w:r>
      <w:r w:rsidR="008D4401" w:rsidRPr="005764FC">
        <w:t>their</w:t>
      </w:r>
      <w:r w:rsidR="00A35D7C" w:rsidRPr="005764FC">
        <w:t xml:space="preserve"> </w:t>
      </w:r>
      <w:r w:rsidR="00C13EB0" w:rsidRPr="005764FC">
        <w:t>ability</w:t>
      </w:r>
      <w:r w:rsidR="007E5DF3" w:rsidRPr="005764FC">
        <w:t xml:space="preserve"> to make </w:t>
      </w:r>
      <w:r w:rsidR="003B1F2F" w:rsidRPr="005764FC">
        <w:t xml:space="preserve">good </w:t>
      </w:r>
      <w:r w:rsidR="00DC1954" w:rsidRPr="005764FC">
        <w:t>decision</w:t>
      </w:r>
      <w:r w:rsidR="007E5DF3" w:rsidRPr="005764FC">
        <w:t>s</w:t>
      </w:r>
      <w:r w:rsidR="005F64CB" w:rsidRPr="005764FC">
        <w:t>.</w:t>
      </w:r>
      <w:r w:rsidR="00AD4697" w:rsidRPr="005764FC">
        <w:t xml:space="preserve"> </w:t>
      </w:r>
      <w:r w:rsidR="00861CDC" w:rsidRPr="005764FC">
        <w:t xml:space="preserve">Such </w:t>
      </w:r>
      <w:r w:rsidR="00B06A4A" w:rsidRPr="005764FC">
        <w:t>communication</w:t>
      </w:r>
      <w:r w:rsidR="00861CDC" w:rsidRPr="005764FC">
        <w:t>s</w:t>
      </w:r>
      <w:r w:rsidR="0094470F" w:rsidRPr="005764FC">
        <w:t xml:space="preserve"> from more locations</w:t>
      </w:r>
      <w:r w:rsidR="00861CDC" w:rsidRPr="005764FC">
        <w:t xml:space="preserve"> enable</w:t>
      </w:r>
      <w:r w:rsidR="00B06A4A" w:rsidRPr="005764FC">
        <w:t xml:space="preserve"> road </w:t>
      </w:r>
      <w:r w:rsidR="000E59FA" w:rsidRPr="005764FC">
        <w:t>operators</w:t>
      </w:r>
      <w:r w:rsidR="00B06A4A" w:rsidRPr="005764FC">
        <w:t xml:space="preserve"> </w:t>
      </w:r>
      <w:r w:rsidR="009F35CA" w:rsidRPr="005764FC">
        <w:t>to</w:t>
      </w:r>
      <w:r w:rsidR="00B06A4A" w:rsidRPr="005764FC">
        <w:t xml:space="preserve"> better manage and inform drivers, pedestrians</w:t>
      </w:r>
      <w:r w:rsidR="00EB55E5" w:rsidRPr="005764FC">
        <w:t>,</w:t>
      </w:r>
      <w:r w:rsidR="00B06A4A" w:rsidRPr="005764FC">
        <w:t xml:space="preserve"> and cyclists, thereby improving </w:t>
      </w:r>
      <w:r w:rsidR="0072030D" w:rsidRPr="005764FC">
        <w:t>road user</w:t>
      </w:r>
      <w:r w:rsidR="00BB1B43" w:rsidRPr="005764FC">
        <w:t xml:space="preserve">s’ </w:t>
      </w:r>
      <w:r w:rsidR="00B06A4A" w:rsidRPr="005764FC">
        <w:t xml:space="preserve">safety and efficiency. </w:t>
      </w:r>
    </w:p>
    <w:tbl>
      <w:tblPr>
        <w:tblStyle w:val="PullOutBoxTable"/>
        <w:tblpPr w:leftFromText="181" w:rightFromText="181" w:vertAnchor="text" w:horzAnchor="margin" w:tblpXSpec="right" w:tblpY="1"/>
        <w:tblW w:w="4536" w:type="dxa"/>
        <w:tblInd w:w="0" w:type="dxa"/>
        <w:tblLook w:val="0600" w:firstRow="0" w:lastRow="0" w:firstColumn="0" w:lastColumn="0" w:noHBand="1" w:noVBand="1"/>
      </w:tblPr>
      <w:tblGrid>
        <w:gridCol w:w="4536"/>
      </w:tblGrid>
      <w:tr w:rsidR="00300E19" w:rsidRPr="005764FC" w14:paraId="76F9FE4F" w14:textId="77777777" w:rsidTr="00A57487">
        <w:trPr>
          <w:cantSplit/>
          <w:tblHeader/>
        </w:trPr>
        <w:tc>
          <w:tcPr>
            <w:tcW w:w="5000" w:type="pct"/>
            <w:shd w:val="clear" w:color="auto" w:fill="E4E8EC" w:themeFill="accent3" w:themeFillTint="1A"/>
          </w:tcPr>
          <w:p w14:paraId="0F1E7975" w14:textId="74821C53" w:rsidR="00300E19" w:rsidRPr="005764FC" w:rsidRDefault="00291BE8" w:rsidP="00A57487">
            <w:pPr>
              <w:pStyle w:val="PullOutBoxHeading"/>
            </w:pPr>
            <w:r w:rsidRPr="005764FC">
              <w:t xml:space="preserve">TECHNICAL </w:t>
            </w:r>
            <w:r w:rsidR="00300E19" w:rsidRPr="005764FC">
              <w:t>Definition of C</w:t>
            </w:r>
            <w:r w:rsidR="008A3437" w:rsidRPr="005764FC">
              <w:rPr>
                <w:rFonts w:ascii="Cambria Math" w:hAnsi="Cambria Math" w:cs="Cambria Math"/>
              </w:rPr>
              <w:t>‑</w:t>
            </w:r>
            <w:r w:rsidR="008A3437" w:rsidRPr="005764FC">
              <w:t>ITS</w:t>
            </w:r>
          </w:p>
          <w:p w14:paraId="1F2636E7" w14:textId="2F29363C" w:rsidR="00300E19" w:rsidRPr="005764FC" w:rsidRDefault="00300E19" w:rsidP="00A57487">
            <w:pPr>
              <w:pStyle w:val="PullOutBoxBodyText"/>
            </w:pPr>
            <w:r w:rsidRPr="005764FC">
              <w:t>Co‑operative Intelligent Transport Systems (C‑ITS) is a subset of the overall ITS that communicates and shares information between ITS Stations to give advice or facilitate actions with the objective of improving safety, efficiency, sustainability</w:t>
            </w:r>
            <w:r w:rsidR="00DB44B1" w:rsidRPr="005764FC">
              <w:t>,</w:t>
            </w:r>
            <w:r w:rsidRPr="005764FC">
              <w:t xml:space="preserve"> and comfort beyond the scope of stand-alone systems.</w:t>
            </w:r>
          </w:p>
          <w:p w14:paraId="1814F4A4" w14:textId="63DCD6B9" w:rsidR="00300E19" w:rsidRPr="005764FC" w:rsidRDefault="00300E19" w:rsidP="00A57487">
            <w:pPr>
              <w:pStyle w:val="Source"/>
            </w:pPr>
            <w:r w:rsidRPr="005764FC">
              <w:t>Source:</w:t>
            </w:r>
            <w:r w:rsidR="008864B6" w:rsidRPr="005764FC">
              <w:t xml:space="preserve"> </w:t>
            </w:r>
            <w:r w:rsidRPr="005764FC">
              <w:t>IS0/TR 17465-1 (2014)</w:t>
            </w:r>
          </w:p>
        </w:tc>
      </w:tr>
    </w:tbl>
    <w:p w14:paraId="7CC14278" w14:textId="0BB65134" w:rsidR="00287C9E" w:rsidRPr="005764FC" w:rsidRDefault="000109D1" w:rsidP="000109D1">
      <w:pPr>
        <w:pStyle w:val="Source"/>
      </w:pPr>
      <w:r w:rsidRPr="005764FC">
        <w:t>Source:</w:t>
      </w:r>
      <w:r w:rsidRPr="005764FC">
        <w:tab/>
      </w:r>
      <w:r w:rsidR="00287C9E" w:rsidRPr="005764FC">
        <w:rPr>
          <w:noProof/>
          <w:highlight w:val="yellow"/>
          <w:lang w:eastAsia="en-AU"/>
        </w:rPr>
        <w:drawing>
          <wp:anchor distT="0" distB="0" distL="114300" distR="114300" simplePos="0" relativeHeight="251658241" behindDoc="0" locked="0" layoutInCell="1" allowOverlap="1" wp14:anchorId="0A3F7B3F" wp14:editId="5D632409">
            <wp:simplePos x="0" y="0"/>
            <wp:positionH relativeFrom="column">
              <wp:posOffset>4445</wp:posOffset>
            </wp:positionH>
            <wp:positionV relativeFrom="paragraph">
              <wp:posOffset>528</wp:posOffset>
            </wp:positionV>
            <wp:extent cx="3004185" cy="1628140"/>
            <wp:effectExtent l="0" t="0" r="5715" b="0"/>
            <wp:wrapSquare wrapText="bothSides"/>
            <wp:docPr id="1948033262" name="Picture 1948033262" descr="Figure 1.1 is cartoon of a car navigating roadworks using C-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S compliance assessment framework for Australia and New Zealand | Rapp  Grou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4185"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18A" w:rsidRPr="005764FC">
        <w:t xml:space="preserve">Queensland Department of Transport and </w:t>
      </w:r>
      <w:r w:rsidR="00F50D3B" w:rsidRPr="005764FC">
        <w:t xml:space="preserve">Main Roads: CAVI Components </w:t>
      </w:r>
      <w:sdt>
        <w:sdtPr>
          <w:id w:val="-964492628"/>
          <w:citation/>
        </w:sdtPr>
        <w:sdtContent>
          <w:r w:rsidR="00211581">
            <w:fldChar w:fldCharType="begin"/>
          </w:r>
          <w:r w:rsidR="00211581">
            <w:instrText xml:space="preserve"> CITATION Que22 \l 3081 </w:instrText>
          </w:r>
          <w:r w:rsidR="00211581">
            <w:fldChar w:fldCharType="separate"/>
          </w:r>
          <w:r w:rsidR="001428F9">
            <w:rPr>
              <w:noProof/>
            </w:rPr>
            <w:t>(Queensland Government, 2022a)</w:t>
          </w:r>
          <w:r w:rsidR="00211581">
            <w:fldChar w:fldCharType="end"/>
          </w:r>
        </w:sdtContent>
      </w:sdt>
    </w:p>
    <w:p w14:paraId="56104097" w14:textId="6B6EF7BF" w:rsidR="009E45E8" w:rsidRPr="005764FC" w:rsidRDefault="00287C9E" w:rsidP="00287C9E">
      <w:pPr>
        <w:pStyle w:val="Caption"/>
      </w:pPr>
      <w:bookmarkStart w:id="64" w:name="_Toc97807822"/>
      <w:r w:rsidRPr="005764FC">
        <w:t xml:space="preserve">Figure </w:t>
      </w:r>
      <w:r w:rsidRPr="005764FC">
        <w:fldChar w:fldCharType="begin"/>
      </w:r>
      <w:r w:rsidRPr="005764FC">
        <w:instrText xml:space="preserve"> STYLEREF 1 \s </w:instrText>
      </w:r>
      <w:r w:rsidRPr="005764FC">
        <w:fldChar w:fldCharType="separate"/>
      </w:r>
      <w:r w:rsidR="00A34B27">
        <w:rPr>
          <w:noProof/>
        </w:rPr>
        <w:t>1</w:t>
      </w:r>
      <w:r w:rsidRPr="005764FC">
        <w:fldChar w:fldCharType="end"/>
      </w:r>
      <w:r w:rsidRPr="005764FC">
        <w:t>.</w:t>
      </w:r>
      <w:r w:rsidRPr="005764FC">
        <w:fldChar w:fldCharType="begin"/>
      </w:r>
      <w:r w:rsidRPr="005764FC">
        <w:instrText xml:space="preserve"> SEQ Figure \* ARABIC \s 1 </w:instrText>
      </w:r>
      <w:r w:rsidRPr="005764FC">
        <w:fldChar w:fldCharType="separate"/>
      </w:r>
      <w:r w:rsidR="00A34B27">
        <w:rPr>
          <w:noProof/>
        </w:rPr>
        <w:t>1</w:t>
      </w:r>
      <w:r w:rsidRPr="005764FC">
        <w:fldChar w:fldCharType="end"/>
      </w:r>
      <w:r w:rsidRPr="005764FC">
        <w:tab/>
      </w:r>
      <w:r w:rsidR="00F50D3B" w:rsidRPr="005764FC">
        <w:t>Example C-ITS roadworks use case</w:t>
      </w:r>
      <w:bookmarkStart w:id="65" w:name="ReturnHere"/>
      <w:bookmarkStart w:id="66" w:name="_Ref86407390"/>
      <w:bookmarkEnd w:id="64"/>
      <w:bookmarkEnd w:id="65"/>
    </w:p>
    <w:p w14:paraId="7E052E7B" w14:textId="10D833BE" w:rsidR="00461F7A" w:rsidRPr="005764FC" w:rsidRDefault="00BD11AA" w:rsidP="008D71A6">
      <w:pPr>
        <w:pStyle w:val="BodyText"/>
        <w:rPr>
          <w:rFonts w:eastAsiaTheme="minorHAnsi"/>
        </w:rPr>
      </w:pPr>
      <w:r w:rsidRPr="005764FC">
        <w:rPr>
          <w:rFonts w:eastAsiaTheme="minorHAnsi"/>
        </w:rPr>
        <w:t xml:space="preserve">Australia’s </w:t>
      </w:r>
      <w:r w:rsidR="002509C4" w:rsidRPr="005764FC">
        <w:rPr>
          <w:rFonts w:eastAsiaTheme="minorHAnsi"/>
        </w:rPr>
        <w:t xml:space="preserve">Federal Chamber of </w:t>
      </w:r>
      <w:r w:rsidR="000B2708" w:rsidRPr="005764FC">
        <w:rPr>
          <w:rFonts w:eastAsiaTheme="minorHAnsi"/>
        </w:rPr>
        <w:t>Automotive</w:t>
      </w:r>
      <w:r w:rsidR="002509C4" w:rsidRPr="005764FC">
        <w:rPr>
          <w:rFonts w:eastAsiaTheme="minorHAnsi"/>
        </w:rPr>
        <w:t xml:space="preserve"> Industries (FCAI)</w:t>
      </w:r>
      <w:sdt>
        <w:sdtPr>
          <w:rPr>
            <w:rFonts w:eastAsiaTheme="minorHAnsi"/>
          </w:rPr>
          <w:id w:val="1697349553"/>
          <w:citation/>
        </w:sdtPr>
        <w:sdtContent>
          <w:r w:rsidR="004D4EA5">
            <w:rPr>
              <w:rFonts w:eastAsiaTheme="minorHAnsi"/>
            </w:rPr>
            <w:fldChar w:fldCharType="begin"/>
          </w:r>
          <w:r w:rsidR="004D4EA5">
            <w:rPr>
              <w:rFonts w:eastAsiaTheme="minorHAnsi"/>
            </w:rPr>
            <w:instrText xml:space="preserve">CITATION Fed21 \n  \t  \l 3081 </w:instrText>
          </w:r>
          <w:r w:rsidR="004D4EA5">
            <w:rPr>
              <w:rFonts w:eastAsiaTheme="minorHAnsi"/>
            </w:rPr>
            <w:fldChar w:fldCharType="separate"/>
          </w:r>
          <w:r w:rsidR="001428F9">
            <w:rPr>
              <w:rFonts w:eastAsiaTheme="minorHAnsi"/>
              <w:noProof/>
            </w:rPr>
            <w:t xml:space="preserve"> </w:t>
          </w:r>
          <w:r w:rsidR="001428F9" w:rsidRPr="001428F9">
            <w:rPr>
              <w:rFonts w:eastAsiaTheme="minorHAnsi"/>
              <w:noProof/>
            </w:rPr>
            <w:t>(2021)</w:t>
          </w:r>
          <w:r w:rsidR="004D4EA5">
            <w:rPr>
              <w:rFonts w:eastAsiaTheme="minorHAnsi"/>
            </w:rPr>
            <w:fldChar w:fldCharType="end"/>
          </w:r>
        </w:sdtContent>
      </w:sdt>
      <w:r w:rsidR="004D4EA5" w:rsidRPr="005764FC">
        <w:rPr>
          <w:rFonts w:eastAsiaTheme="minorHAnsi"/>
        </w:rPr>
        <w:t xml:space="preserve"> </w:t>
      </w:r>
      <w:r w:rsidR="0040688E" w:rsidRPr="005764FC">
        <w:rPr>
          <w:rFonts w:eastAsiaTheme="minorHAnsi"/>
        </w:rPr>
        <w:t>state</w:t>
      </w:r>
      <w:r w:rsidR="000B2708" w:rsidRPr="005764FC">
        <w:rPr>
          <w:rFonts w:eastAsiaTheme="minorHAnsi"/>
        </w:rPr>
        <w:t>s</w:t>
      </w:r>
      <w:r w:rsidR="0040688E" w:rsidRPr="005764FC">
        <w:rPr>
          <w:rFonts w:eastAsiaTheme="minorHAnsi"/>
        </w:rPr>
        <w:t xml:space="preserve"> that</w:t>
      </w:r>
      <w:r w:rsidRPr="005764FC">
        <w:rPr>
          <w:rFonts w:eastAsiaTheme="minorHAnsi"/>
        </w:rPr>
        <w:t>,</w:t>
      </w:r>
      <w:r w:rsidR="0040688E" w:rsidRPr="005764FC">
        <w:rPr>
          <w:rFonts w:eastAsiaTheme="minorHAnsi"/>
        </w:rPr>
        <w:t xml:space="preserve"> </w:t>
      </w:r>
      <w:r w:rsidRPr="005764FC">
        <w:rPr>
          <w:rFonts w:eastAsiaTheme="minorHAnsi"/>
        </w:rPr>
        <w:t xml:space="preserve">overseas </w:t>
      </w:r>
      <w:r w:rsidR="006248FE" w:rsidRPr="005764FC">
        <w:rPr>
          <w:rFonts w:eastAsiaTheme="minorHAnsi"/>
        </w:rPr>
        <w:t>‘</w:t>
      </w:r>
      <w:r w:rsidR="0040688E" w:rsidRPr="005764FC">
        <w:rPr>
          <w:rFonts w:eastAsiaTheme="minorHAnsi"/>
        </w:rPr>
        <w:t xml:space="preserve">Cooperative Intelligent Transport Systems (C-ITS) have been well proven to reduce traffic fatalities and increase traffic efficiency. </w:t>
      </w:r>
      <w:r w:rsidR="00E754CF" w:rsidRPr="005764FC">
        <w:rPr>
          <w:rFonts w:eastAsiaTheme="minorHAnsi"/>
        </w:rPr>
        <w:t>And that a</w:t>
      </w:r>
      <w:r w:rsidR="0040688E" w:rsidRPr="005764FC">
        <w:rPr>
          <w:rFonts w:eastAsiaTheme="minorHAnsi"/>
        </w:rPr>
        <w:t>utomated driving functions will initially be supported by C-ITS and for level 3+ automated driving C-ITS will be a pre-condition.</w:t>
      </w:r>
      <w:r w:rsidR="006248FE" w:rsidRPr="005764FC">
        <w:rPr>
          <w:rFonts w:eastAsiaTheme="minorHAnsi"/>
        </w:rPr>
        <w:t>’</w:t>
      </w:r>
    </w:p>
    <w:p w14:paraId="7480DAEF" w14:textId="44ECF499" w:rsidR="00E877B0" w:rsidRPr="005764FC" w:rsidRDefault="00D87DF4" w:rsidP="00E877B0">
      <w:pPr>
        <w:pStyle w:val="Heading2"/>
      </w:pPr>
      <w:bookmarkStart w:id="67" w:name="_Ref90834843"/>
      <w:bookmarkStart w:id="68" w:name="_Toc94536675"/>
      <w:bookmarkStart w:id="69" w:name="_Toc94453137"/>
      <w:bookmarkStart w:id="70" w:name="_Toc97807784"/>
      <w:r w:rsidRPr="005764FC">
        <w:t>Land Transport</w:t>
      </w:r>
      <w:r w:rsidR="00E908BC" w:rsidRPr="005764FC">
        <w:t xml:space="preserve"> </w:t>
      </w:r>
      <w:r w:rsidR="00356229" w:rsidRPr="005764FC">
        <w:t xml:space="preserve">Issues </w:t>
      </w:r>
      <w:r w:rsidR="00E908BC" w:rsidRPr="005764FC">
        <w:t xml:space="preserve">for </w:t>
      </w:r>
      <w:r w:rsidR="00E877B0" w:rsidRPr="005764FC">
        <w:t>Australia</w:t>
      </w:r>
      <w:bookmarkEnd w:id="67"/>
      <w:bookmarkEnd w:id="68"/>
      <w:bookmarkEnd w:id="69"/>
      <w:bookmarkEnd w:id="70"/>
      <w:r w:rsidR="00E877B0" w:rsidRPr="005764FC">
        <w:t xml:space="preserve"> </w:t>
      </w:r>
    </w:p>
    <w:tbl>
      <w:tblPr>
        <w:tblStyle w:val="PullOutBoxTable"/>
        <w:tblpPr w:leftFromText="180" w:rightFromText="180" w:vertAnchor="text" w:tblpXSpec="right" w:tblpY="1"/>
        <w:tblOverlap w:val="never"/>
        <w:tblW w:w="4536" w:type="dxa"/>
        <w:jc w:val="right"/>
        <w:tblInd w:w="0" w:type="dxa"/>
        <w:tblLook w:val="0600" w:firstRow="0" w:lastRow="0" w:firstColumn="0" w:lastColumn="0" w:noHBand="1" w:noVBand="1"/>
      </w:tblPr>
      <w:tblGrid>
        <w:gridCol w:w="4536"/>
      </w:tblGrid>
      <w:tr w:rsidR="00E4021A" w:rsidRPr="005764FC" w14:paraId="0C1988C6" w14:textId="77777777" w:rsidTr="008864B6">
        <w:trPr>
          <w:trHeight w:val="4045"/>
          <w:jc w:val="right"/>
        </w:trPr>
        <w:tc>
          <w:tcPr>
            <w:tcW w:w="5000" w:type="pct"/>
            <w:shd w:val="clear" w:color="auto" w:fill="E4E8EC" w:themeFill="accent3" w:themeFillTint="1A"/>
          </w:tcPr>
          <w:p w14:paraId="2B82F85F" w14:textId="77777777" w:rsidR="00E4021A" w:rsidRPr="005764FC" w:rsidRDefault="00E4021A" w:rsidP="00E4021A">
            <w:pPr>
              <w:pStyle w:val="PullOutBoxHeading"/>
            </w:pPr>
            <w:r w:rsidRPr="005764FC">
              <w:t>Benefits</w:t>
            </w:r>
          </w:p>
          <w:p w14:paraId="5A7F146D" w14:textId="0F185FFF" w:rsidR="00E4021A" w:rsidRPr="005764FC" w:rsidRDefault="00E4021A" w:rsidP="00E4021A">
            <w:pPr>
              <w:pStyle w:val="PullOutBoxBodyText"/>
            </w:pPr>
            <w:r w:rsidRPr="005764FC">
              <w:t>Providing data direct to vehicles benefits</w:t>
            </w:r>
            <w:r w:rsidR="00476043">
              <w:t xml:space="preserve"> </w:t>
            </w:r>
            <w:sdt>
              <w:sdtPr>
                <w:id w:val="977181798"/>
                <w:citation/>
              </w:sdtPr>
              <w:sdtContent>
                <w:r w:rsidR="00476043">
                  <w:fldChar w:fldCharType="begin"/>
                </w:r>
                <w:r w:rsidR="00476043">
                  <w:instrText xml:space="preserve"> CITATION ITS20 \l 3081 </w:instrText>
                </w:r>
                <w:r w:rsidR="00476043">
                  <w:fldChar w:fldCharType="separate"/>
                </w:r>
                <w:r w:rsidR="001428F9">
                  <w:rPr>
                    <w:noProof/>
                  </w:rPr>
                  <w:t>(ITS Standards, 2020)</w:t>
                </w:r>
                <w:r w:rsidR="00476043">
                  <w:fldChar w:fldCharType="end"/>
                </w:r>
              </w:sdtContent>
            </w:sdt>
            <w:r w:rsidRPr="005764FC">
              <w:t>:</w:t>
            </w:r>
          </w:p>
          <w:p w14:paraId="583F711D" w14:textId="5A0675DE" w:rsidR="00E4021A" w:rsidRPr="005764FC" w:rsidRDefault="00CE04AB" w:rsidP="00E4021A">
            <w:pPr>
              <w:pStyle w:val="ListBullet"/>
            </w:pPr>
            <w:r w:rsidRPr="005764FC">
              <w:rPr>
                <w:b/>
              </w:rPr>
              <w:t>S</w:t>
            </w:r>
            <w:r w:rsidR="00E4021A" w:rsidRPr="005764FC">
              <w:rPr>
                <w:b/>
              </w:rPr>
              <w:t>afety</w:t>
            </w:r>
            <w:r w:rsidR="00E4021A" w:rsidRPr="005764FC">
              <w:t xml:space="preserve"> (e.g., crash avoidance, obstacle detection, emergency </w:t>
            </w:r>
            <w:r w:rsidR="00EE28DA" w:rsidRPr="005764FC">
              <w:t xml:space="preserve">calls, contextual speed limits, </w:t>
            </w:r>
            <w:r w:rsidR="00E4021A" w:rsidRPr="005764FC">
              <w:t>dangerous goods)</w:t>
            </w:r>
          </w:p>
          <w:p w14:paraId="14E3455F" w14:textId="59EAAEAA" w:rsidR="00E4021A" w:rsidRPr="005764FC" w:rsidRDefault="00CE04AB" w:rsidP="00E4021A">
            <w:pPr>
              <w:pStyle w:val="ListBullet"/>
            </w:pPr>
            <w:r w:rsidRPr="005764FC">
              <w:rPr>
                <w:b/>
              </w:rPr>
              <w:t>E</w:t>
            </w:r>
            <w:r w:rsidR="00E4021A" w:rsidRPr="005764FC">
              <w:rPr>
                <w:b/>
              </w:rPr>
              <w:t>fficiency</w:t>
            </w:r>
            <w:r w:rsidR="00E4021A" w:rsidRPr="005764FC">
              <w:t xml:space="preserve"> (e.g., navigation, green wave</w:t>
            </w:r>
            <w:r w:rsidR="00AB692B" w:rsidRPr="005764FC">
              <w:t xml:space="preserve"> – continuous flow through several intersections</w:t>
            </w:r>
            <w:r w:rsidR="00E4021A" w:rsidRPr="005764FC">
              <w:t>, priority, lane access control, car sharing)</w:t>
            </w:r>
          </w:p>
          <w:p w14:paraId="6DE90D33" w14:textId="2F348D9E" w:rsidR="00E4021A" w:rsidRPr="005764FC" w:rsidRDefault="00CE04AB" w:rsidP="00E4021A">
            <w:pPr>
              <w:pStyle w:val="ListBullet"/>
            </w:pPr>
            <w:r w:rsidRPr="005764FC">
              <w:rPr>
                <w:b/>
              </w:rPr>
              <w:t>S</w:t>
            </w:r>
            <w:r w:rsidR="00E4021A" w:rsidRPr="005764FC">
              <w:rPr>
                <w:b/>
              </w:rPr>
              <w:t>ustainability</w:t>
            </w:r>
            <w:r w:rsidR="00E4021A" w:rsidRPr="005764FC">
              <w:t xml:space="preserve"> (e.g., reduced </w:t>
            </w:r>
            <w:r w:rsidR="008673FF" w:rsidRPr="005764FC">
              <w:t>vehicle po</w:t>
            </w:r>
            <w:r w:rsidR="00405BFA" w:rsidRPr="005764FC">
              <w:t>llution</w:t>
            </w:r>
            <w:r w:rsidR="00E4021A" w:rsidRPr="005764FC">
              <w:t>)</w:t>
            </w:r>
          </w:p>
          <w:p w14:paraId="20AC4681" w14:textId="459C0FC4" w:rsidR="00E4021A" w:rsidRPr="005764FC" w:rsidRDefault="00CE04AB" w:rsidP="00E4021A">
            <w:pPr>
              <w:pStyle w:val="ListBullet"/>
            </w:pPr>
            <w:r w:rsidRPr="005764FC">
              <w:rPr>
                <w:b/>
              </w:rPr>
              <w:t>J</w:t>
            </w:r>
            <w:r w:rsidR="006B1B66" w:rsidRPr="005764FC">
              <w:rPr>
                <w:b/>
              </w:rPr>
              <w:t>ourn</w:t>
            </w:r>
            <w:r w:rsidR="001C156F" w:rsidRPr="005764FC">
              <w:rPr>
                <w:b/>
              </w:rPr>
              <w:t xml:space="preserve">ey </w:t>
            </w:r>
            <w:r w:rsidR="00E4021A" w:rsidRPr="005764FC">
              <w:rPr>
                <w:b/>
              </w:rPr>
              <w:t>comfort</w:t>
            </w:r>
            <w:r w:rsidR="00E4021A" w:rsidRPr="005764FC">
              <w:t xml:space="preserve"> (e.g., </w:t>
            </w:r>
            <w:r w:rsidR="00B35218" w:rsidRPr="005764FC">
              <w:t xml:space="preserve">nearby </w:t>
            </w:r>
            <w:r w:rsidR="00E4021A" w:rsidRPr="005764FC">
              <w:t>parking</w:t>
            </w:r>
            <w:r w:rsidR="00B35218" w:rsidRPr="005764FC">
              <w:t xml:space="preserve"> availability</w:t>
            </w:r>
            <w:r w:rsidR="00E4021A" w:rsidRPr="005764FC">
              <w:t>, electric vehicle charging, and infotainment)</w:t>
            </w:r>
          </w:p>
        </w:tc>
      </w:tr>
    </w:tbl>
    <w:p w14:paraId="1CB72474" w14:textId="0B953607" w:rsidR="00EB49DF" w:rsidRPr="005764FC" w:rsidRDefault="00EB49DF" w:rsidP="008D71A6">
      <w:pPr>
        <w:pStyle w:val="BodyText"/>
        <w:rPr>
          <w:lang w:eastAsia="fr-CA"/>
        </w:rPr>
      </w:pPr>
      <w:r w:rsidRPr="005764FC">
        <w:rPr>
          <w:lang w:eastAsia="fr-CA"/>
        </w:rPr>
        <w:t xml:space="preserve">Australia has </w:t>
      </w:r>
      <w:r w:rsidR="00F04B58" w:rsidRPr="005764FC">
        <w:rPr>
          <w:lang w:eastAsia="fr-CA"/>
        </w:rPr>
        <w:t xml:space="preserve">ongoing </w:t>
      </w:r>
      <w:r w:rsidR="006E1122" w:rsidRPr="005764FC">
        <w:rPr>
          <w:lang w:eastAsia="fr-CA"/>
        </w:rPr>
        <w:t xml:space="preserve">road network </w:t>
      </w:r>
      <w:r w:rsidR="00F04B58" w:rsidRPr="005764FC">
        <w:rPr>
          <w:lang w:eastAsia="fr-CA"/>
        </w:rPr>
        <w:t xml:space="preserve">challenges that </w:t>
      </w:r>
      <w:r w:rsidR="004256CD" w:rsidRPr="005764FC">
        <w:rPr>
          <w:lang w:eastAsia="fr-CA"/>
        </w:rPr>
        <w:t xml:space="preserve">emerging technologies </w:t>
      </w:r>
      <w:r w:rsidR="00002F53" w:rsidRPr="005764FC">
        <w:rPr>
          <w:lang w:eastAsia="fr-CA"/>
        </w:rPr>
        <w:t xml:space="preserve">can </w:t>
      </w:r>
      <w:r w:rsidR="006E1122" w:rsidRPr="005764FC">
        <w:rPr>
          <w:lang w:eastAsia="fr-CA"/>
        </w:rPr>
        <w:t xml:space="preserve">help </w:t>
      </w:r>
      <w:r w:rsidR="00DA5F5A" w:rsidRPr="005764FC">
        <w:rPr>
          <w:lang w:eastAsia="fr-CA"/>
        </w:rPr>
        <w:t>address</w:t>
      </w:r>
      <w:r w:rsidR="004256CD" w:rsidRPr="005764FC">
        <w:rPr>
          <w:lang w:eastAsia="fr-CA"/>
        </w:rPr>
        <w:t>.</w:t>
      </w:r>
      <w:r w:rsidR="00DA5F5A" w:rsidRPr="005764FC">
        <w:rPr>
          <w:lang w:eastAsia="fr-CA"/>
        </w:rPr>
        <w:t xml:space="preserve"> </w:t>
      </w:r>
      <w:r w:rsidR="006E1122" w:rsidRPr="005764FC">
        <w:rPr>
          <w:lang w:eastAsia="fr-CA"/>
        </w:rPr>
        <w:t>Many</w:t>
      </w:r>
      <w:r w:rsidR="00BC0FD0" w:rsidRPr="005764FC">
        <w:rPr>
          <w:lang w:eastAsia="fr-CA"/>
        </w:rPr>
        <w:t xml:space="preserve"> challenges </w:t>
      </w:r>
      <w:r w:rsidR="00F04B58" w:rsidRPr="005764FC">
        <w:rPr>
          <w:lang w:eastAsia="fr-CA"/>
        </w:rPr>
        <w:t xml:space="preserve">align </w:t>
      </w:r>
      <w:r w:rsidR="003B1F2F" w:rsidRPr="005764FC">
        <w:rPr>
          <w:lang w:eastAsia="fr-CA"/>
        </w:rPr>
        <w:t>with</w:t>
      </w:r>
      <w:r w:rsidR="00F04B58" w:rsidRPr="005764FC">
        <w:rPr>
          <w:lang w:eastAsia="fr-CA"/>
        </w:rPr>
        <w:t xml:space="preserve"> the </w:t>
      </w:r>
      <w:r w:rsidR="00D54ED0" w:rsidRPr="005764FC">
        <w:rPr>
          <w:lang w:eastAsia="fr-CA"/>
        </w:rPr>
        <w:t>safety</w:t>
      </w:r>
      <w:r w:rsidR="00B252CE" w:rsidRPr="005764FC">
        <w:rPr>
          <w:lang w:eastAsia="fr-CA"/>
        </w:rPr>
        <w:t>,</w:t>
      </w:r>
      <w:r w:rsidR="00D54ED0" w:rsidRPr="005764FC">
        <w:rPr>
          <w:lang w:eastAsia="fr-CA"/>
        </w:rPr>
        <w:t xml:space="preserve"> e</w:t>
      </w:r>
      <w:r w:rsidR="00B252CE" w:rsidRPr="005764FC">
        <w:rPr>
          <w:lang w:eastAsia="fr-CA"/>
        </w:rPr>
        <w:t>f</w:t>
      </w:r>
      <w:r w:rsidR="00D54ED0" w:rsidRPr="005764FC">
        <w:rPr>
          <w:lang w:eastAsia="fr-CA"/>
        </w:rPr>
        <w:t>ficiency, sustainability</w:t>
      </w:r>
      <w:r w:rsidR="00CD7B10" w:rsidRPr="005764FC">
        <w:rPr>
          <w:lang w:eastAsia="fr-CA"/>
        </w:rPr>
        <w:t>,</w:t>
      </w:r>
      <w:r w:rsidR="00D54ED0" w:rsidRPr="005764FC">
        <w:rPr>
          <w:lang w:eastAsia="fr-CA"/>
        </w:rPr>
        <w:t xml:space="preserve"> and comfort </w:t>
      </w:r>
      <w:r w:rsidR="00F04B58" w:rsidRPr="005764FC">
        <w:rPr>
          <w:lang w:eastAsia="fr-CA"/>
        </w:rPr>
        <w:t xml:space="preserve">benefits </w:t>
      </w:r>
      <w:r w:rsidR="004256CD" w:rsidRPr="005764FC">
        <w:rPr>
          <w:lang w:eastAsia="fr-CA"/>
        </w:rPr>
        <w:t>that C</w:t>
      </w:r>
      <w:r w:rsidR="004256CD" w:rsidRPr="005764FC">
        <w:rPr>
          <w:rFonts w:cstheme="minorHAnsi"/>
          <w:lang w:eastAsia="fr-CA"/>
        </w:rPr>
        <w:t>‑</w:t>
      </w:r>
      <w:r w:rsidR="004256CD" w:rsidRPr="005764FC">
        <w:rPr>
          <w:lang w:eastAsia="fr-CA"/>
        </w:rPr>
        <w:t xml:space="preserve">ITS </w:t>
      </w:r>
      <w:r w:rsidR="00CD7B10" w:rsidRPr="005764FC">
        <w:rPr>
          <w:lang w:eastAsia="fr-CA"/>
        </w:rPr>
        <w:t xml:space="preserve">can </w:t>
      </w:r>
      <w:r w:rsidR="00F04B58" w:rsidRPr="005764FC">
        <w:rPr>
          <w:lang w:eastAsia="fr-CA"/>
        </w:rPr>
        <w:t xml:space="preserve">provide. </w:t>
      </w:r>
      <w:r w:rsidR="00B66CAA" w:rsidRPr="005764FC">
        <w:rPr>
          <w:lang w:eastAsia="fr-CA"/>
        </w:rPr>
        <w:t xml:space="preserve">Safety and </w:t>
      </w:r>
      <w:r w:rsidR="00EF5A6C" w:rsidRPr="005764FC">
        <w:rPr>
          <w:lang w:eastAsia="fr-CA"/>
        </w:rPr>
        <w:t xml:space="preserve">traffic </w:t>
      </w:r>
      <w:r w:rsidR="00B66CAA" w:rsidRPr="005764FC">
        <w:rPr>
          <w:lang w:eastAsia="fr-CA"/>
        </w:rPr>
        <w:t>efficiency are the priority related issues</w:t>
      </w:r>
      <w:r w:rsidR="00CD7B10" w:rsidRPr="005764FC">
        <w:rPr>
          <w:lang w:eastAsia="fr-CA"/>
        </w:rPr>
        <w:t xml:space="preserve">. </w:t>
      </w:r>
      <w:r w:rsidR="003329B6" w:rsidRPr="005764FC">
        <w:rPr>
          <w:lang w:eastAsia="fr-CA"/>
        </w:rPr>
        <w:t xml:space="preserve">But </w:t>
      </w:r>
      <w:r w:rsidR="00557BA9" w:rsidRPr="005764FC">
        <w:rPr>
          <w:lang w:eastAsia="fr-CA"/>
        </w:rPr>
        <w:t xml:space="preserve">benefits </w:t>
      </w:r>
      <w:r w:rsidR="00C05BFE" w:rsidRPr="005764FC">
        <w:rPr>
          <w:lang w:eastAsia="fr-CA"/>
        </w:rPr>
        <w:t>likely</w:t>
      </w:r>
      <w:r w:rsidR="00C64516" w:rsidRPr="005764FC">
        <w:rPr>
          <w:lang w:eastAsia="fr-CA"/>
        </w:rPr>
        <w:t xml:space="preserve"> </w:t>
      </w:r>
      <w:r w:rsidR="006B1B66" w:rsidRPr="005764FC">
        <w:rPr>
          <w:lang w:eastAsia="fr-CA"/>
        </w:rPr>
        <w:t>also</w:t>
      </w:r>
      <w:r w:rsidR="003B1F2F" w:rsidRPr="005764FC">
        <w:rPr>
          <w:lang w:eastAsia="fr-CA"/>
        </w:rPr>
        <w:t xml:space="preserve"> </w:t>
      </w:r>
      <w:r w:rsidR="00C64516" w:rsidRPr="005764FC">
        <w:rPr>
          <w:lang w:eastAsia="fr-CA"/>
        </w:rPr>
        <w:t>flow</w:t>
      </w:r>
      <w:r w:rsidR="006B1B66" w:rsidRPr="005764FC">
        <w:rPr>
          <w:lang w:eastAsia="fr-CA"/>
        </w:rPr>
        <w:t xml:space="preserve"> </w:t>
      </w:r>
      <w:r w:rsidR="009D2A28" w:rsidRPr="005764FC">
        <w:rPr>
          <w:lang w:eastAsia="fr-CA"/>
        </w:rPr>
        <w:t>for</w:t>
      </w:r>
      <w:r w:rsidR="00557BA9" w:rsidRPr="005764FC">
        <w:rPr>
          <w:lang w:eastAsia="fr-CA"/>
        </w:rPr>
        <w:t xml:space="preserve"> </w:t>
      </w:r>
      <w:r w:rsidR="00B66CAA" w:rsidRPr="005764FC">
        <w:rPr>
          <w:lang w:eastAsia="fr-CA"/>
        </w:rPr>
        <w:t xml:space="preserve">sustainability </w:t>
      </w:r>
      <w:r w:rsidR="003D40C7" w:rsidRPr="005764FC">
        <w:rPr>
          <w:lang w:eastAsia="fr-CA"/>
        </w:rPr>
        <w:t xml:space="preserve">targets </w:t>
      </w:r>
      <w:r w:rsidR="003329B6" w:rsidRPr="005764FC">
        <w:rPr>
          <w:lang w:eastAsia="fr-CA"/>
        </w:rPr>
        <w:t xml:space="preserve">to </w:t>
      </w:r>
      <w:r w:rsidR="00B66CAA" w:rsidRPr="005764FC">
        <w:rPr>
          <w:lang w:eastAsia="fr-CA"/>
        </w:rPr>
        <w:t>meet ‘Towards Net Zero’</w:t>
      </w:r>
      <w:r w:rsidR="00D97DE7" w:rsidRPr="005764FC">
        <w:rPr>
          <w:lang w:eastAsia="fr-CA"/>
        </w:rPr>
        <w:t>,</w:t>
      </w:r>
      <w:r w:rsidR="005F6C3C" w:rsidRPr="005764FC">
        <w:rPr>
          <w:lang w:eastAsia="fr-CA"/>
        </w:rPr>
        <w:t xml:space="preserve"> </w:t>
      </w:r>
      <w:r w:rsidR="00A0239F" w:rsidRPr="005764FC">
        <w:rPr>
          <w:lang w:eastAsia="fr-CA"/>
        </w:rPr>
        <w:t xml:space="preserve">while </w:t>
      </w:r>
      <w:r w:rsidR="00CD7B10" w:rsidRPr="005764FC">
        <w:rPr>
          <w:lang w:eastAsia="fr-CA"/>
        </w:rPr>
        <w:t xml:space="preserve">road users’ </w:t>
      </w:r>
      <w:r w:rsidR="00D97DE7" w:rsidRPr="005764FC">
        <w:rPr>
          <w:lang w:eastAsia="fr-CA"/>
        </w:rPr>
        <w:t>journey experience</w:t>
      </w:r>
      <w:r w:rsidR="006E1122" w:rsidRPr="005764FC">
        <w:rPr>
          <w:lang w:eastAsia="fr-CA"/>
        </w:rPr>
        <w:t>s</w:t>
      </w:r>
      <w:r w:rsidR="00D97DE7" w:rsidRPr="005764FC">
        <w:rPr>
          <w:lang w:eastAsia="fr-CA"/>
        </w:rPr>
        <w:t xml:space="preserve"> </w:t>
      </w:r>
      <w:r w:rsidR="006E1122" w:rsidRPr="005764FC">
        <w:rPr>
          <w:lang w:eastAsia="fr-CA"/>
        </w:rPr>
        <w:t xml:space="preserve">and </w:t>
      </w:r>
      <w:r w:rsidR="005F6C3C" w:rsidRPr="005764FC">
        <w:rPr>
          <w:lang w:eastAsia="fr-CA"/>
        </w:rPr>
        <w:t>c</w:t>
      </w:r>
      <w:r w:rsidR="00B66CAA" w:rsidRPr="005764FC">
        <w:rPr>
          <w:lang w:eastAsia="fr-CA"/>
        </w:rPr>
        <w:t xml:space="preserve">omfort </w:t>
      </w:r>
      <w:r w:rsidR="00D97DE7" w:rsidRPr="005764FC">
        <w:rPr>
          <w:lang w:eastAsia="fr-CA"/>
        </w:rPr>
        <w:t>can</w:t>
      </w:r>
      <w:r w:rsidR="00B66CAA" w:rsidRPr="005764FC" w:rsidDel="00543F8F">
        <w:rPr>
          <w:lang w:eastAsia="fr-CA"/>
        </w:rPr>
        <w:t xml:space="preserve"> </w:t>
      </w:r>
      <w:r w:rsidR="00B66CAA" w:rsidRPr="005764FC">
        <w:rPr>
          <w:lang w:eastAsia="fr-CA"/>
        </w:rPr>
        <w:t>direct</w:t>
      </w:r>
      <w:r w:rsidR="00543F8F" w:rsidRPr="005764FC">
        <w:rPr>
          <w:lang w:eastAsia="fr-CA"/>
        </w:rPr>
        <w:t>ly</w:t>
      </w:r>
      <w:r w:rsidR="00B66CAA" w:rsidRPr="005764FC">
        <w:rPr>
          <w:lang w:eastAsia="fr-CA"/>
        </w:rPr>
        <w:t xml:space="preserve"> </w:t>
      </w:r>
      <w:r w:rsidR="00543F8F" w:rsidRPr="005764FC">
        <w:rPr>
          <w:lang w:eastAsia="fr-CA"/>
        </w:rPr>
        <w:t>benefit</w:t>
      </w:r>
      <w:r w:rsidR="00A02EFA" w:rsidRPr="005764FC">
        <w:rPr>
          <w:lang w:eastAsia="fr-CA"/>
        </w:rPr>
        <w:t xml:space="preserve">, </w:t>
      </w:r>
      <w:r w:rsidR="0052130F" w:rsidRPr="005764FC">
        <w:rPr>
          <w:lang w:eastAsia="fr-CA"/>
        </w:rPr>
        <w:t>encourag</w:t>
      </w:r>
      <w:r w:rsidR="00A02EFA" w:rsidRPr="005764FC">
        <w:rPr>
          <w:lang w:eastAsia="fr-CA"/>
        </w:rPr>
        <w:t>ing</w:t>
      </w:r>
      <w:r w:rsidR="0052130F" w:rsidRPr="005764FC">
        <w:rPr>
          <w:lang w:eastAsia="fr-CA"/>
        </w:rPr>
        <w:t xml:space="preserve"> </w:t>
      </w:r>
      <w:r w:rsidR="00C41E24" w:rsidRPr="005764FC">
        <w:rPr>
          <w:lang w:eastAsia="fr-CA"/>
        </w:rPr>
        <w:t>technology uptake</w:t>
      </w:r>
      <w:r w:rsidR="00B66CAA" w:rsidRPr="005764FC">
        <w:rPr>
          <w:lang w:eastAsia="fr-CA"/>
        </w:rPr>
        <w:t>.</w:t>
      </w:r>
    </w:p>
    <w:p w14:paraId="522C0A7E" w14:textId="67EFD867" w:rsidR="00B252CE" w:rsidRPr="005764FC" w:rsidRDefault="003A3E1F" w:rsidP="008D71A6">
      <w:pPr>
        <w:pStyle w:val="BodyText"/>
        <w:rPr>
          <w:lang w:eastAsia="fr-CA"/>
        </w:rPr>
      </w:pPr>
      <w:r w:rsidRPr="005764FC">
        <w:rPr>
          <w:lang w:eastAsia="fr-CA"/>
        </w:rPr>
        <w:t>T</w:t>
      </w:r>
      <w:r w:rsidR="00F77ED1" w:rsidRPr="005764FC">
        <w:rPr>
          <w:lang w:eastAsia="fr-CA"/>
        </w:rPr>
        <w:t xml:space="preserve">he </w:t>
      </w:r>
      <w:r w:rsidR="00430F5F" w:rsidRPr="005764FC">
        <w:rPr>
          <w:lang w:eastAsia="fr-CA"/>
        </w:rPr>
        <w:t xml:space="preserve">number of fatalities and injuries is the </w:t>
      </w:r>
      <w:r w:rsidR="00F77ED1" w:rsidRPr="005764FC">
        <w:rPr>
          <w:lang w:eastAsia="fr-CA"/>
        </w:rPr>
        <w:t xml:space="preserve">primary </w:t>
      </w:r>
      <w:r w:rsidRPr="005764FC">
        <w:rPr>
          <w:lang w:eastAsia="fr-CA"/>
        </w:rPr>
        <w:t xml:space="preserve">safety </w:t>
      </w:r>
      <w:r w:rsidR="00315015" w:rsidRPr="005764FC">
        <w:rPr>
          <w:lang w:eastAsia="fr-CA"/>
        </w:rPr>
        <w:t>measure</w:t>
      </w:r>
      <w:r w:rsidR="00430F5F" w:rsidRPr="005764FC">
        <w:rPr>
          <w:lang w:eastAsia="fr-CA"/>
        </w:rPr>
        <w:t xml:space="preserve"> that</w:t>
      </w:r>
      <w:r w:rsidR="005626BF" w:rsidRPr="005764FC">
        <w:rPr>
          <w:lang w:eastAsia="fr-CA"/>
        </w:rPr>
        <w:t xml:space="preserve"> </w:t>
      </w:r>
      <w:r w:rsidR="00084409" w:rsidRPr="005764FC">
        <w:rPr>
          <w:lang w:eastAsia="fr-CA"/>
        </w:rPr>
        <w:t>target</w:t>
      </w:r>
      <w:r w:rsidR="00430F5F" w:rsidRPr="005764FC">
        <w:rPr>
          <w:lang w:eastAsia="fr-CA"/>
        </w:rPr>
        <w:t>s</w:t>
      </w:r>
      <w:r w:rsidR="00084409" w:rsidRPr="005764FC">
        <w:rPr>
          <w:lang w:eastAsia="fr-CA"/>
        </w:rPr>
        <w:t xml:space="preserve"> </w:t>
      </w:r>
      <w:r w:rsidR="007A4C02" w:rsidRPr="005764FC">
        <w:rPr>
          <w:lang w:eastAsia="fr-CA"/>
        </w:rPr>
        <w:t xml:space="preserve">‘Vision Zero’ </w:t>
      </w:r>
      <w:r w:rsidR="00430F5F" w:rsidRPr="005764FC">
        <w:rPr>
          <w:lang w:eastAsia="fr-CA"/>
        </w:rPr>
        <w:t>(</w:t>
      </w:r>
      <w:r w:rsidR="008E13D0" w:rsidRPr="005764FC">
        <w:rPr>
          <w:lang w:eastAsia="fr-CA"/>
        </w:rPr>
        <w:t xml:space="preserve">no </w:t>
      </w:r>
      <w:r w:rsidR="00FE60E2" w:rsidRPr="005764FC">
        <w:rPr>
          <w:lang w:eastAsia="fr-CA"/>
        </w:rPr>
        <w:t>fatalities</w:t>
      </w:r>
      <w:r w:rsidR="00DE6350" w:rsidRPr="005764FC">
        <w:rPr>
          <w:lang w:eastAsia="fr-CA"/>
        </w:rPr>
        <w:t xml:space="preserve"> or serious injuries</w:t>
      </w:r>
      <w:r w:rsidR="00430F5F" w:rsidRPr="005764FC">
        <w:rPr>
          <w:lang w:eastAsia="fr-CA"/>
        </w:rPr>
        <w:t>)</w:t>
      </w:r>
      <w:r w:rsidR="008E13D0" w:rsidRPr="005764FC">
        <w:rPr>
          <w:lang w:eastAsia="fr-CA"/>
        </w:rPr>
        <w:t xml:space="preserve"> </w:t>
      </w:r>
      <w:r w:rsidR="00D978B5" w:rsidRPr="005764FC">
        <w:rPr>
          <w:lang w:eastAsia="fr-CA"/>
        </w:rPr>
        <w:t>by 2050</w:t>
      </w:r>
      <w:sdt>
        <w:sdtPr>
          <w:rPr>
            <w:lang w:eastAsia="fr-CA"/>
          </w:rPr>
          <w:id w:val="-625477840"/>
          <w:citation/>
        </w:sdtPr>
        <w:sdtContent>
          <w:r w:rsidR="00463FC8">
            <w:rPr>
              <w:lang w:eastAsia="fr-CA"/>
            </w:rPr>
            <w:fldChar w:fldCharType="begin"/>
          </w:r>
          <w:r w:rsidR="00463FC8">
            <w:rPr>
              <w:lang w:eastAsia="fr-CA"/>
            </w:rPr>
            <w:instrText xml:space="preserve"> CITATION Inf21 \l 3081 </w:instrText>
          </w:r>
          <w:r w:rsidR="00463FC8">
            <w:rPr>
              <w:lang w:eastAsia="fr-CA"/>
            </w:rPr>
            <w:fldChar w:fldCharType="separate"/>
          </w:r>
          <w:r w:rsidR="001428F9">
            <w:rPr>
              <w:noProof/>
              <w:lang w:eastAsia="fr-CA"/>
            </w:rPr>
            <w:t xml:space="preserve"> (Infrastructure and Transport Ministers, 2021)</w:t>
          </w:r>
          <w:r w:rsidR="00463FC8">
            <w:rPr>
              <w:lang w:eastAsia="fr-CA"/>
            </w:rPr>
            <w:fldChar w:fldCharType="end"/>
          </w:r>
        </w:sdtContent>
      </w:sdt>
      <w:r w:rsidR="00D978B5" w:rsidRPr="005764FC">
        <w:rPr>
          <w:lang w:eastAsia="fr-CA"/>
        </w:rPr>
        <w:t xml:space="preserve">. </w:t>
      </w:r>
      <w:r w:rsidR="00F46FA6" w:rsidRPr="005764FC">
        <w:rPr>
          <w:lang w:eastAsia="fr-CA"/>
        </w:rPr>
        <w:t>F</w:t>
      </w:r>
      <w:r w:rsidR="00942ABB" w:rsidRPr="005764FC">
        <w:rPr>
          <w:lang w:eastAsia="fr-CA"/>
        </w:rPr>
        <w:t xml:space="preserve">or </w:t>
      </w:r>
      <w:r w:rsidR="007674C1" w:rsidRPr="005764FC">
        <w:rPr>
          <w:lang w:eastAsia="fr-CA"/>
        </w:rPr>
        <w:t>traffic</w:t>
      </w:r>
      <w:r w:rsidR="00B50DAB" w:rsidRPr="005764FC">
        <w:rPr>
          <w:lang w:eastAsia="fr-CA"/>
        </w:rPr>
        <w:t xml:space="preserve"> eff</w:t>
      </w:r>
      <w:r w:rsidR="00E74766" w:rsidRPr="005764FC">
        <w:rPr>
          <w:lang w:eastAsia="fr-CA"/>
        </w:rPr>
        <w:t>iciency</w:t>
      </w:r>
      <w:r w:rsidR="00F46FA6" w:rsidRPr="005764FC">
        <w:rPr>
          <w:lang w:eastAsia="fr-CA"/>
        </w:rPr>
        <w:t>,</w:t>
      </w:r>
      <w:r w:rsidR="00E74766" w:rsidRPr="005764FC">
        <w:rPr>
          <w:lang w:eastAsia="fr-CA"/>
        </w:rPr>
        <w:t xml:space="preserve"> </w:t>
      </w:r>
      <w:r w:rsidR="00430F5F" w:rsidRPr="005764FC">
        <w:rPr>
          <w:lang w:eastAsia="fr-CA"/>
        </w:rPr>
        <w:t xml:space="preserve">vehicle-hours travelled is </w:t>
      </w:r>
      <w:r w:rsidR="004F45A6" w:rsidRPr="005764FC">
        <w:rPr>
          <w:lang w:eastAsia="fr-CA"/>
        </w:rPr>
        <w:t>the primary measure</w:t>
      </w:r>
      <w:r w:rsidR="003B1F2F" w:rsidRPr="005764FC">
        <w:rPr>
          <w:lang w:eastAsia="fr-CA"/>
        </w:rPr>
        <w:t>.</w:t>
      </w:r>
      <w:r w:rsidR="00DF709A" w:rsidRPr="005764FC">
        <w:rPr>
          <w:lang w:eastAsia="fr-CA"/>
        </w:rPr>
        <w:t xml:space="preserve"> </w:t>
      </w:r>
      <w:r w:rsidR="00FD368C" w:rsidRPr="005764FC">
        <w:rPr>
          <w:lang w:eastAsia="fr-CA"/>
        </w:rPr>
        <w:t>S</w:t>
      </w:r>
      <w:r w:rsidR="00A86387" w:rsidRPr="005764FC">
        <w:rPr>
          <w:lang w:eastAsia="fr-CA"/>
        </w:rPr>
        <w:t xml:space="preserve">ocial and economic costs of </w:t>
      </w:r>
      <w:r w:rsidR="0033688E" w:rsidRPr="005764FC">
        <w:rPr>
          <w:lang w:eastAsia="fr-CA"/>
        </w:rPr>
        <w:t xml:space="preserve">congestion </w:t>
      </w:r>
      <w:r w:rsidR="00F46FA6" w:rsidRPr="005764FC">
        <w:rPr>
          <w:lang w:eastAsia="fr-CA"/>
        </w:rPr>
        <w:t xml:space="preserve">by 2030 </w:t>
      </w:r>
      <w:r w:rsidR="00531A3D" w:rsidRPr="005764FC">
        <w:rPr>
          <w:lang w:eastAsia="fr-CA"/>
        </w:rPr>
        <w:t>wi</w:t>
      </w:r>
      <w:r w:rsidR="00A02EFA" w:rsidRPr="005764FC">
        <w:rPr>
          <w:lang w:eastAsia="fr-CA"/>
        </w:rPr>
        <w:t xml:space="preserve">ll </w:t>
      </w:r>
      <w:r w:rsidR="00C0708C" w:rsidRPr="005764FC">
        <w:rPr>
          <w:lang w:eastAsia="fr-CA"/>
        </w:rPr>
        <w:t xml:space="preserve">likely </w:t>
      </w:r>
      <w:r w:rsidR="00531A3D" w:rsidRPr="005764FC">
        <w:rPr>
          <w:lang w:eastAsia="fr-CA"/>
        </w:rPr>
        <w:t>reach</w:t>
      </w:r>
      <w:r w:rsidR="00B71AFD" w:rsidRPr="005764FC">
        <w:rPr>
          <w:lang w:eastAsia="fr-CA"/>
        </w:rPr>
        <w:t xml:space="preserve"> $30 billion </w:t>
      </w:r>
      <w:r w:rsidR="006413C5" w:rsidRPr="005764FC">
        <w:rPr>
          <w:lang w:eastAsia="fr-CA"/>
        </w:rPr>
        <w:t>a year</w:t>
      </w:r>
      <w:r w:rsidR="00FD368C" w:rsidRPr="005764FC">
        <w:rPr>
          <w:lang w:eastAsia="fr-CA"/>
        </w:rPr>
        <w:t xml:space="preserve"> </w:t>
      </w:r>
      <w:r w:rsidR="00F42B24" w:rsidRPr="005764FC">
        <w:rPr>
          <w:lang w:eastAsia="fr-CA"/>
        </w:rPr>
        <w:t xml:space="preserve">based </w:t>
      </w:r>
      <w:r w:rsidR="00FD368C" w:rsidRPr="005764FC">
        <w:rPr>
          <w:lang w:eastAsia="fr-CA"/>
        </w:rPr>
        <w:t>on current predictions</w:t>
      </w:r>
      <w:r w:rsidR="008276A8" w:rsidRPr="005764FC">
        <w:rPr>
          <w:lang w:eastAsia="fr-CA"/>
        </w:rPr>
        <w:t xml:space="preserve"> of trip durations and lower average speeds</w:t>
      </w:r>
      <w:r w:rsidR="003A1D1C">
        <w:rPr>
          <w:lang w:eastAsia="fr-CA"/>
        </w:rPr>
        <w:t xml:space="preserve"> </w:t>
      </w:r>
      <w:sdt>
        <w:sdtPr>
          <w:id w:val="1394700677"/>
          <w:citation/>
        </w:sdtPr>
        <w:sdtContent>
          <w:r w:rsidR="003A1D1C">
            <w:fldChar w:fldCharType="begin"/>
          </w:r>
          <w:r w:rsidR="003A1D1C">
            <w:instrText xml:space="preserve"> CITATION BIT15 \l 3081 </w:instrText>
          </w:r>
          <w:r w:rsidR="003A1D1C">
            <w:fldChar w:fldCharType="separate"/>
          </w:r>
          <w:r w:rsidR="001428F9">
            <w:rPr>
              <w:noProof/>
            </w:rPr>
            <w:t>(BITRE, 2015)</w:t>
          </w:r>
          <w:r w:rsidR="003A1D1C">
            <w:fldChar w:fldCharType="end"/>
          </w:r>
        </w:sdtContent>
      </w:sdt>
      <w:r w:rsidR="00430F5F" w:rsidRPr="005764FC">
        <w:rPr>
          <w:lang w:eastAsia="fr-CA"/>
        </w:rPr>
        <w:t>.</w:t>
      </w:r>
    </w:p>
    <w:p w14:paraId="4E116ED2" w14:textId="0EC8E7EE" w:rsidR="006212F2" w:rsidRPr="005764FC" w:rsidRDefault="006212F2" w:rsidP="008D71A6">
      <w:pPr>
        <w:pStyle w:val="Heading3"/>
        <w:rPr>
          <w:lang w:eastAsia="fr-CA"/>
        </w:rPr>
      </w:pPr>
      <w:bookmarkStart w:id="71" w:name="_Toc94536676"/>
      <w:r w:rsidRPr="005764FC">
        <w:rPr>
          <w:lang w:eastAsia="fr-CA"/>
        </w:rPr>
        <w:t>Safety</w:t>
      </w:r>
      <w:bookmarkEnd w:id="71"/>
    </w:p>
    <w:p w14:paraId="3F2162BE" w14:textId="66305176" w:rsidR="003E3A85" w:rsidRPr="005764FC" w:rsidRDefault="002E431D" w:rsidP="00E877B0">
      <w:pPr>
        <w:pStyle w:val="BodyText"/>
        <w:rPr>
          <w:lang w:eastAsia="fr-CA"/>
        </w:rPr>
      </w:pPr>
      <w:r w:rsidRPr="005764FC">
        <w:rPr>
          <w:lang w:eastAsia="fr-CA"/>
        </w:rPr>
        <w:t>While t</w:t>
      </w:r>
      <w:r w:rsidR="005452B6" w:rsidRPr="005764FC">
        <w:rPr>
          <w:lang w:eastAsia="fr-CA"/>
        </w:rPr>
        <w:t>he n</w:t>
      </w:r>
      <w:r w:rsidR="00822667" w:rsidRPr="005764FC">
        <w:rPr>
          <w:lang w:eastAsia="fr-CA"/>
        </w:rPr>
        <w:t>umber of d</w:t>
      </w:r>
      <w:r w:rsidR="00A5561C" w:rsidRPr="005764FC">
        <w:rPr>
          <w:lang w:eastAsia="fr-CA"/>
        </w:rPr>
        <w:t>eaths</w:t>
      </w:r>
      <w:r w:rsidR="00822667" w:rsidRPr="005764FC">
        <w:rPr>
          <w:lang w:eastAsia="fr-CA"/>
        </w:rPr>
        <w:t xml:space="preserve"> on Australian roads </w:t>
      </w:r>
      <w:r w:rsidR="00284399" w:rsidRPr="005764FC">
        <w:rPr>
          <w:lang w:eastAsia="fr-CA"/>
        </w:rPr>
        <w:t xml:space="preserve">has decreased </w:t>
      </w:r>
      <w:r w:rsidR="00370429" w:rsidRPr="005764FC">
        <w:rPr>
          <w:lang w:eastAsia="fr-CA"/>
        </w:rPr>
        <w:t xml:space="preserve">over the last 10 years </w:t>
      </w:r>
      <w:r w:rsidR="00284399" w:rsidRPr="005764FC">
        <w:rPr>
          <w:lang w:eastAsia="fr-CA"/>
        </w:rPr>
        <w:t xml:space="preserve">by </w:t>
      </w:r>
      <w:r w:rsidR="00595A10" w:rsidRPr="005764FC">
        <w:rPr>
          <w:lang w:eastAsia="fr-CA"/>
        </w:rPr>
        <w:t>1</w:t>
      </w:r>
      <w:r w:rsidR="00533417" w:rsidRPr="005764FC">
        <w:rPr>
          <w:lang w:eastAsia="fr-CA"/>
        </w:rPr>
        <w:t>.</w:t>
      </w:r>
      <w:r w:rsidR="00595A10" w:rsidRPr="005764FC">
        <w:rPr>
          <w:lang w:eastAsia="fr-CA"/>
        </w:rPr>
        <w:t>2</w:t>
      </w:r>
      <w:r w:rsidR="00533417" w:rsidRPr="005764FC">
        <w:rPr>
          <w:lang w:eastAsia="fr-CA"/>
        </w:rPr>
        <w:t xml:space="preserve"> per</w:t>
      </w:r>
      <w:r w:rsidR="00A02EFA" w:rsidRPr="005764FC">
        <w:rPr>
          <w:lang w:eastAsia="fr-CA"/>
        </w:rPr>
        <w:t xml:space="preserve"> </w:t>
      </w:r>
      <w:r w:rsidR="00533417" w:rsidRPr="005764FC">
        <w:rPr>
          <w:lang w:eastAsia="fr-CA"/>
        </w:rPr>
        <w:t>cent per annum</w:t>
      </w:r>
      <w:r w:rsidRPr="005764FC">
        <w:rPr>
          <w:lang w:eastAsia="fr-CA"/>
        </w:rPr>
        <w:t>,</w:t>
      </w:r>
      <w:r w:rsidR="00533417" w:rsidRPr="005764FC">
        <w:rPr>
          <w:lang w:eastAsia="fr-CA"/>
        </w:rPr>
        <w:t xml:space="preserve"> there are still </w:t>
      </w:r>
      <w:r w:rsidR="00370429" w:rsidRPr="005764FC">
        <w:rPr>
          <w:lang w:eastAsia="fr-CA"/>
        </w:rPr>
        <w:t xml:space="preserve">about </w:t>
      </w:r>
      <w:r w:rsidR="00533417" w:rsidRPr="005764FC">
        <w:rPr>
          <w:lang w:eastAsia="fr-CA"/>
        </w:rPr>
        <w:t>1200 fatalities per year</w:t>
      </w:r>
      <w:r w:rsidR="007F0949" w:rsidRPr="005764FC">
        <w:rPr>
          <w:lang w:eastAsia="fr-CA"/>
        </w:rPr>
        <w:t xml:space="preserve"> (see </w:t>
      </w:r>
      <w:r w:rsidR="007F0949" w:rsidRPr="005764FC">
        <w:rPr>
          <w:lang w:eastAsia="fr-CA"/>
        </w:rPr>
        <w:fldChar w:fldCharType="begin" w:fldLock="1"/>
      </w:r>
      <w:r w:rsidR="007F0949" w:rsidRPr="005764FC">
        <w:rPr>
          <w:lang w:eastAsia="fr-CA"/>
        </w:rPr>
        <w:instrText xml:space="preserve"> REF _Ref94013144 \h </w:instrText>
      </w:r>
      <w:r w:rsidR="007F0949" w:rsidRPr="005764FC">
        <w:rPr>
          <w:lang w:eastAsia="fr-CA"/>
        </w:rPr>
      </w:r>
      <w:r w:rsidR="007F0949" w:rsidRPr="005764FC">
        <w:rPr>
          <w:lang w:eastAsia="fr-CA"/>
        </w:rPr>
        <w:fldChar w:fldCharType="separate"/>
      </w:r>
      <w:r w:rsidR="00A34B27" w:rsidRPr="005764FC">
        <w:t xml:space="preserve">Figure </w:t>
      </w:r>
      <w:r w:rsidR="00A34B27">
        <w:rPr>
          <w:noProof/>
        </w:rPr>
        <w:t>1</w:t>
      </w:r>
      <w:r w:rsidR="00A34B27" w:rsidRPr="005764FC">
        <w:t>.</w:t>
      </w:r>
      <w:r w:rsidR="00A34B27">
        <w:rPr>
          <w:noProof/>
        </w:rPr>
        <w:t>2</w:t>
      </w:r>
      <w:r w:rsidR="007F0949" w:rsidRPr="005764FC">
        <w:rPr>
          <w:lang w:eastAsia="fr-CA"/>
        </w:rPr>
        <w:fldChar w:fldCharType="end"/>
      </w:r>
      <w:r w:rsidR="007F0949" w:rsidRPr="005764FC">
        <w:rPr>
          <w:lang w:eastAsia="fr-CA"/>
        </w:rPr>
        <w:t xml:space="preserve"> for trends)</w:t>
      </w:r>
      <w:r w:rsidR="00EF2084" w:rsidRPr="005764FC">
        <w:rPr>
          <w:lang w:eastAsia="fr-CA"/>
        </w:rPr>
        <w:t xml:space="preserve">. </w:t>
      </w:r>
      <w:r w:rsidR="00E10589" w:rsidRPr="005764FC">
        <w:t>The social cost of road crashes has been estimated at $30 billion per year</w:t>
      </w:r>
      <w:sdt>
        <w:sdtPr>
          <w:id w:val="1115862562"/>
          <w:citation/>
        </w:sdtPr>
        <w:sdtContent>
          <w:r w:rsidR="00463FC8">
            <w:fldChar w:fldCharType="begin"/>
          </w:r>
          <w:r w:rsidR="00463FC8">
            <w:instrText xml:space="preserve"> CITATION Inf21 \l 3081 </w:instrText>
          </w:r>
          <w:r w:rsidR="00463FC8">
            <w:fldChar w:fldCharType="separate"/>
          </w:r>
          <w:r w:rsidR="001428F9">
            <w:rPr>
              <w:noProof/>
            </w:rPr>
            <w:t xml:space="preserve"> (Infrastructure and Transport Ministers, 2021)</w:t>
          </w:r>
          <w:r w:rsidR="00463FC8">
            <w:fldChar w:fldCharType="end"/>
          </w:r>
        </w:sdtContent>
      </w:sdt>
      <w:r w:rsidR="00531A3D" w:rsidRPr="005764FC">
        <w:rPr>
          <w:lang w:eastAsia="fr-CA"/>
        </w:rPr>
        <w:t>.</w:t>
      </w:r>
    </w:p>
    <w:p w14:paraId="2E447EAC" w14:textId="611A7E1C" w:rsidR="00F50D3B" w:rsidRPr="005764FC" w:rsidRDefault="00503416" w:rsidP="00B17DA7">
      <w:pPr>
        <w:pStyle w:val="CaptionDescriptive"/>
        <w:spacing w:after="0"/>
        <w:rPr>
          <w:lang w:eastAsia="fr-CA"/>
        </w:rPr>
      </w:pPr>
      <w:r w:rsidRPr="005764FC">
        <w:rPr>
          <w:noProof/>
          <w:lang w:eastAsia="en-AU"/>
        </w:rPr>
        <w:drawing>
          <wp:inline distT="0" distB="0" distL="0" distR="0" wp14:anchorId="5064EEB5" wp14:editId="672C2DEC">
            <wp:extent cx="6193155" cy="2112645"/>
            <wp:effectExtent l="0" t="0" r="0" b="1905"/>
            <wp:docPr id="236" name="Picture 236" descr="Figure 1.2 is has two graphs, bar graph on left shows road deaths decreased from 2012 to 2014 and then increased in 2015 and 2016 before decreasing from 2017 to 2020 and then increasing again in 2021. Line graph on right showing that for annual road fatalities over the past 10 years, drivers sit significantly higher than other road user groups at 600 deaths a year, the passengers, pedestrians and motorcyclists lines sit in a group between 200 to 250 deaths a year and pedal cyclist and unknown are at the bottom with less than 50 deaths a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3155" cy="2112645"/>
                    </a:xfrm>
                    <a:prstGeom prst="rect">
                      <a:avLst/>
                    </a:prstGeom>
                  </pic:spPr>
                </pic:pic>
              </a:graphicData>
            </a:graphic>
          </wp:inline>
        </w:drawing>
      </w:r>
    </w:p>
    <w:p w14:paraId="6671618E" w14:textId="2156F288" w:rsidR="00B17DA7" w:rsidRPr="005764FC" w:rsidRDefault="00B17DA7" w:rsidP="00B17DA7">
      <w:pPr>
        <w:pStyle w:val="CaptionDescriptive"/>
        <w:spacing w:after="0"/>
        <w:rPr>
          <w:lang w:eastAsia="fr-CA"/>
        </w:rPr>
      </w:pPr>
      <w:r w:rsidRPr="005764FC">
        <w:rPr>
          <w:lang w:eastAsia="fr-CA"/>
        </w:rPr>
        <w:t>S</w:t>
      </w:r>
      <w:r w:rsidR="00E7775D" w:rsidRPr="005764FC">
        <w:rPr>
          <w:lang w:eastAsia="fr-CA"/>
        </w:rPr>
        <w:t>o</w:t>
      </w:r>
      <w:r w:rsidRPr="005764FC">
        <w:rPr>
          <w:lang w:eastAsia="fr-CA"/>
        </w:rPr>
        <w:t>urce: Monthly Road Deaths Dashboar</w:t>
      </w:r>
      <w:r w:rsidR="00646EC1">
        <w:rPr>
          <w:lang w:eastAsia="fr-CA"/>
        </w:rPr>
        <w:t>d</w:t>
      </w:r>
      <w:r w:rsidR="00646EC1" w:rsidRPr="00646EC1">
        <w:rPr>
          <w:lang w:eastAsia="fr-CA"/>
        </w:rPr>
        <w:t xml:space="preserve"> </w:t>
      </w:r>
      <w:sdt>
        <w:sdtPr>
          <w:rPr>
            <w:lang w:eastAsia="fr-CA"/>
          </w:rPr>
          <w:id w:val="-1121839065"/>
          <w:citation/>
        </w:sdtPr>
        <w:sdtContent>
          <w:r w:rsidR="00646EC1">
            <w:rPr>
              <w:lang w:eastAsia="fr-CA"/>
            </w:rPr>
            <w:fldChar w:fldCharType="begin"/>
          </w:r>
          <w:r w:rsidR="00521170">
            <w:rPr>
              <w:lang w:eastAsia="fr-CA"/>
            </w:rPr>
            <w:instrText xml:space="preserve">CITATION BIT21 \l 3081 </w:instrText>
          </w:r>
          <w:r w:rsidR="00646EC1">
            <w:rPr>
              <w:lang w:eastAsia="fr-CA"/>
            </w:rPr>
            <w:fldChar w:fldCharType="separate"/>
          </w:r>
          <w:r w:rsidR="001428F9">
            <w:rPr>
              <w:noProof/>
              <w:lang w:eastAsia="fr-CA"/>
            </w:rPr>
            <w:t>(BITRE, 2021a)</w:t>
          </w:r>
          <w:r w:rsidR="00646EC1">
            <w:rPr>
              <w:lang w:eastAsia="fr-CA"/>
            </w:rPr>
            <w:fldChar w:fldCharType="end"/>
          </w:r>
        </w:sdtContent>
      </w:sdt>
      <w:r w:rsidR="00646EC1">
        <w:rPr>
          <w:lang w:eastAsia="fr-CA"/>
        </w:rPr>
        <w:t xml:space="preserve"> </w:t>
      </w:r>
      <w:hyperlink r:id="rId37" w:history="1">
        <w:r w:rsidRPr="005764FC">
          <w:rPr>
            <w:rStyle w:val="Hyperlink"/>
            <w:lang w:eastAsia="fr-CA"/>
          </w:rPr>
          <w:t>https://www.bitre.gov.au/statistics/safety</w:t>
        </w:r>
      </w:hyperlink>
      <w:r w:rsidRPr="005764FC">
        <w:rPr>
          <w:lang w:eastAsia="fr-CA"/>
        </w:rPr>
        <w:t xml:space="preserve"> (accessed: 12/12/2021)</w:t>
      </w:r>
    </w:p>
    <w:p w14:paraId="28029158" w14:textId="0FE4D0FA" w:rsidR="003E3A85" w:rsidRPr="005764FC" w:rsidRDefault="003E3A85" w:rsidP="009B3AF4">
      <w:pPr>
        <w:pStyle w:val="Caption"/>
        <w:keepNext w:val="0"/>
        <w:spacing w:before="60" w:after="0"/>
      </w:pPr>
      <w:bookmarkStart w:id="72" w:name="_Ref94013144"/>
      <w:bookmarkStart w:id="73" w:name="_Toc97807823"/>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2</w:t>
      </w:r>
      <w:r w:rsidR="00287C9E" w:rsidRPr="005764FC">
        <w:fldChar w:fldCharType="end"/>
      </w:r>
      <w:bookmarkEnd w:id="72"/>
      <w:r w:rsidRPr="005764FC">
        <w:tab/>
        <w:t>All road deaths (left)</w:t>
      </w:r>
      <w:r w:rsidR="00E77F0F" w:rsidRPr="005764FC">
        <w:t xml:space="preserve"> and number of deaths by road user (right): 12-month total Australia</w:t>
      </w:r>
      <w:bookmarkEnd w:id="73"/>
    </w:p>
    <w:p w14:paraId="2D8C1C67" w14:textId="3435F3AA" w:rsidR="00720A4D" w:rsidRPr="005764FC" w:rsidRDefault="00D93591" w:rsidP="00B17DA7">
      <w:pPr>
        <w:pStyle w:val="BodyText"/>
      </w:pPr>
      <w:r w:rsidRPr="005764FC">
        <w:rPr>
          <w:lang w:eastAsia="fr-CA"/>
        </w:rPr>
        <w:t>Australia has</w:t>
      </w:r>
      <w:r w:rsidR="007D1486" w:rsidRPr="005764FC">
        <w:rPr>
          <w:lang w:eastAsia="fr-CA"/>
        </w:rPr>
        <w:t xml:space="preserve"> ma</w:t>
      </w:r>
      <w:r w:rsidR="00680A52" w:rsidRPr="005764FC">
        <w:rPr>
          <w:lang w:eastAsia="fr-CA"/>
        </w:rPr>
        <w:t xml:space="preserve">de </w:t>
      </w:r>
      <w:r w:rsidR="007D1486" w:rsidRPr="005764FC">
        <w:rPr>
          <w:lang w:eastAsia="fr-CA"/>
        </w:rPr>
        <w:t>progress</w:t>
      </w:r>
      <w:r w:rsidR="00EC4681" w:rsidRPr="005764FC">
        <w:rPr>
          <w:lang w:eastAsia="fr-CA"/>
        </w:rPr>
        <w:t xml:space="preserve"> </w:t>
      </w:r>
      <w:r w:rsidR="00CE140E" w:rsidRPr="005764FC">
        <w:rPr>
          <w:lang w:eastAsia="fr-CA"/>
        </w:rPr>
        <w:t>reduc</w:t>
      </w:r>
      <w:r w:rsidR="007D1486" w:rsidRPr="005764FC">
        <w:rPr>
          <w:lang w:eastAsia="fr-CA"/>
        </w:rPr>
        <w:t>ing</w:t>
      </w:r>
      <w:r w:rsidR="00CE140E" w:rsidRPr="005764FC">
        <w:rPr>
          <w:lang w:eastAsia="fr-CA"/>
        </w:rPr>
        <w:t xml:space="preserve"> the number of deaths </w:t>
      </w:r>
      <w:r w:rsidR="00072CC4" w:rsidRPr="005764FC">
        <w:rPr>
          <w:lang w:eastAsia="fr-CA"/>
        </w:rPr>
        <w:t xml:space="preserve">and serious injuries </w:t>
      </w:r>
      <w:r w:rsidR="00CE140E" w:rsidRPr="005764FC">
        <w:rPr>
          <w:lang w:eastAsia="fr-CA"/>
        </w:rPr>
        <w:t xml:space="preserve">on </w:t>
      </w:r>
      <w:r w:rsidR="007D1486" w:rsidRPr="005764FC">
        <w:rPr>
          <w:lang w:eastAsia="fr-CA"/>
        </w:rPr>
        <w:t xml:space="preserve">our </w:t>
      </w:r>
      <w:r w:rsidR="00793626" w:rsidRPr="005764FC">
        <w:rPr>
          <w:lang w:eastAsia="fr-CA"/>
        </w:rPr>
        <w:t>roads</w:t>
      </w:r>
      <w:r w:rsidR="004E6D39" w:rsidRPr="005764FC">
        <w:rPr>
          <w:lang w:eastAsia="fr-CA"/>
        </w:rPr>
        <w:t>,</w:t>
      </w:r>
      <w:r w:rsidR="00A02EFA" w:rsidRPr="005764FC">
        <w:rPr>
          <w:lang w:eastAsia="fr-CA"/>
        </w:rPr>
        <w:t xml:space="preserve"> </w:t>
      </w:r>
      <w:r w:rsidR="004E6D39" w:rsidRPr="005764FC">
        <w:rPr>
          <w:lang w:eastAsia="fr-CA"/>
        </w:rPr>
        <w:t>h</w:t>
      </w:r>
      <w:r w:rsidR="00400F28" w:rsidRPr="005764FC">
        <w:rPr>
          <w:lang w:eastAsia="fr-CA"/>
        </w:rPr>
        <w:t>owever</w:t>
      </w:r>
      <w:r w:rsidR="004E6D39" w:rsidRPr="005764FC">
        <w:rPr>
          <w:lang w:eastAsia="fr-CA"/>
        </w:rPr>
        <w:t xml:space="preserve">, </w:t>
      </w:r>
      <w:r w:rsidR="007D1486" w:rsidRPr="005764FC">
        <w:rPr>
          <w:lang w:eastAsia="fr-CA"/>
        </w:rPr>
        <w:t xml:space="preserve">the </w:t>
      </w:r>
      <w:r w:rsidR="00C6763E" w:rsidRPr="005764FC">
        <w:rPr>
          <w:lang w:eastAsia="fr-CA"/>
        </w:rPr>
        <w:t xml:space="preserve">2020 </w:t>
      </w:r>
      <w:r w:rsidR="00594AD3" w:rsidRPr="005764FC">
        <w:rPr>
          <w:lang w:eastAsia="fr-CA"/>
        </w:rPr>
        <w:t xml:space="preserve">target </w:t>
      </w:r>
      <w:r w:rsidR="008914EA" w:rsidRPr="005764FC">
        <w:rPr>
          <w:lang w:eastAsia="fr-CA"/>
        </w:rPr>
        <w:t xml:space="preserve">has not </w:t>
      </w:r>
      <w:r w:rsidR="00C035FF" w:rsidRPr="005764FC">
        <w:rPr>
          <w:lang w:eastAsia="fr-CA"/>
        </w:rPr>
        <w:t>been</w:t>
      </w:r>
      <w:r w:rsidR="008914EA" w:rsidRPr="005764FC">
        <w:rPr>
          <w:lang w:eastAsia="fr-CA"/>
        </w:rPr>
        <w:t xml:space="preserve"> achieved </w:t>
      </w:r>
      <w:r w:rsidR="00E9005B" w:rsidRPr="005764FC">
        <w:rPr>
          <w:lang w:eastAsia="fr-CA"/>
        </w:rPr>
        <w:t xml:space="preserve">(see </w:t>
      </w:r>
      <w:r w:rsidR="00E9005B" w:rsidRPr="005764FC">
        <w:rPr>
          <w:lang w:eastAsia="fr-CA"/>
        </w:rPr>
        <w:fldChar w:fldCharType="begin" w:fldLock="1"/>
      </w:r>
      <w:r w:rsidR="00E9005B" w:rsidRPr="005764FC">
        <w:rPr>
          <w:lang w:eastAsia="fr-CA"/>
        </w:rPr>
        <w:instrText xml:space="preserve"> REF _Ref94013202 \h </w:instrText>
      </w:r>
      <w:r w:rsidR="00E9005B" w:rsidRPr="005764FC">
        <w:rPr>
          <w:lang w:eastAsia="fr-CA"/>
        </w:rPr>
      </w:r>
      <w:r w:rsidR="00E9005B" w:rsidRPr="005764FC">
        <w:rPr>
          <w:lang w:eastAsia="fr-CA"/>
        </w:rPr>
        <w:fldChar w:fldCharType="separate"/>
      </w:r>
      <w:r w:rsidR="00A34B27" w:rsidRPr="005764FC">
        <w:t xml:space="preserve">Figure </w:t>
      </w:r>
      <w:r w:rsidR="00A34B27">
        <w:rPr>
          <w:noProof/>
        </w:rPr>
        <w:t>1</w:t>
      </w:r>
      <w:r w:rsidR="00A34B27" w:rsidRPr="005764FC">
        <w:t>.</w:t>
      </w:r>
      <w:r w:rsidR="00A34B27">
        <w:rPr>
          <w:noProof/>
        </w:rPr>
        <w:t>3</w:t>
      </w:r>
      <w:r w:rsidR="00E9005B" w:rsidRPr="005764FC">
        <w:rPr>
          <w:lang w:eastAsia="fr-CA"/>
        </w:rPr>
        <w:fldChar w:fldCharType="end"/>
      </w:r>
      <w:r w:rsidR="00E9005B" w:rsidRPr="005764FC">
        <w:rPr>
          <w:lang w:eastAsia="fr-CA"/>
        </w:rPr>
        <w:t>)</w:t>
      </w:r>
      <w:r w:rsidR="005E61CA" w:rsidRPr="005764FC">
        <w:rPr>
          <w:lang w:eastAsia="fr-CA"/>
        </w:rPr>
        <w:t xml:space="preserve">. </w:t>
      </w:r>
      <w:r w:rsidR="005843C2" w:rsidRPr="005764FC">
        <w:rPr>
          <w:lang w:eastAsia="fr-CA"/>
        </w:rPr>
        <w:t>T</w:t>
      </w:r>
      <w:r w:rsidR="00720A4D" w:rsidRPr="005764FC">
        <w:t>he National Road Safety Strategy 2021</w:t>
      </w:r>
      <w:r w:rsidR="005843C2" w:rsidRPr="005764FC">
        <w:t>–</w:t>
      </w:r>
      <w:r w:rsidR="00720A4D" w:rsidRPr="005764FC">
        <w:t xml:space="preserve">30 has set </w:t>
      </w:r>
      <w:r w:rsidR="005843C2" w:rsidRPr="005764FC">
        <w:t xml:space="preserve">the following </w:t>
      </w:r>
      <w:r w:rsidR="00720A4D" w:rsidRPr="005764FC">
        <w:t xml:space="preserve">2030 targets: </w:t>
      </w:r>
    </w:p>
    <w:p w14:paraId="732A6CB6" w14:textId="7C0718ED" w:rsidR="00720A4D" w:rsidRPr="005764FC" w:rsidRDefault="003D4CB8" w:rsidP="00EC06A3">
      <w:pPr>
        <w:pStyle w:val="ListBullet"/>
        <w:ind w:left="357" w:hanging="357"/>
        <w:contextualSpacing/>
      </w:pPr>
      <w:r w:rsidRPr="005764FC">
        <w:t>A</w:t>
      </w:r>
      <w:r w:rsidR="00720A4D" w:rsidRPr="005764FC">
        <w:t xml:space="preserve"> 50 per cent reduction in fatalities, down to fewer than 571 (an approximate </w:t>
      </w:r>
      <w:r w:rsidR="005843C2" w:rsidRPr="005764FC">
        <w:t xml:space="preserve">55 per cent rate-per-capita </w:t>
      </w:r>
      <w:r w:rsidR="00720A4D" w:rsidRPr="005764FC">
        <w:t>reduction)</w:t>
      </w:r>
    </w:p>
    <w:p w14:paraId="3D998564" w14:textId="3B4F95BF" w:rsidR="00720A4D" w:rsidRPr="005764FC" w:rsidRDefault="003D4CB8" w:rsidP="00EC06A3">
      <w:pPr>
        <w:pStyle w:val="ListBullet"/>
        <w:ind w:left="357" w:hanging="357"/>
        <w:contextualSpacing/>
      </w:pPr>
      <w:r w:rsidRPr="005764FC">
        <w:t>A</w:t>
      </w:r>
      <w:r w:rsidR="00720A4D" w:rsidRPr="005764FC">
        <w:t xml:space="preserve">n interim 30 per cent reduction in serious injuries, down to fewer than 29,000 (an approximate </w:t>
      </w:r>
      <w:r w:rsidR="005843C2" w:rsidRPr="005764FC">
        <w:t xml:space="preserve">38 per cent rate-per-capita </w:t>
      </w:r>
      <w:r w:rsidR="00720A4D" w:rsidRPr="005764FC">
        <w:t>reduction)</w:t>
      </w:r>
      <w:r w:rsidR="0067163D">
        <w:t xml:space="preserve"> </w:t>
      </w:r>
      <w:sdt>
        <w:sdtPr>
          <w:id w:val="-1985617721"/>
          <w:citation/>
        </w:sdtPr>
        <w:sdtContent>
          <w:r w:rsidR="0067163D">
            <w:fldChar w:fldCharType="begin"/>
          </w:r>
          <w:r w:rsidR="0067163D">
            <w:instrText xml:space="preserve"> CITATION DIT211 \l 3081 </w:instrText>
          </w:r>
          <w:r w:rsidR="0067163D">
            <w:fldChar w:fldCharType="separate"/>
          </w:r>
          <w:r w:rsidR="001428F9">
            <w:rPr>
              <w:noProof/>
            </w:rPr>
            <w:t>(DITRDC, 2021)</w:t>
          </w:r>
          <w:r w:rsidR="0067163D">
            <w:fldChar w:fldCharType="end"/>
          </w:r>
        </w:sdtContent>
      </w:sdt>
      <w:r w:rsidR="0067163D">
        <w:t>.</w:t>
      </w:r>
    </w:p>
    <w:p w14:paraId="50674FB3" w14:textId="5B6F975E" w:rsidR="007A1A59" w:rsidRPr="005764FC" w:rsidRDefault="00503416" w:rsidP="00B17DA7">
      <w:pPr>
        <w:pStyle w:val="Image"/>
      </w:pPr>
      <w:r w:rsidRPr="005764FC">
        <w:rPr>
          <w:noProof/>
          <w:lang w:eastAsia="en-AU"/>
        </w:rPr>
        <w:drawing>
          <wp:inline distT="0" distB="0" distL="0" distR="0" wp14:anchorId="5A61D548" wp14:editId="0618F4F9">
            <wp:extent cx="6122670" cy="2523490"/>
            <wp:effectExtent l="0" t="0" r="0" b="0"/>
            <wp:docPr id="237" name="Picture 237" descr="Figure 1.3 is a line graph that shows when compared to a consistently declining target baseline, annual road fatalities are following the slope of the target line. The annual fatalities line sits beneath the target baseline in 2010 to 2014 before intersecting the line in 2015 and from 2016 to 2020 the annual fatalities line is higher than the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2670" cy="2523490"/>
                    </a:xfrm>
                    <a:prstGeom prst="rect">
                      <a:avLst/>
                    </a:prstGeom>
                    <a:noFill/>
                    <a:ln>
                      <a:noFill/>
                    </a:ln>
                  </pic:spPr>
                </pic:pic>
              </a:graphicData>
            </a:graphic>
          </wp:inline>
        </w:drawing>
      </w:r>
    </w:p>
    <w:p w14:paraId="25BCCD61" w14:textId="565B358D" w:rsidR="00B17DA7" w:rsidRPr="005764FC" w:rsidRDefault="00B17DA7" w:rsidP="00B17DA7">
      <w:pPr>
        <w:pStyle w:val="CaptionDescriptive"/>
        <w:rPr>
          <w:lang w:eastAsia="fr-CA"/>
        </w:rPr>
      </w:pPr>
      <w:r w:rsidRPr="005764FC">
        <w:t xml:space="preserve">Source: Road Trauma Australia—Annual Summaries </w:t>
      </w:r>
      <w:sdt>
        <w:sdtPr>
          <w:id w:val="-312487137"/>
          <w:citation/>
        </w:sdtPr>
        <w:sdtContent>
          <w:r w:rsidR="00B44F73">
            <w:fldChar w:fldCharType="begin"/>
          </w:r>
          <w:r w:rsidR="00521170">
            <w:instrText xml:space="preserve">CITATION BIT211 \l 3081 </w:instrText>
          </w:r>
          <w:r w:rsidR="00B44F73">
            <w:fldChar w:fldCharType="separate"/>
          </w:r>
          <w:r w:rsidR="001428F9">
            <w:rPr>
              <w:noProof/>
            </w:rPr>
            <w:t>(BITRE, 2021b)</w:t>
          </w:r>
          <w:r w:rsidR="00B44F73">
            <w:fldChar w:fldCharType="end"/>
          </w:r>
        </w:sdtContent>
      </w:sdt>
      <w:r w:rsidR="00B44F73">
        <w:t xml:space="preserve"> </w:t>
      </w:r>
      <w:hyperlink r:id="rId39" w:history="1">
        <w:r w:rsidRPr="005764FC">
          <w:rPr>
            <w:rStyle w:val="Hyperlink"/>
            <w:lang w:eastAsia="fr-CA"/>
          </w:rPr>
          <w:t>https://www.bitre.gov.au/sites/default/files/documents/road_trauma_australia_2020_statistical_summary.pdf</w:t>
        </w:r>
      </w:hyperlink>
      <w:r w:rsidRPr="005764FC">
        <w:rPr>
          <w:rStyle w:val="Hyperlink"/>
          <w:lang w:eastAsia="fr-CA"/>
        </w:rPr>
        <w:t xml:space="preserve"> (accessed 12/12/2021)</w:t>
      </w:r>
    </w:p>
    <w:p w14:paraId="37968652" w14:textId="40501B32" w:rsidR="008850DD" w:rsidRPr="005764FC" w:rsidRDefault="007A1A59" w:rsidP="00B17DA7">
      <w:pPr>
        <w:pStyle w:val="Caption"/>
        <w:keepNext w:val="0"/>
        <w:spacing w:before="0" w:after="0"/>
      </w:pPr>
      <w:bookmarkStart w:id="74" w:name="_Ref94013202"/>
      <w:bookmarkStart w:id="75" w:name="_Toc97807824"/>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3</w:t>
      </w:r>
      <w:r w:rsidR="00287C9E" w:rsidRPr="005764FC">
        <w:fldChar w:fldCharType="end"/>
      </w:r>
      <w:bookmarkEnd w:id="74"/>
      <w:r w:rsidRPr="005764FC">
        <w:tab/>
        <w:t xml:space="preserve">National Road Safety </w:t>
      </w:r>
      <w:r w:rsidR="00396210" w:rsidRPr="005764FC">
        <w:t>Strate</w:t>
      </w:r>
      <w:r w:rsidR="003C55AA" w:rsidRPr="005764FC">
        <w:t>gy 2011</w:t>
      </w:r>
      <w:r w:rsidR="00D51948" w:rsidRPr="005764FC">
        <w:t>–</w:t>
      </w:r>
      <w:r w:rsidR="003C55AA" w:rsidRPr="005764FC">
        <w:t>2020 statistical progress towards fatality target</w:t>
      </w:r>
      <w:bookmarkEnd w:id="75"/>
    </w:p>
    <w:p w14:paraId="2DED77EA" w14:textId="77777777" w:rsidR="00F06658" w:rsidRPr="005764FC" w:rsidRDefault="00F06658" w:rsidP="00B17DA7">
      <w:pPr>
        <w:pStyle w:val="BodyText"/>
      </w:pPr>
    </w:p>
    <w:p w14:paraId="4C42237F" w14:textId="50AD6370" w:rsidR="00E877B0" w:rsidRPr="005764FC" w:rsidRDefault="00476A52" w:rsidP="008D71A6">
      <w:pPr>
        <w:pStyle w:val="Heading3"/>
        <w:rPr>
          <w:lang w:eastAsia="fr-CA"/>
        </w:rPr>
      </w:pPr>
      <w:bookmarkStart w:id="76" w:name="_Toc94536677"/>
      <w:r w:rsidRPr="005764FC">
        <w:rPr>
          <w:lang w:eastAsia="fr-CA"/>
        </w:rPr>
        <w:t>Eff</w:t>
      </w:r>
      <w:r w:rsidR="0089020A" w:rsidRPr="005764FC">
        <w:rPr>
          <w:lang w:eastAsia="fr-CA"/>
        </w:rPr>
        <w:t>i</w:t>
      </w:r>
      <w:r w:rsidRPr="005764FC">
        <w:rPr>
          <w:lang w:eastAsia="fr-CA"/>
        </w:rPr>
        <w:t>ciency</w:t>
      </w:r>
      <w:bookmarkEnd w:id="76"/>
    </w:p>
    <w:p w14:paraId="2D18E5F9" w14:textId="1227FFA9" w:rsidR="00C113DC" w:rsidRPr="005764FC" w:rsidRDefault="00D51948" w:rsidP="00B17DA7">
      <w:pPr>
        <w:pStyle w:val="BodyText"/>
        <w:keepNext/>
      </w:pPr>
      <w:r w:rsidRPr="005764FC">
        <w:rPr>
          <w:lang w:bidi="fa-IR"/>
        </w:rPr>
        <w:t>In the last 20 years (1999 to 2019), p</w:t>
      </w:r>
      <w:r w:rsidR="00C113DC" w:rsidRPr="005764FC">
        <w:rPr>
          <w:lang w:bidi="fa-IR"/>
        </w:rPr>
        <w:t>rivate and commercial</w:t>
      </w:r>
      <w:r w:rsidR="00D916ED" w:rsidRPr="005764FC">
        <w:rPr>
          <w:lang w:bidi="fa-IR"/>
        </w:rPr>
        <w:t>-</w:t>
      </w:r>
      <w:r w:rsidR="00C113DC" w:rsidRPr="005764FC">
        <w:rPr>
          <w:lang w:bidi="fa-IR"/>
        </w:rPr>
        <w:t xml:space="preserve">vehicle passenger kilometres travelled </w:t>
      </w:r>
      <w:r w:rsidR="00994D74" w:rsidRPr="005764FC">
        <w:rPr>
          <w:lang w:bidi="fa-IR"/>
        </w:rPr>
        <w:t xml:space="preserve">in Australian capital cities </w:t>
      </w:r>
      <w:r w:rsidR="002F002D" w:rsidRPr="005764FC">
        <w:rPr>
          <w:lang w:bidi="fa-IR"/>
        </w:rPr>
        <w:t xml:space="preserve">have grown steadily </w:t>
      </w:r>
      <w:r w:rsidR="00C113DC" w:rsidRPr="005764FC">
        <w:rPr>
          <w:lang w:bidi="fa-IR"/>
        </w:rPr>
        <w:t>(shown in</w:t>
      </w:r>
      <w:r w:rsidR="00856351" w:rsidRPr="005764FC">
        <w:rPr>
          <w:lang w:bidi="fa-IR"/>
        </w:rPr>
        <w:t xml:space="preserve"> </w:t>
      </w:r>
      <w:r w:rsidR="00856351" w:rsidRPr="005764FC">
        <w:rPr>
          <w:lang w:bidi="fa-IR"/>
        </w:rPr>
        <w:fldChar w:fldCharType="begin" w:fldLock="1"/>
      </w:r>
      <w:r w:rsidR="00856351" w:rsidRPr="005764FC">
        <w:rPr>
          <w:lang w:bidi="fa-IR"/>
        </w:rPr>
        <w:instrText xml:space="preserve"> REF _Ref90849438 \h </w:instrText>
      </w:r>
      <w:r w:rsidR="00856351" w:rsidRPr="005764FC">
        <w:rPr>
          <w:lang w:bidi="fa-IR"/>
        </w:rPr>
      </w:r>
      <w:r w:rsidR="00856351" w:rsidRPr="005764FC">
        <w:rPr>
          <w:lang w:bidi="fa-IR"/>
        </w:rPr>
        <w:fldChar w:fldCharType="separate"/>
      </w:r>
      <w:r w:rsidR="00A34B27" w:rsidRPr="005764FC">
        <w:t xml:space="preserve">Figure </w:t>
      </w:r>
      <w:r w:rsidR="00A34B27">
        <w:rPr>
          <w:noProof/>
        </w:rPr>
        <w:t>1</w:t>
      </w:r>
      <w:r w:rsidR="00A34B27" w:rsidRPr="005764FC">
        <w:t>.</w:t>
      </w:r>
      <w:r w:rsidR="00A34B27">
        <w:rPr>
          <w:noProof/>
        </w:rPr>
        <w:t>4</w:t>
      </w:r>
      <w:r w:rsidR="00856351" w:rsidRPr="005764FC">
        <w:rPr>
          <w:lang w:bidi="fa-IR"/>
        </w:rPr>
        <w:fldChar w:fldCharType="end"/>
      </w:r>
      <w:r w:rsidR="00856351" w:rsidRPr="005764FC">
        <w:rPr>
          <w:lang w:bidi="fa-IR"/>
        </w:rPr>
        <w:t>)</w:t>
      </w:r>
      <w:r w:rsidR="00017ACB" w:rsidRPr="005764FC">
        <w:rPr>
          <w:lang w:bidi="fa-IR"/>
        </w:rPr>
        <w:t>.</w:t>
      </w:r>
    </w:p>
    <w:p w14:paraId="6DC3E954" w14:textId="635CA019" w:rsidR="00CF46B4" w:rsidRPr="005764FC" w:rsidRDefault="00475257" w:rsidP="00B17DA7">
      <w:pPr>
        <w:pStyle w:val="Image"/>
      </w:pPr>
      <w:r w:rsidRPr="005764FC">
        <w:rPr>
          <w:noProof/>
          <w:lang w:eastAsia="en-AU"/>
        </w:rPr>
        <w:drawing>
          <wp:inline distT="0" distB="0" distL="0" distR="0" wp14:anchorId="5F6A1D33" wp14:editId="512CBDFA">
            <wp:extent cx="6122670" cy="2084705"/>
            <wp:effectExtent l="0" t="0" r="0" b="0"/>
            <wp:docPr id="238" name="Picture 238" descr="Figure 1.4 is a line graph showing total vehicle kilometers traveled against time from 1999 to 2019. there is a clear upwards trend for private vehicles and commercial vehicles, with the private vehicle trend being str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2670" cy="2084705"/>
                    </a:xfrm>
                    <a:prstGeom prst="rect">
                      <a:avLst/>
                    </a:prstGeom>
                    <a:noFill/>
                    <a:ln>
                      <a:noFill/>
                    </a:ln>
                  </pic:spPr>
                </pic:pic>
              </a:graphicData>
            </a:graphic>
          </wp:inline>
        </w:drawing>
      </w:r>
    </w:p>
    <w:p w14:paraId="43BC3842" w14:textId="3321BA68" w:rsidR="00F7200B" w:rsidRPr="005764FC" w:rsidRDefault="00F7200B" w:rsidP="00F7200B">
      <w:pPr>
        <w:pStyle w:val="CaptionDescriptive"/>
        <w:rPr>
          <w:lang w:eastAsia="fr-CA"/>
        </w:rPr>
      </w:pPr>
      <w:r w:rsidRPr="005764FC">
        <w:t xml:space="preserve">Source: Australian Infrastructure Statistics Yearbook 2020, Bureau of Infrastructure, Transport and Regional Economics </w:t>
      </w:r>
      <w:sdt>
        <w:sdtPr>
          <w:id w:val="-178114446"/>
          <w:citation/>
        </w:sdtPr>
        <w:sdtContent>
          <w:r w:rsidRPr="005764FC">
            <w:fldChar w:fldCharType="begin"/>
          </w:r>
          <w:r w:rsidRPr="005764FC">
            <w:instrText xml:space="preserve">CITATION Bur20 \p 92 \n  \t  \l 3081 </w:instrText>
          </w:r>
          <w:r w:rsidRPr="005764FC">
            <w:fldChar w:fldCharType="separate"/>
          </w:r>
          <w:r w:rsidR="001428F9">
            <w:rPr>
              <w:noProof/>
            </w:rPr>
            <w:t>(2020, p. 92)</w:t>
          </w:r>
          <w:r w:rsidRPr="005764FC">
            <w:fldChar w:fldCharType="end"/>
          </w:r>
        </w:sdtContent>
      </w:sdt>
    </w:p>
    <w:p w14:paraId="0C7741EF" w14:textId="6F81F088" w:rsidR="00720E51" w:rsidRPr="005764FC" w:rsidRDefault="00CF46B4" w:rsidP="00F7200B">
      <w:pPr>
        <w:pStyle w:val="Caption"/>
        <w:keepNext w:val="0"/>
      </w:pPr>
      <w:bookmarkStart w:id="77" w:name="_Ref90849438"/>
      <w:bookmarkStart w:id="78" w:name="_Toc97807825"/>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4</w:t>
      </w:r>
      <w:r w:rsidR="00287C9E" w:rsidRPr="005764FC">
        <w:fldChar w:fldCharType="end"/>
      </w:r>
      <w:bookmarkEnd w:id="77"/>
      <w:r w:rsidRPr="005764FC">
        <w:tab/>
      </w:r>
      <w:r w:rsidR="00720E51" w:rsidRPr="005764FC">
        <w:t>Private</w:t>
      </w:r>
      <w:r w:rsidR="00531A3D" w:rsidRPr="005764FC">
        <w:t>-</w:t>
      </w:r>
      <w:r w:rsidR="00720E51" w:rsidRPr="005764FC">
        <w:t>vehicle passenger kilometres travelled in capital cities since 1999</w:t>
      </w:r>
      <w:r w:rsidR="00E60B08" w:rsidRPr="005764FC">
        <w:t>–</w:t>
      </w:r>
      <w:r w:rsidR="00720E51" w:rsidRPr="005764FC">
        <w:t>2000</w:t>
      </w:r>
      <w:bookmarkEnd w:id="78"/>
      <w:r w:rsidR="00720E51" w:rsidRPr="005764FC">
        <w:t xml:space="preserve"> </w:t>
      </w:r>
    </w:p>
    <w:p w14:paraId="4C5F69ED" w14:textId="7A6A9729" w:rsidR="00981506" w:rsidRPr="005764FC" w:rsidRDefault="00887CDA" w:rsidP="00981506">
      <w:pPr>
        <w:pStyle w:val="BodyText"/>
        <w:rPr>
          <w:lang w:bidi="fa-IR"/>
        </w:rPr>
      </w:pPr>
      <w:r w:rsidRPr="005764FC">
        <w:rPr>
          <w:lang w:bidi="fa-IR"/>
        </w:rPr>
        <w:t>Growth in traffic and demand for trips in localised areas contributes to the congestion observed in capital cities.</w:t>
      </w:r>
      <w:r w:rsidR="00B9143B" w:rsidRPr="005764FC">
        <w:rPr>
          <w:lang w:bidi="fa-IR"/>
        </w:rPr>
        <w:t xml:space="preserve"> A study </w:t>
      </w:r>
      <w:r w:rsidR="00D53DF7" w:rsidRPr="005764FC">
        <w:rPr>
          <w:lang w:bidi="fa-IR"/>
        </w:rPr>
        <w:t xml:space="preserve">on Road Congestion in Australia </w:t>
      </w:r>
      <w:r w:rsidR="00B9143B" w:rsidRPr="005764FC">
        <w:rPr>
          <w:lang w:bidi="fa-IR"/>
        </w:rPr>
        <w:t>by the Australia</w:t>
      </w:r>
      <w:r w:rsidR="00AA2891" w:rsidRPr="005764FC">
        <w:rPr>
          <w:lang w:bidi="fa-IR"/>
        </w:rPr>
        <w:t>n</w:t>
      </w:r>
      <w:r w:rsidR="00B9143B" w:rsidRPr="005764FC">
        <w:rPr>
          <w:lang w:bidi="fa-IR"/>
        </w:rPr>
        <w:t xml:space="preserve"> Automobile </w:t>
      </w:r>
      <w:r w:rsidR="007127BB" w:rsidRPr="005764FC">
        <w:rPr>
          <w:lang w:bidi="fa-IR"/>
        </w:rPr>
        <w:t>Association found that</w:t>
      </w:r>
      <w:r w:rsidR="007127BB" w:rsidRPr="005764FC" w:rsidDel="00AA2891">
        <w:rPr>
          <w:lang w:bidi="fa-IR"/>
        </w:rPr>
        <w:t xml:space="preserve"> </w:t>
      </w:r>
      <w:r w:rsidR="004F05E7" w:rsidRPr="005764FC">
        <w:rPr>
          <w:lang w:bidi="fa-IR"/>
        </w:rPr>
        <w:t xml:space="preserve">between 2013 to 2018, </w:t>
      </w:r>
      <w:r w:rsidR="00E60B08" w:rsidRPr="005764FC">
        <w:rPr>
          <w:lang w:bidi="fa-IR"/>
        </w:rPr>
        <w:t xml:space="preserve">across all major capital cities, </w:t>
      </w:r>
      <w:r w:rsidR="00AA2891" w:rsidRPr="005764FC">
        <w:rPr>
          <w:lang w:bidi="fa-IR"/>
        </w:rPr>
        <w:t xml:space="preserve">average speeds </w:t>
      </w:r>
      <w:r w:rsidR="00793626" w:rsidRPr="005764FC">
        <w:rPr>
          <w:lang w:bidi="fa-IR"/>
        </w:rPr>
        <w:t>declined,</w:t>
      </w:r>
      <w:r w:rsidR="00981506" w:rsidRPr="005764FC">
        <w:rPr>
          <w:lang w:bidi="fa-IR"/>
        </w:rPr>
        <w:t xml:space="preserve"> and </w:t>
      </w:r>
      <w:r w:rsidR="00AA2891" w:rsidRPr="005764FC">
        <w:rPr>
          <w:lang w:bidi="fa-IR"/>
        </w:rPr>
        <w:t xml:space="preserve">travel-time reliability </w:t>
      </w:r>
      <w:r w:rsidR="00D53DF7" w:rsidRPr="005764FC">
        <w:rPr>
          <w:lang w:bidi="fa-IR"/>
        </w:rPr>
        <w:t>dec</w:t>
      </w:r>
      <w:r w:rsidR="00585AC6" w:rsidRPr="005764FC">
        <w:rPr>
          <w:lang w:bidi="fa-IR"/>
        </w:rPr>
        <w:t>rease</w:t>
      </w:r>
      <w:r w:rsidR="00E60B08" w:rsidRPr="005764FC">
        <w:rPr>
          <w:lang w:bidi="fa-IR"/>
        </w:rPr>
        <w:t>d</w:t>
      </w:r>
      <w:r w:rsidR="00585AC6" w:rsidRPr="005764FC">
        <w:rPr>
          <w:lang w:bidi="fa-IR"/>
        </w:rPr>
        <w:t xml:space="preserve"> </w:t>
      </w:r>
      <w:r w:rsidR="004F05E7" w:rsidRPr="005764FC">
        <w:rPr>
          <w:lang w:bidi="fa-IR"/>
        </w:rPr>
        <w:t xml:space="preserve">(shown in </w:t>
      </w:r>
      <w:r w:rsidR="004F05E7" w:rsidRPr="005764FC">
        <w:rPr>
          <w:lang w:bidi="fa-IR"/>
        </w:rPr>
        <w:fldChar w:fldCharType="begin" w:fldLock="1"/>
      </w:r>
      <w:r w:rsidR="004F05E7" w:rsidRPr="005764FC">
        <w:rPr>
          <w:lang w:bidi="fa-IR"/>
        </w:rPr>
        <w:instrText xml:space="preserve"> REF _Ref90851998 \h </w:instrText>
      </w:r>
      <w:r w:rsidR="004F05E7" w:rsidRPr="005764FC">
        <w:rPr>
          <w:lang w:bidi="fa-IR"/>
        </w:rPr>
      </w:r>
      <w:r w:rsidR="004F05E7" w:rsidRPr="005764FC">
        <w:rPr>
          <w:lang w:bidi="fa-IR"/>
        </w:rPr>
        <w:fldChar w:fldCharType="separate"/>
      </w:r>
      <w:r w:rsidR="00A34B27" w:rsidRPr="005764FC">
        <w:t xml:space="preserve">Figure </w:t>
      </w:r>
      <w:r w:rsidR="00A34B27">
        <w:rPr>
          <w:noProof/>
        </w:rPr>
        <w:t>1</w:t>
      </w:r>
      <w:r w:rsidR="00A34B27" w:rsidRPr="005764FC">
        <w:t>.</w:t>
      </w:r>
      <w:r w:rsidR="00A34B27">
        <w:rPr>
          <w:noProof/>
        </w:rPr>
        <w:t>5</w:t>
      </w:r>
      <w:r w:rsidR="004F05E7" w:rsidRPr="005764FC">
        <w:rPr>
          <w:lang w:bidi="fa-IR"/>
        </w:rPr>
        <w:fldChar w:fldCharType="end"/>
      </w:r>
      <w:r w:rsidR="004F05E7" w:rsidRPr="005764FC">
        <w:rPr>
          <w:lang w:bidi="fa-IR"/>
        </w:rPr>
        <w:t>)</w:t>
      </w:r>
      <w:r w:rsidR="00981506" w:rsidRPr="005764FC">
        <w:rPr>
          <w:lang w:bidi="fa-IR"/>
        </w:rPr>
        <w:t>.</w:t>
      </w:r>
    </w:p>
    <w:p w14:paraId="7699EA24" w14:textId="26A8542B" w:rsidR="00AF5D9F" w:rsidRPr="005764FC" w:rsidRDefault="00475257" w:rsidP="00B17DA7">
      <w:pPr>
        <w:pStyle w:val="Image"/>
      </w:pPr>
      <w:r w:rsidRPr="005764FC">
        <w:rPr>
          <w:noProof/>
          <w:lang w:eastAsia="en-AU"/>
        </w:rPr>
        <w:drawing>
          <wp:inline distT="0" distB="0" distL="0" distR="0" wp14:anchorId="47A13F87" wp14:editId="01A1E01B">
            <wp:extent cx="6122670" cy="2523490"/>
            <wp:effectExtent l="0" t="0" r="0" b="0"/>
            <wp:docPr id="239" name="Picture 239" descr="Figure 1.5 is a line graph comparing the average travel speeds from 2013 to 2018. All capital cities lines are decreasing except for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2670" cy="2523490"/>
                    </a:xfrm>
                    <a:prstGeom prst="rect">
                      <a:avLst/>
                    </a:prstGeom>
                    <a:noFill/>
                    <a:ln>
                      <a:noFill/>
                    </a:ln>
                  </pic:spPr>
                </pic:pic>
              </a:graphicData>
            </a:graphic>
          </wp:inline>
        </w:drawing>
      </w:r>
    </w:p>
    <w:p w14:paraId="51E1D2FA" w14:textId="6607590F" w:rsidR="00F7200B" w:rsidRPr="005764FC" w:rsidRDefault="00F7200B" w:rsidP="00F7200B">
      <w:pPr>
        <w:pStyle w:val="CaptionDescriptive"/>
        <w:rPr>
          <w:lang w:eastAsia="fr-CA"/>
        </w:rPr>
      </w:pPr>
      <w:r w:rsidRPr="005764FC">
        <w:t xml:space="preserve">Source: Road Congestion in Australia, Australian Automobile Association </w:t>
      </w:r>
      <w:hyperlink r:id="rId42" w:history="1">
        <w:r w:rsidRPr="005764FC">
          <w:rPr>
            <w:rStyle w:val="Hyperlink"/>
            <w:lang w:eastAsia="fr-CA"/>
          </w:rPr>
          <w:t>https://www.aaa.asn.au/wp-content/uploads/2018/10/AAA-Congestion-Report-2018-FINAL.pdf</w:t>
        </w:r>
      </w:hyperlink>
      <w:r w:rsidRPr="005764FC">
        <w:rPr>
          <w:lang w:eastAsia="fr-CA"/>
        </w:rPr>
        <w:t xml:space="preserve"> (accessed 12/12/2021)</w:t>
      </w:r>
    </w:p>
    <w:p w14:paraId="7AB30FDD" w14:textId="5883F6A8" w:rsidR="004A2DCA" w:rsidRPr="005764FC" w:rsidRDefault="00AF5D9F" w:rsidP="00F7200B">
      <w:pPr>
        <w:pStyle w:val="Caption"/>
        <w:keepNext w:val="0"/>
      </w:pPr>
      <w:bookmarkStart w:id="79" w:name="_Ref90851998"/>
      <w:bookmarkStart w:id="80" w:name="_Toc97807826"/>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5</w:t>
      </w:r>
      <w:r w:rsidR="00287C9E" w:rsidRPr="005764FC">
        <w:fldChar w:fldCharType="end"/>
      </w:r>
      <w:bookmarkEnd w:id="79"/>
      <w:r w:rsidRPr="005764FC">
        <w:tab/>
        <w:t xml:space="preserve">Average travel speeds </w:t>
      </w:r>
      <w:r w:rsidR="008B7012" w:rsidRPr="005764FC">
        <w:t>across arterial networks in major capital cities 2013-2018 (all hours by year)</w:t>
      </w:r>
      <w:bookmarkEnd w:id="80"/>
      <w:r w:rsidR="008B7012" w:rsidRPr="005764FC">
        <w:t xml:space="preserve"> </w:t>
      </w:r>
    </w:p>
    <w:p w14:paraId="0678369A" w14:textId="7C41396F" w:rsidR="004B4C01" w:rsidRPr="005764FC" w:rsidRDefault="00E44367" w:rsidP="003F7B59">
      <w:pPr>
        <w:pStyle w:val="BodyText"/>
        <w:rPr>
          <w:lang w:bidi="fa-IR"/>
        </w:rPr>
      </w:pPr>
      <w:r w:rsidRPr="005764FC">
        <w:rPr>
          <w:lang w:bidi="fa-IR"/>
        </w:rPr>
        <w:t>Considering that private</w:t>
      </w:r>
      <w:r w:rsidR="004F05E7" w:rsidRPr="005764FC">
        <w:rPr>
          <w:lang w:bidi="fa-IR"/>
        </w:rPr>
        <w:t>-</w:t>
      </w:r>
      <w:r w:rsidRPr="005764FC">
        <w:rPr>
          <w:lang w:bidi="fa-IR"/>
        </w:rPr>
        <w:t xml:space="preserve">vehicle passenger kilometres travelled </w:t>
      </w:r>
      <w:r w:rsidR="004F05E7" w:rsidRPr="005764FC">
        <w:rPr>
          <w:lang w:bidi="fa-IR"/>
        </w:rPr>
        <w:t xml:space="preserve">will </w:t>
      </w:r>
      <w:r w:rsidRPr="005764FC">
        <w:rPr>
          <w:lang w:bidi="fa-IR"/>
        </w:rPr>
        <w:t>likely continue</w:t>
      </w:r>
      <w:r w:rsidR="004F05E7" w:rsidRPr="005764FC">
        <w:rPr>
          <w:lang w:bidi="fa-IR"/>
        </w:rPr>
        <w:t xml:space="preserve"> to grow</w:t>
      </w:r>
      <w:r w:rsidRPr="005764FC">
        <w:rPr>
          <w:lang w:bidi="fa-IR"/>
        </w:rPr>
        <w:t xml:space="preserve">, congestion and time spent travelling is expected to worsen. A </w:t>
      </w:r>
      <w:r w:rsidR="00B035A4" w:rsidRPr="005764FC">
        <w:rPr>
          <w:lang w:bidi="fa-IR"/>
        </w:rPr>
        <w:t xml:space="preserve">travel </w:t>
      </w:r>
      <w:r w:rsidRPr="005764FC">
        <w:rPr>
          <w:lang w:bidi="fa-IR"/>
        </w:rPr>
        <w:t xml:space="preserve">increase results in economic </w:t>
      </w:r>
      <w:r w:rsidR="008E5C70" w:rsidRPr="005764FC">
        <w:rPr>
          <w:lang w:bidi="fa-IR"/>
        </w:rPr>
        <w:t>losses</w:t>
      </w:r>
      <w:r w:rsidR="00B035A4" w:rsidRPr="005764FC">
        <w:rPr>
          <w:lang w:bidi="fa-IR"/>
        </w:rPr>
        <w:t>: t</w:t>
      </w:r>
      <w:r w:rsidRPr="005764FC">
        <w:rPr>
          <w:lang w:bidi="fa-IR"/>
        </w:rPr>
        <w:t xml:space="preserve">he current </w:t>
      </w:r>
      <w:r w:rsidR="008224B9" w:rsidRPr="005764FC">
        <w:rPr>
          <w:lang w:bidi="fa-IR"/>
        </w:rPr>
        <w:t>travel</w:t>
      </w:r>
      <w:r w:rsidR="00B035A4" w:rsidRPr="005764FC">
        <w:rPr>
          <w:lang w:bidi="fa-IR"/>
        </w:rPr>
        <w:t>-</w:t>
      </w:r>
      <w:r w:rsidR="008224B9" w:rsidRPr="005764FC">
        <w:rPr>
          <w:lang w:bidi="fa-IR"/>
        </w:rPr>
        <w:t xml:space="preserve">time </w:t>
      </w:r>
      <w:r w:rsidRPr="005764FC">
        <w:rPr>
          <w:lang w:bidi="fa-IR"/>
        </w:rPr>
        <w:t>value of a passenger</w:t>
      </w:r>
      <w:r w:rsidR="00B035A4" w:rsidRPr="005764FC">
        <w:rPr>
          <w:lang w:bidi="fa-IR"/>
        </w:rPr>
        <w:t>-</w:t>
      </w:r>
      <w:r w:rsidRPr="005764FC">
        <w:rPr>
          <w:lang w:bidi="fa-IR"/>
        </w:rPr>
        <w:t xml:space="preserve">hour travelled </w:t>
      </w:r>
      <w:r w:rsidR="00B035A4" w:rsidRPr="005764FC">
        <w:rPr>
          <w:lang w:bidi="fa-IR"/>
        </w:rPr>
        <w:t>is</w:t>
      </w:r>
      <w:r w:rsidRPr="005764FC">
        <w:rPr>
          <w:lang w:bidi="fa-IR"/>
        </w:rPr>
        <w:t xml:space="preserve"> </w:t>
      </w:r>
      <w:r w:rsidR="00B035A4" w:rsidRPr="005764FC">
        <w:rPr>
          <w:lang w:bidi="fa-IR"/>
        </w:rPr>
        <w:t>$</w:t>
      </w:r>
      <w:r w:rsidRPr="005764FC">
        <w:rPr>
          <w:lang w:bidi="fa-IR"/>
        </w:rPr>
        <w:t>14.99 per hour</w:t>
      </w:r>
      <w:r w:rsidR="00635C77" w:rsidRPr="005764FC">
        <w:rPr>
          <w:lang w:bidi="fa-IR"/>
        </w:rPr>
        <w:t xml:space="preserve">; </w:t>
      </w:r>
      <w:r w:rsidRPr="005764FC">
        <w:rPr>
          <w:lang w:bidi="fa-IR"/>
        </w:rPr>
        <w:t>commercial vehicles</w:t>
      </w:r>
      <w:r w:rsidR="00B45CD7" w:rsidRPr="005764FC">
        <w:rPr>
          <w:lang w:bidi="fa-IR"/>
        </w:rPr>
        <w:t>’</w:t>
      </w:r>
      <w:r w:rsidR="008224B9" w:rsidRPr="005764FC">
        <w:rPr>
          <w:lang w:bidi="fa-IR"/>
        </w:rPr>
        <w:t xml:space="preserve"> </w:t>
      </w:r>
      <w:r w:rsidR="00AB5C4D" w:rsidRPr="005764FC">
        <w:rPr>
          <w:lang w:bidi="fa-IR"/>
        </w:rPr>
        <w:t xml:space="preserve">per passenger </w:t>
      </w:r>
      <w:r w:rsidR="008224B9" w:rsidRPr="005764FC">
        <w:rPr>
          <w:lang w:bidi="fa-IR"/>
        </w:rPr>
        <w:t>travel</w:t>
      </w:r>
      <w:r w:rsidR="00B45CD7" w:rsidRPr="005764FC">
        <w:rPr>
          <w:lang w:bidi="fa-IR"/>
        </w:rPr>
        <w:t>-</w:t>
      </w:r>
      <w:r w:rsidR="008224B9" w:rsidRPr="005764FC">
        <w:rPr>
          <w:lang w:bidi="fa-IR"/>
        </w:rPr>
        <w:t>time value rang</w:t>
      </w:r>
      <w:r w:rsidR="00B45CD7" w:rsidRPr="005764FC">
        <w:rPr>
          <w:lang w:bidi="fa-IR"/>
        </w:rPr>
        <w:t>es</w:t>
      </w:r>
      <w:r w:rsidR="008224B9" w:rsidRPr="005764FC" w:rsidDel="00B45CD7">
        <w:rPr>
          <w:lang w:bidi="fa-IR"/>
        </w:rPr>
        <w:t xml:space="preserve"> </w:t>
      </w:r>
      <w:r w:rsidR="00B45CD7" w:rsidRPr="005764FC">
        <w:rPr>
          <w:lang w:bidi="fa-IR"/>
        </w:rPr>
        <w:t xml:space="preserve">from </w:t>
      </w:r>
      <w:r w:rsidR="000407FE" w:rsidRPr="005764FC">
        <w:rPr>
          <w:lang w:bidi="fa-IR"/>
        </w:rPr>
        <w:t>$</w:t>
      </w:r>
      <w:r w:rsidR="00B77BF2" w:rsidRPr="005764FC">
        <w:rPr>
          <w:lang w:bidi="fa-IR"/>
        </w:rPr>
        <w:t xml:space="preserve">25.41 to </w:t>
      </w:r>
      <w:r w:rsidR="000407FE" w:rsidRPr="005764FC">
        <w:rPr>
          <w:lang w:bidi="fa-IR"/>
        </w:rPr>
        <w:t>$</w:t>
      </w:r>
      <w:r w:rsidR="008B33EE" w:rsidRPr="005764FC">
        <w:rPr>
          <w:lang w:bidi="fa-IR"/>
        </w:rPr>
        <w:t>28.45</w:t>
      </w:r>
      <w:r w:rsidR="00B77BF2" w:rsidRPr="005764FC">
        <w:rPr>
          <w:lang w:bidi="fa-IR"/>
        </w:rPr>
        <w:t xml:space="preserve"> per hour</w:t>
      </w:r>
      <w:r w:rsidR="008B33EE" w:rsidRPr="005764FC">
        <w:rPr>
          <w:lang w:bidi="fa-IR"/>
        </w:rPr>
        <w:t xml:space="preserve"> in urban </w:t>
      </w:r>
      <w:r w:rsidR="00054A3D" w:rsidRPr="005764FC">
        <w:rPr>
          <w:lang w:bidi="fa-IR"/>
        </w:rPr>
        <w:t>environments</w:t>
      </w:r>
      <w:r w:rsidR="001D7F31">
        <w:rPr>
          <w:lang w:bidi="fa-IR"/>
        </w:rPr>
        <w:t xml:space="preserve"> </w:t>
      </w:r>
      <w:sdt>
        <w:sdtPr>
          <w:rPr>
            <w:lang w:bidi="fa-IR"/>
          </w:rPr>
          <w:id w:val="524063535"/>
          <w:citation/>
        </w:sdtPr>
        <w:sdtContent>
          <w:r w:rsidR="001D7F31">
            <w:rPr>
              <w:lang w:bidi="fa-IR"/>
            </w:rPr>
            <w:fldChar w:fldCharType="begin"/>
          </w:r>
          <w:r w:rsidR="001D7F31">
            <w:rPr>
              <w:lang w:bidi="fa-IR"/>
            </w:rPr>
            <w:instrText xml:space="preserve"> CITATION ATA21 \l 3081 </w:instrText>
          </w:r>
          <w:r w:rsidR="001D7F31">
            <w:rPr>
              <w:lang w:bidi="fa-IR"/>
            </w:rPr>
            <w:fldChar w:fldCharType="separate"/>
          </w:r>
          <w:r w:rsidR="001428F9">
            <w:rPr>
              <w:noProof/>
              <w:lang w:bidi="fa-IR"/>
            </w:rPr>
            <w:t>(ATAP, 2021)</w:t>
          </w:r>
          <w:r w:rsidR="001D7F31">
            <w:rPr>
              <w:lang w:bidi="fa-IR"/>
            </w:rPr>
            <w:fldChar w:fldCharType="end"/>
          </w:r>
        </w:sdtContent>
      </w:sdt>
      <w:r w:rsidR="00E60B08" w:rsidRPr="005764FC">
        <w:rPr>
          <w:lang w:bidi="fa-IR"/>
        </w:rPr>
        <w:t>.</w:t>
      </w:r>
    </w:p>
    <w:p w14:paraId="573C1583" w14:textId="77777777" w:rsidR="001E0251" w:rsidRPr="005764FC" w:rsidRDefault="001E0251" w:rsidP="008D2E01">
      <w:pPr>
        <w:pStyle w:val="Heading2"/>
      </w:pPr>
      <w:bookmarkStart w:id="81" w:name="_Ref92795162"/>
      <w:bookmarkStart w:id="82" w:name="_Toc94536678"/>
      <w:bookmarkStart w:id="83" w:name="_Toc94453138"/>
      <w:bookmarkStart w:id="84" w:name="_Toc97807785"/>
      <w:bookmarkStart w:id="85" w:name="_Ref90841993"/>
      <w:bookmarkEnd w:id="66"/>
      <w:r w:rsidRPr="005764FC">
        <w:t>Policy Context</w:t>
      </w:r>
      <w:bookmarkEnd w:id="81"/>
      <w:bookmarkEnd w:id="82"/>
      <w:bookmarkEnd w:id="83"/>
      <w:bookmarkEnd w:id="84"/>
    </w:p>
    <w:p w14:paraId="4CA4CFB3" w14:textId="3C98059E" w:rsidR="00E2178F" w:rsidRPr="005764FC" w:rsidRDefault="003271C8" w:rsidP="008D71A6">
      <w:pPr>
        <w:pStyle w:val="Heading3"/>
        <w:rPr>
          <w:lang w:eastAsia="fr-CA"/>
        </w:rPr>
      </w:pPr>
      <w:bookmarkStart w:id="86" w:name="_Toc94536679"/>
      <w:r w:rsidRPr="005764FC">
        <w:rPr>
          <w:lang w:eastAsia="fr-CA"/>
        </w:rPr>
        <w:t xml:space="preserve">National Land Transport </w:t>
      </w:r>
      <w:r w:rsidR="00CE1198">
        <w:rPr>
          <w:lang w:eastAsia="fr-CA"/>
        </w:rPr>
        <w:t xml:space="preserve">Technology Policy </w:t>
      </w:r>
      <w:r w:rsidR="00801A22" w:rsidRPr="005764FC">
        <w:rPr>
          <w:lang w:eastAsia="fr-CA"/>
        </w:rPr>
        <w:t xml:space="preserve">Framework </w:t>
      </w:r>
      <w:r w:rsidR="00CE1198">
        <w:rPr>
          <w:lang w:eastAsia="fr-CA"/>
        </w:rPr>
        <w:t xml:space="preserve">and </w:t>
      </w:r>
      <w:r w:rsidR="00801A22" w:rsidRPr="005764FC">
        <w:rPr>
          <w:lang w:eastAsia="fr-CA"/>
        </w:rPr>
        <w:t>Action Plan</w:t>
      </w:r>
      <w:bookmarkEnd w:id="86"/>
    </w:p>
    <w:p w14:paraId="44C6961B" w14:textId="4D6626AF" w:rsidR="00E505CA" w:rsidRPr="005764FC" w:rsidRDefault="000A09E9" w:rsidP="00E505CA">
      <w:pPr>
        <w:pStyle w:val="BodyText"/>
        <w:rPr>
          <w:lang w:eastAsia="fr-CA"/>
        </w:rPr>
      </w:pPr>
      <w:r w:rsidRPr="005764FC">
        <w:rPr>
          <w:lang w:eastAsia="fr-CA"/>
        </w:rPr>
        <w:t xml:space="preserve">C-ITS </w:t>
      </w:r>
      <w:r w:rsidRPr="00866C11">
        <w:rPr>
          <w:lang w:eastAsia="fr-CA"/>
        </w:rPr>
        <w:t>strong</w:t>
      </w:r>
      <w:r w:rsidR="00531A3D" w:rsidRPr="00866C11">
        <w:rPr>
          <w:lang w:eastAsia="fr-CA"/>
        </w:rPr>
        <w:t>ly</w:t>
      </w:r>
      <w:r w:rsidRPr="00866C11">
        <w:rPr>
          <w:lang w:eastAsia="fr-CA"/>
        </w:rPr>
        <w:t xml:space="preserve"> align</w:t>
      </w:r>
      <w:r w:rsidR="00531A3D" w:rsidRPr="00866C11">
        <w:rPr>
          <w:lang w:eastAsia="fr-CA"/>
        </w:rPr>
        <w:t>s</w:t>
      </w:r>
      <w:r w:rsidRPr="00866C11">
        <w:rPr>
          <w:lang w:eastAsia="fr-CA"/>
        </w:rPr>
        <w:t xml:space="preserve"> </w:t>
      </w:r>
      <w:r w:rsidR="00866C11">
        <w:rPr>
          <w:lang w:eastAsia="fr-CA"/>
        </w:rPr>
        <w:t>with</w:t>
      </w:r>
      <w:r w:rsidRPr="00866C11">
        <w:rPr>
          <w:lang w:eastAsia="fr-CA"/>
        </w:rPr>
        <w:t xml:space="preserve"> the </w:t>
      </w:r>
      <w:r w:rsidR="00B30075" w:rsidRPr="00866C11">
        <w:rPr>
          <w:lang w:eastAsia="fr-CA"/>
        </w:rPr>
        <w:t xml:space="preserve">National Policy Framework for Land Transport Technology </w:t>
      </w:r>
      <w:r w:rsidR="00CE1198" w:rsidRPr="00866C11">
        <w:rPr>
          <w:lang w:eastAsia="fr-CA"/>
        </w:rPr>
        <w:t xml:space="preserve">and its associated </w:t>
      </w:r>
      <w:r w:rsidR="00B30075" w:rsidRPr="00866C11">
        <w:rPr>
          <w:lang w:eastAsia="fr-CA"/>
        </w:rPr>
        <w:t>Action Plan 2020</w:t>
      </w:r>
      <w:r w:rsidR="00465EAC" w:rsidRPr="00866C11">
        <w:rPr>
          <w:lang w:eastAsia="fr-CA"/>
        </w:rPr>
        <w:t>–</w:t>
      </w:r>
      <w:r w:rsidR="00B30075" w:rsidRPr="00866C11">
        <w:rPr>
          <w:lang w:eastAsia="fr-CA"/>
        </w:rPr>
        <w:t>23</w:t>
      </w:r>
      <w:r w:rsidR="00472A15" w:rsidRPr="00866C11">
        <w:rPr>
          <w:lang w:eastAsia="fr-CA"/>
        </w:rPr>
        <w:t xml:space="preserve"> </w:t>
      </w:r>
      <w:r w:rsidR="007602FF" w:rsidRPr="00866C11">
        <w:rPr>
          <w:lang w:eastAsia="fr-CA"/>
        </w:rPr>
        <w:t>(</w:t>
      </w:r>
      <w:r w:rsidR="00886080" w:rsidRPr="00866C11">
        <w:rPr>
          <w:lang w:eastAsia="fr-CA"/>
        </w:rPr>
        <w:t>particularly</w:t>
      </w:r>
      <w:r w:rsidR="00664981" w:rsidRPr="00866C11">
        <w:rPr>
          <w:lang w:eastAsia="fr-CA"/>
        </w:rPr>
        <w:t xml:space="preserve"> Action 2.1).</w:t>
      </w:r>
      <w:r w:rsidR="00664981">
        <w:rPr>
          <w:lang w:eastAsia="fr-CA"/>
        </w:rPr>
        <w:t xml:space="preserve"> S</w:t>
      </w:r>
      <w:r w:rsidR="00472A15" w:rsidRPr="005764FC">
        <w:rPr>
          <w:lang w:eastAsia="fr-CA"/>
        </w:rPr>
        <w:t xml:space="preserve">afety, efficiency, sustainability and </w:t>
      </w:r>
      <w:r w:rsidR="00276119" w:rsidRPr="005764FC">
        <w:rPr>
          <w:lang w:eastAsia="fr-CA"/>
        </w:rPr>
        <w:t>accessibility</w:t>
      </w:r>
      <w:r w:rsidR="00472A15" w:rsidRPr="005764FC">
        <w:rPr>
          <w:lang w:eastAsia="fr-CA"/>
        </w:rPr>
        <w:t xml:space="preserve"> are of </w:t>
      </w:r>
      <w:r w:rsidR="00276119" w:rsidRPr="005764FC">
        <w:rPr>
          <w:lang w:eastAsia="fr-CA"/>
        </w:rPr>
        <w:t>strategic</w:t>
      </w:r>
      <w:r w:rsidR="00472A15" w:rsidRPr="005764FC">
        <w:rPr>
          <w:lang w:eastAsia="fr-CA"/>
        </w:rPr>
        <w:t xml:space="preserve"> focus</w:t>
      </w:r>
      <w:r w:rsidR="00664981">
        <w:rPr>
          <w:lang w:eastAsia="fr-CA"/>
        </w:rPr>
        <w:t xml:space="preserve"> for the framework</w:t>
      </w:r>
      <w:r w:rsidR="00472A15" w:rsidRPr="005764FC">
        <w:rPr>
          <w:lang w:eastAsia="fr-CA"/>
        </w:rPr>
        <w:t xml:space="preserve">. </w:t>
      </w:r>
      <w:r w:rsidR="00D33894" w:rsidRPr="005764FC">
        <w:rPr>
          <w:lang w:eastAsia="fr-CA"/>
        </w:rPr>
        <w:t xml:space="preserve">This report considers the </w:t>
      </w:r>
      <w:r w:rsidR="00373002" w:rsidRPr="005764FC">
        <w:rPr>
          <w:lang w:eastAsia="fr-CA"/>
        </w:rPr>
        <w:t xml:space="preserve">key issues </w:t>
      </w:r>
      <w:r w:rsidR="00CB4CA0" w:rsidRPr="005764FC">
        <w:rPr>
          <w:lang w:eastAsia="fr-CA"/>
        </w:rPr>
        <w:t xml:space="preserve">and </w:t>
      </w:r>
      <w:r w:rsidR="00465EAC" w:rsidRPr="005764FC">
        <w:rPr>
          <w:lang w:eastAsia="fr-CA"/>
        </w:rPr>
        <w:t xml:space="preserve">lists the </w:t>
      </w:r>
      <w:r w:rsidR="00CB4CA0" w:rsidRPr="005764FC">
        <w:rPr>
          <w:lang w:eastAsia="fr-CA"/>
        </w:rPr>
        <w:t xml:space="preserve">action plan areas </w:t>
      </w:r>
      <w:r w:rsidR="00763E66" w:rsidRPr="005764FC">
        <w:rPr>
          <w:lang w:eastAsia="fr-CA"/>
        </w:rPr>
        <w:t>relat</w:t>
      </w:r>
      <w:r w:rsidR="00465EAC" w:rsidRPr="005764FC">
        <w:rPr>
          <w:lang w:eastAsia="fr-CA"/>
        </w:rPr>
        <w:t>ed</w:t>
      </w:r>
      <w:r w:rsidR="00763E66" w:rsidRPr="005764FC">
        <w:rPr>
          <w:lang w:eastAsia="fr-CA"/>
        </w:rPr>
        <w:t xml:space="preserve"> to the impact of C-ITS. </w:t>
      </w:r>
    </w:p>
    <w:p w14:paraId="68DCD32D" w14:textId="5D37DF40" w:rsidR="00900AC5" w:rsidRPr="005764FC" w:rsidRDefault="00900AC5" w:rsidP="000A09E9">
      <w:pPr>
        <w:pStyle w:val="BodyText"/>
        <w:rPr>
          <w:lang w:eastAsia="fr-CA"/>
        </w:rPr>
      </w:pPr>
      <w:r w:rsidRPr="005764FC">
        <w:rPr>
          <w:lang w:eastAsia="fr-CA"/>
        </w:rPr>
        <w:t xml:space="preserve">Key issues and </w:t>
      </w:r>
      <w:r w:rsidR="00EF2B6F" w:rsidRPr="005764FC">
        <w:rPr>
          <w:lang w:eastAsia="fr-CA"/>
        </w:rPr>
        <w:t>C-ITS action areas</w:t>
      </w:r>
      <w:r w:rsidR="00AB77F7" w:rsidRPr="005764FC">
        <w:rPr>
          <w:lang w:eastAsia="fr-CA"/>
        </w:rPr>
        <w:t xml:space="preserve"> are</w:t>
      </w:r>
      <w:r w:rsidR="00EF2B6F" w:rsidRPr="005764FC">
        <w:rPr>
          <w:lang w:eastAsia="fr-CA"/>
        </w:rPr>
        <w:t>:</w:t>
      </w:r>
    </w:p>
    <w:p w14:paraId="33396A0F" w14:textId="3CDFD477" w:rsidR="00524B66" w:rsidRPr="005764FC" w:rsidRDefault="00B12F62" w:rsidP="00F7200B">
      <w:pPr>
        <w:pStyle w:val="ListBullet"/>
        <w:ind w:left="357" w:hanging="357"/>
        <w:contextualSpacing/>
      </w:pPr>
      <w:r w:rsidRPr="005764FC">
        <w:t>S</w:t>
      </w:r>
      <w:r w:rsidR="00F7200B" w:rsidRPr="005764FC">
        <w:t>afety, security and privacy</w:t>
      </w:r>
    </w:p>
    <w:p w14:paraId="3CA6937F" w14:textId="6962152A" w:rsidR="00524B66" w:rsidRPr="005764FC" w:rsidRDefault="00B12F62" w:rsidP="00F7200B">
      <w:pPr>
        <w:pStyle w:val="ListBullet"/>
        <w:ind w:left="357" w:hanging="357"/>
        <w:contextualSpacing/>
      </w:pPr>
      <w:r w:rsidRPr="005764FC">
        <w:t>D</w:t>
      </w:r>
      <w:r w:rsidR="00F7200B" w:rsidRPr="005764FC">
        <w:t>igital and physical infrastructure</w:t>
      </w:r>
    </w:p>
    <w:p w14:paraId="5D754501" w14:textId="1A868551" w:rsidR="00524B66" w:rsidRPr="005764FC" w:rsidRDefault="00B12F62" w:rsidP="00F7200B">
      <w:pPr>
        <w:pStyle w:val="ListBullet"/>
        <w:ind w:left="357" w:hanging="357"/>
        <w:contextualSpacing/>
      </w:pPr>
      <w:r w:rsidRPr="005764FC">
        <w:t>D</w:t>
      </w:r>
      <w:r w:rsidR="00F7200B" w:rsidRPr="005764FC">
        <w:t>ata</w:t>
      </w:r>
    </w:p>
    <w:p w14:paraId="76E51758" w14:textId="1D372909" w:rsidR="00524B66" w:rsidRPr="005764FC" w:rsidRDefault="00B12F62" w:rsidP="00F7200B">
      <w:pPr>
        <w:pStyle w:val="ListBullet"/>
        <w:ind w:left="357" w:hanging="357"/>
        <w:contextualSpacing/>
      </w:pPr>
      <w:r w:rsidRPr="005764FC">
        <w:t>S</w:t>
      </w:r>
      <w:r w:rsidR="00F7200B" w:rsidRPr="005764FC">
        <w:t>tandards and interoperability</w:t>
      </w:r>
    </w:p>
    <w:p w14:paraId="4A685977" w14:textId="4DA27C38" w:rsidR="00524B66" w:rsidRPr="005764FC" w:rsidRDefault="002930B4" w:rsidP="00F7200B">
      <w:pPr>
        <w:pStyle w:val="ListBullet"/>
        <w:ind w:left="357" w:hanging="357"/>
        <w:contextualSpacing/>
      </w:pPr>
      <w:r w:rsidRPr="005764FC">
        <w:t>D</w:t>
      </w:r>
      <w:r w:rsidR="00F7200B" w:rsidRPr="005764FC">
        <w:t>isruption and change</w:t>
      </w:r>
      <w:r w:rsidR="00A57487">
        <w:t>.</w:t>
      </w:r>
    </w:p>
    <w:p w14:paraId="6E5404D7" w14:textId="771483F6" w:rsidR="00173430" w:rsidRPr="005764FC" w:rsidRDefault="00173430" w:rsidP="00F7200B">
      <w:pPr>
        <w:pStyle w:val="BodyText"/>
      </w:pPr>
      <w:r w:rsidRPr="005764FC">
        <w:t>Other key strategies</w:t>
      </w:r>
      <w:r w:rsidR="004F303C" w:rsidRPr="005764FC">
        <w:t>, frameworks and agreements</w:t>
      </w:r>
      <w:r w:rsidRPr="005764FC">
        <w:t xml:space="preserve"> </w:t>
      </w:r>
      <w:r w:rsidR="00465EAC" w:rsidRPr="005764FC">
        <w:t>that</w:t>
      </w:r>
      <w:r w:rsidRPr="005764FC">
        <w:t xml:space="preserve"> also need </w:t>
      </w:r>
      <w:r w:rsidR="00011BA8" w:rsidRPr="005764FC">
        <w:t>consider</w:t>
      </w:r>
      <w:r w:rsidR="00465EAC" w:rsidRPr="005764FC">
        <w:t>ing</w:t>
      </w:r>
      <w:r w:rsidR="00011BA8" w:rsidRPr="005764FC">
        <w:t xml:space="preserve"> to understand potential </w:t>
      </w:r>
      <w:r w:rsidR="00812A36" w:rsidRPr="005764FC">
        <w:t xml:space="preserve">C-ITS </w:t>
      </w:r>
      <w:r w:rsidR="00011BA8" w:rsidRPr="005764FC">
        <w:t xml:space="preserve">opportunities are outlined, including the National Road Safety Strategy, Intergovernmental </w:t>
      </w:r>
      <w:r w:rsidR="004F303C" w:rsidRPr="005764FC">
        <w:t xml:space="preserve">Agreement </w:t>
      </w:r>
      <w:r w:rsidR="00284975" w:rsidRPr="005764FC">
        <w:t>on Data Sharing</w:t>
      </w:r>
      <w:r w:rsidR="00011BA8" w:rsidRPr="005764FC">
        <w:t xml:space="preserve"> for road safety</w:t>
      </w:r>
      <w:r w:rsidR="004F303C" w:rsidRPr="005764FC">
        <w:t xml:space="preserve">, National Safety Framework for CAVs and State data strategies. </w:t>
      </w:r>
    </w:p>
    <w:p w14:paraId="2E2A5CF9" w14:textId="6770E526" w:rsidR="00C704C0" w:rsidRPr="005764FC" w:rsidRDefault="00C704C0" w:rsidP="008D71A6">
      <w:pPr>
        <w:pStyle w:val="Heading3"/>
        <w:rPr>
          <w:lang w:eastAsia="fr-CA"/>
        </w:rPr>
      </w:pPr>
      <w:bookmarkStart w:id="87" w:name="_Toc94536680"/>
      <w:r w:rsidRPr="005764FC">
        <w:rPr>
          <w:lang w:eastAsia="fr-CA"/>
        </w:rPr>
        <w:t xml:space="preserve">National Road Safety </w:t>
      </w:r>
      <w:r w:rsidR="007C26A4" w:rsidRPr="005764FC">
        <w:rPr>
          <w:lang w:eastAsia="fr-CA"/>
        </w:rPr>
        <w:t>Strategy 2021</w:t>
      </w:r>
      <w:r w:rsidR="00465EAC" w:rsidRPr="005764FC">
        <w:rPr>
          <w:lang w:eastAsia="fr-CA"/>
        </w:rPr>
        <w:t>–</w:t>
      </w:r>
      <w:r w:rsidR="007C26A4" w:rsidRPr="005764FC">
        <w:rPr>
          <w:lang w:eastAsia="fr-CA"/>
        </w:rPr>
        <w:t>30</w:t>
      </w:r>
      <w:bookmarkEnd w:id="87"/>
      <w:r w:rsidR="007C26A4" w:rsidRPr="005764FC">
        <w:rPr>
          <w:lang w:eastAsia="fr-CA"/>
        </w:rPr>
        <w:t xml:space="preserve"> </w:t>
      </w:r>
    </w:p>
    <w:p w14:paraId="02E02507" w14:textId="2875DFC9" w:rsidR="00A73376" w:rsidRPr="005764FC" w:rsidRDefault="00A73376" w:rsidP="00A73376">
      <w:pPr>
        <w:pStyle w:val="BodyText"/>
        <w:rPr>
          <w:lang w:eastAsia="fr-CA"/>
        </w:rPr>
      </w:pPr>
      <w:r w:rsidRPr="005764FC">
        <w:rPr>
          <w:lang w:eastAsia="fr-CA"/>
        </w:rPr>
        <w:t xml:space="preserve">The </w:t>
      </w:r>
      <w:r w:rsidR="007C748C" w:rsidRPr="005764FC">
        <w:rPr>
          <w:lang w:eastAsia="fr-CA"/>
        </w:rPr>
        <w:t>National Road Safety Strategy 2021</w:t>
      </w:r>
      <w:r w:rsidR="00465EAC" w:rsidRPr="005764FC">
        <w:rPr>
          <w:lang w:eastAsia="fr-CA"/>
        </w:rPr>
        <w:t>–</w:t>
      </w:r>
      <w:r w:rsidR="007C748C" w:rsidRPr="005764FC">
        <w:rPr>
          <w:lang w:eastAsia="fr-CA"/>
        </w:rPr>
        <w:t xml:space="preserve">30 </w:t>
      </w:r>
      <w:r w:rsidR="00B750FD" w:rsidRPr="005764FC">
        <w:rPr>
          <w:lang w:eastAsia="fr-CA"/>
        </w:rPr>
        <w:t xml:space="preserve">outlines the </w:t>
      </w:r>
      <w:r w:rsidR="005A4797" w:rsidRPr="005764FC">
        <w:rPr>
          <w:lang w:eastAsia="fr-CA"/>
        </w:rPr>
        <w:t xml:space="preserve">national priority areas for action. </w:t>
      </w:r>
      <w:r w:rsidR="00284975" w:rsidRPr="005764FC">
        <w:rPr>
          <w:lang w:eastAsia="fr-CA"/>
        </w:rPr>
        <w:t>C-ITS could address the strategy’s</w:t>
      </w:r>
      <w:r w:rsidR="00691A64" w:rsidRPr="005764FC">
        <w:rPr>
          <w:lang w:eastAsia="fr-CA"/>
        </w:rPr>
        <w:t xml:space="preserve"> priorities</w:t>
      </w:r>
      <w:r w:rsidR="00284975" w:rsidRPr="005764FC">
        <w:rPr>
          <w:lang w:eastAsia="fr-CA"/>
        </w:rPr>
        <w:t>.</w:t>
      </w:r>
      <w:r w:rsidR="006C2CF4" w:rsidRPr="005764FC">
        <w:rPr>
          <w:lang w:eastAsia="fr-CA"/>
        </w:rPr>
        <w:t xml:space="preserve"> The </w:t>
      </w:r>
      <w:r w:rsidR="00465EAC" w:rsidRPr="005764FC">
        <w:rPr>
          <w:lang w:eastAsia="fr-CA"/>
        </w:rPr>
        <w:t xml:space="preserve">positive </w:t>
      </w:r>
      <w:r w:rsidR="006C2CF4" w:rsidRPr="005764FC">
        <w:rPr>
          <w:lang w:eastAsia="fr-CA"/>
        </w:rPr>
        <w:t>impact</w:t>
      </w:r>
      <w:r w:rsidR="00465EAC" w:rsidRPr="005764FC">
        <w:rPr>
          <w:lang w:eastAsia="fr-CA"/>
        </w:rPr>
        <w:t>s</w:t>
      </w:r>
      <w:r w:rsidR="006C2CF4" w:rsidRPr="005764FC">
        <w:rPr>
          <w:lang w:eastAsia="fr-CA"/>
        </w:rPr>
        <w:t xml:space="preserve"> of C-ITS</w:t>
      </w:r>
      <w:r w:rsidR="000D338F" w:rsidRPr="005764FC">
        <w:rPr>
          <w:lang w:eastAsia="fr-CA"/>
        </w:rPr>
        <w:t xml:space="preserve"> </w:t>
      </w:r>
      <w:r w:rsidR="004E3C50" w:rsidRPr="005764FC">
        <w:rPr>
          <w:lang w:eastAsia="fr-CA"/>
        </w:rPr>
        <w:t xml:space="preserve">can be </w:t>
      </w:r>
      <w:r w:rsidR="00465EAC" w:rsidRPr="005764FC">
        <w:rPr>
          <w:lang w:eastAsia="fr-CA"/>
        </w:rPr>
        <w:t>expected in</w:t>
      </w:r>
      <w:r w:rsidR="009045C9" w:rsidRPr="005764FC">
        <w:rPr>
          <w:lang w:eastAsia="fr-CA"/>
        </w:rPr>
        <w:t xml:space="preserve"> </w:t>
      </w:r>
      <w:r w:rsidR="000D338F" w:rsidRPr="005764FC">
        <w:rPr>
          <w:lang w:eastAsia="fr-CA"/>
        </w:rPr>
        <w:t xml:space="preserve">general vehicle safety, regional road safety, heavy vehicle </w:t>
      </w:r>
      <w:r w:rsidR="006C2CF4" w:rsidRPr="005764FC">
        <w:rPr>
          <w:lang w:eastAsia="fr-CA"/>
        </w:rPr>
        <w:t>safety</w:t>
      </w:r>
      <w:r w:rsidR="001012C5" w:rsidRPr="005764FC">
        <w:rPr>
          <w:lang w:eastAsia="fr-CA"/>
        </w:rPr>
        <w:t xml:space="preserve"> and</w:t>
      </w:r>
      <w:r w:rsidR="006C2CF4" w:rsidRPr="005764FC">
        <w:rPr>
          <w:lang w:eastAsia="fr-CA"/>
        </w:rPr>
        <w:t xml:space="preserve"> vulnerable road users</w:t>
      </w:r>
      <w:r w:rsidR="001012C5" w:rsidRPr="005764FC">
        <w:rPr>
          <w:lang w:eastAsia="fr-CA"/>
        </w:rPr>
        <w:t xml:space="preserve">. </w:t>
      </w:r>
    </w:p>
    <w:p w14:paraId="2506472F" w14:textId="792AFD61" w:rsidR="0004571C" w:rsidRPr="005764FC" w:rsidRDefault="00284975" w:rsidP="00787932">
      <w:pPr>
        <w:pStyle w:val="BodyText"/>
        <w:rPr>
          <w:lang w:eastAsia="fr-CA"/>
        </w:rPr>
      </w:pPr>
      <w:r w:rsidRPr="005764FC">
        <w:rPr>
          <w:lang w:eastAsia="fr-CA"/>
        </w:rPr>
        <w:t>T</w:t>
      </w:r>
      <w:r w:rsidR="0004571C" w:rsidRPr="005764FC">
        <w:rPr>
          <w:lang w:eastAsia="fr-CA"/>
        </w:rPr>
        <w:t xml:space="preserve">he strategy identifies that </w:t>
      </w:r>
      <w:r w:rsidR="00D50D6A" w:rsidRPr="005764FC">
        <w:rPr>
          <w:lang w:eastAsia="fr-CA"/>
        </w:rPr>
        <w:t>in major cities</w:t>
      </w:r>
      <w:r w:rsidR="00465EAC" w:rsidRPr="005764FC">
        <w:rPr>
          <w:lang w:eastAsia="fr-CA"/>
        </w:rPr>
        <w:t>,</w:t>
      </w:r>
      <w:r w:rsidR="00D50D6A" w:rsidRPr="005764FC">
        <w:rPr>
          <w:lang w:eastAsia="fr-CA"/>
        </w:rPr>
        <w:t xml:space="preserve"> 2.2 road deaths and </w:t>
      </w:r>
      <w:r w:rsidR="001C0D8B" w:rsidRPr="005764FC">
        <w:rPr>
          <w:lang w:eastAsia="fr-CA"/>
        </w:rPr>
        <w:t>148.7 hospitalised injuries occur per 100,000</w:t>
      </w:r>
      <w:r w:rsidR="00C271C5" w:rsidRPr="005764FC">
        <w:rPr>
          <w:lang w:eastAsia="fr-CA"/>
        </w:rPr>
        <w:t xml:space="preserve"> people</w:t>
      </w:r>
      <w:r w:rsidR="00465EAC" w:rsidRPr="005764FC">
        <w:rPr>
          <w:lang w:eastAsia="fr-CA"/>
        </w:rPr>
        <w:t xml:space="preserve">. </w:t>
      </w:r>
      <w:r w:rsidRPr="005764FC">
        <w:rPr>
          <w:lang w:eastAsia="fr-CA"/>
        </w:rPr>
        <w:t>Notably</w:t>
      </w:r>
      <w:r w:rsidR="001C0D8B" w:rsidRPr="005764FC">
        <w:rPr>
          <w:lang w:eastAsia="fr-CA"/>
        </w:rPr>
        <w:t xml:space="preserve">, </w:t>
      </w:r>
      <w:r w:rsidR="002F22EE" w:rsidRPr="005764FC">
        <w:rPr>
          <w:lang w:eastAsia="fr-CA"/>
        </w:rPr>
        <w:t xml:space="preserve">this increases to 10.9 road deaths and 171.4 hospitalised injures in regional </w:t>
      </w:r>
      <w:r w:rsidR="00094F05" w:rsidRPr="005764FC">
        <w:rPr>
          <w:lang w:eastAsia="fr-CA"/>
        </w:rPr>
        <w:t>roads</w:t>
      </w:r>
      <w:r w:rsidR="00465EAC" w:rsidRPr="005764FC">
        <w:rPr>
          <w:lang w:eastAsia="fr-CA"/>
        </w:rPr>
        <w:t>,</w:t>
      </w:r>
      <w:r w:rsidR="00094F05" w:rsidRPr="005764FC">
        <w:rPr>
          <w:lang w:eastAsia="fr-CA"/>
        </w:rPr>
        <w:t xml:space="preserve"> and 23.6 road deaths and 213.6 hospitalised injuries </w:t>
      </w:r>
      <w:r w:rsidR="00176335" w:rsidRPr="005764FC">
        <w:rPr>
          <w:lang w:eastAsia="fr-CA"/>
        </w:rPr>
        <w:t xml:space="preserve">in remote roads. </w:t>
      </w:r>
    </w:p>
    <w:p w14:paraId="6126EE7C" w14:textId="00175CA4" w:rsidR="00916684" w:rsidRPr="005764FC" w:rsidRDefault="00582091" w:rsidP="00B17DA7">
      <w:pPr>
        <w:pStyle w:val="Image"/>
        <w:rPr>
          <w:lang w:eastAsia="fr-CA"/>
        </w:rPr>
      </w:pPr>
      <w:r w:rsidRPr="005764FC">
        <w:rPr>
          <w:noProof/>
          <w:lang w:eastAsia="en-AU"/>
        </w:rPr>
        <w:drawing>
          <wp:inline distT="0" distB="0" distL="0" distR="0" wp14:anchorId="5B0D6BB4" wp14:editId="0452EC34">
            <wp:extent cx="6122670" cy="2157730"/>
            <wp:effectExtent l="0" t="0" r="0" b="0"/>
            <wp:docPr id="240" name="Picture 240" descr="Figure 1.6. visualises the priorities with accompanying cartoon outline. Priorities include infrastructure planning and investment, vehicle safety, Aboriginal and Torres Strait islander people, regional road safety, heavy vehicle safety, vulnerable road users, remote road safety, workplace road safety and risky roa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2670" cy="2157730"/>
                    </a:xfrm>
                    <a:prstGeom prst="rect">
                      <a:avLst/>
                    </a:prstGeom>
                    <a:noFill/>
                    <a:ln>
                      <a:noFill/>
                    </a:ln>
                  </pic:spPr>
                </pic:pic>
              </a:graphicData>
            </a:graphic>
          </wp:inline>
        </w:drawing>
      </w:r>
    </w:p>
    <w:p w14:paraId="61E8B4FF" w14:textId="1209F696" w:rsidR="00E0221C" w:rsidRPr="005764FC" w:rsidRDefault="00E0221C" w:rsidP="00E4241C">
      <w:pPr>
        <w:pStyle w:val="Caption"/>
        <w:keepNext w:val="0"/>
      </w:pPr>
      <w:bookmarkStart w:id="88" w:name="_Toc97807827"/>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6</w:t>
      </w:r>
      <w:r w:rsidR="00287C9E" w:rsidRPr="005764FC">
        <w:fldChar w:fldCharType="end"/>
      </w:r>
      <w:r w:rsidRPr="005764FC">
        <w:tab/>
        <w:t>National Road Safety Strategy Priorities</w:t>
      </w:r>
      <w:bookmarkEnd w:id="88"/>
    </w:p>
    <w:p w14:paraId="46E33F92" w14:textId="77777777" w:rsidR="001E0251" w:rsidRPr="005764FC" w:rsidRDefault="001E0251" w:rsidP="008D71A6">
      <w:pPr>
        <w:pStyle w:val="Heading3"/>
      </w:pPr>
      <w:bookmarkStart w:id="89" w:name="_Toc94536681"/>
      <w:r w:rsidRPr="005764FC">
        <w:t>Intergovernmental data-sharing for road safety</w:t>
      </w:r>
      <w:bookmarkEnd w:id="89"/>
    </w:p>
    <w:p w14:paraId="563776D4" w14:textId="2AB57828" w:rsidR="001E0251" w:rsidRPr="005764FC" w:rsidRDefault="00A5248F" w:rsidP="001E0251">
      <w:pPr>
        <w:pStyle w:val="BodyText"/>
      </w:pPr>
      <w:r w:rsidRPr="005764FC">
        <w:t>In mid</w:t>
      </w:r>
      <w:r w:rsidR="00CB7373" w:rsidRPr="005764FC">
        <w:t>-2021</w:t>
      </w:r>
      <w:r w:rsidR="001D386D" w:rsidRPr="005764FC">
        <w:t>,</w:t>
      </w:r>
      <w:r w:rsidR="00CB7373" w:rsidRPr="005764FC">
        <w:t xml:space="preserve"> all Australian governments signed</w:t>
      </w:r>
      <w:r w:rsidR="00CB7373" w:rsidRPr="005764FC" w:rsidDel="002612DD">
        <w:t xml:space="preserve"> </w:t>
      </w:r>
      <w:r w:rsidR="00CB7373" w:rsidRPr="005764FC">
        <w:t>the Intergovernmental Agreement on Data Sharing</w:t>
      </w:r>
      <w:r w:rsidR="00015EA7">
        <w:t xml:space="preserve"> </w:t>
      </w:r>
      <w:sdt>
        <w:sdtPr>
          <w:id w:val="-1892718070"/>
          <w:citation/>
        </w:sdtPr>
        <w:sdtContent>
          <w:r w:rsidR="00015EA7">
            <w:fldChar w:fldCharType="begin"/>
          </w:r>
          <w:r w:rsidR="00015EA7">
            <w:instrText xml:space="preserve"> CITATION Dep211 \l 3081 </w:instrText>
          </w:r>
          <w:r w:rsidR="00015EA7">
            <w:fldChar w:fldCharType="separate"/>
          </w:r>
          <w:r w:rsidR="001428F9">
            <w:rPr>
              <w:noProof/>
            </w:rPr>
            <w:t>(Department of the Prime Minister and Cabinet, 2021)</w:t>
          </w:r>
          <w:r w:rsidR="00015EA7">
            <w:fldChar w:fldCharType="end"/>
          </w:r>
        </w:sdtContent>
      </w:sdt>
      <w:r w:rsidR="00CB7373" w:rsidRPr="005764FC">
        <w:t xml:space="preserve">. </w:t>
      </w:r>
      <w:r w:rsidR="002D5595" w:rsidRPr="005764FC">
        <w:t xml:space="preserve">This agreement states that </w:t>
      </w:r>
      <w:r w:rsidR="001E0251" w:rsidRPr="005764FC">
        <w:t xml:space="preserve">action </w:t>
      </w:r>
      <w:r w:rsidR="002D5595" w:rsidRPr="005764FC">
        <w:t>will be</w:t>
      </w:r>
      <w:r w:rsidR="001E0251" w:rsidRPr="005764FC">
        <w:t xml:space="preserve"> taken to address national priority data-sharing areas</w:t>
      </w:r>
      <w:r w:rsidR="00603168" w:rsidRPr="005764FC">
        <w:t>,</w:t>
      </w:r>
      <w:r w:rsidR="001E0251" w:rsidRPr="005764FC">
        <w:t xml:space="preserve"> and </w:t>
      </w:r>
      <w:r w:rsidR="00603168" w:rsidRPr="005764FC">
        <w:t xml:space="preserve">to </w:t>
      </w:r>
      <w:r w:rsidR="001E0251" w:rsidRPr="005764FC">
        <w:t>reform the Commonwealth</w:t>
      </w:r>
      <w:r w:rsidR="00603168" w:rsidRPr="005764FC">
        <w:t>,</w:t>
      </w:r>
      <w:r w:rsidR="001E0251" w:rsidRPr="005764FC">
        <w:t xml:space="preserve"> state and territory data-sharing system. Road Safety</w:t>
      </w:r>
      <w:r w:rsidR="00E73581" w:rsidRPr="005764FC">
        <w:t xml:space="preserve"> was highlighted as </w:t>
      </w:r>
      <w:r w:rsidR="00A912BD" w:rsidRPr="005764FC">
        <w:t xml:space="preserve">one of the </w:t>
      </w:r>
      <w:r w:rsidR="00284975" w:rsidRPr="005764FC">
        <w:t xml:space="preserve">agreement’s </w:t>
      </w:r>
      <w:r w:rsidR="00A912BD" w:rsidRPr="005764FC">
        <w:t>three initial priority areas</w:t>
      </w:r>
      <w:r w:rsidR="00812A36" w:rsidRPr="005764FC">
        <w:t>.</w:t>
      </w:r>
    </w:p>
    <w:p w14:paraId="28D677C3" w14:textId="2889139F" w:rsidR="001E0251" w:rsidRPr="005764FC" w:rsidRDefault="001E0251" w:rsidP="008D71A6">
      <w:pPr>
        <w:pStyle w:val="Heading3"/>
      </w:pPr>
      <w:bookmarkStart w:id="90" w:name="_Toc94536682"/>
      <w:r w:rsidRPr="005764FC">
        <w:t>CAV</w:t>
      </w:r>
      <w:r w:rsidR="004F303C" w:rsidRPr="005764FC">
        <w:t xml:space="preserve"> National Safety Framework</w:t>
      </w:r>
      <w:bookmarkEnd w:id="90"/>
    </w:p>
    <w:p w14:paraId="46BD3806" w14:textId="7FDDD146" w:rsidR="001E0251" w:rsidRPr="005764FC" w:rsidRDefault="00337B40" w:rsidP="001E0251">
      <w:pPr>
        <w:pStyle w:val="BodyText"/>
      </w:pPr>
      <w:r w:rsidRPr="005764FC">
        <w:t xml:space="preserve">In May 2021, Infrastructure and Transport </w:t>
      </w:r>
      <w:r w:rsidR="001E0251" w:rsidRPr="005764FC">
        <w:t>Ministers agreed on a roadmap for implementing a national safety framework for automated vehicles that aim</w:t>
      </w:r>
      <w:r w:rsidRPr="005764FC">
        <w:t>s</w:t>
      </w:r>
      <w:r w:rsidR="001E0251" w:rsidRPr="005764FC">
        <w:t xml:space="preserve"> to have national regulatory arrangements in place by 2026</w:t>
      </w:r>
      <w:r w:rsidR="00144EFD">
        <w:t xml:space="preserve"> </w:t>
      </w:r>
      <w:sdt>
        <w:sdtPr>
          <w:id w:val="1572701457"/>
          <w:citation/>
        </w:sdtPr>
        <w:sdtContent>
          <w:r w:rsidR="00144EFD">
            <w:fldChar w:fldCharType="begin"/>
          </w:r>
          <w:r w:rsidR="00144EFD">
            <w:instrText xml:space="preserve"> CITATION DIT211 \l 3081 </w:instrText>
          </w:r>
          <w:r w:rsidR="00144EFD">
            <w:fldChar w:fldCharType="separate"/>
          </w:r>
          <w:r w:rsidR="001428F9">
            <w:rPr>
              <w:noProof/>
            </w:rPr>
            <w:t>(DITRDC, 2021)</w:t>
          </w:r>
          <w:r w:rsidR="00144EFD">
            <w:fldChar w:fldCharType="end"/>
          </w:r>
        </w:sdtContent>
      </w:sdt>
      <w:r w:rsidR="00812A36" w:rsidRPr="005764FC">
        <w:t>.</w:t>
      </w:r>
      <w:r w:rsidR="00FA429C" w:rsidRPr="005764FC">
        <w:t xml:space="preserve"> </w:t>
      </w:r>
      <w:r w:rsidR="00506573" w:rsidRPr="005764FC">
        <w:t>Given</w:t>
      </w:r>
      <w:r w:rsidR="00FA429C" w:rsidRPr="005764FC">
        <w:t xml:space="preserve"> that </w:t>
      </w:r>
      <w:r w:rsidR="007A4870" w:rsidRPr="005764FC">
        <w:t>C</w:t>
      </w:r>
      <w:r w:rsidR="00FA429C" w:rsidRPr="005764FC">
        <w:t xml:space="preserve">AVs </w:t>
      </w:r>
      <w:r w:rsidR="00D60D3D" w:rsidRPr="005764FC">
        <w:t xml:space="preserve">will require </w:t>
      </w:r>
      <w:r w:rsidR="007A3FD9" w:rsidRPr="005764FC">
        <w:t xml:space="preserve">C-ITS </w:t>
      </w:r>
      <w:r w:rsidR="00F528B5" w:rsidRPr="005764FC">
        <w:t xml:space="preserve">to extend </w:t>
      </w:r>
      <w:r w:rsidR="00726F32" w:rsidRPr="005764FC">
        <w:t xml:space="preserve">their </w:t>
      </w:r>
      <w:r w:rsidR="00026973" w:rsidRPr="005764FC">
        <w:t xml:space="preserve">long-term </w:t>
      </w:r>
      <w:r w:rsidR="00726F32" w:rsidRPr="005764FC">
        <w:t>functionality and operating domain</w:t>
      </w:r>
      <w:r w:rsidR="00144EFD">
        <w:t xml:space="preserve"> </w:t>
      </w:r>
      <w:sdt>
        <w:sdtPr>
          <w:id w:val="-971590693"/>
          <w:citation/>
        </w:sdtPr>
        <w:sdtContent>
          <w:r w:rsidR="00144EFD">
            <w:fldChar w:fldCharType="begin"/>
          </w:r>
          <w:r w:rsidR="00144EFD">
            <w:instrText xml:space="preserve"> CITATION C2C19 \l 3081 </w:instrText>
          </w:r>
          <w:r w:rsidR="00144EFD">
            <w:fldChar w:fldCharType="separate"/>
          </w:r>
          <w:r w:rsidR="001428F9">
            <w:rPr>
              <w:noProof/>
            </w:rPr>
            <w:t>(C2CCC, 2019)</w:t>
          </w:r>
          <w:r w:rsidR="00144EFD">
            <w:fldChar w:fldCharType="end"/>
          </w:r>
        </w:sdtContent>
      </w:sdt>
      <w:r w:rsidR="00726F32" w:rsidRPr="005764FC">
        <w:t xml:space="preserve">, it is assumed that </w:t>
      </w:r>
      <w:r w:rsidR="009043D8" w:rsidRPr="005764FC">
        <w:t xml:space="preserve">C-ITS </w:t>
      </w:r>
      <w:r w:rsidR="00BC2410" w:rsidRPr="005764FC">
        <w:t xml:space="preserve">will impact </w:t>
      </w:r>
      <w:r w:rsidR="007A4870" w:rsidRPr="005764FC">
        <w:t>C</w:t>
      </w:r>
      <w:r w:rsidR="00506573" w:rsidRPr="005764FC">
        <w:t xml:space="preserve">AVs’ </w:t>
      </w:r>
      <w:r w:rsidR="00284975" w:rsidRPr="005764FC">
        <w:t xml:space="preserve">future </w:t>
      </w:r>
      <w:r w:rsidR="00BC2410" w:rsidRPr="005764FC">
        <w:t>capability</w:t>
      </w:r>
      <w:r w:rsidR="00644F46" w:rsidRPr="005764FC">
        <w:t xml:space="preserve">. </w:t>
      </w:r>
    </w:p>
    <w:p w14:paraId="768D40D1" w14:textId="77777777" w:rsidR="001E0251" w:rsidRPr="005764FC" w:rsidRDefault="001E0251" w:rsidP="008D71A6">
      <w:pPr>
        <w:pStyle w:val="Heading3"/>
      </w:pPr>
      <w:bookmarkStart w:id="91" w:name="_Toc94536683"/>
      <w:r w:rsidRPr="005764FC">
        <w:t>Digital Data strategy</w:t>
      </w:r>
      <w:bookmarkEnd w:id="91"/>
    </w:p>
    <w:p w14:paraId="5251224C" w14:textId="366EE2F0" w:rsidR="001E0251" w:rsidRPr="005764FC" w:rsidRDefault="007B69FA" w:rsidP="007B69FA">
      <w:pPr>
        <w:pStyle w:val="BodyText"/>
        <w:rPr>
          <w:lang w:eastAsia="fr-CA"/>
        </w:rPr>
      </w:pPr>
      <w:r w:rsidRPr="005764FC">
        <w:rPr>
          <w:lang w:eastAsia="fr-CA"/>
        </w:rPr>
        <w:t>C‑ITS is an avenue to improve</w:t>
      </w:r>
      <w:r w:rsidR="009E0429" w:rsidRPr="005764FC">
        <w:rPr>
          <w:lang w:eastAsia="fr-CA"/>
        </w:rPr>
        <w:t xml:space="preserve"> or leverage</w:t>
      </w:r>
      <w:r w:rsidRPr="005764FC">
        <w:rPr>
          <w:lang w:eastAsia="fr-CA"/>
        </w:rPr>
        <w:t xml:space="preserve"> existing transport systems. It can give vehicles highly contextual information based on their spatial, temporal, and behavioural attributes. This requires a secure, near</w:t>
      </w:r>
      <w:r w:rsidR="00026973" w:rsidRPr="005764FC">
        <w:rPr>
          <w:lang w:eastAsia="fr-CA"/>
        </w:rPr>
        <w:t>-</w:t>
      </w:r>
      <w:r w:rsidRPr="005764FC">
        <w:rPr>
          <w:lang w:eastAsia="fr-CA"/>
        </w:rPr>
        <w:t>real-time</w:t>
      </w:r>
      <w:r w:rsidR="00026973" w:rsidRPr="005764FC">
        <w:rPr>
          <w:lang w:eastAsia="fr-CA"/>
        </w:rPr>
        <w:t>,</w:t>
      </w:r>
      <w:r w:rsidRPr="005764FC">
        <w:rPr>
          <w:lang w:eastAsia="fr-CA"/>
        </w:rPr>
        <w:t xml:space="preserve"> accurate data quality level with high positioning confidence. An opportunity exists to provide and gather high-quality contextual data by integrating existing traffic management systems and platforms with C‑ITS applications. This will give individuals more information and improve the overall user experience, while improving information systems’ quality and performance.</w:t>
      </w:r>
      <w:r w:rsidR="00856A56" w:rsidRPr="005764FC">
        <w:rPr>
          <w:lang w:eastAsia="fr-CA"/>
        </w:rPr>
        <w:t xml:space="preserve"> </w:t>
      </w:r>
      <w:r w:rsidR="001E0251" w:rsidRPr="005764FC">
        <w:rPr>
          <w:lang w:eastAsia="fr-CA"/>
        </w:rPr>
        <w:t>Australian state and territor</w:t>
      </w:r>
      <w:r w:rsidR="00856A56" w:rsidRPr="005764FC">
        <w:rPr>
          <w:lang w:eastAsia="fr-CA"/>
        </w:rPr>
        <w:t>y</w:t>
      </w:r>
      <w:r w:rsidR="001E0251" w:rsidRPr="005764FC">
        <w:rPr>
          <w:lang w:eastAsia="fr-CA"/>
        </w:rPr>
        <w:t xml:space="preserve"> </w:t>
      </w:r>
      <w:r w:rsidR="00856A56" w:rsidRPr="005764FC">
        <w:rPr>
          <w:lang w:eastAsia="fr-CA"/>
        </w:rPr>
        <w:t xml:space="preserve">strategies </w:t>
      </w:r>
      <w:r w:rsidR="00284975" w:rsidRPr="005764FC">
        <w:rPr>
          <w:lang w:eastAsia="fr-CA"/>
        </w:rPr>
        <w:t>to be</w:t>
      </w:r>
      <w:r w:rsidR="00026973" w:rsidRPr="005764FC">
        <w:rPr>
          <w:lang w:eastAsia="fr-CA"/>
        </w:rPr>
        <w:t>come</w:t>
      </w:r>
      <w:r w:rsidR="00284975" w:rsidRPr="005764FC">
        <w:rPr>
          <w:lang w:eastAsia="fr-CA"/>
        </w:rPr>
        <w:t xml:space="preserve"> cloud-based </w:t>
      </w:r>
      <w:r w:rsidR="001E0251" w:rsidRPr="005764FC">
        <w:rPr>
          <w:lang w:eastAsia="fr-CA"/>
        </w:rPr>
        <w:t>(NSW</w:t>
      </w:r>
      <w:r w:rsidR="00410F7F">
        <w:rPr>
          <w:lang w:eastAsia="fr-CA"/>
        </w:rPr>
        <w:t xml:space="preserve"> </w:t>
      </w:r>
      <w:sdt>
        <w:sdtPr>
          <w:rPr>
            <w:lang w:eastAsia="fr-CA"/>
          </w:rPr>
          <w:id w:val="1925830380"/>
          <w:citation/>
        </w:sdtPr>
        <w:sdtContent>
          <w:r w:rsidR="00410F7F">
            <w:rPr>
              <w:lang w:eastAsia="fr-CA"/>
            </w:rPr>
            <w:fldChar w:fldCharType="begin"/>
          </w:r>
          <w:r w:rsidR="00410F7F">
            <w:rPr>
              <w:lang w:eastAsia="fr-CA"/>
            </w:rPr>
            <w:instrText xml:space="preserve"> CITATION Cus22 \l 3081 </w:instrText>
          </w:r>
          <w:r w:rsidR="00410F7F">
            <w:rPr>
              <w:lang w:eastAsia="fr-CA"/>
            </w:rPr>
            <w:fldChar w:fldCharType="separate"/>
          </w:r>
          <w:r w:rsidR="001428F9">
            <w:rPr>
              <w:noProof/>
              <w:lang w:eastAsia="fr-CA"/>
            </w:rPr>
            <w:t>(Customer Service NSW, 2022)</w:t>
          </w:r>
          <w:r w:rsidR="00410F7F">
            <w:rPr>
              <w:lang w:eastAsia="fr-CA"/>
            </w:rPr>
            <w:fldChar w:fldCharType="end"/>
          </w:r>
        </w:sdtContent>
      </w:sdt>
      <w:r w:rsidR="001E0251" w:rsidRPr="005764FC">
        <w:rPr>
          <w:lang w:eastAsia="fr-CA"/>
        </w:rPr>
        <w:t>, Victoria</w:t>
      </w:r>
      <w:r w:rsidR="00C347E0">
        <w:rPr>
          <w:lang w:eastAsia="fr-CA"/>
        </w:rPr>
        <w:t xml:space="preserve"> </w:t>
      </w:r>
      <w:sdt>
        <w:sdtPr>
          <w:rPr>
            <w:lang w:eastAsia="fr-CA"/>
          </w:rPr>
          <w:id w:val="-421495307"/>
          <w:citation/>
        </w:sdtPr>
        <w:sdtContent>
          <w:r w:rsidR="00C347E0">
            <w:rPr>
              <w:lang w:eastAsia="fr-CA"/>
            </w:rPr>
            <w:fldChar w:fldCharType="begin"/>
          </w:r>
          <w:r w:rsidR="00C347E0">
            <w:rPr>
              <w:lang w:eastAsia="fr-CA"/>
            </w:rPr>
            <w:instrText xml:space="preserve"> CITATION Com15 \l 3081 </w:instrText>
          </w:r>
          <w:r w:rsidR="00C347E0">
            <w:rPr>
              <w:lang w:eastAsia="fr-CA"/>
            </w:rPr>
            <w:fldChar w:fldCharType="separate"/>
          </w:r>
          <w:r w:rsidR="001428F9">
            <w:rPr>
              <w:noProof/>
              <w:lang w:eastAsia="fr-CA"/>
            </w:rPr>
            <w:t>(Commissioner for Privacy and Data Protection, 2015)</w:t>
          </w:r>
          <w:r w:rsidR="00C347E0">
            <w:rPr>
              <w:lang w:eastAsia="fr-CA"/>
            </w:rPr>
            <w:fldChar w:fldCharType="end"/>
          </w:r>
        </w:sdtContent>
      </w:sdt>
      <w:r w:rsidR="001E0251" w:rsidRPr="005764FC">
        <w:rPr>
          <w:lang w:eastAsia="fr-CA"/>
        </w:rPr>
        <w:t>, Queensland</w:t>
      </w:r>
      <w:r w:rsidR="001D6158">
        <w:rPr>
          <w:lang w:eastAsia="fr-CA"/>
        </w:rPr>
        <w:t xml:space="preserve"> </w:t>
      </w:r>
      <w:sdt>
        <w:sdtPr>
          <w:rPr>
            <w:lang w:eastAsia="fr-CA"/>
          </w:rPr>
          <w:id w:val="-1577203248"/>
          <w:citation/>
        </w:sdtPr>
        <w:sdtContent>
          <w:r w:rsidR="001D6158">
            <w:rPr>
              <w:lang w:eastAsia="fr-CA"/>
            </w:rPr>
            <w:fldChar w:fldCharType="begin"/>
          </w:r>
          <w:r w:rsidR="001D6158">
            <w:rPr>
              <w:lang w:eastAsia="fr-CA"/>
            </w:rPr>
            <w:instrText xml:space="preserve"> CITATION Dep22 \l 3081 </w:instrText>
          </w:r>
          <w:r w:rsidR="001D6158">
            <w:rPr>
              <w:lang w:eastAsia="fr-CA"/>
            </w:rPr>
            <w:fldChar w:fldCharType="separate"/>
          </w:r>
          <w:r w:rsidR="001428F9">
            <w:rPr>
              <w:noProof/>
              <w:lang w:eastAsia="fr-CA"/>
            </w:rPr>
            <w:t>(Department of Communities, Housing and Digital Economy, 2022)</w:t>
          </w:r>
          <w:r w:rsidR="001D6158">
            <w:rPr>
              <w:lang w:eastAsia="fr-CA"/>
            </w:rPr>
            <w:fldChar w:fldCharType="end"/>
          </w:r>
        </w:sdtContent>
      </w:sdt>
      <w:r w:rsidR="001E0251" w:rsidRPr="005764FC">
        <w:rPr>
          <w:lang w:eastAsia="fr-CA"/>
        </w:rPr>
        <w:t>)</w:t>
      </w:r>
      <w:r w:rsidR="002C26DD" w:rsidRPr="005764FC">
        <w:rPr>
          <w:lang w:eastAsia="fr-CA"/>
        </w:rPr>
        <w:t xml:space="preserve"> is </w:t>
      </w:r>
      <w:r w:rsidR="004055A7" w:rsidRPr="005764FC">
        <w:rPr>
          <w:lang w:eastAsia="fr-CA"/>
        </w:rPr>
        <w:t>a key element in</w:t>
      </w:r>
      <w:r w:rsidR="0046560A" w:rsidRPr="005764FC">
        <w:rPr>
          <w:lang w:eastAsia="fr-CA"/>
        </w:rPr>
        <w:t xml:space="preserve"> </w:t>
      </w:r>
      <w:r w:rsidR="00223678" w:rsidRPr="005764FC">
        <w:rPr>
          <w:lang w:eastAsia="fr-CA"/>
        </w:rPr>
        <w:t>upgrade</w:t>
      </w:r>
      <w:r w:rsidR="00392F7C" w:rsidRPr="005764FC">
        <w:rPr>
          <w:lang w:eastAsia="fr-CA"/>
        </w:rPr>
        <w:t>s to</w:t>
      </w:r>
      <w:r w:rsidR="00223678" w:rsidRPr="005764FC">
        <w:rPr>
          <w:lang w:eastAsia="fr-CA"/>
        </w:rPr>
        <w:t xml:space="preserve"> existing traffic management systems around the country</w:t>
      </w:r>
      <w:r w:rsidR="001E0251" w:rsidRPr="005764FC">
        <w:rPr>
          <w:lang w:eastAsia="fr-CA"/>
        </w:rPr>
        <w:t xml:space="preserve">. </w:t>
      </w:r>
      <w:r w:rsidR="00026973" w:rsidRPr="005764FC">
        <w:rPr>
          <w:lang w:eastAsia="fr-CA"/>
        </w:rPr>
        <w:t>N</w:t>
      </w:r>
      <w:r w:rsidR="001E0251" w:rsidRPr="005764FC">
        <w:rPr>
          <w:lang w:eastAsia="fr-CA"/>
        </w:rPr>
        <w:t>ational</w:t>
      </w:r>
      <w:r w:rsidR="00026973" w:rsidRPr="005764FC">
        <w:rPr>
          <w:lang w:eastAsia="fr-CA"/>
        </w:rPr>
        <w:t>ly</w:t>
      </w:r>
      <w:r w:rsidR="001E0251" w:rsidRPr="005764FC">
        <w:rPr>
          <w:lang w:eastAsia="fr-CA"/>
        </w:rPr>
        <w:t xml:space="preserve">, this is </w:t>
      </w:r>
      <w:r w:rsidR="00223678" w:rsidRPr="005764FC">
        <w:rPr>
          <w:lang w:eastAsia="fr-CA"/>
        </w:rPr>
        <w:t xml:space="preserve">aligned to </w:t>
      </w:r>
      <w:r w:rsidR="001E0251" w:rsidRPr="005764FC">
        <w:rPr>
          <w:lang w:eastAsia="fr-CA"/>
        </w:rPr>
        <w:t>the Australian Government Digital Transformation Agency (DTA)</w:t>
      </w:r>
      <w:r w:rsidR="00223678" w:rsidRPr="005764FC">
        <w:rPr>
          <w:lang w:eastAsia="fr-CA"/>
        </w:rPr>
        <w:t xml:space="preserve"> strategy</w:t>
      </w:r>
      <w:r w:rsidR="00126CD2">
        <w:rPr>
          <w:lang w:eastAsia="fr-CA"/>
        </w:rPr>
        <w:t xml:space="preserve"> </w:t>
      </w:r>
      <w:sdt>
        <w:sdtPr>
          <w:rPr>
            <w:lang w:eastAsia="fr-CA"/>
          </w:rPr>
          <w:id w:val="1212533692"/>
          <w:citation/>
        </w:sdtPr>
        <w:sdtContent>
          <w:r w:rsidR="00126CD2">
            <w:rPr>
              <w:lang w:eastAsia="fr-CA"/>
            </w:rPr>
            <w:fldChar w:fldCharType="begin"/>
          </w:r>
          <w:r w:rsidR="00126CD2">
            <w:rPr>
              <w:lang w:eastAsia="fr-CA"/>
            </w:rPr>
            <w:instrText xml:space="preserve"> CITATION DTA17 \l 3081 </w:instrText>
          </w:r>
          <w:r w:rsidR="00126CD2">
            <w:rPr>
              <w:lang w:eastAsia="fr-CA"/>
            </w:rPr>
            <w:fldChar w:fldCharType="separate"/>
          </w:r>
          <w:r w:rsidR="001428F9">
            <w:rPr>
              <w:noProof/>
              <w:lang w:eastAsia="fr-CA"/>
            </w:rPr>
            <w:t>(DTA, 2017)</w:t>
          </w:r>
          <w:r w:rsidR="00126CD2">
            <w:rPr>
              <w:lang w:eastAsia="fr-CA"/>
            </w:rPr>
            <w:fldChar w:fldCharType="end"/>
          </w:r>
        </w:sdtContent>
      </w:sdt>
      <w:r w:rsidR="001E0251" w:rsidRPr="005764FC">
        <w:rPr>
          <w:lang w:eastAsia="fr-CA"/>
        </w:rPr>
        <w:t>.</w:t>
      </w:r>
    </w:p>
    <w:p w14:paraId="32892238" w14:textId="77777777" w:rsidR="00E16F9B" w:rsidRPr="005764FC" w:rsidRDefault="00E16F9B" w:rsidP="00E16F9B">
      <w:pPr>
        <w:pStyle w:val="Heading2"/>
      </w:pPr>
      <w:bookmarkStart w:id="92" w:name="_Ref94080562"/>
      <w:bookmarkStart w:id="93" w:name="_Toc94536684"/>
      <w:bookmarkStart w:id="94" w:name="_Toc94453139"/>
      <w:bookmarkStart w:id="95" w:name="_Toc97807786"/>
      <w:r w:rsidRPr="005764FC">
        <w:t>C</w:t>
      </w:r>
      <w:r w:rsidRPr="005764FC">
        <w:rPr>
          <w:rFonts w:ascii="Cambria Math" w:hAnsi="Cambria Math" w:cs="Cambria Math"/>
        </w:rPr>
        <w:t>‑</w:t>
      </w:r>
      <w:r w:rsidRPr="005764FC">
        <w:t>ITS is an Ecosystem</w:t>
      </w:r>
      <w:bookmarkEnd w:id="92"/>
      <w:bookmarkEnd w:id="93"/>
      <w:bookmarkEnd w:id="94"/>
      <w:bookmarkEnd w:id="95"/>
    </w:p>
    <w:p w14:paraId="6F17876F" w14:textId="2F5AEADD" w:rsidR="004F303C" w:rsidRPr="005764FC" w:rsidRDefault="00E16F9B" w:rsidP="00E16F9B">
      <w:pPr>
        <w:pStyle w:val="BodyText"/>
      </w:pPr>
      <w:r w:rsidRPr="005764FC">
        <w:t xml:space="preserve">C‑ITS can impact (and is influenced by) many societal aspects. </w:t>
      </w:r>
      <w:r w:rsidRPr="005764FC">
        <w:fldChar w:fldCharType="begin" w:fldLock="1"/>
      </w:r>
      <w:r w:rsidRPr="005764FC">
        <w:instrText xml:space="preserve"> REF _Ref90455818 \h </w:instrText>
      </w:r>
      <w:r w:rsidRPr="005764FC">
        <w:fldChar w:fldCharType="separate"/>
      </w:r>
      <w:r w:rsidR="00A34B27" w:rsidRPr="005764FC">
        <w:t xml:space="preserve">Figure </w:t>
      </w:r>
      <w:r w:rsidR="00A34B27">
        <w:rPr>
          <w:noProof/>
        </w:rPr>
        <w:t>1</w:t>
      </w:r>
      <w:r w:rsidR="00A34B27" w:rsidRPr="005764FC">
        <w:t>.</w:t>
      </w:r>
      <w:r w:rsidR="00A34B27">
        <w:rPr>
          <w:noProof/>
        </w:rPr>
        <w:t>7</w:t>
      </w:r>
      <w:r w:rsidRPr="005764FC">
        <w:fldChar w:fldCharType="end"/>
      </w:r>
      <w:r w:rsidRPr="005764FC">
        <w:t xml:space="preserve"> presents </w:t>
      </w:r>
      <w:r w:rsidR="0004275C" w:rsidRPr="005764FC">
        <w:t>an</w:t>
      </w:r>
      <w:r w:rsidRPr="005764FC">
        <w:t xml:space="preserve"> example of the key challenges posed by interactions between users and technology (summarised by European Road Transport Research Advisory Council (ERTRAC)). It shows how business models, services, data, and infrastructure relate to the societal benefits of safety, awareness, acceptance, policy, sustainability, and the end technology. Aligning these factors i</w:t>
      </w:r>
      <w:r w:rsidR="00284975" w:rsidRPr="005764FC">
        <w:t>mprov</w:t>
      </w:r>
      <w:r w:rsidRPr="005764FC">
        <w:t xml:space="preserve">es the ability to successfully deploy C‑ITS. </w:t>
      </w:r>
    </w:p>
    <w:p w14:paraId="62CDB45B" w14:textId="53B0CD67" w:rsidR="00E16F9B" w:rsidRPr="005764FC" w:rsidRDefault="000D48DD" w:rsidP="000D48DD">
      <w:pPr>
        <w:pStyle w:val="Image"/>
        <w:jc w:val="center"/>
      </w:pPr>
      <w:r>
        <w:rPr>
          <w:noProof/>
        </w:rPr>
        <w:drawing>
          <wp:inline distT="0" distB="0" distL="0" distR="0" wp14:anchorId="4B1CA333" wp14:editId="722DACB1">
            <wp:extent cx="6123600" cy="3735492"/>
            <wp:effectExtent l="0" t="0" r="0" b="0"/>
            <wp:docPr id="14" name="Picture 14" descr="Figure 1.7. displays key challenge areas for C-ITS broken into categories. The categories sit in a circular heat map with users and society encompassing system and services which encompasses vehicles an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13" t="4187" r="1772" b="3004"/>
                    <a:stretch/>
                  </pic:blipFill>
                  <pic:spPr bwMode="auto">
                    <a:xfrm>
                      <a:off x="0" y="0"/>
                      <a:ext cx="6123600" cy="3735492"/>
                    </a:xfrm>
                    <a:prstGeom prst="rect">
                      <a:avLst/>
                    </a:prstGeom>
                    <a:noFill/>
                    <a:ln>
                      <a:noFill/>
                    </a:ln>
                    <a:extLst>
                      <a:ext uri="{53640926-AAD7-44D8-BBD7-CCE9431645EC}">
                        <a14:shadowObscured xmlns:a14="http://schemas.microsoft.com/office/drawing/2010/main"/>
                      </a:ext>
                    </a:extLst>
                  </pic:spPr>
                </pic:pic>
              </a:graphicData>
            </a:graphic>
          </wp:inline>
        </w:drawing>
      </w:r>
    </w:p>
    <w:p w14:paraId="088CFA74" w14:textId="53A94719" w:rsidR="00E16F9B" w:rsidRPr="005764FC" w:rsidRDefault="00E16F9B" w:rsidP="00E16F9B">
      <w:pPr>
        <w:pStyle w:val="Source"/>
        <w:keepNext/>
      </w:pPr>
      <w:r w:rsidRPr="005764FC">
        <w:t>Source:</w:t>
      </w:r>
      <w:r w:rsidRPr="005764FC">
        <w:tab/>
        <w:t>ERTRAC Connected Automated Driving Roadmap version 8</w:t>
      </w:r>
      <w:r w:rsidR="007E20A0">
        <w:t xml:space="preserve"> </w:t>
      </w:r>
      <w:sdt>
        <w:sdtPr>
          <w:id w:val="-988318733"/>
          <w:citation/>
        </w:sdtPr>
        <w:sdtContent>
          <w:r w:rsidR="007E20A0">
            <w:fldChar w:fldCharType="begin"/>
          </w:r>
          <w:r w:rsidR="007E20A0">
            <w:instrText xml:space="preserve">CITATION ERT19 \n  \t  \l 3081 </w:instrText>
          </w:r>
          <w:r w:rsidR="007E20A0">
            <w:fldChar w:fldCharType="separate"/>
          </w:r>
          <w:r w:rsidR="001428F9">
            <w:rPr>
              <w:noProof/>
            </w:rPr>
            <w:t>(2019)</w:t>
          </w:r>
          <w:r w:rsidR="007E20A0">
            <w:fldChar w:fldCharType="end"/>
          </w:r>
        </w:sdtContent>
      </w:sdt>
    </w:p>
    <w:p w14:paraId="2370DD21" w14:textId="53B1B539" w:rsidR="00E16F9B" w:rsidRPr="005764FC" w:rsidRDefault="00E16F9B" w:rsidP="00E16F9B">
      <w:pPr>
        <w:pStyle w:val="Caption"/>
        <w:keepNext w:val="0"/>
      </w:pPr>
      <w:bookmarkStart w:id="96" w:name="_Ref90455818"/>
      <w:bookmarkStart w:id="97" w:name="_Toc97807828"/>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7</w:t>
      </w:r>
      <w:r w:rsidR="00287C9E" w:rsidRPr="005764FC">
        <w:fldChar w:fldCharType="end"/>
      </w:r>
      <w:bookmarkEnd w:id="96"/>
      <w:r w:rsidRPr="005764FC">
        <w:tab/>
        <w:t>Key Challenge Areas for C</w:t>
      </w:r>
      <w:r w:rsidRPr="005764FC">
        <w:rPr>
          <w:rFonts w:ascii="Cambria Math" w:hAnsi="Cambria Math" w:cs="Cambria Math"/>
        </w:rPr>
        <w:t>‑</w:t>
      </w:r>
      <w:r w:rsidRPr="005764FC">
        <w:t>ITS</w:t>
      </w:r>
      <w:bookmarkEnd w:id="97"/>
    </w:p>
    <w:p w14:paraId="79E13947" w14:textId="582B3401" w:rsidR="004F303C" w:rsidRPr="005764FC" w:rsidRDefault="0076754C" w:rsidP="00E8674B">
      <w:pPr>
        <w:pStyle w:val="BodyText"/>
      </w:pPr>
      <w:r w:rsidRPr="005764FC">
        <w:rPr>
          <w:noProof/>
          <w:lang w:eastAsia="en-AU"/>
        </w:rPr>
        <w:drawing>
          <wp:anchor distT="0" distB="0" distL="114300" distR="114300" simplePos="0" relativeHeight="251658244" behindDoc="0" locked="0" layoutInCell="1" allowOverlap="1" wp14:anchorId="0655EE6C" wp14:editId="5A7DAC17">
            <wp:simplePos x="0" y="0"/>
            <wp:positionH relativeFrom="margin">
              <wp:align>right</wp:align>
            </wp:positionH>
            <wp:positionV relativeFrom="paragraph">
              <wp:posOffset>9525</wp:posOffset>
            </wp:positionV>
            <wp:extent cx="2523490" cy="2523490"/>
            <wp:effectExtent l="0" t="0" r="0" b="0"/>
            <wp:wrapSquare wrapText="bothSides"/>
            <wp:docPr id="241" name="Picture 241" descr="Simple venn diagram of Road Users, Industry 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349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F9B" w:rsidRPr="005764FC">
        <w:t>The Office of Road</w:t>
      </w:r>
      <w:r w:rsidR="00E16F9B" w:rsidRPr="005764FC" w:rsidDel="000B4C0C">
        <w:t xml:space="preserve"> </w:t>
      </w:r>
      <w:r w:rsidR="00E16F9B" w:rsidRPr="005764FC">
        <w:t>Safety fact sheet for ‘Vision Zero’</w:t>
      </w:r>
      <w:r w:rsidR="002F6EDF">
        <w:t xml:space="preserve"> </w:t>
      </w:r>
      <w:r w:rsidR="00E16F9B" w:rsidRPr="005764FC">
        <w:t xml:space="preserve">states that there is a shared responsibility to deliver a </w:t>
      </w:r>
      <w:r w:rsidR="0077214F" w:rsidRPr="005764FC">
        <w:t>safe-system</w:t>
      </w:r>
      <w:r w:rsidR="00E16F9B" w:rsidRPr="005764FC">
        <w:t xml:space="preserve"> approach that C‑ITS embraces</w:t>
      </w:r>
      <w:r w:rsidR="002F6EDF">
        <w:t xml:space="preserve"> </w:t>
      </w:r>
      <w:sdt>
        <w:sdtPr>
          <w:id w:val="-481005456"/>
          <w:citation/>
        </w:sdtPr>
        <w:sdtContent>
          <w:r w:rsidR="002F6EDF">
            <w:fldChar w:fldCharType="begin"/>
          </w:r>
          <w:r w:rsidR="002F6EDF">
            <w:instrText xml:space="preserve"> CITATION Nat21 \l 3081 </w:instrText>
          </w:r>
          <w:r w:rsidR="002F6EDF">
            <w:fldChar w:fldCharType="separate"/>
          </w:r>
          <w:r w:rsidR="001428F9">
            <w:rPr>
              <w:noProof/>
            </w:rPr>
            <w:t>(National Road Safety Strategy, 2021)</w:t>
          </w:r>
          <w:r w:rsidR="002F6EDF">
            <w:fldChar w:fldCharType="end"/>
          </w:r>
        </w:sdtContent>
      </w:sdt>
      <w:r w:rsidR="00E16F9B" w:rsidRPr="005764FC">
        <w:t xml:space="preserve">. </w:t>
      </w:r>
      <w:r w:rsidR="00217A27" w:rsidRPr="005764FC">
        <w:t xml:space="preserve">A user-centric approach is essential for C‑ITS as road users’ acceptance and take-up of services in their vehicles is what will drive uptake. </w:t>
      </w:r>
      <w:r w:rsidR="00284975" w:rsidRPr="005764FC">
        <w:t>To address</w:t>
      </w:r>
      <w:r w:rsidR="009610AD" w:rsidRPr="005764FC">
        <w:t xml:space="preserve"> </w:t>
      </w:r>
      <w:r w:rsidR="002D3C9F" w:rsidRPr="005764FC">
        <w:t xml:space="preserve">the </w:t>
      </w:r>
      <w:r w:rsidR="00225D8E" w:rsidRPr="005764FC">
        <w:t xml:space="preserve">factors in a </w:t>
      </w:r>
      <w:r w:rsidR="009610AD" w:rsidRPr="005764FC">
        <w:t>C-ITS ecosystem</w:t>
      </w:r>
      <w:r w:rsidR="008765AD" w:rsidRPr="005764FC">
        <w:t>,</w:t>
      </w:r>
      <w:r w:rsidR="002D3C9F" w:rsidRPr="005764FC">
        <w:t xml:space="preserve"> </w:t>
      </w:r>
      <w:r w:rsidR="00225D8E" w:rsidRPr="005764FC">
        <w:t xml:space="preserve">as </w:t>
      </w:r>
      <w:r w:rsidR="00284975" w:rsidRPr="005764FC">
        <w:t>illustrated</w:t>
      </w:r>
      <w:r w:rsidR="00225D8E" w:rsidRPr="005764FC">
        <w:t xml:space="preserve"> in </w:t>
      </w:r>
      <w:r w:rsidR="0074145D" w:rsidRPr="005764FC">
        <w:fldChar w:fldCharType="begin" w:fldLock="1"/>
      </w:r>
      <w:r w:rsidR="0074145D" w:rsidRPr="005764FC">
        <w:instrText xml:space="preserve"> REF _Ref90455818 \h </w:instrText>
      </w:r>
      <w:r w:rsidR="0074145D" w:rsidRPr="005764FC">
        <w:fldChar w:fldCharType="separate"/>
      </w:r>
      <w:r w:rsidR="00A34B27" w:rsidRPr="005764FC">
        <w:t xml:space="preserve">Figure </w:t>
      </w:r>
      <w:r w:rsidR="00A34B27">
        <w:rPr>
          <w:noProof/>
        </w:rPr>
        <w:t>1</w:t>
      </w:r>
      <w:r w:rsidR="00A34B27" w:rsidRPr="005764FC">
        <w:t>.</w:t>
      </w:r>
      <w:r w:rsidR="00A34B27">
        <w:rPr>
          <w:noProof/>
        </w:rPr>
        <w:t>7</w:t>
      </w:r>
      <w:r w:rsidR="0074145D" w:rsidRPr="005764FC">
        <w:fldChar w:fldCharType="end"/>
      </w:r>
      <w:r w:rsidR="00D572BE" w:rsidRPr="005764FC">
        <w:t>,</w:t>
      </w:r>
      <w:r w:rsidR="00E16F9B" w:rsidRPr="005764FC">
        <w:t xml:space="preserve"> government</w:t>
      </w:r>
      <w:r w:rsidR="006364CC" w:rsidRPr="005764FC">
        <w:t xml:space="preserve"> and </w:t>
      </w:r>
      <w:r w:rsidR="00E16F9B" w:rsidRPr="005764FC">
        <w:t xml:space="preserve">industry </w:t>
      </w:r>
      <w:r w:rsidR="00284975" w:rsidRPr="005764FC">
        <w:t xml:space="preserve">need to </w:t>
      </w:r>
      <w:r w:rsidR="00AA3620" w:rsidRPr="005764FC">
        <w:t>coordinat</w:t>
      </w:r>
      <w:r w:rsidR="00284975" w:rsidRPr="005764FC">
        <w:t>e</w:t>
      </w:r>
      <w:r w:rsidR="00E16F9B" w:rsidRPr="005764FC">
        <w:t xml:space="preserve"> and agree</w:t>
      </w:r>
      <w:r w:rsidR="00F33DF6" w:rsidRPr="005764FC">
        <w:t>, with users’ input and acceptance</w:t>
      </w:r>
      <w:r w:rsidR="00E16F9B" w:rsidRPr="005764FC">
        <w:t xml:space="preserve">. </w:t>
      </w:r>
    </w:p>
    <w:p w14:paraId="33724C17" w14:textId="0498FC85" w:rsidR="004F303C" w:rsidRPr="005764FC" w:rsidRDefault="00FE55E3" w:rsidP="00E8674B">
      <w:pPr>
        <w:pStyle w:val="BodyText"/>
      </w:pPr>
      <w:r w:rsidRPr="005764FC">
        <w:t>G</w:t>
      </w:r>
      <w:r w:rsidR="007A2067" w:rsidRPr="005764FC">
        <w:t>overnment</w:t>
      </w:r>
      <w:r w:rsidRPr="005764FC">
        <w:t xml:space="preserve"> </w:t>
      </w:r>
      <w:r w:rsidR="004F303C" w:rsidRPr="005764FC">
        <w:t xml:space="preserve">needs to </w:t>
      </w:r>
      <w:r w:rsidR="00B66981" w:rsidRPr="005764FC">
        <w:t>consider</w:t>
      </w:r>
      <w:r w:rsidR="004F303C" w:rsidRPr="005764FC">
        <w:t xml:space="preserve"> whether to act</w:t>
      </w:r>
      <w:r w:rsidRPr="005764FC">
        <w:t>/intervene</w:t>
      </w:r>
      <w:r w:rsidR="004F303C" w:rsidRPr="005764FC">
        <w:t xml:space="preserve">, </w:t>
      </w:r>
      <w:r w:rsidRPr="005764FC">
        <w:t xml:space="preserve">how to </w:t>
      </w:r>
      <w:bookmarkStart w:id="98" w:name="_Hlk94522982"/>
      <w:r w:rsidRPr="005764FC">
        <w:t>act/intervene</w:t>
      </w:r>
      <w:bookmarkEnd w:id="98"/>
      <w:r w:rsidRPr="005764FC">
        <w:t>,</w:t>
      </w:r>
      <w:r w:rsidR="004F303C" w:rsidRPr="005764FC">
        <w:t xml:space="preserve"> and at what </w:t>
      </w:r>
      <w:r w:rsidRPr="005764FC">
        <w:t xml:space="preserve">government </w:t>
      </w:r>
      <w:r w:rsidR="004F303C" w:rsidRPr="005764FC">
        <w:t xml:space="preserve">levels </w:t>
      </w:r>
      <w:r w:rsidRPr="005764FC">
        <w:t>(</w:t>
      </w:r>
      <w:r w:rsidR="0033520F" w:rsidRPr="005764FC">
        <w:t>f</w:t>
      </w:r>
      <w:r w:rsidR="004A4E36" w:rsidRPr="005764FC">
        <w:t>ederal</w:t>
      </w:r>
      <w:r w:rsidRPr="005764FC">
        <w:t>,</w:t>
      </w:r>
      <w:r w:rsidR="00AA3620" w:rsidRPr="005764FC">
        <w:t xml:space="preserve"> state</w:t>
      </w:r>
      <w:r w:rsidR="004F303C" w:rsidRPr="005764FC">
        <w:t xml:space="preserve"> only</w:t>
      </w:r>
      <w:r w:rsidR="00AA3620" w:rsidRPr="005764FC">
        <w:t xml:space="preserve">, </w:t>
      </w:r>
      <w:r w:rsidR="00C05049" w:rsidRPr="005764FC">
        <w:t>or local</w:t>
      </w:r>
      <w:r w:rsidRPr="005764FC">
        <w:t>)</w:t>
      </w:r>
      <w:r w:rsidR="00C05049" w:rsidRPr="005764FC">
        <w:t xml:space="preserve">. </w:t>
      </w:r>
      <w:r w:rsidR="00AB716B" w:rsidRPr="005764FC">
        <w:t>Along with the g</w:t>
      </w:r>
      <w:r w:rsidR="004F303C" w:rsidRPr="005764FC">
        <w:t xml:space="preserve">overnment </w:t>
      </w:r>
      <w:r w:rsidR="00AB716B" w:rsidRPr="005764FC">
        <w:t xml:space="preserve">agencies themselves, </w:t>
      </w:r>
      <w:r w:rsidR="0021584C" w:rsidRPr="005764FC">
        <w:t>national</w:t>
      </w:r>
      <w:r w:rsidR="00B159F0" w:rsidRPr="005764FC">
        <w:t xml:space="preserve"> </w:t>
      </w:r>
      <w:r w:rsidR="003D3DA6" w:rsidRPr="005764FC">
        <w:t xml:space="preserve">bodies such as Austroads and </w:t>
      </w:r>
      <w:r w:rsidR="00322B80" w:rsidRPr="005764FC">
        <w:t xml:space="preserve">the National Transport Commission </w:t>
      </w:r>
      <w:r w:rsidR="00082036" w:rsidRPr="005764FC">
        <w:t>(</w:t>
      </w:r>
      <w:r w:rsidR="00322B80" w:rsidRPr="005764FC">
        <w:t xml:space="preserve">NTC) play an important </w:t>
      </w:r>
      <w:r w:rsidR="00691C12" w:rsidRPr="005764FC">
        <w:t xml:space="preserve">role </w:t>
      </w:r>
      <w:r w:rsidR="00E25D54" w:rsidRPr="005764FC">
        <w:t xml:space="preserve">where cross-governmental </w:t>
      </w:r>
      <w:r w:rsidR="00B65446" w:rsidRPr="005764FC">
        <w:t>advisory</w:t>
      </w:r>
      <w:r w:rsidR="00294F47" w:rsidRPr="005764FC">
        <w:t xml:space="preserve"> may be necessary.</w:t>
      </w:r>
      <w:r w:rsidR="004F303C" w:rsidRPr="005764FC">
        <w:t xml:space="preserve"> These organisations work nationally to support development of consistent national policy, regulation and standards, and are important </w:t>
      </w:r>
      <w:r w:rsidR="00400B87" w:rsidRPr="005764FC">
        <w:t xml:space="preserve">C-ITS </w:t>
      </w:r>
      <w:r w:rsidR="004F303C" w:rsidRPr="005764FC">
        <w:t>stakeholders.</w:t>
      </w:r>
      <w:r w:rsidR="00294F47" w:rsidRPr="005764FC">
        <w:t xml:space="preserve"> </w:t>
      </w:r>
    </w:p>
    <w:p w14:paraId="5500F2A7" w14:textId="6EA25E49" w:rsidR="009F77C2" w:rsidRPr="005764FC" w:rsidRDefault="00074E8C" w:rsidP="00E8674B">
      <w:pPr>
        <w:pStyle w:val="BodyText"/>
      </w:pPr>
      <w:r w:rsidRPr="005764FC">
        <w:t xml:space="preserve">For </w:t>
      </w:r>
      <w:r w:rsidR="00AA3620" w:rsidRPr="005764FC">
        <w:t>industry</w:t>
      </w:r>
      <w:r w:rsidRPr="005764FC">
        <w:t xml:space="preserve">, vehicle manufacturers </w:t>
      </w:r>
      <w:r w:rsidR="00C34E17" w:rsidRPr="005764FC">
        <w:t xml:space="preserve">appear </w:t>
      </w:r>
      <w:r w:rsidR="006648AC" w:rsidRPr="005764FC">
        <w:t>an</w:t>
      </w:r>
      <w:r w:rsidR="00E823D8" w:rsidRPr="005764FC">
        <w:t xml:space="preserve"> essential </w:t>
      </w:r>
      <w:r w:rsidR="00BB7E9C" w:rsidRPr="005764FC">
        <w:t xml:space="preserve">stakeholder given </w:t>
      </w:r>
      <w:r w:rsidR="000202F3" w:rsidRPr="005764FC">
        <w:t xml:space="preserve">they are the primary long-term </w:t>
      </w:r>
      <w:r w:rsidR="006E5C18" w:rsidRPr="005764FC">
        <w:t>equipment supplier</w:t>
      </w:r>
      <w:r w:rsidR="00D727A1" w:rsidRPr="005764FC">
        <w:t xml:space="preserve"> with relationship</w:t>
      </w:r>
      <w:r w:rsidR="00FE55E3" w:rsidRPr="005764FC">
        <w:t>s</w:t>
      </w:r>
      <w:r w:rsidR="00D727A1" w:rsidRPr="005764FC">
        <w:t xml:space="preserve"> </w:t>
      </w:r>
      <w:r w:rsidR="00FE55E3" w:rsidRPr="005764FC">
        <w:t>to</w:t>
      </w:r>
      <w:r w:rsidR="00D727A1" w:rsidRPr="005764FC">
        <w:t xml:space="preserve"> </w:t>
      </w:r>
      <w:r w:rsidR="00680140" w:rsidRPr="005764FC">
        <w:t xml:space="preserve">end users </w:t>
      </w:r>
      <w:r w:rsidR="00400B87" w:rsidRPr="005764FC">
        <w:t xml:space="preserve">who </w:t>
      </w:r>
      <w:r w:rsidR="00680140" w:rsidRPr="005764FC">
        <w:t>purchas</w:t>
      </w:r>
      <w:r w:rsidR="00400B87" w:rsidRPr="005764FC">
        <w:t>e the</w:t>
      </w:r>
      <w:r w:rsidR="00680140" w:rsidRPr="005764FC">
        <w:t xml:space="preserve"> vehicles. </w:t>
      </w:r>
      <w:r w:rsidR="00CA0319" w:rsidRPr="005764FC">
        <w:t xml:space="preserve">The FCAI </w:t>
      </w:r>
      <w:r w:rsidR="00FE55E3" w:rsidRPr="005764FC">
        <w:t>is</w:t>
      </w:r>
      <w:r w:rsidR="00CA0319" w:rsidRPr="005764FC">
        <w:t xml:space="preserve"> the </w:t>
      </w:r>
      <w:r w:rsidR="00DE4526" w:rsidRPr="005764FC">
        <w:t>peak representative organi</w:t>
      </w:r>
      <w:r w:rsidR="00FE55E3" w:rsidRPr="005764FC">
        <w:t>s</w:t>
      </w:r>
      <w:r w:rsidR="00DE4526" w:rsidRPr="005764FC">
        <w:t>ation for companies distribut</w:t>
      </w:r>
      <w:r w:rsidR="007C1684" w:rsidRPr="005764FC">
        <w:t>ing</w:t>
      </w:r>
      <w:r w:rsidR="00DE4526" w:rsidRPr="005764FC">
        <w:t xml:space="preserve"> new passenger vehicles, light commercial vehicles</w:t>
      </w:r>
      <w:r w:rsidR="007C1684" w:rsidRPr="005764FC">
        <w:t>,</w:t>
      </w:r>
      <w:r w:rsidR="00DE4526" w:rsidRPr="005764FC">
        <w:t xml:space="preserve"> motorcycles and all-terrain vehicles in Australia</w:t>
      </w:r>
      <w:r w:rsidR="007C1684" w:rsidRPr="005764FC">
        <w:t>. T</w:t>
      </w:r>
      <w:r w:rsidR="00FE55E3" w:rsidRPr="005764FC">
        <w:t>ogether</w:t>
      </w:r>
      <w:r w:rsidR="007C1684" w:rsidRPr="005764FC">
        <w:t>, they</w:t>
      </w:r>
      <w:r w:rsidR="001B037C" w:rsidRPr="005764FC">
        <w:t xml:space="preserve"> </w:t>
      </w:r>
      <w:r w:rsidR="00E1184A" w:rsidRPr="005764FC">
        <w:t>total</w:t>
      </w:r>
      <w:r w:rsidR="001B037C" w:rsidRPr="005764FC">
        <w:t xml:space="preserve"> </w:t>
      </w:r>
      <w:r w:rsidR="00DE4526" w:rsidRPr="005764FC">
        <w:t>68 brands offering 380 models</w:t>
      </w:r>
      <w:r w:rsidR="00A301B9">
        <w:t xml:space="preserve"> </w:t>
      </w:r>
      <w:sdt>
        <w:sdtPr>
          <w:id w:val="556821609"/>
          <w:citation/>
        </w:sdtPr>
        <w:sdtContent>
          <w:r w:rsidR="00A301B9">
            <w:fldChar w:fldCharType="begin"/>
          </w:r>
          <w:r w:rsidR="00A301B9">
            <w:instrText xml:space="preserve"> CITATION FCA19 \l 3081 </w:instrText>
          </w:r>
          <w:r w:rsidR="00A301B9">
            <w:fldChar w:fldCharType="separate"/>
          </w:r>
          <w:r w:rsidR="001428F9">
            <w:rPr>
              <w:noProof/>
            </w:rPr>
            <w:t>(FCAI, 2019)</w:t>
          </w:r>
          <w:r w:rsidR="00A301B9">
            <w:fldChar w:fldCharType="end"/>
          </w:r>
        </w:sdtContent>
      </w:sdt>
      <w:r w:rsidR="00FE55E3" w:rsidRPr="005764FC">
        <w:t>.</w:t>
      </w:r>
      <w:r w:rsidR="007F0D10" w:rsidRPr="005764FC">
        <w:t xml:space="preserve"> </w:t>
      </w:r>
      <w:r w:rsidR="004F303C" w:rsidRPr="005764FC">
        <w:t>Beyond the vehicle manufacturers</w:t>
      </w:r>
      <w:r w:rsidR="00FE55E3" w:rsidRPr="005764FC">
        <w:t>,</w:t>
      </w:r>
      <w:r w:rsidR="004F303C" w:rsidRPr="005764FC">
        <w:t xml:space="preserve"> a range of technology providers and communication and integration specialists sell C-ITS devices and systems</w:t>
      </w:r>
      <w:r w:rsidR="00FE55E3" w:rsidRPr="005764FC">
        <w:t>.</w:t>
      </w:r>
      <w:r w:rsidR="004F303C" w:rsidRPr="005764FC">
        <w:t xml:space="preserve"> </w:t>
      </w:r>
      <w:r w:rsidR="00004B6B" w:rsidRPr="005764FC">
        <w:t>Others</w:t>
      </w:r>
      <w:r w:rsidR="00D15FDF" w:rsidRPr="005764FC">
        <w:t xml:space="preserve">, </w:t>
      </w:r>
      <w:r w:rsidR="00862F93" w:rsidRPr="005764FC">
        <w:t xml:space="preserve">such as service providers </w:t>
      </w:r>
      <w:r w:rsidR="00FE55E3" w:rsidRPr="005764FC">
        <w:t>who</w:t>
      </w:r>
      <w:r w:rsidR="001C6072" w:rsidRPr="005764FC">
        <w:t xml:space="preserve"> help link information </w:t>
      </w:r>
      <w:r w:rsidR="00B93C26" w:rsidRPr="005764FC">
        <w:t xml:space="preserve">between </w:t>
      </w:r>
      <w:r w:rsidR="004F303C" w:rsidRPr="005764FC">
        <w:t>manufactures</w:t>
      </w:r>
      <w:r w:rsidR="00FE55E3" w:rsidRPr="005764FC">
        <w:t>,</w:t>
      </w:r>
      <w:r w:rsidR="004F303C" w:rsidRPr="005764FC">
        <w:t xml:space="preserve"> </w:t>
      </w:r>
      <w:r w:rsidR="00295D7D" w:rsidRPr="005764FC">
        <w:t>suppliers</w:t>
      </w:r>
      <w:r w:rsidR="00FE55E3" w:rsidRPr="005764FC">
        <w:t>,</w:t>
      </w:r>
      <w:r w:rsidR="00295D7D" w:rsidRPr="005764FC">
        <w:t xml:space="preserve"> and users and </w:t>
      </w:r>
      <w:r w:rsidR="00FE55E3" w:rsidRPr="005764FC">
        <w:t>who</w:t>
      </w:r>
      <w:r w:rsidR="00295D7D" w:rsidRPr="005764FC">
        <w:t xml:space="preserve"> leverage the C-ITS ecosystem</w:t>
      </w:r>
      <w:r w:rsidR="00FE55E3" w:rsidRPr="005764FC">
        <w:t>,</w:t>
      </w:r>
      <w:r w:rsidR="00295D7D" w:rsidRPr="005764FC">
        <w:t xml:space="preserve"> </w:t>
      </w:r>
      <w:r w:rsidR="00D022BE" w:rsidRPr="005764FC">
        <w:t xml:space="preserve">subsequently provide a </w:t>
      </w:r>
      <w:r w:rsidR="004D3BBC" w:rsidRPr="005764FC">
        <w:t xml:space="preserve">robust </w:t>
      </w:r>
      <w:r w:rsidR="005C59E3" w:rsidRPr="005764FC">
        <w:t>network for deployment</w:t>
      </w:r>
      <w:r w:rsidR="00D01A65" w:rsidRPr="005764FC">
        <w:t xml:space="preserve"> and generat</w:t>
      </w:r>
      <w:r w:rsidR="00E1184A" w:rsidRPr="005764FC">
        <w:t>e</w:t>
      </w:r>
      <w:r w:rsidR="00D01A65" w:rsidRPr="005764FC">
        <w:t xml:space="preserve"> further opportunities</w:t>
      </w:r>
      <w:r w:rsidR="004F303C" w:rsidRPr="005764FC">
        <w:t xml:space="preserve"> and insights</w:t>
      </w:r>
      <w:r w:rsidR="005C59E3" w:rsidRPr="005764FC">
        <w:t xml:space="preserve">. </w:t>
      </w:r>
    </w:p>
    <w:p w14:paraId="0A71D361" w14:textId="1296B847" w:rsidR="00E16F9B" w:rsidRPr="005764FC" w:rsidRDefault="00E16F9B" w:rsidP="008D71A6">
      <w:pPr>
        <w:pStyle w:val="Heading3"/>
        <w:rPr>
          <w:lang w:eastAsia="fr-CA"/>
        </w:rPr>
      </w:pPr>
      <w:bookmarkStart w:id="99" w:name="_Toc94536685"/>
      <w:r w:rsidRPr="005764FC">
        <w:rPr>
          <w:lang w:eastAsia="fr-CA"/>
        </w:rPr>
        <w:t xml:space="preserve">Technical </w:t>
      </w:r>
      <w:r w:rsidR="00956EDF" w:rsidRPr="005764FC">
        <w:rPr>
          <w:lang w:eastAsia="fr-CA"/>
        </w:rPr>
        <w:t>Ecosystem</w:t>
      </w:r>
      <w:bookmarkEnd w:id="99"/>
      <w:r w:rsidR="00956EDF" w:rsidRPr="005764FC">
        <w:rPr>
          <w:lang w:eastAsia="fr-CA"/>
        </w:rPr>
        <w:t xml:space="preserve"> </w:t>
      </w:r>
    </w:p>
    <w:p w14:paraId="0AE7C341" w14:textId="6C628B9C" w:rsidR="004F6A50" w:rsidRPr="005764FC" w:rsidRDefault="005C792D" w:rsidP="0035505D">
      <w:pPr>
        <w:pStyle w:val="BodyText"/>
        <w:rPr>
          <w:lang w:eastAsia="fr-CA"/>
        </w:rPr>
      </w:pPr>
      <w:r w:rsidRPr="005764FC">
        <w:rPr>
          <w:lang w:eastAsia="fr-CA"/>
        </w:rPr>
        <w:fldChar w:fldCharType="begin" w:fldLock="1"/>
      </w:r>
      <w:r w:rsidRPr="005764FC">
        <w:rPr>
          <w:lang w:eastAsia="fr-CA"/>
        </w:rPr>
        <w:instrText xml:space="preserve"> REF _Ref94024658 \h </w:instrText>
      </w:r>
      <w:r w:rsidR="00CF5F8A" w:rsidRPr="005764FC">
        <w:rPr>
          <w:lang w:eastAsia="fr-CA"/>
        </w:rPr>
        <w:instrText xml:space="preserve"> \* MERGEFORMAT </w:instrText>
      </w:r>
      <w:r w:rsidRPr="005764FC">
        <w:rPr>
          <w:lang w:eastAsia="fr-CA"/>
        </w:rPr>
      </w:r>
      <w:r w:rsidRPr="005764FC">
        <w:rPr>
          <w:lang w:eastAsia="fr-CA"/>
        </w:rPr>
        <w:fldChar w:fldCharType="separate"/>
      </w:r>
      <w:r w:rsidR="00A34B27" w:rsidRPr="005764FC">
        <w:t xml:space="preserve">Figure </w:t>
      </w:r>
      <w:r w:rsidR="00A34B27">
        <w:t>1</w:t>
      </w:r>
      <w:r w:rsidR="00A34B27" w:rsidRPr="005764FC">
        <w:t>.</w:t>
      </w:r>
      <w:r w:rsidR="00A34B27">
        <w:t>8</w:t>
      </w:r>
      <w:r w:rsidRPr="005764FC">
        <w:rPr>
          <w:lang w:eastAsia="fr-CA"/>
        </w:rPr>
        <w:fldChar w:fldCharType="end"/>
      </w:r>
      <w:r w:rsidR="006B7313" w:rsidRPr="005764FC">
        <w:rPr>
          <w:lang w:eastAsia="fr-CA"/>
        </w:rPr>
        <w:t xml:space="preserve"> shows the </w:t>
      </w:r>
      <w:r w:rsidR="00F64979" w:rsidRPr="005764FC">
        <w:rPr>
          <w:lang w:eastAsia="fr-CA"/>
        </w:rPr>
        <w:t xml:space="preserve">minimum essential </w:t>
      </w:r>
      <w:r w:rsidR="00105C7F" w:rsidRPr="005764FC">
        <w:rPr>
          <w:lang w:eastAsia="fr-CA"/>
        </w:rPr>
        <w:t>architecture</w:t>
      </w:r>
      <w:r w:rsidR="00872A2A" w:rsidRPr="005764FC">
        <w:rPr>
          <w:lang w:eastAsia="fr-CA"/>
        </w:rPr>
        <w:t xml:space="preserve"> of a C-ITS </w:t>
      </w:r>
      <w:r w:rsidR="00BC6B04" w:rsidRPr="005764FC">
        <w:rPr>
          <w:lang w:eastAsia="fr-CA"/>
        </w:rPr>
        <w:t>ecosystem</w:t>
      </w:r>
      <w:r w:rsidR="00713967" w:rsidRPr="005764FC">
        <w:rPr>
          <w:lang w:eastAsia="fr-CA"/>
        </w:rPr>
        <w:t xml:space="preserve">. </w:t>
      </w:r>
      <w:r w:rsidR="008C7D1E" w:rsidRPr="005764FC">
        <w:t>A hybrid model of short-</w:t>
      </w:r>
      <w:r w:rsidR="00281343" w:rsidRPr="005764FC">
        <w:t>range</w:t>
      </w:r>
      <w:r w:rsidR="008C7D1E" w:rsidRPr="005764FC">
        <w:t xml:space="preserve"> and long-range communications has been in </w:t>
      </w:r>
      <w:r w:rsidR="008C7D1E" w:rsidRPr="005764FC" w:rsidDel="008A3437">
        <w:t>C</w:t>
      </w:r>
      <w:r w:rsidR="008C7D1E" w:rsidRPr="005764FC">
        <w:t>‑ITS architectures for more than a decade</w:t>
      </w:r>
      <w:r w:rsidR="00713967" w:rsidRPr="005764FC">
        <w:t xml:space="preserve">. </w:t>
      </w:r>
      <w:r w:rsidR="008238A0" w:rsidRPr="005764FC">
        <w:t>Hybrid communications can deliver both safety-critical and advisory messages</w:t>
      </w:r>
      <w:r w:rsidR="00DE0F76" w:rsidRPr="005764FC">
        <w:t xml:space="preserve"> </w:t>
      </w:r>
      <w:r w:rsidR="00FE55E3" w:rsidRPr="005764FC">
        <w:t xml:space="preserve">that </w:t>
      </w:r>
      <w:r w:rsidR="003A3198" w:rsidRPr="005764FC">
        <w:t xml:space="preserve">support a wider </w:t>
      </w:r>
      <w:r w:rsidR="003B56AD" w:rsidRPr="005764FC">
        <w:t xml:space="preserve">region where </w:t>
      </w:r>
      <w:r w:rsidR="00FF35CE" w:rsidRPr="005764FC">
        <w:t xml:space="preserve">cellular network or </w:t>
      </w:r>
      <w:r w:rsidR="002B273F" w:rsidRPr="005764FC">
        <w:t xml:space="preserve">local communications </w:t>
      </w:r>
      <w:r w:rsidR="00FE55E3" w:rsidRPr="005764FC">
        <w:t>are</w:t>
      </w:r>
      <w:r w:rsidR="002B273F" w:rsidRPr="005764FC">
        <w:t xml:space="preserve"> not available. </w:t>
      </w:r>
      <w:r w:rsidR="00004B95" w:rsidRPr="005764FC">
        <w:t xml:space="preserve">Long-range communications </w:t>
      </w:r>
      <w:r w:rsidR="00677388" w:rsidRPr="005764FC">
        <w:t>allow central systems</w:t>
      </w:r>
      <w:r w:rsidR="00FE55E3" w:rsidRPr="005764FC">
        <w:t>,</w:t>
      </w:r>
      <w:r w:rsidR="00677388" w:rsidRPr="005764FC">
        <w:t xml:space="preserve"> such as traffic management centres </w:t>
      </w:r>
      <w:r w:rsidR="00F000B8" w:rsidRPr="005764FC">
        <w:t>and cloud services</w:t>
      </w:r>
      <w:r w:rsidR="00FE55E3" w:rsidRPr="005764FC">
        <w:t>,</w:t>
      </w:r>
      <w:r w:rsidR="00F000B8" w:rsidRPr="005764FC">
        <w:t xml:space="preserve"> to interact with vehicles</w:t>
      </w:r>
      <w:r w:rsidR="00004B95" w:rsidRPr="005764FC">
        <w:t xml:space="preserve"> </w:t>
      </w:r>
      <w:r w:rsidR="00FE55E3" w:rsidRPr="005764FC">
        <w:t>via</w:t>
      </w:r>
      <w:r w:rsidR="005C667F" w:rsidRPr="005764FC">
        <w:t xml:space="preserve"> cellular communication </w:t>
      </w:r>
      <w:r w:rsidR="00DE2D89" w:rsidRPr="005764FC">
        <w:t xml:space="preserve">through 3G, 4G or 5G networks. </w:t>
      </w:r>
      <w:r w:rsidR="00B80C71" w:rsidRPr="005764FC">
        <w:t>S</w:t>
      </w:r>
      <w:r w:rsidR="00444566" w:rsidRPr="005764FC">
        <w:t xml:space="preserve">hort-range communications </w:t>
      </w:r>
      <w:r w:rsidR="00C51BF7" w:rsidRPr="005764FC">
        <w:t>allow vehicles to in</w:t>
      </w:r>
      <w:r w:rsidR="00635CB4" w:rsidRPr="005764FC">
        <w:t>ter</w:t>
      </w:r>
      <w:r w:rsidR="00C51BF7" w:rsidRPr="005764FC">
        <w:t xml:space="preserve">act </w:t>
      </w:r>
      <w:r w:rsidR="0024461A" w:rsidRPr="005764FC">
        <w:t xml:space="preserve">locally </w:t>
      </w:r>
      <w:r w:rsidR="00C51BF7" w:rsidRPr="005764FC">
        <w:t xml:space="preserve">with other </w:t>
      </w:r>
      <w:r w:rsidR="00635CB4" w:rsidRPr="005764FC">
        <w:t>vehicles or with infrastructure via roadside stations</w:t>
      </w:r>
      <w:r w:rsidR="004F303C" w:rsidRPr="005764FC">
        <w:t xml:space="preserve"> for near </w:t>
      </w:r>
      <w:r w:rsidR="00FC40DC" w:rsidRPr="005764FC">
        <w:t>real-time</w:t>
      </w:r>
      <w:r w:rsidR="004F303C" w:rsidRPr="005764FC">
        <w:t xml:space="preserve"> safety</w:t>
      </w:r>
      <w:r w:rsidR="00FE55E3" w:rsidRPr="005764FC">
        <w:t>-</w:t>
      </w:r>
      <w:r w:rsidR="00B80C71" w:rsidRPr="005764FC">
        <w:t>c</w:t>
      </w:r>
      <w:r w:rsidR="004F303C" w:rsidRPr="005764FC">
        <w:t>ritical use cases</w:t>
      </w:r>
      <w:r w:rsidR="00635CB4" w:rsidRPr="005764FC">
        <w:t xml:space="preserve">. </w:t>
      </w:r>
      <w:r w:rsidR="00521CB1" w:rsidRPr="005764FC">
        <w:t>Two technologies:</w:t>
      </w:r>
      <w:r w:rsidR="009B173A" w:rsidRPr="005764FC">
        <w:t xml:space="preserve"> </w:t>
      </w:r>
      <w:r w:rsidR="003A6FB9" w:rsidRPr="005764FC">
        <w:t xml:space="preserve">DSRC or C-V2X (LTE-V2X) </w:t>
      </w:r>
      <w:r w:rsidR="00C6170B" w:rsidRPr="005764FC">
        <w:t>have been considered for delivering short-range communication</w:t>
      </w:r>
      <w:r w:rsidR="00FE55E3" w:rsidRPr="005764FC">
        <w:t>s</w:t>
      </w:r>
      <w:r w:rsidR="00C6170B" w:rsidRPr="005764FC">
        <w:t xml:space="preserve">. </w:t>
      </w:r>
    </w:p>
    <w:p w14:paraId="5AFE8574" w14:textId="2DAC22EC" w:rsidR="00A73951" w:rsidRPr="005764FC" w:rsidRDefault="00541A9E" w:rsidP="00D8263D">
      <w:pPr>
        <w:pStyle w:val="Image"/>
        <w:jc w:val="center"/>
      </w:pPr>
      <w:r w:rsidRPr="005764FC">
        <w:rPr>
          <w:noProof/>
          <w:lang w:eastAsia="en-AU"/>
        </w:rPr>
        <w:drawing>
          <wp:inline distT="0" distB="0" distL="0" distR="0" wp14:anchorId="3FC48177" wp14:editId="68FD016B">
            <wp:extent cx="6123600" cy="3848832"/>
            <wp:effectExtent l="0" t="0" r="0" b="0"/>
            <wp:docPr id="1" name="Picture 1" descr="Figure 1.8 shows graphic representation of the hybrid model using cartoon outlines for each of the stations connected by lines with arrows at both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3600" cy="3848832"/>
                    </a:xfrm>
                    <a:prstGeom prst="rect">
                      <a:avLst/>
                    </a:prstGeom>
                  </pic:spPr>
                </pic:pic>
              </a:graphicData>
            </a:graphic>
          </wp:inline>
        </w:drawing>
      </w:r>
    </w:p>
    <w:p w14:paraId="5CB15EE9" w14:textId="07FF8C43" w:rsidR="00211833" w:rsidRPr="005764FC" w:rsidRDefault="00211833" w:rsidP="005878E7">
      <w:pPr>
        <w:pStyle w:val="Caption"/>
        <w:keepNext w:val="0"/>
      </w:pPr>
      <w:bookmarkStart w:id="100" w:name="_Ref94024658"/>
      <w:bookmarkStart w:id="101" w:name="_Toc97807829"/>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8</w:t>
      </w:r>
      <w:r w:rsidR="00287C9E" w:rsidRPr="005764FC">
        <w:fldChar w:fldCharType="end"/>
      </w:r>
      <w:bookmarkEnd w:id="100"/>
      <w:r w:rsidRPr="005764FC">
        <w:tab/>
        <w:t>The hybrid model with capability to share data through short-range and long-range communications</w:t>
      </w:r>
      <w:bookmarkEnd w:id="101"/>
    </w:p>
    <w:p w14:paraId="52756A18" w14:textId="75D367A7" w:rsidR="00CF4B37" w:rsidRPr="005764FC" w:rsidRDefault="00985BA4" w:rsidP="008E06D5">
      <w:pPr>
        <w:pStyle w:val="Heading2"/>
      </w:pPr>
      <w:bookmarkStart w:id="102" w:name="_Ref94079694"/>
      <w:bookmarkStart w:id="103" w:name="_Toc94536686"/>
      <w:bookmarkStart w:id="104" w:name="_Toc94453140"/>
      <w:bookmarkStart w:id="105" w:name="_Toc97807787"/>
      <w:bookmarkEnd w:id="85"/>
      <w:r w:rsidRPr="005764FC">
        <w:t xml:space="preserve">Project </w:t>
      </w:r>
      <w:r w:rsidR="00CF4B37" w:rsidRPr="005764FC">
        <w:t>Execution</w:t>
      </w:r>
      <w:bookmarkEnd w:id="102"/>
      <w:bookmarkEnd w:id="103"/>
      <w:bookmarkEnd w:id="104"/>
      <w:r w:rsidR="00B25A88" w:rsidRPr="005764FC">
        <w:t xml:space="preserve"> and Results</w:t>
      </w:r>
      <w:bookmarkEnd w:id="105"/>
    </w:p>
    <w:p w14:paraId="7670280F" w14:textId="7DDDE2C8" w:rsidR="00AE79B5" w:rsidRPr="005764FC" w:rsidRDefault="002A1E17" w:rsidP="00AE79B5">
      <w:pPr>
        <w:pStyle w:val="BodyText"/>
      </w:pPr>
      <w:r w:rsidRPr="005764FC">
        <w:rPr>
          <w:lang w:eastAsia="fr-CA"/>
        </w:rPr>
        <w:t>WSP and partners</w:t>
      </w:r>
      <w:r w:rsidR="00DA02E6" w:rsidRPr="005764FC">
        <w:rPr>
          <w:lang w:eastAsia="fr-CA"/>
        </w:rPr>
        <w:t>,</w:t>
      </w:r>
      <w:r w:rsidRPr="005764FC">
        <w:rPr>
          <w:lang w:eastAsia="fr-CA"/>
        </w:rPr>
        <w:t xml:space="preserve"> Deloitte and </w:t>
      </w:r>
      <w:r w:rsidR="00F66B4A" w:rsidRPr="005764FC">
        <w:rPr>
          <w:lang w:eastAsia="fr-CA"/>
        </w:rPr>
        <w:t xml:space="preserve">the </w:t>
      </w:r>
      <w:r w:rsidRPr="005764FC">
        <w:rPr>
          <w:lang w:eastAsia="fr-CA"/>
        </w:rPr>
        <w:t>University</w:t>
      </w:r>
      <w:r w:rsidR="00F66B4A" w:rsidRPr="005764FC">
        <w:rPr>
          <w:lang w:eastAsia="fr-CA"/>
        </w:rPr>
        <w:t xml:space="preserve"> of </w:t>
      </w:r>
      <w:r w:rsidRPr="005764FC">
        <w:rPr>
          <w:lang w:eastAsia="fr-CA"/>
        </w:rPr>
        <w:t>Melbourne</w:t>
      </w:r>
      <w:r w:rsidR="00DA02E6" w:rsidRPr="005764FC">
        <w:rPr>
          <w:lang w:eastAsia="fr-CA"/>
        </w:rPr>
        <w:t>,</w:t>
      </w:r>
      <w:r w:rsidRPr="005764FC">
        <w:rPr>
          <w:lang w:eastAsia="fr-CA"/>
        </w:rPr>
        <w:t xml:space="preserve"> have</w:t>
      </w:r>
      <w:r w:rsidR="00D00F78" w:rsidRPr="005764FC">
        <w:rPr>
          <w:lang w:eastAsia="fr-CA"/>
        </w:rPr>
        <w:t xml:space="preserve"> delivered inter</w:t>
      </w:r>
      <w:r w:rsidR="00771942" w:rsidRPr="005764FC">
        <w:rPr>
          <w:lang w:eastAsia="fr-CA"/>
        </w:rPr>
        <w:t xml:space="preserve">im reports </w:t>
      </w:r>
      <w:r w:rsidR="006E24B1" w:rsidRPr="005764FC">
        <w:rPr>
          <w:lang w:eastAsia="fr-CA"/>
        </w:rPr>
        <w:t>(outlined in</w:t>
      </w:r>
      <w:r w:rsidR="00F93AC2" w:rsidRPr="005764FC">
        <w:rPr>
          <w:lang w:eastAsia="fr-CA"/>
        </w:rPr>
        <w:t xml:space="preserve"> </w:t>
      </w:r>
      <w:r w:rsidR="00F93AC2" w:rsidRPr="005764FC">
        <w:rPr>
          <w:lang w:eastAsia="fr-CA"/>
        </w:rPr>
        <w:fldChar w:fldCharType="begin" w:fldLock="1"/>
      </w:r>
      <w:r w:rsidR="00F93AC2" w:rsidRPr="005764FC">
        <w:rPr>
          <w:lang w:eastAsia="fr-CA"/>
        </w:rPr>
        <w:instrText xml:space="preserve"> REF _Ref92361671 \h </w:instrText>
      </w:r>
      <w:r w:rsidR="00D379CE" w:rsidRPr="005764FC">
        <w:rPr>
          <w:lang w:eastAsia="fr-CA"/>
        </w:rPr>
        <w:instrText xml:space="preserve"> \* MERGEFORMAT </w:instrText>
      </w:r>
      <w:r w:rsidR="00F93AC2" w:rsidRPr="005764FC">
        <w:rPr>
          <w:lang w:eastAsia="fr-CA"/>
        </w:rPr>
      </w:r>
      <w:r w:rsidR="00F93AC2" w:rsidRPr="005764FC">
        <w:rPr>
          <w:lang w:eastAsia="fr-CA"/>
        </w:rPr>
        <w:fldChar w:fldCharType="separate"/>
      </w:r>
      <w:r w:rsidR="00A34B27" w:rsidRPr="005764FC">
        <w:t xml:space="preserve">Figure </w:t>
      </w:r>
      <w:r w:rsidR="00A34B27">
        <w:t>1</w:t>
      </w:r>
      <w:r w:rsidR="00A34B27" w:rsidRPr="005764FC">
        <w:t>.</w:t>
      </w:r>
      <w:r w:rsidR="00A34B27">
        <w:t>9</w:t>
      </w:r>
      <w:r w:rsidR="00F93AC2" w:rsidRPr="005764FC">
        <w:rPr>
          <w:lang w:eastAsia="fr-CA"/>
        </w:rPr>
        <w:fldChar w:fldCharType="end"/>
      </w:r>
      <w:r w:rsidR="006E24B1" w:rsidRPr="005764FC">
        <w:rPr>
          <w:lang w:eastAsia="fr-CA"/>
        </w:rPr>
        <w:t>)</w:t>
      </w:r>
      <w:r w:rsidR="00771942" w:rsidRPr="005764FC" w:rsidDel="006E24B1">
        <w:rPr>
          <w:lang w:eastAsia="fr-CA"/>
        </w:rPr>
        <w:t xml:space="preserve"> </w:t>
      </w:r>
      <w:r w:rsidR="00C449D4" w:rsidRPr="005764FC">
        <w:rPr>
          <w:lang w:eastAsia="fr-CA"/>
        </w:rPr>
        <w:t>that</w:t>
      </w:r>
      <w:r w:rsidR="00771942" w:rsidRPr="005764FC">
        <w:rPr>
          <w:lang w:eastAsia="fr-CA"/>
        </w:rPr>
        <w:t xml:space="preserve"> support </w:t>
      </w:r>
      <w:r w:rsidR="00645001" w:rsidRPr="005764FC">
        <w:rPr>
          <w:lang w:eastAsia="fr-CA"/>
        </w:rPr>
        <w:t>this</w:t>
      </w:r>
      <w:r w:rsidR="009B2A0F" w:rsidRPr="005764FC">
        <w:rPr>
          <w:lang w:eastAsia="fr-CA"/>
        </w:rPr>
        <w:t xml:space="preserve"> policy</w:t>
      </w:r>
      <w:r w:rsidR="00771942" w:rsidRPr="005764FC">
        <w:rPr>
          <w:lang w:eastAsia="fr-CA"/>
        </w:rPr>
        <w:t xml:space="preserve"> findings </w:t>
      </w:r>
      <w:r w:rsidR="00D379CE" w:rsidRPr="005764FC">
        <w:rPr>
          <w:lang w:eastAsia="fr-CA"/>
        </w:rPr>
        <w:t>report</w:t>
      </w:r>
      <w:r w:rsidR="00144C5F" w:rsidRPr="005764FC">
        <w:rPr>
          <w:lang w:eastAsia="fr-CA"/>
        </w:rPr>
        <w:t>.</w:t>
      </w:r>
      <w:r w:rsidR="006E24B1" w:rsidRPr="005764FC">
        <w:rPr>
          <w:lang w:eastAsia="fr-CA"/>
        </w:rPr>
        <w:t xml:space="preserve"> </w:t>
      </w:r>
      <w:r w:rsidR="007675A0" w:rsidRPr="005764FC">
        <w:rPr>
          <w:lang w:eastAsia="fr-CA"/>
        </w:rPr>
        <w:t>Australia’s current state of C</w:t>
      </w:r>
      <w:r w:rsidR="008A3437" w:rsidRPr="005764FC">
        <w:rPr>
          <w:lang w:eastAsia="fr-CA"/>
        </w:rPr>
        <w:t>‑ITS</w:t>
      </w:r>
      <w:r w:rsidR="007675A0" w:rsidRPr="005764FC">
        <w:rPr>
          <w:lang w:eastAsia="fr-CA"/>
        </w:rPr>
        <w:t xml:space="preserve"> and its ability to deliver Day 1 and 1.5 use cases was explored in a technical assessment, strategic </w:t>
      </w:r>
      <w:r w:rsidR="000A2110" w:rsidRPr="005764FC">
        <w:rPr>
          <w:lang w:eastAsia="fr-CA"/>
        </w:rPr>
        <w:t>deployment</w:t>
      </w:r>
      <w:r w:rsidR="007675A0" w:rsidRPr="005764FC">
        <w:rPr>
          <w:lang w:eastAsia="fr-CA"/>
        </w:rPr>
        <w:t xml:space="preserve"> analysis, and a rapid Cost-Benefit Analysis (CBA). </w:t>
      </w:r>
      <w:r w:rsidR="00AE79B5" w:rsidRPr="005764FC">
        <w:t>An Investment Logic Mapping (ILM) workshop was conducted initially to determine</w:t>
      </w:r>
      <w:r w:rsidR="00AE79B5" w:rsidRPr="005764FC" w:rsidDel="009A1618">
        <w:t xml:space="preserve"> </w:t>
      </w:r>
      <w:r w:rsidR="00AE79B5" w:rsidRPr="005764FC">
        <w:t>the key issues which were subsequently unpacked in project assessments.</w:t>
      </w:r>
    </w:p>
    <w:p w14:paraId="473724DF" w14:textId="4DCEB81B" w:rsidR="007675A0" w:rsidRPr="005764FC" w:rsidRDefault="003404B3" w:rsidP="00B17DA7">
      <w:pPr>
        <w:pStyle w:val="Image"/>
      </w:pPr>
      <w:r w:rsidRPr="005764FC">
        <w:rPr>
          <w:noProof/>
          <w:lang w:eastAsia="en-AU"/>
        </w:rPr>
        <w:drawing>
          <wp:inline distT="0" distB="0" distL="0" distR="0" wp14:anchorId="2C54CC09" wp14:editId="6B1A60E1">
            <wp:extent cx="6193155" cy="1367155"/>
            <wp:effectExtent l="0" t="0" r="0" b="0"/>
            <wp:docPr id="243" name="Picture 243" descr="Figure 1.9 shows a graphic representation of the project stages with the inception meeting leading to; investment logic mapping workshop, technology assessment, deployment context, systems analysis, business model options and cost benefit analysis then findings. the inception meeting and findings are in separated graphically from the other aspects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93155" cy="1367155"/>
                    </a:xfrm>
                    <a:prstGeom prst="rect">
                      <a:avLst/>
                    </a:prstGeom>
                    <a:noFill/>
                    <a:ln>
                      <a:noFill/>
                    </a:ln>
                  </pic:spPr>
                </pic:pic>
              </a:graphicData>
            </a:graphic>
          </wp:inline>
        </w:drawing>
      </w:r>
    </w:p>
    <w:p w14:paraId="2E6853A1" w14:textId="2A8C7504" w:rsidR="007675A0" w:rsidRPr="005764FC" w:rsidRDefault="007675A0" w:rsidP="008D4991">
      <w:pPr>
        <w:pStyle w:val="Caption"/>
        <w:keepNext w:val="0"/>
      </w:pPr>
      <w:bookmarkStart w:id="106" w:name="_Ref92361671"/>
      <w:bookmarkStart w:id="107" w:name="_Ref92361641"/>
      <w:bookmarkStart w:id="108" w:name="_Toc97807830"/>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9</w:t>
      </w:r>
      <w:r w:rsidR="00287C9E" w:rsidRPr="005764FC">
        <w:fldChar w:fldCharType="end"/>
      </w:r>
      <w:bookmarkEnd w:id="106"/>
      <w:r w:rsidRPr="005764FC">
        <w:tab/>
        <w:t xml:space="preserve">Project </w:t>
      </w:r>
      <w:r w:rsidR="008D4991" w:rsidRPr="005764FC">
        <w:t>methodology</w:t>
      </w:r>
      <w:bookmarkEnd w:id="107"/>
      <w:bookmarkEnd w:id="108"/>
    </w:p>
    <w:p w14:paraId="1126D991" w14:textId="375E1A09" w:rsidR="00082723" w:rsidRPr="005764FC" w:rsidRDefault="00082723" w:rsidP="00BC47D6">
      <w:pPr>
        <w:pStyle w:val="Heading3"/>
      </w:pPr>
      <w:bookmarkStart w:id="109" w:name="_Ref90971002"/>
      <w:bookmarkStart w:id="110" w:name="_Toc94536687"/>
      <w:bookmarkStart w:id="111" w:name="_Toc94453141"/>
      <w:r w:rsidRPr="005764FC">
        <w:t>Technical Assessment</w:t>
      </w:r>
      <w:bookmarkEnd w:id="109"/>
      <w:bookmarkEnd w:id="110"/>
      <w:bookmarkEnd w:id="111"/>
    </w:p>
    <w:p w14:paraId="78EBF704" w14:textId="4098242D" w:rsidR="00FE4216" w:rsidRPr="005764FC" w:rsidRDefault="000125B8" w:rsidP="00FE4216">
      <w:pPr>
        <w:pStyle w:val="BodyText"/>
        <w:rPr>
          <w:lang w:eastAsia="fr-CA"/>
        </w:rPr>
      </w:pPr>
      <w:r w:rsidRPr="005764FC">
        <w:rPr>
          <w:lang w:eastAsia="fr-CA"/>
        </w:rPr>
        <w:t xml:space="preserve">The technical assessment </w:t>
      </w:r>
      <w:r w:rsidR="00F41883" w:rsidRPr="005764FC">
        <w:rPr>
          <w:lang w:eastAsia="fr-CA"/>
        </w:rPr>
        <w:t>focused on initial use cases that deliver C</w:t>
      </w:r>
      <w:r w:rsidR="008A3437" w:rsidRPr="005764FC">
        <w:rPr>
          <w:lang w:eastAsia="fr-CA"/>
        </w:rPr>
        <w:t>‑ITS</w:t>
      </w:r>
      <w:r w:rsidR="00F41883" w:rsidRPr="005764FC">
        <w:rPr>
          <w:lang w:eastAsia="fr-CA"/>
        </w:rPr>
        <w:t xml:space="preserve"> benefits</w:t>
      </w:r>
      <w:r w:rsidR="00D7338C" w:rsidRPr="005764FC">
        <w:rPr>
          <w:lang w:eastAsia="fr-CA"/>
        </w:rPr>
        <w:t>, the technology required</w:t>
      </w:r>
      <w:r w:rsidR="00AB68D5" w:rsidRPr="005764FC">
        <w:rPr>
          <w:lang w:eastAsia="fr-CA"/>
        </w:rPr>
        <w:t>,</w:t>
      </w:r>
      <w:r w:rsidR="00D7338C" w:rsidRPr="005764FC">
        <w:rPr>
          <w:lang w:eastAsia="fr-CA"/>
        </w:rPr>
        <w:t xml:space="preserve"> </w:t>
      </w:r>
      <w:r w:rsidR="00902844" w:rsidRPr="005764FC">
        <w:rPr>
          <w:lang w:eastAsia="fr-CA"/>
        </w:rPr>
        <w:t xml:space="preserve">and the current state nationally and internationally. </w:t>
      </w:r>
      <w:r w:rsidR="00FE4216" w:rsidRPr="005764FC">
        <w:rPr>
          <w:lang w:eastAsia="fr-CA"/>
        </w:rPr>
        <w:t>Use cases help understand how C</w:t>
      </w:r>
      <w:r w:rsidR="008A3437" w:rsidRPr="005764FC">
        <w:rPr>
          <w:lang w:eastAsia="fr-CA"/>
        </w:rPr>
        <w:t>‑ITS</w:t>
      </w:r>
      <w:r w:rsidR="00FE4216" w:rsidRPr="005764FC">
        <w:rPr>
          <w:lang w:eastAsia="fr-CA"/>
        </w:rPr>
        <w:t xml:space="preserve"> operates </w:t>
      </w:r>
      <w:r w:rsidR="00DE120A" w:rsidRPr="005764FC">
        <w:rPr>
          <w:lang w:eastAsia="fr-CA"/>
        </w:rPr>
        <w:t xml:space="preserve">via </w:t>
      </w:r>
      <w:r w:rsidR="00FE4216" w:rsidRPr="005764FC">
        <w:rPr>
          <w:lang w:eastAsia="fr-CA"/>
        </w:rPr>
        <w:t>many actors, data, and systems. Such use cases are typically based on their communication methods</w:t>
      </w:r>
      <w:r w:rsidR="00C7389D" w:rsidRPr="005764FC">
        <w:rPr>
          <w:lang w:eastAsia="fr-CA"/>
        </w:rPr>
        <w:t>, whether</w:t>
      </w:r>
      <w:r w:rsidR="00FE4216" w:rsidRPr="005764FC">
        <w:rPr>
          <w:lang w:eastAsia="fr-CA"/>
        </w:rPr>
        <w:t>:</w:t>
      </w:r>
    </w:p>
    <w:p w14:paraId="0F704E97" w14:textId="3DBF2968" w:rsidR="00FE4216" w:rsidRPr="005764FC" w:rsidRDefault="00C34F18" w:rsidP="008D4991">
      <w:pPr>
        <w:pStyle w:val="ListBullet"/>
        <w:ind w:left="357" w:hanging="357"/>
        <w:contextualSpacing/>
      </w:pPr>
      <w:r w:rsidRPr="005764FC">
        <w:t>V</w:t>
      </w:r>
      <w:r w:rsidR="008D4991" w:rsidRPr="005764FC">
        <w:t xml:space="preserve">ehicle to vehicle </w:t>
      </w:r>
      <w:r w:rsidR="00FE4216" w:rsidRPr="005764FC">
        <w:t>(V2V)</w:t>
      </w:r>
    </w:p>
    <w:p w14:paraId="6283AD54" w14:textId="277B31CE" w:rsidR="00FE4216" w:rsidRPr="005764FC" w:rsidRDefault="00C34F18" w:rsidP="008D4991">
      <w:pPr>
        <w:pStyle w:val="ListBullet"/>
        <w:ind w:left="357" w:hanging="357"/>
        <w:contextualSpacing/>
      </w:pPr>
      <w:r w:rsidRPr="005764FC">
        <w:t>V</w:t>
      </w:r>
      <w:r w:rsidR="008D4991" w:rsidRPr="005764FC">
        <w:t xml:space="preserve">ehicle and infrastructure </w:t>
      </w:r>
      <w:r w:rsidR="00FE4216" w:rsidRPr="005764FC">
        <w:t>(V2I)</w:t>
      </w:r>
    </w:p>
    <w:p w14:paraId="709D4B60" w14:textId="366A2BA8" w:rsidR="00FE4216" w:rsidRPr="005764FC" w:rsidRDefault="00C34F18" w:rsidP="008D4991">
      <w:pPr>
        <w:pStyle w:val="ListBullet"/>
        <w:ind w:left="357" w:hanging="357"/>
        <w:contextualSpacing/>
      </w:pPr>
      <w:r w:rsidRPr="005764FC">
        <w:t>V</w:t>
      </w:r>
      <w:r w:rsidR="008D4991" w:rsidRPr="005764FC">
        <w:t xml:space="preserve">ehicle </w:t>
      </w:r>
      <w:r w:rsidR="00FE4216" w:rsidRPr="005764FC">
        <w:t>and other entities including motorcyclists, bicyclists, or pedestrians (V2P)</w:t>
      </w:r>
      <w:r w:rsidR="000259D4">
        <w:t>.</w:t>
      </w:r>
    </w:p>
    <w:p w14:paraId="5D61963D" w14:textId="3EE0A092" w:rsidR="00FE4216" w:rsidRPr="005764FC" w:rsidRDefault="00FE4216" w:rsidP="008D4991">
      <w:pPr>
        <w:pStyle w:val="BodyText"/>
      </w:pPr>
      <w:r w:rsidRPr="005764FC">
        <w:t xml:space="preserve">Use cases serve different functions and can be grouped into different </w:t>
      </w:r>
      <w:r w:rsidR="00FD7853" w:rsidRPr="005764FC">
        <w:t xml:space="preserve">services (or </w:t>
      </w:r>
      <w:r w:rsidRPr="005764FC">
        <w:t>bundles</w:t>
      </w:r>
      <w:r w:rsidR="00FD7853" w:rsidRPr="005764FC">
        <w:t>)</w:t>
      </w:r>
      <w:r w:rsidRPr="005764FC">
        <w:t xml:space="preserve"> like those in </w:t>
      </w:r>
      <w:r w:rsidR="00FD7853" w:rsidRPr="005764FC">
        <w:fldChar w:fldCharType="begin" w:fldLock="1"/>
      </w:r>
      <w:r w:rsidR="00FD7853" w:rsidRPr="005764FC">
        <w:instrText xml:space="preserve"> REF _Ref90460069 \h </w:instrText>
      </w:r>
      <w:r w:rsidR="00FD7853" w:rsidRPr="005764FC">
        <w:fldChar w:fldCharType="separate"/>
      </w:r>
      <w:r w:rsidR="00A34B27" w:rsidRPr="005764FC">
        <w:t xml:space="preserve">Figure </w:t>
      </w:r>
      <w:r w:rsidR="00A34B27">
        <w:rPr>
          <w:noProof/>
        </w:rPr>
        <w:t>1</w:t>
      </w:r>
      <w:r w:rsidR="00A34B27" w:rsidRPr="005764FC">
        <w:t>.</w:t>
      </w:r>
      <w:r w:rsidR="00A34B27">
        <w:rPr>
          <w:noProof/>
        </w:rPr>
        <w:t>10</w:t>
      </w:r>
      <w:r w:rsidR="00FD7853" w:rsidRPr="005764FC">
        <w:fldChar w:fldCharType="end"/>
      </w:r>
      <w:r w:rsidR="00934AC4" w:rsidRPr="005764FC">
        <w:t>.</w:t>
      </w:r>
      <w:r w:rsidR="006B1655" w:rsidRPr="005764FC">
        <w:rPr>
          <w:rStyle w:val="FootnoteReference"/>
        </w:rPr>
        <w:footnoteReference w:id="3"/>
      </w:r>
    </w:p>
    <w:p w14:paraId="47B33D29" w14:textId="59C3FD3F" w:rsidR="00524662" w:rsidRPr="005764FC" w:rsidRDefault="00C12F17" w:rsidP="00B17DA7">
      <w:pPr>
        <w:pStyle w:val="Image"/>
      </w:pPr>
      <w:r w:rsidRPr="005764FC">
        <w:rPr>
          <w:noProof/>
          <w:lang w:eastAsia="en-AU"/>
        </w:rPr>
        <w:drawing>
          <wp:inline distT="0" distB="0" distL="0" distR="0" wp14:anchorId="48E7FB47" wp14:editId="7581243B">
            <wp:extent cx="6122670" cy="4316095"/>
            <wp:effectExtent l="0" t="0" r="0" b="8255"/>
            <wp:docPr id="244" name="Picture 244" descr="Figure 1.10 is a visual summary of the use cases grouped into bundles called safety, motorway, urban, parking and smart routing. Each bundle has an accompanying cartoon outline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2670" cy="4316095"/>
                    </a:xfrm>
                    <a:prstGeom prst="rect">
                      <a:avLst/>
                    </a:prstGeom>
                    <a:noFill/>
                    <a:ln>
                      <a:noFill/>
                    </a:ln>
                  </pic:spPr>
                </pic:pic>
              </a:graphicData>
            </a:graphic>
          </wp:inline>
        </w:drawing>
      </w:r>
    </w:p>
    <w:p w14:paraId="423E2B55" w14:textId="68C0F204" w:rsidR="00524662" w:rsidRPr="005764FC" w:rsidRDefault="00524662" w:rsidP="008D4991">
      <w:pPr>
        <w:pStyle w:val="Caption"/>
        <w:keepNext w:val="0"/>
      </w:pPr>
      <w:bookmarkStart w:id="112" w:name="_Ref90460069"/>
      <w:bookmarkStart w:id="113" w:name="_Toc97807831"/>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10</w:t>
      </w:r>
      <w:r w:rsidR="00287C9E" w:rsidRPr="005764FC">
        <w:fldChar w:fldCharType="end"/>
      </w:r>
      <w:bookmarkEnd w:id="112"/>
      <w:r w:rsidRPr="005764FC">
        <w:tab/>
        <w:t xml:space="preserve">Use cases considered (definitions provided in Section </w:t>
      </w:r>
      <w:r w:rsidR="00D80937" w:rsidRPr="005764FC">
        <w:t>B</w:t>
      </w:r>
      <w:r w:rsidRPr="005764FC">
        <w:t>)</w:t>
      </w:r>
      <w:bookmarkEnd w:id="113"/>
    </w:p>
    <w:p w14:paraId="2325CD5C" w14:textId="692941D8" w:rsidR="00AF56A1" w:rsidRPr="005764FC" w:rsidRDefault="00524662" w:rsidP="00524662">
      <w:pPr>
        <w:pStyle w:val="BodyText"/>
      </w:pPr>
      <w:r w:rsidRPr="005764FC">
        <w:t xml:space="preserve">To help understand progression through capability, use cases are separated by standards as Day 1 (including 1.5), 2, and 3+ to represent their relative readiness and likely availability to market (refer </w:t>
      </w:r>
      <w:r w:rsidRPr="005764FC">
        <w:fldChar w:fldCharType="begin" w:fldLock="1"/>
      </w:r>
      <w:r w:rsidRPr="005764FC">
        <w:instrText xml:space="preserve"> REF _Ref90460171 \h </w:instrText>
      </w:r>
      <w:r w:rsidRPr="005764FC">
        <w:fldChar w:fldCharType="separate"/>
      </w:r>
      <w:r w:rsidR="00A34B27" w:rsidRPr="005764FC">
        <w:t xml:space="preserve">Figure </w:t>
      </w:r>
      <w:r w:rsidR="00A34B27">
        <w:rPr>
          <w:noProof/>
        </w:rPr>
        <w:t>1</w:t>
      </w:r>
      <w:r w:rsidR="00A34B27" w:rsidRPr="005764FC">
        <w:t>.</w:t>
      </w:r>
      <w:r w:rsidR="00A34B27">
        <w:rPr>
          <w:noProof/>
        </w:rPr>
        <w:t>11</w:t>
      </w:r>
      <w:r w:rsidRPr="005764FC">
        <w:fldChar w:fldCharType="end"/>
      </w:r>
      <w:r w:rsidRPr="005764FC">
        <w:t>)</w:t>
      </w:r>
      <w:r w:rsidR="000B3024" w:rsidRPr="005764FC">
        <w:t xml:space="preserve">. </w:t>
      </w:r>
      <w:r w:rsidR="00BC7A3C" w:rsidRPr="005764FC">
        <w:t xml:space="preserve"> </w:t>
      </w:r>
    </w:p>
    <w:p w14:paraId="51B04FF7" w14:textId="26FE8347" w:rsidR="00CB7E52" w:rsidRPr="005764FC" w:rsidRDefault="00524662" w:rsidP="00524662">
      <w:pPr>
        <w:pStyle w:val="BodyText"/>
        <w:rPr>
          <w:lang w:eastAsia="fr-CA"/>
        </w:rPr>
      </w:pPr>
      <w:r w:rsidRPr="005764FC">
        <w:t>Day 1 and 1.5 use cases offer the most certainty for early deployment of C</w:t>
      </w:r>
      <w:r w:rsidR="008A3437" w:rsidRPr="005764FC">
        <w:t>‑ITS</w:t>
      </w:r>
      <w:r w:rsidRPr="005764FC">
        <w:t xml:space="preserve"> operation where the driver is always in control</w:t>
      </w:r>
      <w:r w:rsidR="00813AD7" w:rsidRPr="005764FC">
        <w:t>,</w:t>
      </w:r>
      <w:r w:rsidRPr="005764FC">
        <w:t xml:space="preserve"> and determines if intervention is needed based on information provided. </w:t>
      </w:r>
      <w:r w:rsidRPr="005764FC">
        <w:rPr>
          <w:lang w:eastAsia="fr-CA"/>
        </w:rPr>
        <w:t>As automated driving technology develops, connected vehicle technology can maximise the benefits offered by automated vehicles (the Cooperative and Connected Automated Mobility (CCAM) program</w:t>
      </w:r>
      <w:r w:rsidR="0076383A" w:rsidRPr="005764FC">
        <w:rPr>
          <w:rStyle w:val="FootnoteReference"/>
          <w:lang w:eastAsia="fr-CA"/>
        </w:rPr>
        <w:footnoteReference w:id="4"/>
      </w:r>
      <w:r w:rsidRPr="005764FC">
        <w:rPr>
          <w:lang w:eastAsia="fr-CA"/>
        </w:rPr>
        <w:t xml:space="preserve"> developments support this). </w:t>
      </w:r>
    </w:p>
    <w:p w14:paraId="6AB7C4E4" w14:textId="62375D72" w:rsidR="00524662" w:rsidRDefault="00524662" w:rsidP="00B91DBD">
      <w:pPr>
        <w:pStyle w:val="BodyText"/>
      </w:pPr>
      <w:r w:rsidRPr="005764FC">
        <w:rPr>
          <w:lang w:eastAsia="fr-CA"/>
        </w:rPr>
        <w:t xml:space="preserve">Services providing </w:t>
      </w:r>
      <w:r w:rsidR="00CB7E52" w:rsidRPr="005764FC">
        <w:rPr>
          <w:lang w:eastAsia="fr-CA"/>
        </w:rPr>
        <w:t>D</w:t>
      </w:r>
      <w:r w:rsidRPr="005764FC">
        <w:rPr>
          <w:lang w:eastAsia="fr-CA"/>
        </w:rPr>
        <w:t>ay 1 and 1.5 use cases are the focus of this deployment analysis.</w:t>
      </w:r>
      <w:r w:rsidR="000021F8" w:rsidRPr="005764FC">
        <w:t xml:space="preserve"> </w:t>
      </w:r>
    </w:p>
    <w:p w14:paraId="52BB1021" w14:textId="52A186E7" w:rsidR="005F014F" w:rsidRPr="005F014F" w:rsidRDefault="004A34BA" w:rsidP="001064CB">
      <w:pPr>
        <w:pStyle w:val="BodyText"/>
        <w:rPr>
          <w:lang w:eastAsia="fr-CA"/>
        </w:rPr>
      </w:pPr>
      <w:r>
        <w:rPr>
          <w:noProof/>
        </w:rPr>
        <w:drawing>
          <wp:inline distT="0" distB="0" distL="0" distR="0" wp14:anchorId="548C3DEE" wp14:editId="26EE3646">
            <wp:extent cx="6012000" cy="4101330"/>
            <wp:effectExtent l="0" t="0" r="8255" b="0"/>
            <wp:docPr id="2" name="Picture 2" descr="figure 1.11 is a graphically embellished table showing the progression from day 1 use cases through to day3 'cooperative driving' use cases. Supporting functionalities, communication services and sample use cases are shown under each category. The table also shows that trustworthiness, accuracy and timeliness of messages and information becomes greater as use cases progress to day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12000" cy="4101330"/>
                    </a:xfrm>
                    <a:prstGeom prst="rect">
                      <a:avLst/>
                    </a:prstGeom>
                    <a:noFill/>
                    <a:ln>
                      <a:noFill/>
                    </a:ln>
                  </pic:spPr>
                </pic:pic>
              </a:graphicData>
            </a:graphic>
          </wp:inline>
        </w:drawing>
      </w:r>
    </w:p>
    <w:p w14:paraId="27095990" w14:textId="6FB5B35C" w:rsidR="00524662" w:rsidRPr="005764FC" w:rsidRDefault="00524662" w:rsidP="00524662">
      <w:pPr>
        <w:pStyle w:val="Source"/>
      </w:pPr>
      <w:r w:rsidRPr="005764FC">
        <w:t>Source:</w:t>
      </w:r>
      <w:r w:rsidRPr="005764FC">
        <w:tab/>
        <w:t>C2C-CC</w:t>
      </w:r>
      <w:r w:rsidR="001760DC" w:rsidRPr="005764FC">
        <w:t>: Car 2 Car Communication Consortium</w:t>
      </w:r>
      <w:r w:rsidR="001C1FF6">
        <w:t xml:space="preserve"> </w:t>
      </w:r>
      <w:sdt>
        <w:sdtPr>
          <w:id w:val="1438556625"/>
          <w:citation/>
        </w:sdtPr>
        <w:sdtContent>
          <w:r w:rsidR="00CB1921">
            <w:fldChar w:fldCharType="begin"/>
          </w:r>
          <w:r w:rsidR="00CB1921">
            <w:instrText xml:space="preserve"> CITATION C2C19 \l 3081 </w:instrText>
          </w:r>
          <w:r w:rsidR="00CB1921">
            <w:fldChar w:fldCharType="separate"/>
          </w:r>
          <w:r w:rsidR="001428F9">
            <w:rPr>
              <w:noProof/>
            </w:rPr>
            <w:t>(C2CCC, 2019)</w:t>
          </w:r>
          <w:r w:rsidR="00CB1921">
            <w:fldChar w:fldCharType="end"/>
          </w:r>
        </w:sdtContent>
      </w:sdt>
    </w:p>
    <w:p w14:paraId="2CBDB105" w14:textId="4C50B2CF" w:rsidR="00524662" w:rsidRPr="005764FC" w:rsidRDefault="00524662" w:rsidP="00CB1921">
      <w:pPr>
        <w:pStyle w:val="Caption"/>
        <w:keepNext w:val="0"/>
      </w:pPr>
      <w:bookmarkStart w:id="114" w:name="_Ref90460171"/>
      <w:bookmarkStart w:id="115" w:name="_Toc97807832"/>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11</w:t>
      </w:r>
      <w:r w:rsidR="00287C9E" w:rsidRPr="005764FC">
        <w:fldChar w:fldCharType="end"/>
      </w:r>
      <w:bookmarkEnd w:id="114"/>
      <w:r w:rsidRPr="005764FC">
        <w:tab/>
        <w:t>Progressive deployment of C</w:t>
      </w:r>
      <w:r w:rsidR="008A3437" w:rsidRPr="005764FC">
        <w:rPr>
          <w:rFonts w:ascii="Cambria Math" w:hAnsi="Cambria Math" w:cs="Cambria Math"/>
        </w:rPr>
        <w:t>‑</w:t>
      </w:r>
      <w:r w:rsidR="008A3437" w:rsidRPr="005764FC">
        <w:t>ITS</w:t>
      </w:r>
      <w:bookmarkEnd w:id="115"/>
    </w:p>
    <w:p w14:paraId="3AD180BE" w14:textId="392DA97E" w:rsidR="0005162D" w:rsidRPr="005764FC" w:rsidRDefault="00524662" w:rsidP="007D0874">
      <w:pPr>
        <w:pStyle w:val="BodyText"/>
        <w:rPr>
          <w:lang w:eastAsia="fr-CA"/>
        </w:rPr>
      </w:pPr>
      <w:r w:rsidRPr="005764FC">
        <w:fldChar w:fldCharType="begin" w:fldLock="1"/>
      </w:r>
      <w:r w:rsidRPr="005764FC">
        <w:rPr>
          <w:bCs/>
        </w:rPr>
        <w:instrText xml:space="preserve"> REF _Ref90460334 \h </w:instrText>
      </w:r>
      <w:r w:rsidRPr="005764FC">
        <w:fldChar w:fldCharType="separate"/>
      </w:r>
      <w:r w:rsidR="00A34B27" w:rsidRPr="005764FC">
        <w:t xml:space="preserve">Figure </w:t>
      </w:r>
      <w:r w:rsidR="00A34B27">
        <w:rPr>
          <w:noProof/>
        </w:rPr>
        <w:t>1</w:t>
      </w:r>
      <w:r w:rsidR="00A34B27" w:rsidRPr="005764FC">
        <w:t>.</w:t>
      </w:r>
      <w:r w:rsidR="00A34B27">
        <w:rPr>
          <w:noProof/>
        </w:rPr>
        <w:t>12</w:t>
      </w:r>
      <w:r w:rsidRPr="005764FC">
        <w:fldChar w:fldCharType="end"/>
      </w:r>
      <w:r w:rsidRPr="005764FC">
        <w:t xml:space="preserve"> </w:t>
      </w:r>
      <w:r w:rsidRPr="005764FC">
        <w:rPr>
          <w:bCs/>
        </w:rPr>
        <w:t>presents the common elements of a C</w:t>
      </w:r>
      <w:r w:rsidR="008A3437" w:rsidRPr="005764FC">
        <w:rPr>
          <w:bCs/>
        </w:rPr>
        <w:t>‑ITS</w:t>
      </w:r>
      <w:r w:rsidRPr="005764FC">
        <w:rPr>
          <w:bCs/>
        </w:rPr>
        <w:t xml:space="preserve"> system as identified in the technical assessment.</w:t>
      </w:r>
      <w:r w:rsidR="004B404D" w:rsidRPr="005764FC">
        <w:rPr>
          <w:bCs/>
        </w:rPr>
        <w:t xml:space="preserve"> </w:t>
      </w:r>
      <w:r w:rsidR="0005162D" w:rsidRPr="005764FC">
        <w:rPr>
          <w:lang w:eastAsia="fr-CA"/>
        </w:rPr>
        <w:t xml:space="preserve">The technical assessment identified </w:t>
      </w:r>
      <w:r w:rsidR="00FF781F" w:rsidRPr="005764FC">
        <w:rPr>
          <w:lang w:eastAsia="fr-CA"/>
        </w:rPr>
        <w:t>the</w:t>
      </w:r>
      <w:r w:rsidR="0005162D" w:rsidRPr="005764FC">
        <w:rPr>
          <w:lang w:eastAsia="fr-CA"/>
        </w:rPr>
        <w:t xml:space="preserve"> ecosystem </w:t>
      </w:r>
      <w:r w:rsidR="00813AD7" w:rsidRPr="005764FC">
        <w:rPr>
          <w:lang w:eastAsia="fr-CA"/>
        </w:rPr>
        <w:t>a</w:t>
      </w:r>
      <w:r w:rsidR="005000F1" w:rsidRPr="005764FC">
        <w:rPr>
          <w:lang w:eastAsia="fr-CA"/>
        </w:rPr>
        <w:t>s</w:t>
      </w:r>
      <w:r w:rsidR="00BE4CE5" w:rsidRPr="005764FC">
        <w:rPr>
          <w:lang w:eastAsia="fr-CA"/>
        </w:rPr>
        <w:t xml:space="preserve"> technically viable</w:t>
      </w:r>
      <w:r w:rsidR="00290FB5" w:rsidRPr="005764FC">
        <w:rPr>
          <w:lang w:eastAsia="fr-CA"/>
        </w:rPr>
        <w:t xml:space="preserve"> t</w:t>
      </w:r>
      <w:r w:rsidR="0005162D" w:rsidRPr="005764FC">
        <w:rPr>
          <w:lang w:eastAsia="fr-CA"/>
        </w:rPr>
        <w:t>o deliver an initial set of Day 1 use cases</w:t>
      </w:r>
      <w:r w:rsidR="00A5624C" w:rsidRPr="005764FC">
        <w:rPr>
          <w:lang w:eastAsia="fr-CA"/>
        </w:rPr>
        <w:t>. Not</w:t>
      </w:r>
      <w:r w:rsidR="009B037B" w:rsidRPr="005764FC">
        <w:rPr>
          <w:lang w:eastAsia="fr-CA"/>
        </w:rPr>
        <w:t>e:</w:t>
      </w:r>
      <w:r w:rsidR="0022337F" w:rsidRPr="005764FC">
        <w:rPr>
          <w:lang w:eastAsia="fr-CA"/>
        </w:rPr>
        <w:t xml:space="preserve"> </w:t>
      </w:r>
      <w:r w:rsidR="0030178C" w:rsidRPr="005764FC">
        <w:rPr>
          <w:lang w:eastAsia="fr-CA"/>
        </w:rPr>
        <w:t xml:space="preserve">depending on </w:t>
      </w:r>
      <w:r w:rsidR="009B037B" w:rsidRPr="005764FC">
        <w:rPr>
          <w:lang w:eastAsia="fr-CA"/>
        </w:rPr>
        <w:t>Australia’s</w:t>
      </w:r>
      <w:r w:rsidR="0030178C" w:rsidRPr="005764FC">
        <w:rPr>
          <w:lang w:eastAsia="fr-CA"/>
        </w:rPr>
        <w:t xml:space="preserve"> </w:t>
      </w:r>
      <w:r w:rsidR="009B037B" w:rsidRPr="005764FC">
        <w:rPr>
          <w:lang w:eastAsia="fr-CA"/>
        </w:rPr>
        <w:t xml:space="preserve">C-ITS </w:t>
      </w:r>
      <w:r w:rsidR="00731677" w:rsidRPr="005764FC">
        <w:rPr>
          <w:lang w:eastAsia="fr-CA"/>
        </w:rPr>
        <w:t xml:space="preserve">direction, </w:t>
      </w:r>
      <w:r w:rsidR="006D522B" w:rsidRPr="005764FC">
        <w:rPr>
          <w:lang w:eastAsia="fr-CA"/>
        </w:rPr>
        <w:t>technical</w:t>
      </w:r>
      <w:r w:rsidR="0005162D" w:rsidRPr="005764FC">
        <w:rPr>
          <w:lang w:eastAsia="fr-CA"/>
        </w:rPr>
        <w:t xml:space="preserve"> aspects </w:t>
      </w:r>
      <w:r w:rsidR="006D522B" w:rsidRPr="005764FC">
        <w:rPr>
          <w:lang w:eastAsia="fr-CA"/>
        </w:rPr>
        <w:t>will</w:t>
      </w:r>
      <w:r w:rsidR="0005162D" w:rsidRPr="005764FC">
        <w:rPr>
          <w:lang w:eastAsia="fr-CA"/>
        </w:rPr>
        <w:t xml:space="preserve"> </w:t>
      </w:r>
      <w:r w:rsidR="006130F0" w:rsidRPr="005764FC">
        <w:rPr>
          <w:lang w:eastAsia="fr-CA"/>
        </w:rPr>
        <w:t xml:space="preserve">need </w:t>
      </w:r>
      <w:r w:rsidR="007C3D2C" w:rsidRPr="005764FC">
        <w:rPr>
          <w:lang w:eastAsia="fr-CA"/>
        </w:rPr>
        <w:t>significant development</w:t>
      </w:r>
      <w:r w:rsidR="0075783A" w:rsidRPr="005764FC">
        <w:rPr>
          <w:lang w:eastAsia="fr-CA"/>
        </w:rPr>
        <w:t xml:space="preserve"> </w:t>
      </w:r>
      <w:r w:rsidR="007C3D2C" w:rsidRPr="005764FC">
        <w:rPr>
          <w:lang w:eastAsia="fr-CA"/>
        </w:rPr>
        <w:t xml:space="preserve">and </w:t>
      </w:r>
      <w:r w:rsidR="00813AD7" w:rsidRPr="005764FC">
        <w:rPr>
          <w:lang w:eastAsia="fr-CA"/>
        </w:rPr>
        <w:t xml:space="preserve">quality </w:t>
      </w:r>
      <w:r w:rsidR="0005162D" w:rsidRPr="005764FC">
        <w:rPr>
          <w:lang w:eastAsia="fr-CA"/>
        </w:rPr>
        <w:t>improve</w:t>
      </w:r>
      <w:r w:rsidR="007C3D2C" w:rsidRPr="005764FC">
        <w:rPr>
          <w:lang w:eastAsia="fr-CA"/>
        </w:rPr>
        <w:t xml:space="preserve">ment </w:t>
      </w:r>
      <w:r w:rsidR="00294B37" w:rsidRPr="005764FC">
        <w:rPr>
          <w:lang w:eastAsia="fr-CA"/>
        </w:rPr>
        <w:t>to match other C-ITS deployments</w:t>
      </w:r>
      <w:r w:rsidR="0005162D" w:rsidRPr="005764FC">
        <w:rPr>
          <w:lang w:eastAsia="fr-CA"/>
        </w:rPr>
        <w:t>.</w:t>
      </w:r>
      <w:r w:rsidR="00A9447F" w:rsidRPr="005764FC">
        <w:rPr>
          <w:lang w:eastAsia="fr-CA"/>
        </w:rPr>
        <w:t xml:space="preserve"> </w:t>
      </w:r>
    </w:p>
    <w:p w14:paraId="4DCC9127" w14:textId="77777777" w:rsidR="00112CC4" w:rsidRDefault="00112CC4" w:rsidP="00B17DA7">
      <w:pPr>
        <w:pStyle w:val="Image"/>
        <w:rPr>
          <w:noProof/>
          <w:lang w:eastAsia="en-AU"/>
        </w:rPr>
      </w:pPr>
      <w:r>
        <w:rPr>
          <w:noProof/>
          <w:lang w:eastAsia="en-AU"/>
        </w:rPr>
        <w:t>0+</w:t>
      </w:r>
    </w:p>
    <w:p w14:paraId="684C018E" w14:textId="77777777" w:rsidR="00112CC4" w:rsidRDefault="00112CC4" w:rsidP="00B17DA7">
      <w:pPr>
        <w:pStyle w:val="Image"/>
      </w:pPr>
      <w:r>
        <w:t>1</w:t>
      </w:r>
    </w:p>
    <w:p w14:paraId="7C08F71F" w14:textId="77777777" w:rsidR="00112CC4" w:rsidRDefault="00112CC4" w:rsidP="00B17DA7">
      <w:pPr>
        <w:pStyle w:val="Image"/>
      </w:pPr>
    </w:p>
    <w:p w14:paraId="0559B24C" w14:textId="302AFBC1" w:rsidR="00524662" w:rsidRPr="005764FC" w:rsidRDefault="00A3107F" w:rsidP="00B17DA7">
      <w:pPr>
        <w:pStyle w:val="Image"/>
      </w:pPr>
      <w:r w:rsidRPr="005764FC">
        <w:rPr>
          <w:noProof/>
          <w:lang w:eastAsia="en-AU"/>
        </w:rPr>
        <w:drawing>
          <wp:inline distT="0" distB="0" distL="0" distR="0" wp14:anchorId="6E66A31C" wp14:editId="6F43EAF7">
            <wp:extent cx="6012000" cy="3696956"/>
            <wp:effectExtent l="0" t="0" r="8255" b="0"/>
            <wp:docPr id="1948033248" name="Picture 1948033248" descr="Figure 1.12 shows how the components of C-ITS are connected. Each component is represented by a cartoon outline and are connected by bol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12000" cy="3696956"/>
                    </a:xfrm>
                    <a:prstGeom prst="rect">
                      <a:avLst/>
                    </a:prstGeom>
                    <a:noFill/>
                    <a:ln>
                      <a:noFill/>
                    </a:ln>
                  </pic:spPr>
                </pic:pic>
              </a:graphicData>
            </a:graphic>
          </wp:inline>
        </w:drawing>
      </w:r>
    </w:p>
    <w:p w14:paraId="5D19BB3D" w14:textId="1444058E" w:rsidR="00524662" w:rsidRPr="005764FC" w:rsidRDefault="00524662" w:rsidP="006053BD">
      <w:pPr>
        <w:pStyle w:val="Caption"/>
        <w:keepNext w:val="0"/>
      </w:pPr>
      <w:bookmarkStart w:id="116" w:name="_Ref90460334"/>
      <w:bookmarkStart w:id="117" w:name="_Toc97807833"/>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12</w:t>
      </w:r>
      <w:r w:rsidR="00287C9E" w:rsidRPr="005764FC">
        <w:fldChar w:fldCharType="end"/>
      </w:r>
      <w:bookmarkEnd w:id="116"/>
      <w:r w:rsidRPr="005764FC">
        <w:tab/>
      </w:r>
      <w:r w:rsidR="0001446B" w:rsidRPr="005764FC">
        <w:t>Components</w:t>
      </w:r>
      <w:r w:rsidRPr="005764FC">
        <w:t xml:space="preserve"> of C</w:t>
      </w:r>
      <w:r w:rsidRPr="005764FC">
        <w:rPr>
          <w:rFonts w:ascii="Cambria Math" w:hAnsi="Cambria Math" w:cs="Cambria Math"/>
        </w:rPr>
        <w:t>‑</w:t>
      </w:r>
      <w:r w:rsidRPr="005764FC">
        <w:t>ITS</w:t>
      </w:r>
      <w:bookmarkEnd w:id="117"/>
    </w:p>
    <w:p w14:paraId="7476A094" w14:textId="3784B949" w:rsidR="005B16E3" w:rsidRPr="005764FC" w:rsidRDefault="005B16E3" w:rsidP="0041421F">
      <w:pPr>
        <w:pStyle w:val="Heading4"/>
      </w:pPr>
      <w:r w:rsidRPr="005764FC">
        <w:t xml:space="preserve">Vehicle </w:t>
      </w:r>
      <w:r w:rsidR="009B037B" w:rsidRPr="005764FC">
        <w:t>stations/equipment</w:t>
      </w:r>
      <w:r w:rsidRPr="005764FC">
        <w:t xml:space="preserve"> </w:t>
      </w:r>
    </w:p>
    <w:p w14:paraId="433EAEFE" w14:textId="433EA4CB" w:rsidR="001B4EED" w:rsidRPr="005764FC" w:rsidRDefault="00690681" w:rsidP="006C24F2">
      <w:pPr>
        <w:pStyle w:val="BodyText"/>
      </w:pPr>
      <w:r w:rsidRPr="005764FC">
        <w:rPr>
          <w:lang w:eastAsia="fr-CA"/>
        </w:rPr>
        <w:t>Vehicle stations refer to t</w:t>
      </w:r>
      <w:r w:rsidR="009C6CDA" w:rsidRPr="005764FC">
        <w:rPr>
          <w:lang w:eastAsia="fr-CA"/>
        </w:rPr>
        <w:t xml:space="preserve">he equipment fitted in vehicles to enable C-ITS operation. This typically includes an on-board unit and </w:t>
      </w:r>
      <w:r w:rsidR="009B037B" w:rsidRPr="005764FC">
        <w:rPr>
          <w:lang w:eastAsia="fr-CA"/>
        </w:rPr>
        <w:t xml:space="preserve">a </w:t>
      </w:r>
      <w:r w:rsidR="002F21F8" w:rsidRPr="005764FC">
        <w:rPr>
          <w:lang w:eastAsia="fr-CA"/>
        </w:rPr>
        <w:t>h</w:t>
      </w:r>
      <w:r w:rsidR="009C6CDA" w:rsidRPr="005764FC">
        <w:rPr>
          <w:lang w:eastAsia="fr-CA"/>
        </w:rPr>
        <w:t xml:space="preserve">uman </w:t>
      </w:r>
      <w:r w:rsidR="002F21F8" w:rsidRPr="005764FC">
        <w:rPr>
          <w:lang w:eastAsia="fr-CA"/>
        </w:rPr>
        <w:t>m</w:t>
      </w:r>
      <w:r w:rsidR="009C6CDA" w:rsidRPr="005764FC">
        <w:rPr>
          <w:lang w:eastAsia="fr-CA"/>
        </w:rPr>
        <w:t xml:space="preserve">achine </w:t>
      </w:r>
      <w:r w:rsidR="002F21F8" w:rsidRPr="005764FC">
        <w:rPr>
          <w:lang w:eastAsia="fr-CA"/>
        </w:rPr>
        <w:t>i</w:t>
      </w:r>
      <w:r w:rsidR="009C6CDA" w:rsidRPr="005764FC">
        <w:rPr>
          <w:lang w:eastAsia="fr-CA"/>
        </w:rPr>
        <w:t xml:space="preserve">nterface (HMI) </w:t>
      </w:r>
      <w:r w:rsidR="009B037B" w:rsidRPr="005764FC">
        <w:rPr>
          <w:lang w:eastAsia="fr-CA"/>
        </w:rPr>
        <w:t>that</w:t>
      </w:r>
      <w:r w:rsidR="009C6CDA" w:rsidRPr="005764FC">
        <w:rPr>
          <w:lang w:eastAsia="fr-CA"/>
        </w:rPr>
        <w:t xml:space="preserve"> may be implemented in different configurations</w:t>
      </w:r>
      <w:r w:rsidR="009B037B" w:rsidRPr="005764FC">
        <w:rPr>
          <w:lang w:eastAsia="fr-CA"/>
        </w:rPr>
        <w:t xml:space="preserve"> for different vehicle types</w:t>
      </w:r>
      <w:r w:rsidR="009C6CDA" w:rsidRPr="005764FC">
        <w:rPr>
          <w:lang w:eastAsia="fr-CA"/>
        </w:rPr>
        <w:t>.</w:t>
      </w:r>
      <w:r w:rsidR="00855C91" w:rsidRPr="005764FC">
        <w:rPr>
          <w:lang w:eastAsia="fr-CA"/>
        </w:rPr>
        <w:t xml:space="preserve"> T</w:t>
      </w:r>
      <w:r w:rsidR="00FE74CE" w:rsidRPr="005764FC">
        <w:rPr>
          <w:lang w:eastAsia="fr-CA"/>
        </w:rPr>
        <w:t>h</w:t>
      </w:r>
      <w:r w:rsidR="00855C91" w:rsidRPr="005764FC">
        <w:rPr>
          <w:lang w:eastAsia="fr-CA"/>
        </w:rPr>
        <w:t xml:space="preserve">e vehicle equipment </w:t>
      </w:r>
      <w:r w:rsidR="00182271" w:rsidRPr="005764FC">
        <w:rPr>
          <w:lang w:eastAsia="fr-CA"/>
        </w:rPr>
        <w:t xml:space="preserve">assesses the </w:t>
      </w:r>
      <w:r w:rsidR="002B574F" w:rsidRPr="005764FC">
        <w:rPr>
          <w:lang w:eastAsia="fr-CA"/>
        </w:rPr>
        <w:t>driver’s</w:t>
      </w:r>
      <w:r w:rsidR="00182271" w:rsidRPr="005764FC">
        <w:rPr>
          <w:lang w:eastAsia="fr-CA"/>
        </w:rPr>
        <w:t xml:space="preserve"> interaction with </w:t>
      </w:r>
      <w:r w:rsidR="00C6370E" w:rsidRPr="005764FC">
        <w:rPr>
          <w:lang w:eastAsia="fr-CA"/>
        </w:rPr>
        <w:t xml:space="preserve">events and provides </w:t>
      </w:r>
      <w:r w:rsidR="004D107A" w:rsidRPr="005764FC">
        <w:rPr>
          <w:lang w:eastAsia="fr-CA"/>
        </w:rPr>
        <w:t xml:space="preserve">the user </w:t>
      </w:r>
      <w:r w:rsidR="009B037B" w:rsidRPr="005764FC">
        <w:rPr>
          <w:lang w:eastAsia="fr-CA"/>
        </w:rPr>
        <w:t xml:space="preserve">with relevant </w:t>
      </w:r>
      <w:r w:rsidR="004D107A" w:rsidRPr="005764FC">
        <w:rPr>
          <w:lang w:eastAsia="fr-CA"/>
        </w:rPr>
        <w:t>information</w:t>
      </w:r>
      <w:r w:rsidR="00A948C4" w:rsidRPr="005764FC">
        <w:rPr>
          <w:lang w:eastAsia="fr-CA"/>
        </w:rPr>
        <w:t xml:space="preserve"> (using the HMI through a </w:t>
      </w:r>
      <w:r w:rsidR="001F1AFB" w:rsidRPr="005764FC">
        <w:rPr>
          <w:lang w:eastAsia="fr-CA"/>
        </w:rPr>
        <w:t xml:space="preserve">visual screen, audible sounds or </w:t>
      </w:r>
      <w:r w:rsidR="00D4284D" w:rsidRPr="005764FC">
        <w:rPr>
          <w:lang w:eastAsia="fr-CA"/>
        </w:rPr>
        <w:t>haptic</w:t>
      </w:r>
      <w:r w:rsidR="001F1AFB" w:rsidRPr="005764FC">
        <w:rPr>
          <w:lang w:eastAsia="fr-CA"/>
        </w:rPr>
        <w:t xml:space="preserve"> </w:t>
      </w:r>
      <w:r w:rsidR="001E16DB" w:rsidRPr="005764FC">
        <w:rPr>
          <w:lang w:eastAsia="fr-CA"/>
        </w:rPr>
        <w:t>movements</w:t>
      </w:r>
      <w:r w:rsidR="001F1AFB" w:rsidRPr="005764FC">
        <w:rPr>
          <w:lang w:eastAsia="fr-CA"/>
        </w:rPr>
        <w:t>)</w:t>
      </w:r>
      <w:r w:rsidR="004D107A" w:rsidRPr="005764FC">
        <w:rPr>
          <w:lang w:eastAsia="fr-CA"/>
        </w:rPr>
        <w:t xml:space="preserve">. </w:t>
      </w:r>
      <w:r w:rsidR="00180A59" w:rsidRPr="005764FC">
        <w:rPr>
          <w:lang w:eastAsia="fr-CA"/>
        </w:rPr>
        <w:t>In the future, the vehicle station could also inform</w:t>
      </w:r>
      <w:r w:rsidR="00033034" w:rsidRPr="005764FC">
        <w:rPr>
          <w:lang w:eastAsia="fr-CA"/>
        </w:rPr>
        <w:t xml:space="preserve"> automated vehicle </w:t>
      </w:r>
      <w:r w:rsidR="00B373FD" w:rsidRPr="005764FC">
        <w:rPr>
          <w:lang w:eastAsia="fr-CA"/>
        </w:rPr>
        <w:t>systems</w:t>
      </w:r>
      <w:r w:rsidR="00033034" w:rsidRPr="005764FC">
        <w:rPr>
          <w:lang w:eastAsia="fr-CA"/>
        </w:rPr>
        <w:t xml:space="preserve">. </w:t>
      </w:r>
      <w:r w:rsidR="00EB63A2" w:rsidRPr="005764FC">
        <w:rPr>
          <w:lang w:eastAsia="fr-CA"/>
        </w:rPr>
        <w:t>Vehicle stations and equipment are typically provide</w:t>
      </w:r>
      <w:r w:rsidR="00D64275" w:rsidRPr="005764FC">
        <w:rPr>
          <w:lang w:eastAsia="fr-CA"/>
        </w:rPr>
        <w:t>d by vehicle manufacturers who are responsible for the</w:t>
      </w:r>
      <w:r w:rsidR="00EB5195" w:rsidRPr="005764FC">
        <w:rPr>
          <w:lang w:eastAsia="fr-CA"/>
        </w:rPr>
        <w:t xml:space="preserve"> </w:t>
      </w:r>
      <w:r w:rsidR="008E1BEE" w:rsidRPr="005764FC">
        <w:rPr>
          <w:lang w:eastAsia="fr-CA"/>
        </w:rPr>
        <w:t>end interaction with C-ITS. Therefore</w:t>
      </w:r>
      <w:r w:rsidR="00033034" w:rsidRPr="005764FC">
        <w:rPr>
          <w:lang w:eastAsia="fr-CA"/>
        </w:rPr>
        <w:t>,</w:t>
      </w:r>
      <w:r w:rsidR="008E1BEE" w:rsidRPr="005764FC">
        <w:rPr>
          <w:lang w:eastAsia="fr-CA"/>
        </w:rPr>
        <w:t xml:space="preserve"> </w:t>
      </w:r>
      <w:r w:rsidR="00C0180B" w:rsidRPr="005764FC">
        <w:rPr>
          <w:lang w:eastAsia="fr-CA"/>
        </w:rPr>
        <w:t>vehicle manufacturers have an important role in the</w:t>
      </w:r>
      <w:r w:rsidR="00D64275" w:rsidRPr="005764FC">
        <w:rPr>
          <w:lang w:eastAsia="fr-CA"/>
        </w:rPr>
        <w:t xml:space="preserve"> safety, effectiveness</w:t>
      </w:r>
      <w:r w:rsidR="00AA2332" w:rsidRPr="005764FC">
        <w:rPr>
          <w:lang w:eastAsia="fr-CA"/>
        </w:rPr>
        <w:t>,</w:t>
      </w:r>
      <w:r w:rsidR="00D64275" w:rsidRPr="005764FC">
        <w:rPr>
          <w:lang w:eastAsia="fr-CA"/>
        </w:rPr>
        <w:t xml:space="preserve"> and user experience of </w:t>
      </w:r>
      <w:r w:rsidR="003378F7" w:rsidRPr="005764FC">
        <w:rPr>
          <w:lang w:eastAsia="fr-CA"/>
        </w:rPr>
        <w:t>C-IT</w:t>
      </w:r>
      <w:r w:rsidR="008E1BEE" w:rsidRPr="005764FC">
        <w:rPr>
          <w:lang w:eastAsia="fr-CA"/>
        </w:rPr>
        <w:t>S</w:t>
      </w:r>
      <w:r w:rsidR="003378F7" w:rsidRPr="005764FC">
        <w:rPr>
          <w:lang w:eastAsia="fr-CA"/>
        </w:rPr>
        <w:t>. Ve</w:t>
      </w:r>
      <w:r w:rsidR="00CF1C7E" w:rsidRPr="005764FC">
        <w:rPr>
          <w:lang w:eastAsia="fr-CA"/>
        </w:rPr>
        <w:t xml:space="preserve">hicle </w:t>
      </w:r>
      <w:r w:rsidR="009A3E93" w:rsidRPr="005764FC">
        <w:rPr>
          <w:lang w:eastAsia="fr-CA"/>
        </w:rPr>
        <w:t xml:space="preserve">stations can be provided </w:t>
      </w:r>
      <w:r w:rsidR="009B037B" w:rsidRPr="005764FC">
        <w:rPr>
          <w:lang w:eastAsia="fr-CA"/>
        </w:rPr>
        <w:t xml:space="preserve">for </w:t>
      </w:r>
      <w:r w:rsidR="00BA4CEE" w:rsidRPr="005764FC">
        <w:rPr>
          <w:lang w:eastAsia="fr-CA"/>
        </w:rPr>
        <w:t xml:space="preserve">many vehicle types </w:t>
      </w:r>
      <w:r w:rsidR="009A3E93" w:rsidRPr="005764FC">
        <w:rPr>
          <w:lang w:eastAsia="fr-CA"/>
        </w:rPr>
        <w:t>in</w:t>
      </w:r>
      <w:r w:rsidR="00BA4CEE" w:rsidRPr="005764FC">
        <w:rPr>
          <w:lang w:eastAsia="fr-CA"/>
        </w:rPr>
        <w:t>cluding</w:t>
      </w:r>
      <w:r w:rsidR="009A3E93" w:rsidRPr="005764FC">
        <w:rPr>
          <w:lang w:eastAsia="fr-CA"/>
        </w:rPr>
        <w:t xml:space="preserve"> passenger vehicles, heavy vehicles, public transport, motorcycles</w:t>
      </w:r>
      <w:r w:rsidR="009B037B" w:rsidRPr="005764FC">
        <w:rPr>
          <w:lang w:eastAsia="fr-CA"/>
        </w:rPr>
        <w:t>,</w:t>
      </w:r>
      <w:r w:rsidR="006C458D" w:rsidRPr="005764FC">
        <w:rPr>
          <w:lang w:eastAsia="fr-CA"/>
        </w:rPr>
        <w:t xml:space="preserve"> and</w:t>
      </w:r>
      <w:r w:rsidR="009A3E93" w:rsidRPr="005764FC">
        <w:rPr>
          <w:lang w:eastAsia="fr-CA"/>
        </w:rPr>
        <w:t xml:space="preserve"> </w:t>
      </w:r>
      <w:r w:rsidR="00383312" w:rsidRPr="005764FC">
        <w:rPr>
          <w:lang w:eastAsia="fr-CA"/>
        </w:rPr>
        <w:t>emergency vehicles</w:t>
      </w:r>
      <w:r w:rsidR="00BA4CEE" w:rsidRPr="005764FC">
        <w:rPr>
          <w:lang w:eastAsia="fr-CA"/>
        </w:rPr>
        <w:t xml:space="preserve">. </w:t>
      </w:r>
    </w:p>
    <w:p w14:paraId="49ABA64F" w14:textId="720F0E93" w:rsidR="00A7415D" w:rsidRPr="005764FC" w:rsidRDefault="00A7415D" w:rsidP="0041421F">
      <w:pPr>
        <w:pStyle w:val="Heading4"/>
      </w:pPr>
      <w:r w:rsidRPr="005764FC">
        <w:t xml:space="preserve">Short-range </w:t>
      </w:r>
      <w:r w:rsidR="009B037B" w:rsidRPr="005764FC">
        <w:t>c</w:t>
      </w:r>
      <w:r w:rsidRPr="005764FC">
        <w:t>ommunications</w:t>
      </w:r>
    </w:p>
    <w:p w14:paraId="38C6768B" w14:textId="5F7D77AA" w:rsidR="00076B15" w:rsidRPr="005764FC" w:rsidRDefault="00076B15" w:rsidP="00076B15">
      <w:pPr>
        <w:pStyle w:val="BodyText"/>
        <w:rPr>
          <w:lang w:eastAsia="fr-CA"/>
        </w:rPr>
      </w:pPr>
      <w:r w:rsidRPr="005764FC">
        <w:t xml:space="preserve">Vehicle-generated information (such as vehicle location and events detected by vehicle sensors) is broadcast to surrounding vehicles </w:t>
      </w:r>
      <w:r w:rsidR="00220E66" w:rsidRPr="005764FC">
        <w:t xml:space="preserve">(V2V) </w:t>
      </w:r>
      <w:r w:rsidRPr="005764FC">
        <w:t xml:space="preserve">so they can react </w:t>
      </w:r>
      <w:r w:rsidR="009B037B" w:rsidRPr="005764FC">
        <w:t>according to</w:t>
      </w:r>
      <w:r w:rsidRPr="005764FC">
        <w:t xml:space="preserve"> the information’s relevance to their drive path. </w:t>
      </w:r>
      <w:r w:rsidR="00E7465C" w:rsidRPr="005764FC">
        <w:t xml:space="preserve">Roadside stations share information with vehicles </w:t>
      </w:r>
      <w:r w:rsidR="00220E66" w:rsidRPr="005764FC">
        <w:t xml:space="preserve">using the same </w:t>
      </w:r>
      <w:r w:rsidR="000F482E" w:rsidRPr="005764FC">
        <w:t xml:space="preserve">technology. </w:t>
      </w:r>
      <w:r w:rsidRPr="005764FC">
        <w:rPr>
          <w:lang w:eastAsia="fr-CA"/>
        </w:rPr>
        <w:t xml:space="preserve">The </w:t>
      </w:r>
      <w:r w:rsidR="002D16AF" w:rsidRPr="005764FC">
        <w:rPr>
          <w:lang w:eastAsia="fr-CA"/>
        </w:rPr>
        <w:t>physical/</w:t>
      </w:r>
      <w:r w:rsidRPr="005764FC">
        <w:rPr>
          <w:lang w:eastAsia="fr-CA"/>
        </w:rPr>
        <w:t xml:space="preserve">access layer of communications is important as it creates the interface for </w:t>
      </w:r>
      <w:r w:rsidR="003F4DF6" w:rsidRPr="005764FC">
        <w:rPr>
          <w:lang w:eastAsia="fr-CA"/>
        </w:rPr>
        <w:t xml:space="preserve">local </w:t>
      </w:r>
      <w:r w:rsidRPr="005764FC">
        <w:rPr>
          <w:lang w:eastAsia="fr-CA"/>
        </w:rPr>
        <w:t>information exchange. Short</w:t>
      </w:r>
      <w:r w:rsidR="009B037B" w:rsidRPr="005764FC">
        <w:rPr>
          <w:lang w:eastAsia="fr-CA"/>
        </w:rPr>
        <w:t>-</w:t>
      </w:r>
      <w:r w:rsidRPr="005764FC">
        <w:rPr>
          <w:lang w:eastAsia="fr-CA"/>
        </w:rPr>
        <w:t>range communications have two primary technology options: DSRC and C-V2X</w:t>
      </w:r>
      <w:r w:rsidR="000F482E" w:rsidRPr="005764FC">
        <w:rPr>
          <w:lang w:eastAsia="fr-CA"/>
        </w:rPr>
        <w:t xml:space="preserve"> (LTE-V2X)</w:t>
      </w:r>
      <w:r w:rsidR="00ED2DCD" w:rsidRPr="005764FC">
        <w:rPr>
          <w:lang w:eastAsia="fr-CA"/>
        </w:rPr>
        <w:t>,</w:t>
      </w:r>
      <w:r w:rsidR="00797A89" w:rsidRPr="005764FC">
        <w:rPr>
          <w:lang w:eastAsia="fr-CA"/>
        </w:rPr>
        <w:t xml:space="preserve"> discussed further in </w:t>
      </w:r>
      <w:r w:rsidR="0012501A" w:rsidRPr="005764FC">
        <w:rPr>
          <w:lang w:eastAsia="fr-CA"/>
        </w:rPr>
        <w:t xml:space="preserve">Section </w:t>
      </w:r>
      <w:r w:rsidR="00797A89" w:rsidRPr="005764FC">
        <w:rPr>
          <w:lang w:eastAsia="fr-CA"/>
        </w:rPr>
        <w:fldChar w:fldCharType="begin" w:fldLock="1"/>
      </w:r>
      <w:r w:rsidR="00797A89" w:rsidRPr="005764FC">
        <w:rPr>
          <w:lang w:eastAsia="fr-CA"/>
        </w:rPr>
        <w:instrText xml:space="preserve"> REF _Ref94133238 \r \h </w:instrText>
      </w:r>
      <w:r w:rsidR="00797A89" w:rsidRPr="005764FC">
        <w:rPr>
          <w:lang w:eastAsia="fr-CA"/>
        </w:rPr>
      </w:r>
      <w:r w:rsidR="00797A89" w:rsidRPr="005764FC">
        <w:rPr>
          <w:lang w:eastAsia="fr-CA"/>
        </w:rPr>
        <w:fldChar w:fldCharType="separate"/>
      </w:r>
      <w:r w:rsidR="00A34B27">
        <w:rPr>
          <w:lang w:eastAsia="fr-CA"/>
        </w:rPr>
        <w:t>1.6.3</w:t>
      </w:r>
      <w:r w:rsidR="00797A89" w:rsidRPr="005764FC">
        <w:rPr>
          <w:lang w:eastAsia="fr-CA"/>
        </w:rPr>
        <w:fldChar w:fldCharType="end"/>
      </w:r>
      <w:r w:rsidRPr="005764FC">
        <w:rPr>
          <w:lang w:eastAsia="fr-CA"/>
        </w:rPr>
        <w:t>.</w:t>
      </w:r>
    </w:p>
    <w:p w14:paraId="7268C136" w14:textId="103BB808" w:rsidR="00524662" w:rsidRPr="005764FC" w:rsidRDefault="00524662" w:rsidP="0041421F">
      <w:pPr>
        <w:pStyle w:val="Heading4"/>
      </w:pPr>
      <w:r w:rsidRPr="005764FC">
        <w:t>C</w:t>
      </w:r>
      <w:r w:rsidR="008A3437" w:rsidRPr="005764FC">
        <w:rPr>
          <w:rFonts w:ascii="Cambria Math" w:hAnsi="Cambria Math" w:cs="Cambria Math"/>
        </w:rPr>
        <w:t>‑</w:t>
      </w:r>
      <w:r w:rsidRPr="005764FC">
        <w:t>ITS Security Credential Management System (SCMS)</w:t>
      </w:r>
    </w:p>
    <w:p w14:paraId="6BBC342F" w14:textId="2CE16673" w:rsidR="000115F0" w:rsidRPr="005764FC" w:rsidRDefault="00524662" w:rsidP="003D4B38">
      <w:pPr>
        <w:pStyle w:val="BodyText"/>
      </w:pPr>
      <w:r w:rsidRPr="005764FC">
        <w:t>Security is essential for public trust, uptake, and communications across vehicles. Some use cases require transferring information about safety-critical events</w:t>
      </w:r>
      <w:r w:rsidR="009B037B" w:rsidRPr="005764FC">
        <w:t>. A</w:t>
      </w:r>
      <w:r w:rsidR="002E6C53" w:rsidRPr="005764FC">
        <w:t xml:space="preserve">ll </w:t>
      </w:r>
      <w:r w:rsidR="009B037B" w:rsidRPr="005764FC">
        <w:t>communications</w:t>
      </w:r>
      <w:r w:rsidR="002E6C53" w:rsidRPr="005764FC">
        <w:t xml:space="preserve"> impact the driver’s </w:t>
      </w:r>
      <w:r w:rsidR="00C834C5" w:rsidRPr="005764FC">
        <w:t>attention</w:t>
      </w:r>
      <w:r w:rsidRPr="005764FC">
        <w:t>. For information to be useful, stations must be able to trust the information’s source and credibility – that it comes from an authorised and verified system (SCMS).</w:t>
      </w:r>
      <w:r w:rsidR="00242242" w:rsidRPr="005764FC">
        <w:t xml:space="preserve"> </w:t>
      </w:r>
      <w:r w:rsidR="00BB5BDA" w:rsidRPr="005764FC">
        <w:t xml:space="preserve">Without an SCMS, </w:t>
      </w:r>
      <w:r w:rsidR="005B0DF9" w:rsidRPr="005764FC">
        <w:t xml:space="preserve">information received </w:t>
      </w:r>
      <w:r w:rsidR="00490E8F" w:rsidRPr="005764FC">
        <w:t xml:space="preserve">could be </w:t>
      </w:r>
      <w:r w:rsidR="00B61931" w:rsidRPr="005764FC">
        <w:t>at</w:t>
      </w:r>
      <w:r w:rsidR="00490E8F" w:rsidRPr="005764FC">
        <w:t xml:space="preserve"> high risk </w:t>
      </w:r>
      <w:r w:rsidR="009277EF" w:rsidRPr="005764FC">
        <w:t xml:space="preserve">of </w:t>
      </w:r>
      <w:r w:rsidR="00411BCA" w:rsidRPr="005764FC">
        <w:t xml:space="preserve">being </w:t>
      </w:r>
      <w:r w:rsidR="002D0BF4" w:rsidRPr="005764FC">
        <w:t>falsified</w:t>
      </w:r>
      <w:r w:rsidR="00411BCA" w:rsidRPr="005764FC">
        <w:t xml:space="preserve"> and </w:t>
      </w:r>
      <w:r w:rsidR="002622F1" w:rsidRPr="005764FC">
        <w:t>mislead</w:t>
      </w:r>
      <w:r w:rsidR="00ED2DCD" w:rsidRPr="005764FC">
        <w:t>ing</w:t>
      </w:r>
      <w:r w:rsidR="00490E8F" w:rsidRPr="005764FC">
        <w:t xml:space="preserve"> the </w:t>
      </w:r>
      <w:r w:rsidR="003D4B38" w:rsidRPr="005764FC">
        <w:t xml:space="preserve">driver. </w:t>
      </w:r>
      <w:r w:rsidR="002348F6" w:rsidRPr="005764FC">
        <w:t>An SCMS has been developed for TMR</w:t>
      </w:r>
      <w:r w:rsidR="00C65CAF" w:rsidRPr="005764FC">
        <w:t xml:space="preserve"> (in collaboration with DITRDC and iMove)</w:t>
      </w:r>
      <w:r w:rsidR="002348F6" w:rsidRPr="005764FC">
        <w:t xml:space="preserve"> and is operating effectively in the </w:t>
      </w:r>
      <w:r w:rsidR="007E1BA7" w:rsidRPr="005764FC">
        <w:t xml:space="preserve">Cooperative and Automated Vehicle </w:t>
      </w:r>
      <w:r w:rsidR="001E0F06" w:rsidRPr="005764FC">
        <w:t>I</w:t>
      </w:r>
      <w:r w:rsidR="007E1BA7" w:rsidRPr="005764FC">
        <w:t>nitiative (</w:t>
      </w:r>
      <w:r w:rsidR="002348F6" w:rsidRPr="005764FC">
        <w:t>CAVI</w:t>
      </w:r>
      <w:r w:rsidR="007E1BA7" w:rsidRPr="005764FC">
        <w:t>)</w:t>
      </w:r>
      <w:r w:rsidR="002348F6" w:rsidRPr="005764FC">
        <w:t xml:space="preserve"> </w:t>
      </w:r>
      <w:r w:rsidR="00B2765F" w:rsidRPr="005764FC">
        <w:t>Ipswich pilot</w:t>
      </w:r>
      <w:r w:rsidR="002348F6" w:rsidRPr="005764FC">
        <w:t xml:space="preserve"> in Queensland</w:t>
      </w:r>
      <w:r w:rsidR="00FC40DC" w:rsidRPr="005764FC">
        <w:t>.</w:t>
      </w:r>
    </w:p>
    <w:p w14:paraId="3BCB7BBF" w14:textId="59E6C515" w:rsidR="00524662" w:rsidRPr="005764FC" w:rsidRDefault="00524662" w:rsidP="0041421F">
      <w:pPr>
        <w:pStyle w:val="Heading4"/>
      </w:pPr>
      <w:r w:rsidRPr="005764FC">
        <w:t>Central systems (using long-range cellular communications)</w:t>
      </w:r>
    </w:p>
    <w:p w14:paraId="516259F5" w14:textId="1D2153F3" w:rsidR="00F66D4C" w:rsidRPr="005764FC" w:rsidRDefault="00E83C16" w:rsidP="001B4EED">
      <w:pPr>
        <w:pStyle w:val="BodyText"/>
      </w:pPr>
      <w:r w:rsidRPr="005764FC">
        <w:t xml:space="preserve">A central system (or station) </w:t>
      </w:r>
      <w:r w:rsidR="001C52C2" w:rsidRPr="005764FC">
        <w:t xml:space="preserve">generates C-ITS compliant messages </w:t>
      </w:r>
      <w:r w:rsidR="00343B3A" w:rsidRPr="005764FC">
        <w:t xml:space="preserve">for vehicles </w:t>
      </w:r>
      <w:r w:rsidR="00041CF7" w:rsidRPr="005764FC">
        <w:t xml:space="preserve">from </w:t>
      </w:r>
      <w:r w:rsidR="00343B3A" w:rsidRPr="005764FC">
        <w:t xml:space="preserve">traffic network information or centrally managed events. It is also </w:t>
      </w:r>
      <w:r w:rsidR="0077434E" w:rsidRPr="005764FC">
        <w:t xml:space="preserve">able to collect and utilise vehicle </w:t>
      </w:r>
      <w:r w:rsidR="009A38A5" w:rsidRPr="005764FC">
        <w:t>and roadside infrastructure data to improve network utilisation, system monitoring and maintenance.</w:t>
      </w:r>
      <w:r w:rsidR="00783D41" w:rsidRPr="005764FC">
        <w:t xml:space="preserve"> The use of a central system is </w:t>
      </w:r>
      <w:r w:rsidR="00631EBC" w:rsidRPr="005764FC">
        <w:t>like</w:t>
      </w:r>
      <w:r w:rsidR="00783D41" w:rsidRPr="005764FC">
        <w:t xml:space="preserve"> m</w:t>
      </w:r>
      <w:r w:rsidR="003712D2" w:rsidRPr="005764FC">
        <w:t xml:space="preserve">ost ITS equipment </w:t>
      </w:r>
      <w:r w:rsidR="00783D41" w:rsidRPr="005764FC">
        <w:t xml:space="preserve">where it </w:t>
      </w:r>
      <w:r w:rsidR="003712D2" w:rsidRPr="005764FC">
        <w:t xml:space="preserve">is operated and maintained by </w:t>
      </w:r>
      <w:r w:rsidR="00783D41" w:rsidRPr="005764FC">
        <w:t xml:space="preserve">road operators </w:t>
      </w:r>
      <w:r w:rsidR="005413A3" w:rsidRPr="005764FC">
        <w:t xml:space="preserve">through </w:t>
      </w:r>
      <w:r w:rsidR="003712D2" w:rsidRPr="005764FC">
        <w:t>traffic management centres</w:t>
      </w:r>
      <w:r w:rsidR="00B61931" w:rsidRPr="005764FC">
        <w:t xml:space="preserve">. </w:t>
      </w:r>
      <w:r w:rsidR="008001AD" w:rsidRPr="005764FC">
        <w:t>However</w:t>
      </w:r>
      <w:r w:rsidR="00CB60DF" w:rsidRPr="005764FC">
        <w:t>,</w:t>
      </w:r>
      <w:r w:rsidR="008001AD" w:rsidRPr="005764FC">
        <w:t xml:space="preserve"> f</w:t>
      </w:r>
      <w:r w:rsidR="00EF38BD" w:rsidRPr="005764FC">
        <w:t>or C-ITS</w:t>
      </w:r>
      <w:r w:rsidR="00D70A2F" w:rsidRPr="005764FC">
        <w:t xml:space="preserve"> infrastructure</w:t>
      </w:r>
      <w:r w:rsidR="00B61931" w:rsidRPr="005764FC">
        <w:t>,</w:t>
      </w:r>
      <w:r w:rsidR="00D70A2F" w:rsidRPr="005764FC">
        <w:t xml:space="preserve"> this will likely </w:t>
      </w:r>
      <w:r w:rsidR="00BE1850" w:rsidRPr="005764FC">
        <w:t xml:space="preserve">have greater needs on </w:t>
      </w:r>
      <w:r w:rsidR="00353A5D" w:rsidRPr="005764FC">
        <w:t>consistency such as</w:t>
      </w:r>
      <w:r w:rsidR="00D70A2F" w:rsidRPr="005764FC">
        <w:t xml:space="preserve"> the same</w:t>
      </w:r>
      <w:r w:rsidR="0030768B" w:rsidRPr="005764FC">
        <w:t xml:space="preserve"> </w:t>
      </w:r>
      <w:r w:rsidR="00C94565" w:rsidRPr="005764FC">
        <w:t xml:space="preserve">standardised </w:t>
      </w:r>
      <w:r w:rsidR="00B81321" w:rsidRPr="005764FC">
        <w:t>sharing of central-to-central</w:t>
      </w:r>
      <w:r w:rsidR="00E65323" w:rsidRPr="005764FC">
        <w:t xml:space="preserve"> </w:t>
      </w:r>
      <w:r w:rsidR="00F134B3" w:rsidRPr="005764FC">
        <w:t>information</w:t>
      </w:r>
      <w:r w:rsidR="00CB60DF" w:rsidRPr="005764FC">
        <w:t>,</w:t>
      </w:r>
      <w:r w:rsidR="00353A5D" w:rsidRPr="005764FC">
        <w:t xml:space="preserve"> which would allow a </w:t>
      </w:r>
      <w:r w:rsidR="00631EBC" w:rsidRPr="005764FC">
        <w:t>vehicle to understand the same type of data no matter which government jurisdiction i</w:t>
      </w:r>
      <w:r w:rsidR="00D66887" w:rsidRPr="005764FC">
        <w:t>t</w:t>
      </w:r>
      <w:r w:rsidR="00631EBC" w:rsidRPr="005764FC">
        <w:t xml:space="preserve"> is in</w:t>
      </w:r>
      <w:r w:rsidR="00B81321" w:rsidRPr="005764FC">
        <w:t xml:space="preserve">. </w:t>
      </w:r>
      <w:r w:rsidR="002414A6" w:rsidRPr="005764FC">
        <w:t>For C</w:t>
      </w:r>
      <w:r w:rsidR="00895C05">
        <w:noBreakHyphen/>
      </w:r>
      <w:r w:rsidR="002414A6" w:rsidRPr="005764FC">
        <w:t>ITS to operate useful</w:t>
      </w:r>
      <w:r w:rsidR="00666929" w:rsidRPr="005764FC">
        <w:t>ly, it needs</w:t>
      </w:r>
      <w:r w:rsidR="002414A6" w:rsidRPr="005764FC">
        <w:t xml:space="preserve"> to present </w:t>
      </w:r>
      <w:r w:rsidR="00C13664" w:rsidRPr="005764FC">
        <w:t xml:space="preserve">users with </w:t>
      </w:r>
      <w:r w:rsidR="002414A6" w:rsidRPr="005764FC">
        <w:t xml:space="preserve">consistent, relevant and timely information </w:t>
      </w:r>
      <w:r w:rsidR="00666929" w:rsidRPr="005764FC">
        <w:t>that’s</w:t>
      </w:r>
      <w:r w:rsidR="002414A6" w:rsidRPr="005764FC">
        <w:t xml:space="preserve"> made available in near real-time</w:t>
      </w:r>
      <w:r w:rsidR="00666929" w:rsidRPr="005764FC">
        <w:t xml:space="preserve"> </w:t>
      </w:r>
      <w:r w:rsidR="002414A6" w:rsidRPr="005764FC">
        <w:t xml:space="preserve">from </w:t>
      </w:r>
      <w:r w:rsidR="00666929" w:rsidRPr="005764FC">
        <w:t xml:space="preserve">highly accurate </w:t>
      </w:r>
      <w:r w:rsidR="002414A6" w:rsidRPr="005764FC">
        <w:t xml:space="preserve">source data. Much of the information required for C-ITS is available within </w:t>
      </w:r>
      <w:r w:rsidR="001050B0" w:rsidRPr="005764FC">
        <w:t xml:space="preserve">transport </w:t>
      </w:r>
      <w:r w:rsidR="002414A6" w:rsidRPr="005764FC">
        <w:t>agency systems</w:t>
      </w:r>
      <w:r w:rsidR="00B61931" w:rsidRPr="005764FC">
        <w:t>. H</w:t>
      </w:r>
      <w:r w:rsidR="002414A6" w:rsidRPr="005764FC">
        <w:t>owever</w:t>
      </w:r>
      <w:r w:rsidR="00B61931" w:rsidRPr="005764FC">
        <w:t>,</w:t>
      </w:r>
      <w:r w:rsidR="002414A6" w:rsidRPr="005764FC">
        <w:t xml:space="preserve"> </w:t>
      </w:r>
      <w:r w:rsidR="00B61931" w:rsidRPr="005764FC">
        <w:t>it needs</w:t>
      </w:r>
      <w:r w:rsidR="002414A6" w:rsidRPr="005764FC">
        <w:t xml:space="preserve"> significant improvement in quality and consistency to make it useful </w:t>
      </w:r>
      <w:r w:rsidR="00B61931" w:rsidRPr="005764FC">
        <w:t>to</w:t>
      </w:r>
      <w:r w:rsidR="002414A6" w:rsidRPr="005764FC">
        <w:t xml:space="preserve"> end users</w:t>
      </w:r>
      <w:r w:rsidR="0009719F" w:rsidRPr="005764FC">
        <w:t>.</w:t>
      </w:r>
      <w:r w:rsidR="002B300F" w:rsidRPr="005764FC">
        <w:t xml:space="preserve"> </w:t>
      </w:r>
    </w:p>
    <w:p w14:paraId="08571739" w14:textId="11971BA1" w:rsidR="00524662" w:rsidRPr="005764FC" w:rsidRDefault="00F66D4C" w:rsidP="001B4EED">
      <w:pPr>
        <w:pStyle w:val="BodyText"/>
      </w:pPr>
      <w:r w:rsidRPr="005764FC">
        <w:t>The assessment identified the benefit of hav</w:t>
      </w:r>
      <w:r w:rsidR="00D649D0" w:rsidRPr="005764FC">
        <w:t>ing</w:t>
      </w:r>
      <w:r w:rsidRPr="005764FC">
        <w:t xml:space="preserve"> a national data exchange </w:t>
      </w:r>
      <w:r w:rsidR="00D649D0" w:rsidRPr="005764FC">
        <w:t>with</w:t>
      </w:r>
      <w:r w:rsidRPr="005764FC">
        <w:t xml:space="preserve"> a standard</w:t>
      </w:r>
      <w:r w:rsidR="00494AA2" w:rsidRPr="005764FC">
        <w:t xml:space="preserve"> interface between central systems as beneficial for rapidly</w:t>
      </w:r>
      <w:r w:rsidR="00D649D0" w:rsidRPr="005764FC">
        <w:t xml:space="preserve"> utilising the data available across systems. </w:t>
      </w:r>
      <w:r w:rsidR="002106E1" w:rsidRPr="005764FC">
        <w:t xml:space="preserve">In European regulation, this is referred to as a National Access Point (NAP). </w:t>
      </w:r>
    </w:p>
    <w:p w14:paraId="1022881A" w14:textId="574490F8" w:rsidR="00524662" w:rsidRPr="005764FC" w:rsidRDefault="00524662" w:rsidP="0041421F">
      <w:pPr>
        <w:pStyle w:val="Heading4"/>
      </w:pPr>
      <w:r w:rsidRPr="005764FC">
        <w:t xml:space="preserve">Roadside </w:t>
      </w:r>
      <w:r w:rsidR="00E56389" w:rsidRPr="005764FC">
        <w:t>stations</w:t>
      </w:r>
      <w:r w:rsidRPr="005764FC">
        <w:t xml:space="preserve"> (using short-range communications)</w:t>
      </w:r>
    </w:p>
    <w:p w14:paraId="17CC0F3C" w14:textId="18C47988" w:rsidR="00524662" w:rsidRPr="005764FC" w:rsidRDefault="00524662" w:rsidP="0041421F">
      <w:pPr>
        <w:pStyle w:val="BodyText"/>
      </w:pPr>
      <w:r w:rsidRPr="005764FC">
        <w:t xml:space="preserve">Roadside stations can communicate time-sensitive, dynamic </w:t>
      </w:r>
      <w:r w:rsidR="00EA46AC" w:rsidRPr="005764FC">
        <w:t>information</w:t>
      </w:r>
      <w:r w:rsidRPr="005764FC">
        <w:t xml:space="preserve"> to </w:t>
      </w:r>
      <w:r w:rsidR="00B61931" w:rsidRPr="005764FC">
        <w:t xml:space="preserve">nearby </w:t>
      </w:r>
      <w:r w:rsidRPr="005764FC">
        <w:t>vehicles</w:t>
      </w:r>
      <w:r w:rsidR="00B61931" w:rsidRPr="005764FC">
        <w:t>,</w:t>
      </w:r>
      <w:r w:rsidR="003C4AE4" w:rsidRPr="005764FC">
        <w:t xml:space="preserve"> such as </w:t>
      </w:r>
      <w:r w:rsidR="00D6156D" w:rsidRPr="005764FC">
        <w:t xml:space="preserve">traffic signal information and </w:t>
      </w:r>
      <w:r w:rsidR="00DD4114" w:rsidRPr="005764FC">
        <w:t xml:space="preserve">nearby </w:t>
      </w:r>
      <w:r w:rsidR="00E27925" w:rsidRPr="005764FC">
        <w:t>hazards or events</w:t>
      </w:r>
      <w:r w:rsidRPr="005764FC">
        <w:t>.</w:t>
      </w:r>
      <w:r w:rsidR="00A32933" w:rsidRPr="005764FC">
        <w:rPr>
          <w:lang w:eastAsia="fr-CA"/>
        </w:rPr>
        <w:t xml:space="preserve"> </w:t>
      </w:r>
      <w:r w:rsidR="0027315C" w:rsidRPr="005764FC">
        <w:rPr>
          <w:lang w:eastAsia="fr-CA"/>
        </w:rPr>
        <w:t xml:space="preserve">Roadside stations are also able to collect information from surrounding </w:t>
      </w:r>
      <w:r w:rsidR="00E55CD2" w:rsidRPr="005764FC">
        <w:rPr>
          <w:lang w:eastAsia="fr-CA"/>
        </w:rPr>
        <w:t xml:space="preserve">stations building understanding of transport network behaviour. </w:t>
      </w:r>
      <w:r w:rsidR="00A32933" w:rsidRPr="005764FC">
        <w:rPr>
          <w:lang w:eastAsia="fr-CA"/>
        </w:rPr>
        <w:t>Note: portable roadside stations are a similar subset but allow greater flexibility to move with the events (such as temporary roadworks).</w:t>
      </w:r>
    </w:p>
    <w:p w14:paraId="47C0B2D9" w14:textId="035E5CB1" w:rsidR="00524662" w:rsidRPr="005764FC" w:rsidRDefault="00524662" w:rsidP="0041421F">
      <w:pPr>
        <w:pStyle w:val="Heading4"/>
      </w:pPr>
      <w:r w:rsidRPr="005764FC">
        <w:t>Advanced positioning</w:t>
      </w:r>
    </w:p>
    <w:p w14:paraId="469A0AC5" w14:textId="0AB8F536" w:rsidR="00524662" w:rsidRPr="005764FC" w:rsidRDefault="00E56EA5" w:rsidP="001B4EED">
      <w:pPr>
        <w:pStyle w:val="BodyText"/>
      </w:pPr>
      <w:r w:rsidRPr="005764FC">
        <w:t xml:space="preserve">Provides location </w:t>
      </w:r>
      <w:r w:rsidR="006B09C0" w:rsidRPr="005764FC">
        <w:t xml:space="preserve">and time </w:t>
      </w:r>
      <w:r w:rsidRPr="005764FC">
        <w:t xml:space="preserve">information to field stations. </w:t>
      </w:r>
      <w:r w:rsidR="00524662" w:rsidRPr="005764FC">
        <w:t xml:space="preserve">Some use cases require high accuracy levels for vehicle positioning (e.g., ‘lane level’) to be effective. </w:t>
      </w:r>
      <w:r w:rsidR="00B61931" w:rsidRPr="005764FC">
        <w:t>It remains an ongoing challenge to improve t</w:t>
      </w:r>
      <w:r w:rsidR="00755C41" w:rsidRPr="005764FC">
        <w:t xml:space="preserve">he accuracy and consistency of vehicles </w:t>
      </w:r>
      <w:r w:rsidR="00267F7A" w:rsidRPr="005764FC">
        <w:t>and generated spatial information</w:t>
      </w:r>
      <w:r w:rsidR="004412CB" w:rsidRPr="005764FC">
        <w:t xml:space="preserve">. </w:t>
      </w:r>
      <w:r w:rsidR="007265CA" w:rsidRPr="005764FC">
        <w:t xml:space="preserve">This heavily influences the ability to provide relevant information to the user and </w:t>
      </w:r>
      <w:r w:rsidR="00B912AC" w:rsidRPr="005764FC">
        <w:t>i</w:t>
      </w:r>
      <w:r w:rsidR="00B61931" w:rsidRPr="005764FC">
        <w:t>mprove</w:t>
      </w:r>
      <w:r w:rsidR="00B912AC" w:rsidRPr="005764FC">
        <w:t xml:space="preserve"> the user experience</w:t>
      </w:r>
      <w:r w:rsidR="000B3024" w:rsidRPr="005764FC">
        <w:t xml:space="preserve">. </w:t>
      </w:r>
    </w:p>
    <w:p w14:paraId="01D50BAA" w14:textId="5A27D2BF" w:rsidR="00A122F1" w:rsidRPr="005764FC" w:rsidRDefault="00A122F1" w:rsidP="0041421F">
      <w:pPr>
        <w:pStyle w:val="Heading4"/>
      </w:pPr>
      <w:r w:rsidRPr="005764FC">
        <w:t xml:space="preserve">Personal </w:t>
      </w:r>
      <w:r w:rsidR="00B61931" w:rsidRPr="005764FC">
        <w:t>stations/equipment</w:t>
      </w:r>
    </w:p>
    <w:p w14:paraId="288882DB" w14:textId="5B3CDAA3" w:rsidR="00A122F1" w:rsidRPr="005764FC" w:rsidRDefault="00D17619" w:rsidP="00A122F1">
      <w:pPr>
        <w:pStyle w:val="BodyText"/>
      </w:pPr>
      <w:r w:rsidRPr="005764FC">
        <w:t xml:space="preserve">Personal stations (or equipment) </w:t>
      </w:r>
      <w:r w:rsidR="00401AE0" w:rsidRPr="005764FC">
        <w:t>refer</w:t>
      </w:r>
      <w:r w:rsidRPr="005764FC">
        <w:t xml:space="preserve"> to th</w:t>
      </w:r>
      <w:r w:rsidR="008F6F9C" w:rsidRPr="005764FC">
        <w:t xml:space="preserve">e equipment used by vulnerable road users to enable C-ITS operation. This may be a mobile </w:t>
      </w:r>
      <w:r w:rsidR="00401AE0" w:rsidRPr="005764FC">
        <w:t>phone,</w:t>
      </w:r>
      <w:r w:rsidR="008F6F9C" w:rsidRPr="005764FC">
        <w:t xml:space="preserve"> a dedicated handheld device</w:t>
      </w:r>
      <w:r w:rsidR="007F5B84" w:rsidRPr="005764FC">
        <w:t xml:space="preserve"> or other technology attached to a </w:t>
      </w:r>
      <w:r w:rsidR="00401AE0" w:rsidRPr="005764FC">
        <w:t>pedestrian or cyclist</w:t>
      </w:r>
      <w:r w:rsidR="008F6F9C" w:rsidRPr="005764FC">
        <w:t>.</w:t>
      </w:r>
      <w:r w:rsidR="0009719F" w:rsidRPr="005764FC">
        <w:t xml:space="preserve"> Personal stations </w:t>
      </w:r>
      <w:r w:rsidR="00B92DFE" w:rsidRPr="005764FC">
        <w:t xml:space="preserve">or equipment, while defined in </w:t>
      </w:r>
      <w:r w:rsidR="001F3E44" w:rsidRPr="005764FC">
        <w:t xml:space="preserve">architecture </w:t>
      </w:r>
      <w:r w:rsidR="00B92DFE" w:rsidRPr="005764FC">
        <w:t xml:space="preserve">standards, have </w:t>
      </w:r>
      <w:r w:rsidR="001F3E44" w:rsidRPr="005764FC">
        <w:t xml:space="preserve">only recently been </w:t>
      </w:r>
      <w:r w:rsidR="002A4D49" w:rsidRPr="005764FC">
        <w:t xml:space="preserve">defined in detailed data standards. </w:t>
      </w:r>
      <w:r w:rsidR="00700CE3" w:rsidRPr="005764FC">
        <w:t>As a result</w:t>
      </w:r>
      <w:r w:rsidR="00280201" w:rsidRPr="005764FC">
        <w:t>,</w:t>
      </w:r>
      <w:r w:rsidR="00700CE3" w:rsidRPr="005764FC">
        <w:t xml:space="preserve"> they are an area of emerging research and testing but have</w:t>
      </w:r>
      <w:r w:rsidR="001F3E44" w:rsidRPr="005764FC">
        <w:t xml:space="preserve"> </w:t>
      </w:r>
      <w:r w:rsidR="00B92DFE" w:rsidRPr="005764FC">
        <w:t xml:space="preserve">not yet been successfully integrated into the </w:t>
      </w:r>
      <w:r w:rsidR="005A656A" w:rsidRPr="005764FC">
        <w:t xml:space="preserve">deployed </w:t>
      </w:r>
      <w:r w:rsidR="00B92DFE" w:rsidRPr="005764FC">
        <w:t>C-ITS ecosystem</w:t>
      </w:r>
      <w:r w:rsidR="00ED0501" w:rsidRPr="005764FC">
        <w:t xml:space="preserve">. This emergence provides an opportunity to </w:t>
      </w:r>
      <w:r w:rsidR="00E8233A" w:rsidRPr="005764FC">
        <w:t xml:space="preserve">deliver </w:t>
      </w:r>
      <w:r w:rsidR="00B61931" w:rsidRPr="005764FC">
        <w:t xml:space="preserve">benefits to </w:t>
      </w:r>
      <w:r w:rsidR="00E8233A" w:rsidRPr="005764FC">
        <w:t>Vulnerable Road User</w:t>
      </w:r>
      <w:r w:rsidR="00B61931" w:rsidRPr="005764FC">
        <w:t>s</w:t>
      </w:r>
      <w:r w:rsidR="00E8233A" w:rsidRPr="005764FC">
        <w:t xml:space="preserve"> (VRU</w:t>
      </w:r>
      <w:r w:rsidR="00B61931" w:rsidRPr="005764FC">
        <w:t>s</w:t>
      </w:r>
      <w:r w:rsidR="00E8233A" w:rsidRPr="005764FC">
        <w:t>)</w:t>
      </w:r>
      <w:r w:rsidR="00280201" w:rsidRPr="005764FC">
        <w:t xml:space="preserve"> in the future</w:t>
      </w:r>
      <w:r w:rsidR="00E8233A" w:rsidRPr="005764FC">
        <w:t xml:space="preserve">. </w:t>
      </w:r>
    </w:p>
    <w:p w14:paraId="6F7D3B51" w14:textId="1D6AB808" w:rsidR="00082723" w:rsidRPr="005764FC" w:rsidRDefault="00082723" w:rsidP="00BC47D6">
      <w:pPr>
        <w:pStyle w:val="Heading3"/>
      </w:pPr>
      <w:bookmarkStart w:id="118" w:name="_Ref90971033"/>
      <w:bookmarkStart w:id="119" w:name="_Toc94536688"/>
      <w:bookmarkStart w:id="120" w:name="_Toc94453142"/>
      <w:r w:rsidRPr="005764FC">
        <w:t xml:space="preserve">Strategic </w:t>
      </w:r>
      <w:r w:rsidR="00E44F44" w:rsidRPr="005764FC">
        <w:t>D</w:t>
      </w:r>
      <w:r w:rsidR="00C10754" w:rsidRPr="005764FC">
        <w:t>eployment</w:t>
      </w:r>
      <w:r w:rsidRPr="005764FC">
        <w:t xml:space="preserve"> A</w:t>
      </w:r>
      <w:bookmarkEnd w:id="118"/>
      <w:r w:rsidR="00E44F44" w:rsidRPr="005764FC">
        <w:t>ssessment</w:t>
      </w:r>
      <w:bookmarkEnd w:id="119"/>
      <w:bookmarkEnd w:id="120"/>
    </w:p>
    <w:p w14:paraId="1200E5F3" w14:textId="7CD41207" w:rsidR="0059346D" w:rsidRPr="005764FC" w:rsidRDefault="0059346D" w:rsidP="0059346D">
      <w:pPr>
        <w:pStyle w:val="BodyText"/>
      </w:pPr>
      <w:r w:rsidRPr="005764FC">
        <w:t xml:space="preserve">Analysing C‑ITS deployment explores the ecosystem’s roles and processes at play to identify </w:t>
      </w:r>
      <w:r w:rsidR="00DB10C4" w:rsidRPr="005764FC">
        <w:t xml:space="preserve">ecosystem </w:t>
      </w:r>
      <w:r w:rsidRPr="005764FC">
        <w:t xml:space="preserve">aspects that are most likely to succeed and offer </w:t>
      </w:r>
      <w:r w:rsidR="00DB10C4" w:rsidRPr="005764FC">
        <w:t xml:space="preserve">Australia </w:t>
      </w:r>
      <w:r w:rsidRPr="005764FC">
        <w:t xml:space="preserve">the </w:t>
      </w:r>
      <w:r w:rsidR="00DB10C4" w:rsidRPr="005764FC">
        <w:t xml:space="preserve">greatest </w:t>
      </w:r>
      <w:r w:rsidRPr="005764FC">
        <w:t>value. Systems-thinking (</w:t>
      </w:r>
      <w:r w:rsidRPr="005764FC">
        <w:fldChar w:fldCharType="begin" w:fldLock="1"/>
      </w:r>
      <w:r w:rsidRPr="005764FC">
        <w:instrText xml:space="preserve"> REF _Ref90458320 \h </w:instrText>
      </w:r>
      <w:r w:rsidRPr="005764FC">
        <w:fldChar w:fldCharType="separate"/>
      </w:r>
      <w:r w:rsidR="00A34B27" w:rsidRPr="005764FC">
        <w:t xml:space="preserve">Figure </w:t>
      </w:r>
      <w:r w:rsidR="00A34B27">
        <w:rPr>
          <w:noProof/>
        </w:rPr>
        <w:t>1</w:t>
      </w:r>
      <w:r w:rsidR="00A34B27" w:rsidRPr="005764FC">
        <w:t>.</w:t>
      </w:r>
      <w:r w:rsidR="00A34B27">
        <w:rPr>
          <w:noProof/>
        </w:rPr>
        <w:t>13</w:t>
      </w:r>
      <w:r w:rsidRPr="005764FC">
        <w:fldChar w:fldCharType="end"/>
      </w:r>
      <w:r w:rsidRPr="005764FC">
        <w:t xml:space="preserve">) was used to understand and assess the key levers needing action or change to </w:t>
      </w:r>
      <w:r w:rsidR="000737B9" w:rsidRPr="005764FC">
        <w:t xml:space="preserve">kickstart an iterative </w:t>
      </w:r>
      <w:r w:rsidRPr="005764FC">
        <w:t>deploy</w:t>
      </w:r>
      <w:r w:rsidR="001403AE" w:rsidRPr="005764FC">
        <w:t>ment</w:t>
      </w:r>
      <w:r w:rsidR="009F4811" w:rsidRPr="005764FC">
        <w:t xml:space="preserve"> </w:t>
      </w:r>
      <w:r w:rsidR="000737B9" w:rsidRPr="005764FC">
        <w:t>loop</w:t>
      </w:r>
      <w:r w:rsidRPr="005764FC">
        <w:t>.</w:t>
      </w:r>
      <w:r w:rsidR="000737B9" w:rsidRPr="005764FC">
        <w:t xml:space="preserve"> </w:t>
      </w:r>
      <w:r w:rsidRPr="005764FC">
        <w:t>How users perceive C</w:t>
      </w:r>
      <w:r w:rsidR="008A3437" w:rsidRPr="005764FC">
        <w:t>‑ITS</w:t>
      </w:r>
      <w:r w:rsidRPr="005764FC">
        <w:t xml:space="preserve"> benefits</w:t>
      </w:r>
      <w:r w:rsidR="009F4811" w:rsidRPr="005764FC">
        <w:t>,</w:t>
      </w:r>
      <w:r w:rsidRPr="005764FC">
        <w:t xml:space="preserve"> </w:t>
      </w:r>
      <w:r w:rsidR="00B121F9" w:rsidRPr="005764FC">
        <w:t>for example</w:t>
      </w:r>
      <w:r w:rsidR="009F4811" w:rsidRPr="005764FC">
        <w:t>,</w:t>
      </w:r>
      <w:r w:rsidR="00ED71E6" w:rsidRPr="005764FC">
        <w:t xml:space="preserve"> </w:t>
      </w:r>
      <w:r w:rsidR="009F4811" w:rsidRPr="005764FC">
        <w:t>the way</w:t>
      </w:r>
      <w:r w:rsidR="00ED71E6" w:rsidRPr="005764FC">
        <w:t xml:space="preserve"> the services are targeted to meet user needs</w:t>
      </w:r>
      <w:r w:rsidR="009F4811" w:rsidRPr="005764FC">
        <w:t xml:space="preserve">, </w:t>
      </w:r>
      <w:r w:rsidRPr="005764FC">
        <w:t xml:space="preserve">can reinforce and </w:t>
      </w:r>
      <w:r w:rsidR="00CD4897" w:rsidRPr="005764FC">
        <w:t>influence</w:t>
      </w:r>
      <w:r w:rsidRPr="005764FC">
        <w:t xml:space="preserve"> their willingness to invest and consider </w:t>
      </w:r>
      <w:r w:rsidR="00DD2ADD" w:rsidRPr="005764FC">
        <w:t xml:space="preserve">taking up </w:t>
      </w:r>
      <w:r w:rsidRPr="005764FC">
        <w:t>such technology</w:t>
      </w:r>
      <w:r w:rsidR="00DD2ADD" w:rsidRPr="005764FC">
        <w:t>.</w:t>
      </w:r>
      <w:r w:rsidR="00797AE2" w:rsidRPr="005764FC">
        <w:t xml:space="preserve"> The order of the actions taken is considered in Section</w:t>
      </w:r>
      <w:r w:rsidR="009F5EB8">
        <w:t> </w:t>
      </w:r>
      <w:r w:rsidR="0041421F" w:rsidRPr="005764FC">
        <w:fldChar w:fldCharType="begin" w:fldLock="1"/>
      </w:r>
      <w:r w:rsidR="0041421F" w:rsidRPr="005764FC">
        <w:instrText xml:space="preserve"> REF _Ref94536535 \r \h </w:instrText>
      </w:r>
      <w:r w:rsidR="0041421F" w:rsidRPr="005764FC">
        <w:fldChar w:fldCharType="separate"/>
      </w:r>
      <w:r w:rsidR="00A34B27">
        <w:t>5.5</w:t>
      </w:r>
      <w:r w:rsidR="0041421F" w:rsidRPr="005764FC">
        <w:fldChar w:fldCharType="end"/>
      </w:r>
      <w:r w:rsidR="003705AA" w:rsidRPr="005764FC">
        <w:t>.</w:t>
      </w:r>
    </w:p>
    <w:p w14:paraId="38B9653F" w14:textId="1966C4C9" w:rsidR="00E301DF" w:rsidRPr="005764FC" w:rsidRDefault="00A90B59" w:rsidP="00B17DA7">
      <w:pPr>
        <w:pStyle w:val="Image"/>
      </w:pPr>
      <w:r w:rsidRPr="005764FC">
        <w:rPr>
          <w:noProof/>
          <w:lang w:eastAsia="en-AU"/>
        </w:rPr>
        <w:drawing>
          <wp:inline distT="0" distB="0" distL="0" distR="0" wp14:anchorId="6B522CA0" wp14:editId="69DF982F">
            <wp:extent cx="6122670" cy="3240405"/>
            <wp:effectExtent l="0" t="0" r="0" b="0"/>
            <wp:docPr id="246" name="Picture 246" descr="Figure 1.13 shows the relationships between elements in a 'causal loop'.  The figure suggests that government leadership and investment into C-ITS will lead to the creation of C-ITS safety and mobility benefits, strategies and use cases which will in turn drive road user uptake of C-ITS, infrastructure development and OEM investment into C-ITS equipped vehicles (which is also driven by infrastructure investment). Decrease in harm and improved road conditions are the overall outcome, which also drives government leadership and investment into C-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2670" cy="3240405"/>
                    </a:xfrm>
                    <a:prstGeom prst="rect">
                      <a:avLst/>
                    </a:prstGeom>
                    <a:noFill/>
                    <a:ln>
                      <a:noFill/>
                    </a:ln>
                  </pic:spPr>
                </pic:pic>
              </a:graphicData>
            </a:graphic>
          </wp:inline>
        </w:drawing>
      </w:r>
    </w:p>
    <w:p w14:paraId="4BC7EDC3" w14:textId="203FE0E6" w:rsidR="0059346D" w:rsidRPr="005764FC" w:rsidRDefault="00E301DF" w:rsidP="0012501A">
      <w:pPr>
        <w:pStyle w:val="Caption"/>
        <w:keepNext w:val="0"/>
        <w:ind w:left="0" w:firstLine="0"/>
      </w:pPr>
      <w:bookmarkStart w:id="121" w:name="_Ref90458320"/>
      <w:bookmarkStart w:id="122" w:name="_Toc97807834"/>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13</w:t>
      </w:r>
      <w:r w:rsidR="00287C9E" w:rsidRPr="005764FC">
        <w:fldChar w:fldCharType="end"/>
      </w:r>
      <w:bookmarkEnd w:id="121"/>
      <w:r w:rsidRPr="005764FC">
        <w:tab/>
        <w:t xml:space="preserve">High-Level </w:t>
      </w:r>
      <w:r w:rsidR="00F11B70" w:rsidRPr="005764FC">
        <w:t>Causal Loop</w:t>
      </w:r>
      <w:bookmarkEnd w:id="122"/>
      <w:r w:rsidRPr="005764FC">
        <w:t xml:space="preserve"> </w:t>
      </w:r>
    </w:p>
    <w:tbl>
      <w:tblPr>
        <w:tblStyle w:val="PullOutBoxTable"/>
        <w:tblpPr w:leftFromText="180" w:rightFromText="180" w:vertAnchor="text" w:tblpXSpec="right" w:tblpY="1"/>
        <w:tblOverlap w:val="never"/>
        <w:tblW w:w="4536" w:type="dxa"/>
        <w:jc w:val="right"/>
        <w:tblInd w:w="0" w:type="dxa"/>
        <w:tblLook w:val="0600" w:firstRow="0" w:lastRow="0" w:firstColumn="0" w:lastColumn="0" w:noHBand="1" w:noVBand="1"/>
      </w:tblPr>
      <w:tblGrid>
        <w:gridCol w:w="4536"/>
      </w:tblGrid>
      <w:tr w:rsidR="00082723" w:rsidRPr="005764FC" w14:paraId="549E2433" w14:textId="77777777" w:rsidTr="008864B6">
        <w:trPr>
          <w:jc w:val="right"/>
        </w:trPr>
        <w:tc>
          <w:tcPr>
            <w:tcW w:w="5000" w:type="pct"/>
            <w:shd w:val="clear" w:color="auto" w:fill="E4E8EC" w:themeFill="accent3" w:themeFillTint="1A"/>
          </w:tcPr>
          <w:p w14:paraId="65EFA407" w14:textId="7515466D" w:rsidR="00082723" w:rsidRPr="005764FC" w:rsidRDefault="00082723" w:rsidP="006D07F7">
            <w:pPr>
              <w:pStyle w:val="PullOutBoxHeading"/>
            </w:pPr>
            <w:r w:rsidRPr="005764FC">
              <w:t xml:space="preserve">Case Example </w:t>
            </w:r>
            <w:r w:rsidR="0012501A" w:rsidRPr="005764FC">
              <w:t>–</w:t>
            </w:r>
            <w:r w:rsidRPr="005764FC">
              <w:t xml:space="preserve"> Freight</w:t>
            </w:r>
          </w:p>
          <w:p w14:paraId="357495A8" w14:textId="77CBBA9F" w:rsidR="00082723" w:rsidRPr="005764FC" w:rsidRDefault="00082723" w:rsidP="006D07F7">
            <w:pPr>
              <w:pStyle w:val="PullOutBoxBodyText"/>
            </w:pPr>
            <w:r w:rsidRPr="005764FC">
              <w:t>The option of an urban</w:t>
            </w:r>
            <w:r w:rsidR="00285066" w:rsidRPr="005764FC">
              <w:t>-</w:t>
            </w:r>
            <w:r w:rsidRPr="005764FC">
              <w:t xml:space="preserve">based freight service focused on efficiency benefits is considered in </w:t>
            </w:r>
            <w:r w:rsidR="00964D91" w:rsidRPr="005764FC">
              <w:fldChar w:fldCharType="begin" w:fldLock="1"/>
            </w:r>
            <w:r w:rsidR="00964D91" w:rsidRPr="005764FC">
              <w:instrText xml:space="preserve"> REF _Ref88050950 \h </w:instrText>
            </w:r>
            <w:r w:rsidR="009F0463" w:rsidRPr="005764FC">
              <w:instrText xml:space="preserve"> \* MERGEFORMAT </w:instrText>
            </w:r>
            <w:r w:rsidR="00964D91" w:rsidRPr="005764FC">
              <w:fldChar w:fldCharType="separate"/>
            </w:r>
            <w:r w:rsidR="00A34B27" w:rsidRPr="005764FC">
              <w:t xml:space="preserve">Figure </w:t>
            </w:r>
            <w:r w:rsidR="00A34B27">
              <w:t>1</w:t>
            </w:r>
            <w:r w:rsidR="00A34B27" w:rsidRPr="005764FC">
              <w:t>.</w:t>
            </w:r>
            <w:r w:rsidR="00A34B27">
              <w:t>14</w:t>
            </w:r>
            <w:r w:rsidR="00964D91" w:rsidRPr="005764FC">
              <w:fldChar w:fldCharType="end"/>
            </w:r>
            <w:r w:rsidR="00586B32" w:rsidRPr="005764FC">
              <w:t xml:space="preserve">. It </w:t>
            </w:r>
            <w:r w:rsidR="007C63A5" w:rsidRPr="005764FC">
              <w:t>allows more clarity in assess</w:t>
            </w:r>
            <w:r w:rsidR="00FB6D9C" w:rsidRPr="005764FC">
              <w:t>ing</w:t>
            </w:r>
            <w:r w:rsidR="007C63A5" w:rsidRPr="005764FC">
              <w:t xml:space="preserve"> the technology </w:t>
            </w:r>
            <w:r w:rsidR="00586B32" w:rsidRPr="005764FC">
              <w:t xml:space="preserve">needed </w:t>
            </w:r>
            <w:r w:rsidR="00E73C25" w:rsidRPr="005764FC">
              <w:t>to deliver.</w:t>
            </w:r>
            <w:r w:rsidRPr="005764FC">
              <w:t xml:space="preserve"> This is just one way to consider </w:t>
            </w:r>
            <w:r w:rsidR="00FB6D9C" w:rsidRPr="005764FC">
              <w:t xml:space="preserve">services’ </w:t>
            </w:r>
            <w:r w:rsidR="006118B0" w:rsidRPr="005764FC">
              <w:t>deployment. T</w:t>
            </w:r>
            <w:r w:rsidRPr="005764FC">
              <w:t xml:space="preserve">his approach was </w:t>
            </w:r>
            <w:r w:rsidR="00FB6D9C" w:rsidRPr="005764FC">
              <w:t xml:space="preserve">used </w:t>
            </w:r>
            <w:r w:rsidRPr="005764FC">
              <w:t xml:space="preserve">to consider which options may be </w:t>
            </w:r>
            <w:r w:rsidR="00921212" w:rsidRPr="005764FC">
              <w:t>prioritised or</w:t>
            </w:r>
            <w:r w:rsidRPr="005764FC">
              <w:t xml:space="preserve"> </w:t>
            </w:r>
            <w:r w:rsidR="00EE3577" w:rsidRPr="005764FC">
              <w:t xml:space="preserve">are </w:t>
            </w:r>
            <w:r w:rsidRPr="005764FC">
              <w:t xml:space="preserve">likely to be the most beneficial. </w:t>
            </w:r>
          </w:p>
        </w:tc>
      </w:tr>
    </w:tbl>
    <w:p w14:paraId="59E9A667" w14:textId="1E3BB510" w:rsidR="00C67869" w:rsidRPr="005764FC" w:rsidRDefault="00082723" w:rsidP="001B7781">
      <w:pPr>
        <w:pStyle w:val="BodyText"/>
        <w:rPr>
          <w:lang w:eastAsia="en-AU"/>
        </w:rPr>
      </w:pPr>
      <w:r w:rsidRPr="005764FC">
        <w:rPr>
          <w:lang w:eastAsia="en-AU"/>
        </w:rPr>
        <w:t xml:space="preserve">As outlined in </w:t>
      </w:r>
      <w:r w:rsidR="00122C4A" w:rsidRPr="005764FC">
        <w:rPr>
          <w:lang w:eastAsia="en-AU"/>
        </w:rPr>
        <w:fldChar w:fldCharType="begin" w:fldLock="1"/>
      </w:r>
      <w:r w:rsidR="00122C4A" w:rsidRPr="005764FC">
        <w:rPr>
          <w:lang w:eastAsia="en-AU"/>
        </w:rPr>
        <w:instrText xml:space="preserve"> REF _Ref90460069 \h </w:instrText>
      </w:r>
      <w:r w:rsidR="00122C4A" w:rsidRPr="005764FC">
        <w:rPr>
          <w:lang w:eastAsia="en-AU"/>
        </w:rPr>
      </w:r>
      <w:r w:rsidR="00122C4A" w:rsidRPr="005764FC">
        <w:rPr>
          <w:lang w:eastAsia="en-AU"/>
        </w:rPr>
        <w:fldChar w:fldCharType="separate"/>
      </w:r>
      <w:r w:rsidR="00A34B27" w:rsidRPr="005764FC">
        <w:t xml:space="preserve">Figure </w:t>
      </w:r>
      <w:r w:rsidR="00A34B27">
        <w:rPr>
          <w:noProof/>
        </w:rPr>
        <w:t>1</w:t>
      </w:r>
      <w:r w:rsidR="00A34B27" w:rsidRPr="005764FC">
        <w:t>.</w:t>
      </w:r>
      <w:r w:rsidR="00A34B27">
        <w:rPr>
          <w:noProof/>
        </w:rPr>
        <w:t>10</w:t>
      </w:r>
      <w:r w:rsidR="00122C4A" w:rsidRPr="005764FC">
        <w:rPr>
          <w:lang w:eastAsia="en-AU"/>
        </w:rPr>
        <w:fldChar w:fldCharType="end"/>
      </w:r>
      <w:r w:rsidR="004401EC" w:rsidRPr="005764FC">
        <w:rPr>
          <w:lang w:eastAsia="en-AU"/>
        </w:rPr>
        <w:t>,</w:t>
      </w:r>
      <w:r w:rsidRPr="005764FC">
        <w:rPr>
          <w:lang w:eastAsia="en-AU"/>
        </w:rPr>
        <w:t xml:space="preserve"> a wide range of </w:t>
      </w:r>
      <w:r w:rsidR="00895EC9" w:rsidRPr="005764FC">
        <w:rPr>
          <w:lang w:eastAsia="en-AU"/>
        </w:rPr>
        <w:t xml:space="preserve">identified </w:t>
      </w:r>
      <w:r w:rsidRPr="005764FC">
        <w:rPr>
          <w:lang w:eastAsia="en-AU"/>
        </w:rPr>
        <w:t>potential C</w:t>
      </w:r>
      <w:r w:rsidR="008A3437" w:rsidRPr="005764FC">
        <w:rPr>
          <w:lang w:eastAsia="en-AU"/>
        </w:rPr>
        <w:t>‑ITS</w:t>
      </w:r>
      <w:r w:rsidRPr="005764FC">
        <w:rPr>
          <w:lang w:eastAsia="en-AU"/>
        </w:rPr>
        <w:t xml:space="preserve"> use cases can be bundled </w:t>
      </w:r>
      <w:r w:rsidR="0000101B" w:rsidRPr="005764FC">
        <w:rPr>
          <w:lang w:eastAsia="en-AU"/>
        </w:rPr>
        <w:t>into different</w:t>
      </w:r>
      <w:r w:rsidRPr="005764FC">
        <w:rPr>
          <w:lang w:eastAsia="en-AU"/>
        </w:rPr>
        <w:t xml:space="preserve"> options </w:t>
      </w:r>
      <w:r w:rsidR="0000101B" w:rsidRPr="005764FC">
        <w:rPr>
          <w:lang w:eastAsia="en-AU"/>
        </w:rPr>
        <w:t xml:space="preserve">that can be </w:t>
      </w:r>
      <w:r w:rsidRPr="005764FC">
        <w:rPr>
          <w:lang w:eastAsia="en-AU"/>
        </w:rPr>
        <w:t xml:space="preserve">delivered </w:t>
      </w:r>
      <w:r w:rsidR="0000101B" w:rsidRPr="005764FC">
        <w:rPr>
          <w:lang w:eastAsia="en-AU"/>
        </w:rPr>
        <w:t xml:space="preserve">together </w:t>
      </w:r>
      <w:r w:rsidRPr="005764FC">
        <w:rPr>
          <w:lang w:eastAsia="en-AU"/>
        </w:rPr>
        <w:t>as a service</w:t>
      </w:r>
      <w:r w:rsidR="0000101B" w:rsidRPr="005764FC">
        <w:rPr>
          <w:lang w:eastAsia="en-AU"/>
        </w:rPr>
        <w:t xml:space="preserve"> (e.g.</w:t>
      </w:r>
      <w:r w:rsidR="00917F2B" w:rsidRPr="005764FC">
        <w:rPr>
          <w:lang w:eastAsia="en-AU"/>
        </w:rPr>
        <w:t>,</w:t>
      </w:r>
      <w:r w:rsidR="0000101B" w:rsidRPr="005764FC">
        <w:rPr>
          <w:lang w:eastAsia="en-AU"/>
        </w:rPr>
        <w:t xml:space="preserve"> </w:t>
      </w:r>
      <w:r w:rsidR="00917F2B" w:rsidRPr="005764FC">
        <w:rPr>
          <w:lang w:eastAsia="en-AU"/>
        </w:rPr>
        <w:t xml:space="preserve">bundling all </w:t>
      </w:r>
      <w:r w:rsidR="0000101B" w:rsidRPr="005764FC">
        <w:rPr>
          <w:lang w:eastAsia="en-AU"/>
        </w:rPr>
        <w:t>use cases target</w:t>
      </w:r>
      <w:r w:rsidR="00DD2ADD" w:rsidRPr="005764FC">
        <w:rPr>
          <w:lang w:eastAsia="en-AU"/>
        </w:rPr>
        <w:t>ing</w:t>
      </w:r>
      <w:r w:rsidR="0000101B" w:rsidRPr="005764FC">
        <w:rPr>
          <w:lang w:eastAsia="en-AU"/>
        </w:rPr>
        <w:t xml:space="preserve"> safety)</w:t>
      </w:r>
      <w:r w:rsidRPr="005764FC">
        <w:rPr>
          <w:lang w:eastAsia="en-AU"/>
        </w:rPr>
        <w:t xml:space="preserve">. One way to explore </w:t>
      </w:r>
      <w:r w:rsidR="002258E9" w:rsidRPr="005764FC">
        <w:rPr>
          <w:lang w:eastAsia="en-AU"/>
        </w:rPr>
        <w:t>options</w:t>
      </w:r>
      <w:r w:rsidR="00594217" w:rsidRPr="005764FC">
        <w:rPr>
          <w:lang w:eastAsia="en-AU"/>
        </w:rPr>
        <w:t xml:space="preserve"> </w:t>
      </w:r>
      <w:r w:rsidRPr="005764FC">
        <w:rPr>
          <w:lang w:eastAsia="en-AU"/>
        </w:rPr>
        <w:t xml:space="preserve">development (outlined in </w:t>
      </w:r>
      <w:r w:rsidR="00964D91" w:rsidRPr="005764FC">
        <w:rPr>
          <w:lang w:eastAsia="en-AU"/>
        </w:rPr>
        <w:fldChar w:fldCharType="begin" w:fldLock="1"/>
      </w:r>
      <w:r w:rsidR="00964D91" w:rsidRPr="005764FC">
        <w:rPr>
          <w:lang w:eastAsia="en-AU"/>
        </w:rPr>
        <w:instrText xml:space="preserve"> REF _Ref88050950 \h </w:instrText>
      </w:r>
      <w:r w:rsidR="00964D91" w:rsidRPr="005764FC">
        <w:rPr>
          <w:lang w:eastAsia="en-AU"/>
        </w:rPr>
      </w:r>
      <w:r w:rsidR="00964D91" w:rsidRPr="005764FC">
        <w:rPr>
          <w:lang w:eastAsia="en-AU"/>
        </w:rPr>
        <w:fldChar w:fldCharType="separate"/>
      </w:r>
      <w:r w:rsidR="00A34B27" w:rsidRPr="005764FC">
        <w:t xml:space="preserve">Figure </w:t>
      </w:r>
      <w:r w:rsidR="00A34B27">
        <w:rPr>
          <w:noProof/>
        </w:rPr>
        <w:t>1</w:t>
      </w:r>
      <w:r w:rsidR="00A34B27" w:rsidRPr="005764FC">
        <w:t>.</w:t>
      </w:r>
      <w:r w:rsidR="00A34B27">
        <w:rPr>
          <w:noProof/>
        </w:rPr>
        <w:t>14</w:t>
      </w:r>
      <w:r w:rsidR="00964D91" w:rsidRPr="005764FC">
        <w:rPr>
          <w:lang w:eastAsia="en-AU"/>
        </w:rPr>
        <w:fldChar w:fldCharType="end"/>
      </w:r>
      <w:r w:rsidRPr="005764FC">
        <w:rPr>
          <w:lang w:eastAsia="en-AU"/>
        </w:rPr>
        <w:t xml:space="preserve">) is to consider geographic designation, user types, specific benefits sought, and technology </w:t>
      </w:r>
      <w:r w:rsidR="002258E9" w:rsidRPr="005764FC">
        <w:rPr>
          <w:lang w:eastAsia="en-AU"/>
        </w:rPr>
        <w:t xml:space="preserve">needed </w:t>
      </w:r>
      <w:r w:rsidRPr="005764FC">
        <w:rPr>
          <w:lang w:eastAsia="en-AU"/>
        </w:rPr>
        <w:t>to enable th</w:t>
      </w:r>
      <w:r w:rsidR="00C67869" w:rsidRPr="005764FC">
        <w:rPr>
          <w:lang w:eastAsia="en-AU"/>
        </w:rPr>
        <w:t xml:space="preserve">e </w:t>
      </w:r>
      <w:r w:rsidR="00FC43D2" w:rsidRPr="005764FC">
        <w:rPr>
          <w:lang w:eastAsia="en-AU"/>
        </w:rPr>
        <w:t>service(s)</w:t>
      </w:r>
      <w:r w:rsidR="004C3EEB" w:rsidRPr="005764FC">
        <w:rPr>
          <w:lang w:eastAsia="en-AU"/>
        </w:rPr>
        <w:t>. The f</w:t>
      </w:r>
      <w:r w:rsidR="00B9780E" w:rsidRPr="005764FC">
        <w:rPr>
          <w:lang w:eastAsia="en-AU"/>
        </w:rPr>
        <w:t>igure</w:t>
      </w:r>
      <w:r w:rsidR="004C3EEB" w:rsidRPr="005764FC">
        <w:rPr>
          <w:lang w:eastAsia="en-AU"/>
        </w:rPr>
        <w:t xml:space="preserve"> </w:t>
      </w:r>
      <w:r w:rsidR="00B9780E" w:rsidRPr="005764FC">
        <w:rPr>
          <w:lang w:eastAsia="en-AU"/>
        </w:rPr>
        <w:t>highlights</w:t>
      </w:r>
      <w:r w:rsidR="00D000B4" w:rsidRPr="005764FC">
        <w:rPr>
          <w:lang w:eastAsia="en-AU"/>
        </w:rPr>
        <w:t xml:space="preserve"> </w:t>
      </w:r>
      <w:r w:rsidR="00B9780E" w:rsidRPr="005764FC">
        <w:rPr>
          <w:lang w:eastAsia="en-AU"/>
        </w:rPr>
        <w:t xml:space="preserve">consideration of </w:t>
      </w:r>
      <w:r w:rsidR="00D000B4" w:rsidRPr="005764FC">
        <w:rPr>
          <w:lang w:eastAsia="en-AU"/>
        </w:rPr>
        <w:t>urban, freight focused use cases focused on efficiency</w:t>
      </w:r>
      <w:r w:rsidRPr="005764FC">
        <w:rPr>
          <w:lang w:eastAsia="en-AU"/>
        </w:rPr>
        <w:t>.</w:t>
      </w:r>
    </w:p>
    <w:p w14:paraId="6451A0DB" w14:textId="001A991D" w:rsidR="00082723" w:rsidRPr="005764FC" w:rsidRDefault="00A90B59" w:rsidP="00B17DA7">
      <w:pPr>
        <w:pStyle w:val="Image"/>
        <w:rPr>
          <w:lang w:eastAsia="en-AU"/>
        </w:rPr>
      </w:pPr>
      <w:r w:rsidRPr="005764FC">
        <w:rPr>
          <w:noProof/>
          <w:lang w:eastAsia="en-AU"/>
        </w:rPr>
        <w:drawing>
          <wp:inline distT="0" distB="0" distL="0" distR="0" wp14:anchorId="27A3525F" wp14:editId="72BDE5A9">
            <wp:extent cx="6122670" cy="1872615"/>
            <wp:effectExtent l="0" t="0" r="0" b="0"/>
            <wp:docPr id="245" name="Picture 245" descr="Figure 1.14 visualises the freight scenario C-ITS option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2670" cy="1872615"/>
                    </a:xfrm>
                    <a:prstGeom prst="rect">
                      <a:avLst/>
                    </a:prstGeom>
                    <a:noFill/>
                    <a:ln>
                      <a:noFill/>
                    </a:ln>
                  </pic:spPr>
                </pic:pic>
              </a:graphicData>
            </a:graphic>
          </wp:inline>
        </w:drawing>
      </w:r>
    </w:p>
    <w:p w14:paraId="2A94D271" w14:textId="4A17359F" w:rsidR="00895B41" w:rsidRPr="005764FC" w:rsidRDefault="00082723" w:rsidP="00F30149">
      <w:pPr>
        <w:pStyle w:val="Caption"/>
        <w:keepNext w:val="0"/>
      </w:pPr>
      <w:bookmarkStart w:id="123" w:name="_Ref88050950"/>
      <w:bookmarkStart w:id="124" w:name="_Toc97807835"/>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14</w:t>
      </w:r>
      <w:r w:rsidR="00287C9E" w:rsidRPr="005764FC">
        <w:fldChar w:fldCharType="end"/>
      </w:r>
      <w:bookmarkEnd w:id="123"/>
      <w:r w:rsidRPr="005764FC">
        <w:tab/>
        <w:t>Starting point for potential C</w:t>
      </w:r>
      <w:r w:rsidR="008A3437" w:rsidRPr="005764FC">
        <w:rPr>
          <w:rFonts w:ascii="Cambria Math" w:hAnsi="Cambria Math" w:cs="Cambria Math"/>
        </w:rPr>
        <w:t>‑</w:t>
      </w:r>
      <w:r w:rsidR="008A3437" w:rsidRPr="005764FC">
        <w:t>ITS</w:t>
      </w:r>
      <w:r w:rsidRPr="005764FC">
        <w:t xml:space="preserve"> options</w:t>
      </w:r>
      <w:r w:rsidR="00F3217C" w:rsidRPr="005764FC">
        <w:t xml:space="preserve"> (freight scenario)</w:t>
      </w:r>
      <w:bookmarkEnd w:id="124"/>
    </w:p>
    <w:p w14:paraId="56E104EF" w14:textId="07E9ACBF" w:rsidR="0012501A" w:rsidRPr="005764FC" w:rsidRDefault="005926C6" w:rsidP="005926C6">
      <w:pPr>
        <w:pStyle w:val="BodyText"/>
      </w:pPr>
      <w:r w:rsidRPr="005764FC">
        <w:t xml:space="preserve">A Multi-Criteria Analysis (MCA) tool was used to prioritise options and problem statements. The preferred options </w:t>
      </w:r>
      <w:r w:rsidR="009F4811" w:rsidRPr="005764FC">
        <w:t xml:space="preserve">help </w:t>
      </w:r>
      <w:r w:rsidRPr="005764FC">
        <w:t>direct strategies to enable C‑ITS in Australia. Benefits were derived from</w:t>
      </w:r>
      <w:r w:rsidR="00AD7A10" w:rsidRPr="005764FC">
        <w:t xml:space="preserve"> a</w:t>
      </w:r>
      <w:r w:rsidRPr="005764FC">
        <w:t xml:space="preserve"> Europe</w:t>
      </w:r>
      <w:r w:rsidR="009F4811" w:rsidRPr="005764FC">
        <w:t>an</w:t>
      </w:r>
      <w:r w:rsidRPr="005764FC">
        <w:t xml:space="preserve"> deployment study since this was the main and only data source that met the Day 1 and 1.5 services results in a comparable view.</w:t>
      </w:r>
      <w:r w:rsidR="0068423A" w:rsidRPr="005764FC">
        <w:t xml:space="preserve"> </w:t>
      </w:r>
    </w:p>
    <w:p w14:paraId="62D081D7" w14:textId="0C88E37A" w:rsidR="005926C6" w:rsidRPr="005764FC" w:rsidRDefault="00CC10EE" w:rsidP="0012501A">
      <w:pPr>
        <w:pStyle w:val="BodyText"/>
        <w:keepNext/>
      </w:pPr>
      <w:r w:rsidRPr="007E2480">
        <w:t>The bundling of use cases in to d</w:t>
      </w:r>
      <w:r w:rsidR="00835E3D" w:rsidRPr="007E2480">
        <w:t xml:space="preserve">eployment options considered in the MCA </w:t>
      </w:r>
      <w:r w:rsidRPr="007E2480">
        <w:t xml:space="preserve">as listed </w:t>
      </w:r>
      <w:r w:rsidR="0055029A" w:rsidRPr="007E2480">
        <w:t xml:space="preserve">in the ‘definitions’ section. While all had merit, </w:t>
      </w:r>
      <w:r w:rsidR="00AF44C1" w:rsidRPr="007E2480">
        <w:t>t</w:t>
      </w:r>
      <w:r w:rsidR="005926C6" w:rsidRPr="007E2480">
        <w:t xml:space="preserve">he shortlisted </w:t>
      </w:r>
      <w:r w:rsidR="003563D2" w:rsidRPr="007E2480">
        <w:t>priority</w:t>
      </w:r>
      <w:r w:rsidR="003563D2" w:rsidRPr="005764FC">
        <w:t xml:space="preserve"> </w:t>
      </w:r>
      <w:r w:rsidR="005926C6" w:rsidRPr="005764FC">
        <w:t xml:space="preserve">options were: </w:t>
      </w:r>
    </w:p>
    <w:p w14:paraId="74120FFC" w14:textId="1CA218F8" w:rsidR="005926C6" w:rsidRPr="005764FC" w:rsidRDefault="005926C6" w:rsidP="00EB16F6">
      <w:pPr>
        <w:pStyle w:val="ListBullet"/>
        <w:ind w:left="357" w:hanging="357"/>
        <w:contextualSpacing/>
      </w:pPr>
      <w:r w:rsidRPr="005764FC">
        <w:t>Do Minimum (reflected as the base case)</w:t>
      </w:r>
    </w:p>
    <w:p w14:paraId="73FC328D" w14:textId="1FB83FB9" w:rsidR="005926C6" w:rsidRPr="005764FC" w:rsidRDefault="005926C6" w:rsidP="00EB16F6">
      <w:pPr>
        <w:pStyle w:val="ListBullet"/>
        <w:ind w:left="357" w:hanging="357"/>
        <w:contextualSpacing/>
      </w:pPr>
      <w:r w:rsidRPr="005764FC">
        <w:t>Improve safety (decrease crashes, fatalities</w:t>
      </w:r>
      <w:r w:rsidR="0068423A" w:rsidRPr="005764FC">
        <w:t>,</w:t>
      </w:r>
      <w:r w:rsidRPr="005764FC">
        <w:t xml:space="preserve"> and injuries) on motorways, arterials</w:t>
      </w:r>
      <w:r w:rsidR="0068423A" w:rsidRPr="005764FC">
        <w:t>,</w:t>
      </w:r>
      <w:r w:rsidRPr="005764FC">
        <w:t xml:space="preserve"> and rural roads</w:t>
      </w:r>
    </w:p>
    <w:p w14:paraId="2D2C3CBE" w14:textId="250BFCD6" w:rsidR="005926C6" w:rsidRPr="005764FC" w:rsidRDefault="005926C6" w:rsidP="00EB16F6">
      <w:pPr>
        <w:pStyle w:val="ListBullet"/>
        <w:ind w:left="357" w:hanging="357"/>
        <w:contextualSpacing/>
      </w:pPr>
      <w:r w:rsidRPr="005764FC">
        <w:t xml:space="preserve">Reduce congestion in metro areas and on all motorways and arterials </w:t>
      </w:r>
    </w:p>
    <w:p w14:paraId="1522FFB2" w14:textId="3E2780B2" w:rsidR="005926C6" w:rsidRPr="005764FC" w:rsidRDefault="005926C6" w:rsidP="00EB16F6">
      <w:pPr>
        <w:pStyle w:val="ListBullet"/>
        <w:ind w:left="357" w:hanging="357"/>
        <w:contextualSpacing/>
      </w:pPr>
      <w:r w:rsidRPr="005764FC">
        <w:t>Improve the safety and efficiency of travel for commuters in urbani</w:t>
      </w:r>
      <w:r w:rsidR="00AD7A10" w:rsidRPr="005764FC">
        <w:t>s</w:t>
      </w:r>
      <w:r w:rsidRPr="005764FC">
        <w:t>ed areas</w:t>
      </w:r>
    </w:p>
    <w:p w14:paraId="7AB80BC1" w14:textId="17BFCEC4" w:rsidR="005926C6" w:rsidRPr="005764FC" w:rsidRDefault="005926C6" w:rsidP="00EB16F6">
      <w:pPr>
        <w:pStyle w:val="ListBullet"/>
        <w:ind w:left="357" w:hanging="357"/>
        <w:contextualSpacing/>
      </w:pPr>
      <w:r w:rsidRPr="005764FC">
        <w:t>Enable the safe and efficient movement of long-haul freight traffic</w:t>
      </w:r>
    </w:p>
    <w:p w14:paraId="1C33AFA6" w14:textId="305A0212" w:rsidR="00973234" w:rsidRDefault="00973234" w:rsidP="00836C7C">
      <w:pPr>
        <w:pStyle w:val="BodyText"/>
      </w:pPr>
      <w:r w:rsidRPr="005764FC">
        <w:t xml:space="preserve">Strategic analysis determined that C-ITS could benefit many areas, particularly safety, efficiency and sustainability. </w:t>
      </w:r>
      <w:r w:rsidR="009F4811" w:rsidRPr="005764FC">
        <w:t>Defining</w:t>
      </w:r>
      <w:r w:rsidR="00D324C6" w:rsidRPr="005764FC">
        <w:t xml:space="preserve"> </w:t>
      </w:r>
      <w:r w:rsidRPr="005764FC">
        <w:t>and delivering on a single business model</w:t>
      </w:r>
      <w:r w:rsidR="009F4811" w:rsidRPr="005764FC">
        <w:t xml:space="preserve"> has been a </w:t>
      </w:r>
      <w:r w:rsidRPr="005764FC">
        <w:t>key C-ITS challenge. C-ITS in the long term will have many value-chains that will only eventuate from delivering a base ecosystem. Further, it was found that no single use case will deliver C-ITS: the real value of C-ITS to society is realised when standard technology and data is used to generate many uses and benefits.</w:t>
      </w:r>
    </w:p>
    <w:p w14:paraId="48F847B8" w14:textId="72DA3C21" w:rsidR="004109F4" w:rsidRPr="005764FC" w:rsidRDefault="006B34CA" w:rsidP="00836C7C">
      <w:pPr>
        <w:pStyle w:val="BodyText"/>
        <w:rPr>
          <w:lang w:eastAsia="fr-CA"/>
        </w:rPr>
      </w:pPr>
      <w:r w:rsidRPr="007E2480">
        <w:rPr>
          <w:lang w:eastAsia="fr-CA"/>
        </w:rPr>
        <w:t xml:space="preserve">The strategic assessment </w:t>
      </w:r>
      <w:r w:rsidR="0074134B" w:rsidRPr="007E2480">
        <w:rPr>
          <w:lang w:eastAsia="fr-CA"/>
        </w:rPr>
        <w:t xml:space="preserve">considered the role of government from strategist, convenor and catalyst, operator and regulator. </w:t>
      </w:r>
      <w:r w:rsidR="006760A8" w:rsidRPr="007E2480">
        <w:rPr>
          <w:lang w:eastAsia="fr-CA"/>
        </w:rPr>
        <w:t xml:space="preserve">As deployment progresses, roles and needs will shift along a spectrum dependant on the specific function required. The analysis suggests that a high-level role for government </w:t>
      </w:r>
      <w:r w:rsidR="00354E3C" w:rsidRPr="007E2480">
        <w:rPr>
          <w:lang w:eastAsia="fr-CA"/>
        </w:rPr>
        <w:t>focused on</w:t>
      </w:r>
      <w:r w:rsidR="006760A8" w:rsidRPr="007E2480">
        <w:rPr>
          <w:lang w:eastAsia="fr-CA"/>
        </w:rPr>
        <w:t xml:space="preserve"> </w:t>
      </w:r>
      <w:r w:rsidR="002C6671" w:rsidRPr="007E2480">
        <w:rPr>
          <w:lang w:eastAsia="fr-CA"/>
        </w:rPr>
        <w:t>leadership and operat</w:t>
      </w:r>
      <w:r w:rsidR="00354E3C" w:rsidRPr="007E2480">
        <w:rPr>
          <w:lang w:eastAsia="fr-CA"/>
        </w:rPr>
        <w:t xml:space="preserve">ion </w:t>
      </w:r>
      <w:r w:rsidR="006760A8" w:rsidRPr="007E2480">
        <w:rPr>
          <w:lang w:eastAsia="fr-CA"/>
        </w:rPr>
        <w:t>is beneficial to deploy C-ITS</w:t>
      </w:r>
      <w:r w:rsidR="002C6671" w:rsidRPr="007E2480">
        <w:rPr>
          <w:lang w:eastAsia="fr-CA"/>
        </w:rPr>
        <w:t>.</w:t>
      </w:r>
      <w:r w:rsidR="00744CFC" w:rsidRPr="007E2480">
        <w:rPr>
          <w:lang w:eastAsia="fr-CA"/>
        </w:rPr>
        <w:t xml:space="preserve"> Business models and financial strategies </w:t>
      </w:r>
      <w:r w:rsidR="00514CC9" w:rsidRPr="007E2480">
        <w:rPr>
          <w:lang w:eastAsia="fr-CA"/>
        </w:rPr>
        <w:t>concerning</w:t>
      </w:r>
      <w:r w:rsidR="00744CFC" w:rsidRPr="007E2480">
        <w:rPr>
          <w:lang w:eastAsia="fr-CA"/>
        </w:rPr>
        <w:t xml:space="preserve"> who pays and who benefits</w:t>
      </w:r>
      <w:r w:rsidR="00514CC9" w:rsidRPr="007E2480">
        <w:rPr>
          <w:lang w:eastAsia="fr-CA"/>
        </w:rPr>
        <w:t xml:space="preserve"> were explored</w:t>
      </w:r>
      <w:r w:rsidR="006B6490" w:rsidRPr="007E2480">
        <w:rPr>
          <w:lang w:eastAsia="fr-CA"/>
        </w:rPr>
        <w:t xml:space="preserve"> and </w:t>
      </w:r>
      <w:r w:rsidR="008559D0" w:rsidRPr="007E2480">
        <w:rPr>
          <w:lang w:eastAsia="fr-CA"/>
        </w:rPr>
        <w:t>had</w:t>
      </w:r>
      <w:r w:rsidR="009D5B38" w:rsidRPr="007E2480">
        <w:rPr>
          <w:lang w:eastAsia="fr-CA"/>
        </w:rPr>
        <w:t xml:space="preserve"> merit</w:t>
      </w:r>
      <w:r w:rsidR="00FA04EE" w:rsidRPr="007E2480">
        <w:rPr>
          <w:lang w:eastAsia="fr-CA"/>
        </w:rPr>
        <w:t xml:space="preserve">, however </w:t>
      </w:r>
      <w:r w:rsidR="00F72257" w:rsidRPr="007E2480">
        <w:rPr>
          <w:lang w:eastAsia="fr-CA"/>
        </w:rPr>
        <w:t xml:space="preserve">further efforts are required to establish </w:t>
      </w:r>
      <w:r w:rsidR="006B6490" w:rsidRPr="007E2480">
        <w:rPr>
          <w:lang w:eastAsia="fr-CA"/>
        </w:rPr>
        <w:t>C-ITS</w:t>
      </w:r>
      <w:r w:rsidR="00EB4C12" w:rsidRPr="007E2480">
        <w:rPr>
          <w:lang w:eastAsia="fr-CA"/>
        </w:rPr>
        <w:t xml:space="preserve"> deployment</w:t>
      </w:r>
      <w:r w:rsidR="006B6490" w:rsidRPr="007E2480">
        <w:rPr>
          <w:lang w:eastAsia="fr-CA"/>
        </w:rPr>
        <w:t xml:space="preserve"> direction</w:t>
      </w:r>
      <w:r w:rsidR="00EB4C12" w:rsidRPr="007E2480">
        <w:rPr>
          <w:lang w:eastAsia="fr-CA"/>
        </w:rPr>
        <w:t xml:space="preserve"> before </w:t>
      </w:r>
      <w:r w:rsidR="00E97E6E" w:rsidRPr="007E2480">
        <w:rPr>
          <w:lang w:eastAsia="fr-CA"/>
        </w:rPr>
        <w:t>commercial potential can be understood.</w:t>
      </w:r>
    </w:p>
    <w:p w14:paraId="5BC76FAE" w14:textId="23634E05" w:rsidR="00082723" w:rsidRPr="005764FC" w:rsidRDefault="00082723" w:rsidP="00BC47D6">
      <w:pPr>
        <w:pStyle w:val="Heading3"/>
      </w:pPr>
      <w:bookmarkStart w:id="125" w:name="_Ref90971055"/>
      <w:bookmarkStart w:id="126" w:name="_Ref90976241"/>
      <w:bookmarkStart w:id="127" w:name="_Ref93413238"/>
      <w:bookmarkStart w:id="128" w:name="_Toc94536689"/>
      <w:bookmarkStart w:id="129" w:name="_Toc94453143"/>
      <w:r w:rsidRPr="005764FC">
        <w:t>Rapid CBA</w:t>
      </w:r>
      <w:bookmarkEnd w:id="125"/>
      <w:bookmarkEnd w:id="126"/>
      <w:bookmarkEnd w:id="127"/>
      <w:bookmarkEnd w:id="128"/>
      <w:bookmarkEnd w:id="129"/>
    </w:p>
    <w:p w14:paraId="2AF86D42" w14:textId="77777777" w:rsidR="00D324C6" w:rsidRPr="005764FC" w:rsidRDefault="00082723" w:rsidP="002B3E97">
      <w:pPr>
        <w:pStyle w:val="BodyText"/>
        <w:rPr>
          <w:bCs/>
        </w:rPr>
      </w:pPr>
      <w:r w:rsidRPr="005764FC">
        <w:t xml:space="preserve">A rapid Cost-Benefit Analysis (CBA) was conducted </w:t>
      </w:r>
      <w:r w:rsidR="00E92307" w:rsidRPr="005764FC">
        <w:t>consistent with the approach described in the Australian Transport Assessment and Planning (ATAP) Guidelines. The CBA aim</w:t>
      </w:r>
      <w:r w:rsidR="009F4811" w:rsidRPr="005764FC">
        <w:t>ed</w:t>
      </w:r>
      <w:r w:rsidR="00E92307" w:rsidRPr="005764FC">
        <w:t xml:space="preserve"> to monetise the project options’</w:t>
      </w:r>
      <w:r w:rsidRPr="005764FC">
        <w:t xml:space="preserve"> costs and </w:t>
      </w:r>
      <w:r w:rsidR="00921212" w:rsidRPr="005764FC">
        <w:t>benefits and</w:t>
      </w:r>
      <w:r w:rsidR="00E92307" w:rsidRPr="005764FC">
        <w:t xml:space="preserve"> compare the</w:t>
      </w:r>
      <w:r w:rsidR="0068423A" w:rsidRPr="005764FC">
        <w:t>m</w:t>
      </w:r>
      <w:r w:rsidR="00E92307" w:rsidRPr="005764FC">
        <w:t xml:space="preserve"> with the equivalent information for the </w:t>
      </w:r>
      <w:r w:rsidRPr="005764FC">
        <w:t>Do Minimum (Base</w:t>
      </w:r>
      <w:r w:rsidR="00E92307" w:rsidRPr="005764FC">
        <w:t>-</w:t>
      </w:r>
      <w:r w:rsidRPr="005764FC">
        <w:t>Case</w:t>
      </w:r>
      <w:r w:rsidR="00E92307" w:rsidRPr="005764FC">
        <w:t>) option</w:t>
      </w:r>
      <w:r w:rsidR="009F4811" w:rsidRPr="005764FC">
        <w:t>. The</w:t>
      </w:r>
      <w:r w:rsidR="00E92307" w:rsidRPr="005764FC">
        <w:t xml:space="preserve"> results </w:t>
      </w:r>
      <w:r w:rsidR="009F4811" w:rsidRPr="005764FC">
        <w:t xml:space="preserve">were summarised </w:t>
      </w:r>
      <w:r w:rsidR="00E92307" w:rsidRPr="005764FC">
        <w:t>in terms of the Net Present Value of discounted benefits minus costs</w:t>
      </w:r>
      <w:r w:rsidR="009F4811" w:rsidRPr="005764FC">
        <w:t>,</w:t>
      </w:r>
      <w:r w:rsidR="00E92307" w:rsidRPr="005764FC">
        <w:t xml:space="preserve"> and in Benefit</w:t>
      </w:r>
      <w:r w:rsidR="009F4811" w:rsidRPr="005764FC">
        <w:t>-</w:t>
      </w:r>
      <w:r w:rsidR="00E92307" w:rsidRPr="005764FC">
        <w:t>to</w:t>
      </w:r>
      <w:r w:rsidR="009F4811" w:rsidRPr="005764FC">
        <w:t>-</w:t>
      </w:r>
      <w:r w:rsidR="00E92307" w:rsidRPr="005764FC">
        <w:t>Cost Ratios (BCR) for each option.</w:t>
      </w:r>
      <w:r w:rsidRPr="005764FC">
        <w:t xml:space="preserve"> A 10-year appraisal forecast for each investment option was used to a</w:t>
      </w:r>
      <w:r w:rsidRPr="005764FC">
        <w:rPr>
          <w:bCs/>
        </w:rPr>
        <w:t xml:space="preserve">lign with the forecast methodology used in Austroads Future Vehicles 2030 and </w:t>
      </w:r>
      <w:r w:rsidR="00DC277A" w:rsidRPr="005764FC">
        <w:rPr>
          <w:bCs/>
        </w:rPr>
        <w:t xml:space="preserve">its </w:t>
      </w:r>
      <w:r w:rsidRPr="005764FC">
        <w:rPr>
          <w:bCs/>
        </w:rPr>
        <w:t xml:space="preserve">2031 update, </w:t>
      </w:r>
      <w:r w:rsidR="007207C5" w:rsidRPr="005764FC">
        <w:rPr>
          <w:bCs/>
        </w:rPr>
        <w:t xml:space="preserve">to </w:t>
      </w:r>
      <w:r w:rsidRPr="005764FC">
        <w:rPr>
          <w:bCs/>
        </w:rPr>
        <w:t xml:space="preserve">limit uncertainty associated with emerging technologies and align with the expected useful life of assets involved in the deployment options. </w:t>
      </w:r>
    </w:p>
    <w:p w14:paraId="287DF6CE" w14:textId="3D123B56" w:rsidR="002B3E97" w:rsidRPr="005764FC" w:rsidRDefault="002B3E97" w:rsidP="002B3E97">
      <w:pPr>
        <w:pStyle w:val="BodyText"/>
        <w:rPr>
          <w:lang w:eastAsia="fr-CA"/>
        </w:rPr>
      </w:pPr>
      <w:r w:rsidRPr="005764FC">
        <w:rPr>
          <w:lang w:eastAsia="fr-CA"/>
        </w:rPr>
        <w:t xml:space="preserve">The Austroads report outlined a medium scenario </w:t>
      </w:r>
      <w:r w:rsidR="006B4DBA" w:rsidRPr="005764FC">
        <w:rPr>
          <w:lang w:eastAsia="fr-CA"/>
        </w:rPr>
        <w:t xml:space="preserve">(by 2031) </w:t>
      </w:r>
      <w:r w:rsidRPr="005764FC">
        <w:rPr>
          <w:lang w:eastAsia="fr-CA"/>
        </w:rPr>
        <w:t>whereby 93</w:t>
      </w:r>
      <w:r w:rsidR="009F4811" w:rsidRPr="005764FC">
        <w:rPr>
          <w:lang w:eastAsia="fr-CA"/>
        </w:rPr>
        <w:t xml:space="preserve"> per cent</w:t>
      </w:r>
      <w:r w:rsidRPr="005764FC">
        <w:rPr>
          <w:lang w:eastAsia="fr-CA"/>
        </w:rPr>
        <w:t xml:space="preserve"> of vehicle sales have embedded mobile data connectivity</w:t>
      </w:r>
      <w:r w:rsidR="00187C73" w:rsidRPr="005764FC">
        <w:rPr>
          <w:lang w:eastAsia="fr-CA"/>
        </w:rPr>
        <w:t xml:space="preserve"> </w:t>
      </w:r>
      <w:r w:rsidR="00F14A52" w:rsidRPr="005764FC">
        <w:rPr>
          <w:lang w:eastAsia="fr-CA"/>
        </w:rPr>
        <w:t>and 25</w:t>
      </w:r>
      <w:r w:rsidR="009F4811" w:rsidRPr="005764FC">
        <w:rPr>
          <w:lang w:eastAsia="fr-CA"/>
        </w:rPr>
        <w:t xml:space="preserve"> per cent</w:t>
      </w:r>
      <w:r w:rsidR="00F14A52" w:rsidRPr="005764FC">
        <w:rPr>
          <w:lang w:eastAsia="fr-CA"/>
        </w:rPr>
        <w:t xml:space="preserve"> have short-range communications </w:t>
      </w:r>
      <w:r w:rsidRPr="005764FC">
        <w:rPr>
          <w:lang w:eastAsia="fr-CA"/>
        </w:rPr>
        <w:t>by 2031. This connectivity offers more opportunity for services related to vehicle safety, efficiency, sustainability, and drivers’ comfort.</w:t>
      </w:r>
      <w:r w:rsidRPr="005764FC" w:rsidDel="00CB20C1">
        <w:rPr>
          <w:lang w:eastAsia="fr-CA"/>
        </w:rPr>
        <w:t xml:space="preserve"> </w:t>
      </w:r>
      <w:r w:rsidRPr="005764FC">
        <w:rPr>
          <w:lang w:eastAsia="fr-CA"/>
        </w:rPr>
        <w:t xml:space="preserve">The overarching consideration is what happens without any specific intervention, and whether a sustainable ecosystem </w:t>
      </w:r>
      <w:r w:rsidR="006F48FF" w:rsidRPr="005764FC">
        <w:rPr>
          <w:lang w:eastAsia="fr-CA"/>
        </w:rPr>
        <w:t xml:space="preserve">can encourage </w:t>
      </w:r>
      <w:r w:rsidR="00A447E7" w:rsidRPr="005764FC">
        <w:rPr>
          <w:lang w:eastAsia="fr-CA"/>
        </w:rPr>
        <w:t xml:space="preserve">uptake towards a fast penetration rate. </w:t>
      </w:r>
    </w:p>
    <w:p w14:paraId="4739CC5B" w14:textId="0E5DB8A8" w:rsidR="00B15847" w:rsidRPr="005764FC" w:rsidRDefault="00082723" w:rsidP="009B6327">
      <w:pPr>
        <w:pStyle w:val="BodyText"/>
        <w:rPr>
          <w:lang w:eastAsia="fr-CA"/>
        </w:rPr>
      </w:pPr>
      <w:r w:rsidRPr="005764FC">
        <w:rPr>
          <w:lang w:eastAsia="fr-CA"/>
        </w:rPr>
        <w:t>Five options were formulated based on the technical enablers and user groups, each realising a different mix of use cases and priority outcomes.</w:t>
      </w:r>
      <w:r w:rsidR="004B18F1" w:rsidRPr="005764FC">
        <w:rPr>
          <w:lang w:eastAsia="fr-CA"/>
        </w:rPr>
        <w:t xml:space="preserve"> </w:t>
      </w:r>
      <w:r w:rsidR="009B6327" w:rsidRPr="005764FC">
        <w:rPr>
          <w:lang w:eastAsia="fr-CA"/>
        </w:rPr>
        <w:t xml:space="preserve">These options were an evolution of the five priority options considered in the </w:t>
      </w:r>
      <w:r w:rsidR="00AC1DBB" w:rsidRPr="005764FC">
        <w:rPr>
          <w:lang w:eastAsia="fr-CA"/>
        </w:rPr>
        <w:t>strategic deployment assessment</w:t>
      </w:r>
      <w:r w:rsidR="009B6327" w:rsidRPr="005764FC">
        <w:rPr>
          <w:lang w:eastAsia="fr-CA"/>
        </w:rPr>
        <w:t>.</w:t>
      </w:r>
      <w:r w:rsidR="009B6327" w:rsidRPr="005764FC" w:rsidDel="00EB0A55">
        <w:rPr>
          <w:lang w:eastAsia="fr-CA"/>
        </w:rPr>
        <w:t xml:space="preserve"> </w:t>
      </w:r>
      <w:r w:rsidR="00B04F26" w:rsidRPr="005764FC">
        <w:rPr>
          <w:lang w:eastAsia="fr-CA"/>
        </w:rPr>
        <w:fldChar w:fldCharType="begin" w:fldLock="1"/>
      </w:r>
      <w:r w:rsidR="00B04F26" w:rsidRPr="005764FC">
        <w:rPr>
          <w:lang w:eastAsia="fr-CA"/>
        </w:rPr>
        <w:instrText xml:space="preserve"> REF _Ref92977630 \h </w:instrText>
      </w:r>
      <w:r w:rsidR="00B04F26" w:rsidRPr="005764FC">
        <w:rPr>
          <w:lang w:eastAsia="fr-CA"/>
        </w:rPr>
      </w:r>
      <w:r w:rsidR="00B04F26" w:rsidRPr="005764FC">
        <w:rPr>
          <w:lang w:eastAsia="fr-CA"/>
        </w:rPr>
        <w:fldChar w:fldCharType="separate"/>
      </w:r>
      <w:r w:rsidR="00A34B27" w:rsidRPr="005764FC">
        <w:t xml:space="preserve">Figure </w:t>
      </w:r>
      <w:r w:rsidR="00A34B27">
        <w:rPr>
          <w:noProof/>
        </w:rPr>
        <w:t>1</w:t>
      </w:r>
      <w:r w:rsidR="00A34B27" w:rsidRPr="005764FC">
        <w:t>.</w:t>
      </w:r>
      <w:r w:rsidR="00A34B27">
        <w:rPr>
          <w:noProof/>
        </w:rPr>
        <w:t>15</w:t>
      </w:r>
      <w:r w:rsidR="00B04F26" w:rsidRPr="005764FC">
        <w:rPr>
          <w:lang w:eastAsia="fr-CA"/>
        </w:rPr>
        <w:fldChar w:fldCharType="end"/>
      </w:r>
      <w:r w:rsidR="00B04F26" w:rsidRPr="005764FC">
        <w:rPr>
          <w:lang w:eastAsia="fr-CA"/>
        </w:rPr>
        <w:t xml:space="preserve"> illustrates t</w:t>
      </w:r>
      <w:r w:rsidR="009B6327" w:rsidRPr="005764FC">
        <w:rPr>
          <w:lang w:eastAsia="fr-CA"/>
        </w:rPr>
        <w:t xml:space="preserve">he options and CBA results. </w:t>
      </w:r>
    </w:p>
    <w:p w14:paraId="5DE54702" w14:textId="3C6A447B" w:rsidR="004A185E" w:rsidRPr="005764FC" w:rsidRDefault="003F7EA0" w:rsidP="00B17DA7">
      <w:pPr>
        <w:pStyle w:val="Image"/>
      </w:pPr>
      <w:r w:rsidRPr="005764FC">
        <w:rPr>
          <w:noProof/>
          <w:lang w:eastAsia="en-AU"/>
        </w:rPr>
        <w:drawing>
          <wp:inline distT="0" distB="0" distL="0" distR="0" wp14:anchorId="669B00E0" wp14:editId="6FC6DBB4">
            <wp:extent cx="6122670" cy="3094355"/>
            <wp:effectExtent l="0" t="0" r="0" b="0"/>
            <wp:docPr id="247" name="Picture 247" descr="Figure 1.15 is a visualisation of the five cost benefit options against a base case. The base case is current technology progression from OEMs, government, etc. Option one is vehicle to vehicle centric to allow stakeholders to operate with minimum intervention, with an NPV cost of 123 million, NPV benefit of 70 million and BCR of 0.57. Option 2 is port/freight corridors on intercity motorways, with an NPV cost of 371 million, NPV benefit 1077 million and BCR 2.91. Option three is capital cities with an NPV cost of 922 million, NPV benefit of 2140 million and BCR of 2.32. Option four is advisory information by cellular communications (4g) across australia with an NPV cost of 7252 million, NPV benefit of 11000 million and BCR of 1.52. Option five is a balanced hybrid delivery Australia wide coverage - Advisory information by cellular comms with an NPV cost of 8072 million, NPV benefit of 11829 million and BCR of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2670" cy="3094355"/>
                    </a:xfrm>
                    <a:prstGeom prst="rect">
                      <a:avLst/>
                    </a:prstGeom>
                    <a:noFill/>
                    <a:ln>
                      <a:noFill/>
                    </a:ln>
                  </pic:spPr>
                </pic:pic>
              </a:graphicData>
            </a:graphic>
          </wp:inline>
        </w:drawing>
      </w:r>
    </w:p>
    <w:p w14:paraId="3FE1F816" w14:textId="1EA25E8E" w:rsidR="004A185E" w:rsidRPr="005764FC" w:rsidRDefault="004A185E" w:rsidP="003D7A71">
      <w:pPr>
        <w:pStyle w:val="Caption"/>
        <w:keepNext w:val="0"/>
      </w:pPr>
      <w:bookmarkStart w:id="130" w:name="_Ref92977630"/>
      <w:bookmarkStart w:id="131" w:name="_Toc97807836"/>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15</w:t>
      </w:r>
      <w:r w:rsidR="00287C9E" w:rsidRPr="005764FC">
        <w:fldChar w:fldCharType="end"/>
      </w:r>
      <w:bookmarkEnd w:id="130"/>
      <w:r w:rsidR="003D7A71" w:rsidRPr="005764FC">
        <w:tab/>
      </w:r>
      <w:r w:rsidRPr="005764FC">
        <w:t>Cost-Benefit analysis options and results</w:t>
      </w:r>
      <w:bookmarkEnd w:id="131"/>
    </w:p>
    <w:p w14:paraId="0FEC806D" w14:textId="40562C8B" w:rsidR="00BE3282" w:rsidRPr="005764FC" w:rsidRDefault="000D6C74" w:rsidP="002433D2">
      <w:pPr>
        <w:pStyle w:val="BodyText"/>
        <w:rPr>
          <w:lang w:eastAsia="fr-CA"/>
        </w:rPr>
      </w:pPr>
      <w:r w:rsidRPr="005764FC">
        <w:rPr>
          <w:lang w:eastAsia="fr-CA"/>
        </w:rPr>
        <w:t xml:space="preserve">The cost profile of </w:t>
      </w:r>
      <w:r w:rsidR="00D83346" w:rsidRPr="005764FC">
        <w:rPr>
          <w:lang w:eastAsia="fr-CA"/>
        </w:rPr>
        <w:t xml:space="preserve">each option </w:t>
      </w:r>
      <w:r w:rsidR="002819BD" w:rsidRPr="005764FC">
        <w:rPr>
          <w:lang w:eastAsia="fr-CA"/>
        </w:rPr>
        <w:t>i</w:t>
      </w:r>
      <w:r w:rsidR="00A9502C" w:rsidRPr="005764FC">
        <w:rPr>
          <w:lang w:eastAsia="fr-CA"/>
        </w:rPr>
        <w:t>s</w:t>
      </w:r>
      <w:r w:rsidR="002819BD" w:rsidRPr="005764FC">
        <w:rPr>
          <w:lang w:eastAsia="fr-CA"/>
        </w:rPr>
        <w:t xml:space="preserve"> </w:t>
      </w:r>
      <w:r w:rsidR="00A9502C" w:rsidRPr="005764FC">
        <w:rPr>
          <w:lang w:eastAsia="fr-CA"/>
        </w:rPr>
        <w:t xml:space="preserve">detailed in </w:t>
      </w:r>
      <w:r w:rsidR="00A9502C" w:rsidRPr="005764FC">
        <w:rPr>
          <w:highlight w:val="yellow"/>
          <w:lang w:eastAsia="fr-CA"/>
        </w:rPr>
        <w:fldChar w:fldCharType="begin" w:fldLock="1"/>
      </w:r>
      <w:r w:rsidR="00A9502C" w:rsidRPr="005764FC">
        <w:rPr>
          <w:lang w:eastAsia="fr-CA"/>
        </w:rPr>
        <w:instrText xml:space="preserve"> REF _Ref83710840 \h </w:instrText>
      </w:r>
      <w:r w:rsidR="00A9502C" w:rsidRPr="005764FC">
        <w:rPr>
          <w:highlight w:val="yellow"/>
          <w:lang w:eastAsia="fr-CA"/>
        </w:rPr>
      </w:r>
      <w:r w:rsidR="00A9502C" w:rsidRPr="005764FC">
        <w:rPr>
          <w:highlight w:val="yellow"/>
          <w:lang w:eastAsia="fr-CA"/>
        </w:rPr>
        <w:fldChar w:fldCharType="separate"/>
      </w:r>
      <w:r w:rsidR="00A34B27" w:rsidRPr="005764FC">
        <w:t xml:space="preserve">Figure </w:t>
      </w:r>
      <w:r w:rsidR="00A34B27">
        <w:rPr>
          <w:noProof/>
        </w:rPr>
        <w:t>1</w:t>
      </w:r>
      <w:r w:rsidR="00A34B27" w:rsidRPr="005764FC">
        <w:t>.</w:t>
      </w:r>
      <w:r w:rsidR="00A34B27">
        <w:rPr>
          <w:noProof/>
        </w:rPr>
        <w:t>16</w:t>
      </w:r>
      <w:r w:rsidR="00A9502C" w:rsidRPr="005764FC">
        <w:rPr>
          <w:highlight w:val="yellow"/>
          <w:lang w:eastAsia="fr-CA"/>
        </w:rPr>
        <w:fldChar w:fldCharType="end"/>
      </w:r>
      <w:r w:rsidR="00C61A0A" w:rsidRPr="005764FC">
        <w:rPr>
          <w:lang w:eastAsia="fr-CA"/>
        </w:rPr>
        <w:t>.</w:t>
      </w:r>
      <w:r w:rsidR="00C61E88" w:rsidRPr="005764FC">
        <w:rPr>
          <w:lang w:eastAsia="fr-CA"/>
        </w:rPr>
        <w:t xml:space="preserve"> </w:t>
      </w:r>
      <w:r w:rsidR="00B81321" w:rsidRPr="005764FC">
        <w:rPr>
          <w:lang w:eastAsia="fr-CA"/>
        </w:rPr>
        <w:t xml:space="preserve">These </w:t>
      </w:r>
      <w:r w:rsidR="007B70E9" w:rsidRPr="005764FC">
        <w:rPr>
          <w:lang w:eastAsia="fr-CA"/>
        </w:rPr>
        <w:t>cost</w:t>
      </w:r>
      <w:r w:rsidR="00EC537A" w:rsidRPr="005764FC">
        <w:rPr>
          <w:lang w:eastAsia="fr-CA"/>
        </w:rPr>
        <w:t>s</w:t>
      </w:r>
      <w:r w:rsidR="007B70E9" w:rsidRPr="005764FC">
        <w:rPr>
          <w:lang w:eastAsia="fr-CA"/>
        </w:rPr>
        <w:t xml:space="preserve"> </w:t>
      </w:r>
      <w:r w:rsidR="00F421EB" w:rsidRPr="005764FC">
        <w:rPr>
          <w:lang w:eastAsia="fr-CA"/>
        </w:rPr>
        <w:t xml:space="preserve">reflect the major </w:t>
      </w:r>
      <w:r w:rsidR="00767C02" w:rsidRPr="005764FC">
        <w:rPr>
          <w:lang w:eastAsia="fr-CA"/>
        </w:rPr>
        <w:t xml:space="preserve">direct </w:t>
      </w:r>
      <w:r w:rsidR="00F421EB" w:rsidRPr="005764FC">
        <w:rPr>
          <w:lang w:eastAsia="fr-CA"/>
        </w:rPr>
        <w:t>components covered in the technical assessment (</w:t>
      </w:r>
      <w:r w:rsidR="008D68A4" w:rsidRPr="005764FC">
        <w:rPr>
          <w:lang w:eastAsia="fr-CA"/>
        </w:rPr>
        <w:t xml:space="preserve">Section </w:t>
      </w:r>
      <w:r w:rsidR="00F421EB" w:rsidRPr="005764FC">
        <w:rPr>
          <w:lang w:eastAsia="fr-CA"/>
        </w:rPr>
        <w:fldChar w:fldCharType="begin" w:fldLock="1"/>
      </w:r>
      <w:r w:rsidR="00F421EB" w:rsidRPr="005764FC">
        <w:rPr>
          <w:lang w:eastAsia="fr-CA"/>
        </w:rPr>
        <w:instrText xml:space="preserve"> REF _Ref90971002 \r \h </w:instrText>
      </w:r>
      <w:r w:rsidR="00F421EB" w:rsidRPr="005764FC">
        <w:rPr>
          <w:lang w:eastAsia="fr-CA"/>
        </w:rPr>
      </w:r>
      <w:r w:rsidR="00F421EB" w:rsidRPr="005764FC">
        <w:rPr>
          <w:lang w:eastAsia="fr-CA"/>
        </w:rPr>
        <w:fldChar w:fldCharType="separate"/>
      </w:r>
      <w:r w:rsidR="00A34B27">
        <w:rPr>
          <w:lang w:eastAsia="fr-CA"/>
        </w:rPr>
        <w:t>1.5.1</w:t>
      </w:r>
      <w:r w:rsidR="00F421EB" w:rsidRPr="005764FC">
        <w:rPr>
          <w:lang w:eastAsia="fr-CA"/>
        </w:rPr>
        <w:fldChar w:fldCharType="end"/>
      </w:r>
      <w:r w:rsidR="00F421EB" w:rsidRPr="005764FC">
        <w:rPr>
          <w:lang w:eastAsia="fr-CA"/>
        </w:rPr>
        <w:t>).</w:t>
      </w:r>
      <w:r w:rsidR="00C61E88" w:rsidRPr="005764FC">
        <w:rPr>
          <w:lang w:eastAsia="fr-CA"/>
        </w:rPr>
        <w:t xml:space="preserve"> </w:t>
      </w:r>
      <w:r w:rsidR="007A1F10" w:rsidRPr="005764FC">
        <w:rPr>
          <w:lang w:eastAsia="fr-CA"/>
        </w:rPr>
        <w:t xml:space="preserve">The </w:t>
      </w:r>
      <w:r w:rsidR="00A23F35" w:rsidRPr="005764FC">
        <w:rPr>
          <w:lang w:eastAsia="fr-CA"/>
        </w:rPr>
        <w:t>proportion</w:t>
      </w:r>
      <w:r w:rsidR="007A1F10" w:rsidRPr="005764FC">
        <w:rPr>
          <w:lang w:eastAsia="fr-CA"/>
        </w:rPr>
        <w:t xml:space="preserve"> of </w:t>
      </w:r>
      <w:r w:rsidR="002F516D" w:rsidRPr="005764FC">
        <w:rPr>
          <w:lang w:eastAsia="fr-CA"/>
        </w:rPr>
        <w:t>relative</w:t>
      </w:r>
      <w:r w:rsidR="007A1F10" w:rsidRPr="005764FC">
        <w:rPr>
          <w:lang w:eastAsia="fr-CA"/>
        </w:rPr>
        <w:t xml:space="preserve"> </w:t>
      </w:r>
      <w:r w:rsidR="00CD478C" w:rsidRPr="005764FC">
        <w:rPr>
          <w:lang w:eastAsia="fr-CA"/>
        </w:rPr>
        <w:t xml:space="preserve">national </w:t>
      </w:r>
      <w:r w:rsidR="002F516D" w:rsidRPr="005764FC">
        <w:rPr>
          <w:lang w:eastAsia="fr-CA"/>
        </w:rPr>
        <w:t>investment</w:t>
      </w:r>
      <w:r w:rsidR="007A1F10" w:rsidRPr="005764FC">
        <w:rPr>
          <w:lang w:eastAsia="fr-CA"/>
        </w:rPr>
        <w:t xml:space="preserve"> required between </w:t>
      </w:r>
      <w:r w:rsidR="008C50D9" w:rsidRPr="005764FC">
        <w:rPr>
          <w:lang w:eastAsia="fr-CA"/>
        </w:rPr>
        <w:t>infras</w:t>
      </w:r>
      <w:r w:rsidR="004A5567" w:rsidRPr="005764FC">
        <w:rPr>
          <w:lang w:eastAsia="fr-CA"/>
        </w:rPr>
        <w:t>tructure (SCMS, roadside, national d</w:t>
      </w:r>
      <w:r w:rsidR="007D673A" w:rsidRPr="005764FC">
        <w:rPr>
          <w:lang w:eastAsia="fr-CA"/>
        </w:rPr>
        <w:t>a</w:t>
      </w:r>
      <w:r w:rsidR="004A5567" w:rsidRPr="005764FC">
        <w:rPr>
          <w:lang w:eastAsia="fr-CA"/>
        </w:rPr>
        <w:t xml:space="preserve">ta exchange and central systems) and vehicle </w:t>
      </w:r>
      <w:r w:rsidR="00B962C8" w:rsidRPr="005764FC">
        <w:rPr>
          <w:lang w:eastAsia="fr-CA"/>
        </w:rPr>
        <w:t>equipment</w:t>
      </w:r>
      <w:r w:rsidR="006B4DBA" w:rsidRPr="005764FC">
        <w:rPr>
          <w:lang w:eastAsia="fr-CA"/>
        </w:rPr>
        <w:t>,</w:t>
      </w:r>
      <w:r w:rsidR="008E0750" w:rsidRPr="005764FC">
        <w:rPr>
          <w:lang w:eastAsia="fr-CA"/>
        </w:rPr>
        <w:t xml:space="preserve"> </w:t>
      </w:r>
      <w:r w:rsidR="0009336D" w:rsidRPr="005764FC">
        <w:rPr>
          <w:lang w:eastAsia="fr-CA"/>
        </w:rPr>
        <w:t>demonstrates the relative investment risk</w:t>
      </w:r>
      <w:r w:rsidR="006B4DBA" w:rsidRPr="005764FC">
        <w:rPr>
          <w:lang w:eastAsia="fr-CA"/>
        </w:rPr>
        <w:t>. V</w:t>
      </w:r>
      <w:r w:rsidR="00153FDC" w:rsidRPr="005764FC">
        <w:rPr>
          <w:lang w:eastAsia="fr-CA"/>
        </w:rPr>
        <w:t>ehicle</w:t>
      </w:r>
      <w:r w:rsidR="0009336D" w:rsidRPr="005764FC">
        <w:rPr>
          <w:lang w:eastAsia="fr-CA"/>
        </w:rPr>
        <w:t xml:space="preserve"> </w:t>
      </w:r>
      <w:r w:rsidR="00153FDC" w:rsidRPr="005764FC">
        <w:rPr>
          <w:lang w:eastAsia="fr-CA"/>
        </w:rPr>
        <w:t xml:space="preserve">manufacturers </w:t>
      </w:r>
      <w:r w:rsidR="00C61A0A" w:rsidRPr="005764FC">
        <w:rPr>
          <w:lang w:eastAsia="fr-CA"/>
        </w:rPr>
        <w:t>represent the great majority of investment</w:t>
      </w:r>
      <w:r w:rsidR="003277FF" w:rsidRPr="005764FC">
        <w:rPr>
          <w:lang w:eastAsia="fr-CA"/>
        </w:rPr>
        <w:t xml:space="preserve"> (93</w:t>
      </w:r>
      <w:r w:rsidR="006B4DBA" w:rsidRPr="005764FC">
        <w:rPr>
          <w:lang w:eastAsia="fr-CA"/>
        </w:rPr>
        <w:t>–</w:t>
      </w:r>
      <w:r w:rsidR="003277FF" w:rsidRPr="005764FC">
        <w:rPr>
          <w:lang w:eastAsia="fr-CA"/>
        </w:rPr>
        <w:t>99</w:t>
      </w:r>
      <w:r w:rsidR="009F4811" w:rsidRPr="005764FC">
        <w:rPr>
          <w:lang w:eastAsia="fr-CA"/>
        </w:rPr>
        <w:t xml:space="preserve"> per cent</w:t>
      </w:r>
      <w:r w:rsidR="003277FF" w:rsidRPr="005764FC">
        <w:rPr>
          <w:lang w:eastAsia="fr-CA"/>
        </w:rPr>
        <w:t>)</w:t>
      </w:r>
      <w:r w:rsidR="00C61A0A" w:rsidRPr="005764FC">
        <w:rPr>
          <w:lang w:eastAsia="fr-CA"/>
        </w:rPr>
        <w:t>.</w:t>
      </w:r>
      <w:r w:rsidR="00BE3282" w:rsidRPr="005764FC">
        <w:rPr>
          <w:lang w:eastAsia="fr-CA"/>
        </w:rPr>
        <w:t xml:space="preserve"> </w:t>
      </w:r>
    </w:p>
    <w:p w14:paraId="046DDAFF" w14:textId="2CEEB830" w:rsidR="001F2503" w:rsidRPr="005764FC" w:rsidRDefault="003F7EA0" w:rsidP="00B17DA7">
      <w:pPr>
        <w:pStyle w:val="Image"/>
        <w:rPr>
          <w:lang w:eastAsia="fr-CA"/>
        </w:rPr>
      </w:pPr>
      <w:r w:rsidRPr="005764FC">
        <w:rPr>
          <w:noProof/>
          <w:lang w:eastAsia="en-AU"/>
        </w:rPr>
        <w:drawing>
          <wp:inline distT="0" distB="0" distL="0" distR="0" wp14:anchorId="1AFE79DA" wp14:editId="0287CD66">
            <wp:extent cx="6122670" cy="3423285"/>
            <wp:effectExtent l="0" t="0" r="0" b="5715"/>
            <wp:docPr id="248" name="Picture 248" descr="Figure 1.16 is a bar graph that shows the capital and operational expenditure associated with different deployment models, V2V centric, Ports/ Freight corridors, Capital Cities, Advisory information via long range communications and balance Australia wide hybrid delivery. The bars are further broken down by in vehicle costs (hybrid and cellular) SCMS, Roadside infrastructure, national data exchange and control systems. In vehicle cellular costs are the most significant potion of all models and long range advisory information and balance Australia wide delivery are the most expensive options, primarily in terms of operationa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2670" cy="3423285"/>
                    </a:xfrm>
                    <a:prstGeom prst="rect">
                      <a:avLst/>
                    </a:prstGeom>
                    <a:noFill/>
                    <a:ln>
                      <a:noFill/>
                    </a:ln>
                  </pic:spPr>
                </pic:pic>
              </a:graphicData>
            </a:graphic>
          </wp:inline>
        </w:drawing>
      </w:r>
    </w:p>
    <w:p w14:paraId="1E4B3176" w14:textId="60EDD4B9" w:rsidR="002E29DF" w:rsidRPr="005764FC" w:rsidRDefault="002E29DF" w:rsidP="00B17DA7">
      <w:pPr>
        <w:pStyle w:val="Caption"/>
        <w:keepNext w:val="0"/>
      </w:pPr>
      <w:bookmarkStart w:id="132" w:name="_Ref83710840"/>
      <w:bookmarkStart w:id="133" w:name="_Toc97807837"/>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16</w:t>
      </w:r>
      <w:r w:rsidR="00287C9E" w:rsidRPr="005764FC">
        <w:fldChar w:fldCharType="end"/>
      </w:r>
      <w:bookmarkEnd w:id="132"/>
      <w:r w:rsidRPr="005764FC">
        <w:tab/>
        <w:t>Total cost by option (all values in $2021 AUD)</w:t>
      </w:r>
      <w:bookmarkEnd w:id="133"/>
    </w:p>
    <w:p w14:paraId="2B8D9251" w14:textId="02009397" w:rsidR="002C7F6B" w:rsidRPr="005764FC" w:rsidRDefault="002C7F6B" w:rsidP="002433D2">
      <w:pPr>
        <w:pStyle w:val="BodyText"/>
        <w:rPr>
          <w:lang w:eastAsia="fr-CA"/>
        </w:rPr>
      </w:pPr>
      <w:r w:rsidRPr="005764FC">
        <w:rPr>
          <w:lang w:eastAsia="fr-CA"/>
        </w:rPr>
        <w:t>The benefits focused on the primary areas of safety and efficiency</w:t>
      </w:r>
      <w:r w:rsidR="00A53C62" w:rsidRPr="005764FC">
        <w:rPr>
          <w:lang w:eastAsia="fr-CA"/>
        </w:rPr>
        <w:t>, a</w:t>
      </w:r>
      <w:r w:rsidR="00DB2CA8" w:rsidRPr="005764FC">
        <w:rPr>
          <w:lang w:eastAsia="fr-CA"/>
        </w:rPr>
        <w:t>ssum</w:t>
      </w:r>
      <w:r w:rsidR="00A53C62" w:rsidRPr="005764FC">
        <w:rPr>
          <w:lang w:eastAsia="fr-CA"/>
        </w:rPr>
        <w:t>ing</w:t>
      </w:r>
      <w:r w:rsidRPr="005764FC">
        <w:rPr>
          <w:lang w:eastAsia="fr-CA"/>
        </w:rPr>
        <w:t xml:space="preserve"> </w:t>
      </w:r>
      <w:r w:rsidR="00DB2CA8" w:rsidRPr="005764FC">
        <w:rPr>
          <w:lang w:eastAsia="fr-CA"/>
        </w:rPr>
        <w:t xml:space="preserve">that these would lead to sustainability and comfort benefits </w:t>
      </w:r>
      <w:r w:rsidR="00A53C62" w:rsidRPr="005764FC">
        <w:rPr>
          <w:lang w:eastAsia="fr-CA"/>
        </w:rPr>
        <w:t>(</w:t>
      </w:r>
      <w:r w:rsidR="00EF7919" w:rsidRPr="005764FC">
        <w:rPr>
          <w:lang w:eastAsia="fr-CA"/>
        </w:rPr>
        <w:t xml:space="preserve">not quantified </w:t>
      </w:r>
      <w:r w:rsidR="00A53C62" w:rsidRPr="005764FC">
        <w:rPr>
          <w:lang w:eastAsia="fr-CA"/>
        </w:rPr>
        <w:t>in</w:t>
      </w:r>
      <w:r w:rsidR="00EF7919" w:rsidRPr="005764FC">
        <w:rPr>
          <w:lang w:eastAsia="fr-CA"/>
        </w:rPr>
        <w:t xml:space="preserve"> this analysis</w:t>
      </w:r>
      <w:r w:rsidR="00A53C62" w:rsidRPr="005764FC">
        <w:rPr>
          <w:lang w:eastAsia="fr-CA"/>
        </w:rPr>
        <w:t>),</w:t>
      </w:r>
      <w:r w:rsidR="00EF7919" w:rsidRPr="005764FC">
        <w:rPr>
          <w:lang w:eastAsia="fr-CA"/>
        </w:rPr>
        <w:t xml:space="preserve"> and </w:t>
      </w:r>
      <w:r w:rsidR="00A53C62" w:rsidRPr="005764FC">
        <w:rPr>
          <w:lang w:eastAsia="fr-CA"/>
        </w:rPr>
        <w:t xml:space="preserve">would </w:t>
      </w:r>
      <w:r w:rsidR="00EF7919" w:rsidRPr="005764FC">
        <w:rPr>
          <w:lang w:eastAsia="fr-CA"/>
        </w:rPr>
        <w:t xml:space="preserve">therefore lead to a more attractive </w:t>
      </w:r>
      <w:r w:rsidR="0010337C" w:rsidRPr="005764FC">
        <w:rPr>
          <w:lang w:eastAsia="fr-CA"/>
        </w:rPr>
        <w:t xml:space="preserve">view of end benefits. </w:t>
      </w:r>
    </w:p>
    <w:p w14:paraId="7B53AE47" w14:textId="26BCBA44" w:rsidR="002E4F90" w:rsidRPr="005764FC" w:rsidRDefault="00B956EC" w:rsidP="002E4F90">
      <w:pPr>
        <w:pStyle w:val="BodyText"/>
      </w:pPr>
      <w:r w:rsidRPr="005764FC">
        <w:t>C-ITS technology</w:t>
      </w:r>
      <w:r w:rsidR="002E4F90" w:rsidRPr="005764FC">
        <w:t xml:space="preserve"> crash reduction factors </w:t>
      </w:r>
      <w:r w:rsidR="004E029D" w:rsidRPr="005764FC">
        <w:t xml:space="preserve">were </w:t>
      </w:r>
      <w:r w:rsidR="002E4F90" w:rsidRPr="005764FC">
        <w:t>applied to the annual cost of crashes</w:t>
      </w:r>
      <w:r w:rsidR="004E029D" w:rsidRPr="005764FC">
        <w:t xml:space="preserve"> in Australia. This resulted in a</w:t>
      </w:r>
      <w:r w:rsidR="002E4F90" w:rsidRPr="005764FC">
        <w:t xml:space="preserve"> maximum annual crash reduction benefit </w:t>
      </w:r>
      <w:r w:rsidR="00993FA7" w:rsidRPr="005764FC">
        <w:t>(</w:t>
      </w:r>
      <w:r w:rsidR="002E4F90" w:rsidRPr="005764FC">
        <w:t xml:space="preserve">as shown in </w:t>
      </w:r>
      <w:r w:rsidR="002E4F90" w:rsidRPr="005764FC">
        <w:fldChar w:fldCharType="begin" w:fldLock="1"/>
      </w:r>
      <w:r w:rsidR="002E4F90" w:rsidRPr="005764FC">
        <w:instrText xml:space="preserve"> REF _Ref83393171 \h </w:instrText>
      </w:r>
      <w:r w:rsidR="002E4F90" w:rsidRPr="005764FC">
        <w:fldChar w:fldCharType="separate"/>
      </w:r>
      <w:r w:rsidR="00A34B27" w:rsidRPr="005764FC">
        <w:t xml:space="preserve">Figure </w:t>
      </w:r>
      <w:r w:rsidR="00A34B27">
        <w:rPr>
          <w:noProof/>
        </w:rPr>
        <w:t>1</w:t>
      </w:r>
      <w:r w:rsidR="00A34B27" w:rsidRPr="005764FC">
        <w:t>.</w:t>
      </w:r>
      <w:r w:rsidR="00A34B27">
        <w:rPr>
          <w:noProof/>
        </w:rPr>
        <w:t>17</w:t>
      </w:r>
      <w:r w:rsidR="002E4F90" w:rsidRPr="005764FC">
        <w:fldChar w:fldCharType="end"/>
      </w:r>
      <w:r w:rsidR="00072AC7" w:rsidRPr="005764FC">
        <w:t xml:space="preserve"> by vehicle type</w:t>
      </w:r>
      <w:r w:rsidR="00993FA7" w:rsidRPr="005764FC">
        <w:t xml:space="preserve">). This benefit was </w:t>
      </w:r>
      <w:r w:rsidR="00387439" w:rsidRPr="005764FC">
        <w:t xml:space="preserve">based on an assumed </w:t>
      </w:r>
      <w:r w:rsidR="00A05CB9" w:rsidRPr="005764FC">
        <w:t xml:space="preserve">2 per cent year-on-year </w:t>
      </w:r>
      <w:r w:rsidR="00387439" w:rsidRPr="005764FC">
        <w:t xml:space="preserve">traffic growth, and </w:t>
      </w:r>
      <w:r w:rsidR="00993FA7" w:rsidRPr="005764FC">
        <w:t xml:space="preserve">against </w:t>
      </w:r>
      <w:r w:rsidR="00C674AC" w:rsidRPr="005764FC">
        <w:t>C-ITS technology’s</w:t>
      </w:r>
      <w:r w:rsidR="00993FA7" w:rsidRPr="005764FC">
        <w:t xml:space="preserve"> </w:t>
      </w:r>
      <w:r w:rsidR="00E736F8" w:rsidRPr="005764FC">
        <w:t>projected market penetration in vehicles</w:t>
      </w:r>
      <w:r w:rsidR="002E4F90" w:rsidRPr="005764FC">
        <w:t>.</w:t>
      </w:r>
    </w:p>
    <w:p w14:paraId="5451E409" w14:textId="69858900" w:rsidR="002E4F90" w:rsidRPr="005764FC" w:rsidRDefault="00174821" w:rsidP="00B17DA7">
      <w:pPr>
        <w:pStyle w:val="Image"/>
      </w:pPr>
      <w:r w:rsidRPr="005764FC">
        <w:rPr>
          <w:noProof/>
          <w:lang w:eastAsia="en-AU"/>
        </w:rPr>
        <w:drawing>
          <wp:inline distT="0" distB="0" distL="0" distR="0" wp14:anchorId="41B99669" wp14:editId="05371E22">
            <wp:extent cx="6122670" cy="2084705"/>
            <wp:effectExtent l="0" t="0" r="0" b="0"/>
            <wp:docPr id="249" name="Picture 249" descr="Figure 1.17 is a bar graph comparing the annual safety benefit of options. The bars display passenger vehicle benefits and then heavy vehicle benefits as an extension. The benefit amount increases with each option, with large increases between option one and two and between option four and five. Option five is significantly greater than all the other options indicating it provides the most annual safety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2670" cy="2084705"/>
                    </a:xfrm>
                    <a:prstGeom prst="rect">
                      <a:avLst/>
                    </a:prstGeom>
                    <a:noFill/>
                    <a:ln>
                      <a:noFill/>
                    </a:ln>
                  </pic:spPr>
                </pic:pic>
              </a:graphicData>
            </a:graphic>
          </wp:inline>
        </w:drawing>
      </w:r>
    </w:p>
    <w:p w14:paraId="64A60C0D" w14:textId="3C4CC4F3" w:rsidR="000F3347" w:rsidRPr="005764FC" w:rsidRDefault="002E4F90" w:rsidP="000F3347">
      <w:pPr>
        <w:pStyle w:val="Caption"/>
        <w:keepNext w:val="0"/>
      </w:pPr>
      <w:bookmarkStart w:id="134" w:name="_Ref83393171"/>
      <w:bookmarkStart w:id="135" w:name="_Toc97807838"/>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17</w:t>
      </w:r>
      <w:r w:rsidR="00287C9E" w:rsidRPr="005764FC">
        <w:fldChar w:fldCharType="end"/>
      </w:r>
      <w:bookmarkEnd w:id="134"/>
      <w:r w:rsidRPr="005764FC">
        <w:tab/>
        <w:t>Maximum annual safety benefit by project option and vehicle type (2021 dollars)</w:t>
      </w:r>
      <w:bookmarkEnd w:id="135"/>
    </w:p>
    <w:p w14:paraId="2CB3FEA1" w14:textId="5A408712" w:rsidR="00683B6D" w:rsidRPr="005764FC" w:rsidRDefault="00683B6D" w:rsidP="00683B6D">
      <w:pPr>
        <w:pStyle w:val="BodyText"/>
      </w:pPr>
      <w:r w:rsidRPr="005764FC">
        <w:t>The maximum travel</w:t>
      </w:r>
      <w:r w:rsidR="00A53C62" w:rsidRPr="005764FC">
        <w:t>-</w:t>
      </w:r>
      <w:r w:rsidRPr="005764FC">
        <w:t xml:space="preserve">time saving </w:t>
      </w:r>
      <w:r w:rsidR="00A57F79" w:rsidRPr="005764FC">
        <w:t xml:space="preserve">benefit </w:t>
      </w:r>
      <w:r w:rsidR="000D1EE0" w:rsidRPr="005764FC">
        <w:t>was calculated</w:t>
      </w:r>
      <w:r w:rsidRPr="005764FC">
        <w:t xml:space="preserve"> </w:t>
      </w:r>
      <w:r w:rsidR="00E736F8" w:rsidRPr="005764FC">
        <w:t xml:space="preserve">based on </w:t>
      </w:r>
      <w:r w:rsidR="004D5D5F" w:rsidRPr="005764FC">
        <w:t xml:space="preserve">projected </w:t>
      </w:r>
      <w:r w:rsidR="00E736F8" w:rsidRPr="005764FC">
        <w:t xml:space="preserve">average travel speeds and </w:t>
      </w:r>
      <w:r w:rsidR="004D5D5F" w:rsidRPr="005764FC">
        <w:t>projected vehicle</w:t>
      </w:r>
      <w:r w:rsidR="00666929" w:rsidRPr="005764FC">
        <w:t>-</w:t>
      </w:r>
      <w:r w:rsidR="00524FBD" w:rsidRPr="005764FC">
        <w:t>k</w:t>
      </w:r>
      <w:r w:rsidR="00E736F8" w:rsidRPr="005764FC">
        <w:t>ilometres travelled</w:t>
      </w:r>
      <w:r w:rsidR="00A57F79" w:rsidRPr="005764FC">
        <w:t xml:space="preserve">. This was estimated </w:t>
      </w:r>
      <w:r w:rsidR="00A53C62" w:rsidRPr="005764FC">
        <w:t xml:space="preserve">by year </w:t>
      </w:r>
      <w:r w:rsidR="00A57F79" w:rsidRPr="005764FC">
        <w:t>for each vehicle type and project option</w:t>
      </w:r>
      <w:r w:rsidR="00A53C62" w:rsidRPr="005764FC">
        <w:t>,</w:t>
      </w:r>
      <w:r w:rsidR="00A57F79" w:rsidRPr="005764FC">
        <w:t xml:space="preserve"> based on </w:t>
      </w:r>
      <w:r w:rsidR="00A53C62" w:rsidRPr="005764FC">
        <w:t>C-ITS technology’s</w:t>
      </w:r>
      <w:r w:rsidR="00524FBD" w:rsidRPr="005764FC">
        <w:t xml:space="preserve"> </w:t>
      </w:r>
      <w:r w:rsidR="00A57F79" w:rsidRPr="005764FC">
        <w:t>projected market penetration in vehicles.</w:t>
      </w:r>
      <w:r w:rsidR="0003596A" w:rsidRPr="005764FC">
        <w:t xml:space="preserve"> </w:t>
      </w:r>
      <w:r w:rsidR="00BE3282" w:rsidRPr="005764FC">
        <w:fldChar w:fldCharType="begin" w:fldLock="1"/>
      </w:r>
      <w:r w:rsidR="00BE3282" w:rsidRPr="005764FC">
        <w:instrText xml:space="preserve"> REF _Ref94135630 \h </w:instrText>
      </w:r>
      <w:r w:rsidR="00BE3282" w:rsidRPr="005764FC">
        <w:fldChar w:fldCharType="separate"/>
      </w:r>
      <w:r w:rsidR="00A34B27" w:rsidRPr="005764FC">
        <w:t xml:space="preserve">Figure </w:t>
      </w:r>
      <w:r w:rsidR="00A34B27">
        <w:rPr>
          <w:noProof/>
        </w:rPr>
        <w:t>1</w:t>
      </w:r>
      <w:r w:rsidR="00A34B27" w:rsidRPr="005764FC">
        <w:t>.</w:t>
      </w:r>
      <w:r w:rsidR="00A34B27">
        <w:rPr>
          <w:noProof/>
        </w:rPr>
        <w:t>18</w:t>
      </w:r>
      <w:r w:rsidR="00BE3282" w:rsidRPr="005764FC">
        <w:fldChar w:fldCharType="end"/>
      </w:r>
      <w:r w:rsidR="00BE3282" w:rsidRPr="005764FC">
        <w:t xml:space="preserve"> shows t</w:t>
      </w:r>
      <w:r w:rsidR="0003596A" w:rsidRPr="005764FC">
        <w:t>he maximum travel</w:t>
      </w:r>
      <w:r w:rsidR="00BE3282" w:rsidRPr="005764FC">
        <w:t>-</w:t>
      </w:r>
      <w:r w:rsidR="0003596A" w:rsidRPr="005764FC">
        <w:t>time saving</w:t>
      </w:r>
      <w:r w:rsidRPr="005764FC">
        <w:t>.</w:t>
      </w:r>
    </w:p>
    <w:p w14:paraId="4410003E" w14:textId="76B7C75F" w:rsidR="0003596A" w:rsidRPr="005764FC" w:rsidRDefault="00174821" w:rsidP="00683B6D">
      <w:pPr>
        <w:pStyle w:val="BodyText"/>
      </w:pPr>
      <w:r w:rsidRPr="005764FC">
        <w:rPr>
          <w:noProof/>
          <w:lang w:eastAsia="en-AU"/>
        </w:rPr>
        <w:drawing>
          <wp:inline distT="0" distB="0" distL="0" distR="0" wp14:anchorId="5C02E5A8" wp14:editId="2CDB52C2">
            <wp:extent cx="6122670" cy="2084705"/>
            <wp:effectExtent l="0" t="0" r="0" b="0"/>
            <wp:docPr id="250" name="Picture 250" descr="Figure 1.18 a bar graph comparing the total time saving benefit of options. The bars display passenger vehicle benefits and then heavy vehicle benefits as an extension. The benefit amount increases consistently with each option, until a large increase for the fourth option. Option four and five bars are the exact same length for both benefits indicating they both provide the most travel time saving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2670" cy="2084705"/>
                    </a:xfrm>
                    <a:prstGeom prst="rect">
                      <a:avLst/>
                    </a:prstGeom>
                    <a:noFill/>
                    <a:ln>
                      <a:noFill/>
                    </a:ln>
                  </pic:spPr>
                </pic:pic>
              </a:graphicData>
            </a:graphic>
          </wp:inline>
        </w:drawing>
      </w:r>
    </w:p>
    <w:p w14:paraId="2ACBFA88" w14:textId="4620A48B" w:rsidR="00683B6D" w:rsidRPr="005764FC" w:rsidRDefault="00683B6D" w:rsidP="0076238B">
      <w:pPr>
        <w:pStyle w:val="Caption"/>
        <w:keepNext w:val="0"/>
      </w:pPr>
      <w:bookmarkStart w:id="136" w:name="_Ref94135630"/>
      <w:bookmarkStart w:id="137" w:name="_Toc97807839"/>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18</w:t>
      </w:r>
      <w:r w:rsidR="00287C9E" w:rsidRPr="005764FC">
        <w:fldChar w:fldCharType="end"/>
      </w:r>
      <w:bookmarkEnd w:id="136"/>
      <w:r w:rsidR="009D38F4" w:rsidRPr="005764FC">
        <w:tab/>
      </w:r>
      <w:r w:rsidRPr="005764FC">
        <w:t>Maximum benefit from travel time savings</w:t>
      </w:r>
      <w:r w:rsidR="005E5C37" w:rsidRPr="005764FC">
        <w:t xml:space="preserve"> in 2032 by project option and vehicle type (2021 dollars)</w:t>
      </w:r>
      <w:bookmarkEnd w:id="137"/>
    </w:p>
    <w:p w14:paraId="01CB204D" w14:textId="1DB741A0" w:rsidR="00287536" w:rsidRPr="005764FC" w:rsidRDefault="00287536" w:rsidP="00287536">
      <w:pPr>
        <w:pStyle w:val="BodyText"/>
        <w:rPr>
          <w:lang w:eastAsia="fr-CA"/>
        </w:rPr>
      </w:pPr>
      <w:r w:rsidRPr="005764FC">
        <w:rPr>
          <w:lang w:eastAsia="fr-CA"/>
        </w:rPr>
        <w:t>This appraisal considered two forms of C-ITS technology</w:t>
      </w:r>
      <w:r w:rsidR="00C74C8D" w:rsidRPr="005764FC">
        <w:rPr>
          <w:lang w:eastAsia="fr-CA"/>
        </w:rPr>
        <w:t>:</w:t>
      </w:r>
      <w:r w:rsidRPr="005764FC">
        <w:rPr>
          <w:lang w:eastAsia="fr-CA"/>
        </w:rPr>
        <w:t xml:space="preserve"> </w:t>
      </w:r>
      <w:r w:rsidR="00C97A0B" w:rsidRPr="005764FC">
        <w:rPr>
          <w:lang w:eastAsia="fr-CA"/>
        </w:rPr>
        <w:t xml:space="preserve">cellular </w:t>
      </w:r>
      <w:r w:rsidR="00B134A8" w:rsidRPr="005764FC">
        <w:rPr>
          <w:lang w:eastAsia="fr-CA"/>
        </w:rPr>
        <w:t>communications only</w:t>
      </w:r>
      <w:r w:rsidR="000F3B0C" w:rsidRPr="005764FC">
        <w:rPr>
          <w:lang w:eastAsia="fr-CA"/>
        </w:rPr>
        <w:t>,</w:t>
      </w:r>
      <w:r w:rsidR="00B134A8" w:rsidRPr="005764FC">
        <w:rPr>
          <w:lang w:eastAsia="fr-CA"/>
        </w:rPr>
        <w:t xml:space="preserve"> or a combination of cellular communications and short-range communications (hybrid)</w:t>
      </w:r>
      <w:r w:rsidRPr="005764FC">
        <w:rPr>
          <w:lang w:eastAsia="fr-CA"/>
        </w:rPr>
        <w:t>.</w:t>
      </w:r>
      <w:r w:rsidR="0076238B" w:rsidRPr="005764FC">
        <w:rPr>
          <w:lang w:eastAsia="fr-CA"/>
        </w:rPr>
        <w:t xml:space="preserve"> </w:t>
      </w:r>
      <w:r w:rsidR="002944BC" w:rsidRPr="005764FC">
        <w:rPr>
          <w:lang w:eastAsia="fr-CA"/>
        </w:rPr>
        <w:t xml:space="preserve">The </w:t>
      </w:r>
      <w:r w:rsidR="00C45E5B" w:rsidRPr="005764FC">
        <w:rPr>
          <w:lang w:eastAsia="fr-CA"/>
        </w:rPr>
        <w:t xml:space="preserve">analysis assumes that </w:t>
      </w:r>
      <w:r w:rsidR="00357740" w:rsidRPr="005764FC">
        <w:rPr>
          <w:lang w:eastAsia="fr-CA"/>
        </w:rPr>
        <w:t xml:space="preserve">the vehicle penetration rates will be influenced by </w:t>
      </w:r>
      <w:r w:rsidR="00B537C9" w:rsidRPr="005764FC">
        <w:rPr>
          <w:lang w:eastAsia="fr-CA"/>
        </w:rPr>
        <w:t>establish</w:t>
      </w:r>
      <w:r w:rsidR="001479E6" w:rsidRPr="005764FC">
        <w:rPr>
          <w:lang w:eastAsia="fr-CA"/>
        </w:rPr>
        <w:t>ing</w:t>
      </w:r>
      <w:r w:rsidR="00B537C9" w:rsidRPr="005764FC">
        <w:rPr>
          <w:lang w:eastAsia="fr-CA"/>
        </w:rPr>
        <w:t xml:space="preserve"> systems that promote its introduction. </w:t>
      </w:r>
      <w:r w:rsidR="00C3769A" w:rsidRPr="005764FC">
        <w:rPr>
          <w:lang w:eastAsia="fr-CA"/>
        </w:rPr>
        <w:t>Y</w:t>
      </w:r>
      <w:r w:rsidR="00EE2D7F" w:rsidRPr="005764FC">
        <w:rPr>
          <w:lang w:eastAsia="fr-CA"/>
        </w:rPr>
        <w:t>ear 2031 total fleet</w:t>
      </w:r>
      <w:r w:rsidR="00E72BD7" w:rsidRPr="005764FC">
        <w:rPr>
          <w:lang w:eastAsia="fr-CA"/>
        </w:rPr>
        <w:t xml:space="preserve"> trend</w:t>
      </w:r>
      <w:r w:rsidR="00EE2D7F" w:rsidRPr="005764FC">
        <w:rPr>
          <w:lang w:eastAsia="fr-CA"/>
        </w:rPr>
        <w:t>s</w:t>
      </w:r>
      <w:r w:rsidR="00E72BD7" w:rsidRPr="005764FC">
        <w:rPr>
          <w:lang w:eastAsia="fr-CA"/>
        </w:rPr>
        <w:t xml:space="preserve"> </w:t>
      </w:r>
      <w:r w:rsidR="00EE2D7F" w:rsidRPr="005764FC">
        <w:rPr>
          <w:lang w:eastAsia="fr-CA"/>
        </w:rPr>
        <w:t>for</w:t>
      </w:r>
      <w:r w:rsidR="008D53A1" w:rsidRPr="005764FC">
        <w:rPr>
          <w:lang w:eastAsia="fr-CA"/>
        </w:rPr>
        <w:t xml:space="preserve"> </w:t>
      </w:r>
      <w:r w:rsidR="00EE2D7F" w:rsidRPr="005764FC">
        <w:rPr>
          <w:lang w:eastAsia="fr-CA"/>
        </w:rPr>
        <w:t>cellular</w:t>
      </w:r>
      <w:r w:rsidR="001479E6" w:rsidRPr="005764FC">
        <w:rPr>
          <w:lang w:eastAsia="fr-CA"/>
        </w:rPr>
        <w:t>-</w:t>
      </w:r>
      <w:r w:rsidR="00EE2D7F" w:rsidRPr="005764FC">
        <w:rPr>
          <w:lang w:eastAsia="fr-CA"/>
        </w:rPr>
        <w:t xml:space="preserve">based services </w:t>
      </w:r>
      <w:r w:rsidR="00C3769A" w:rsidRPr="005764FC">
        <w:rPr>
          <w:lang w:eastAsia="fr-CA"/>
        </w:rPr>
        <w:t xml:space="preserve">are </w:t>
      </w:r>
      <w:r w:rsidR="0066150C" w:rsidRPr="005764FC">
        <w:rPr>
          <w:lang w:eastAsia="fr-CA"/>
        </w:rPr>
        <w:t xml:space="preserve">based on: </w:t>
      </w:r>
      <w:r w:rsidR="00D3708F" w:rsidRPr="005764FC">
        <w:rPr>
          <w:lang w:eastAsia="fr-CA"/>
        </w:rPr>
        <w:t>no services resulting in a slow uptake (11</w:t>
      </w:r>
      <w:r w:rsidR="00B546E1" w:rsidRPr="005764FC">
        <w:rPr>
          <w:lang w:eastAsia="fr-CA"/>
        </w:rPr>
        <w:t xml:space="preserve"> per cent</w:t>
      </w:r>
      <w:r w:rsidR="00D3708F" w:rsidRPr="005764FC">
        <w:rPr>
          <w:lang w:eastAsia="fr-CA"/>
        </w:rPr>
        <w:t xml:space="preserve">), some service introduction </w:t>
      </w:r>
      <w:r w:rsidR="00A26827" w:rsidRPr="005764FC">
        <w:rPr>
          <w:lang w:eastAsia="fr-CA"/>
        </w:rPr>
        <w:t>resulting in a medium uptake (40</w:t>
      </w:r>
      <w:r w:rsidR="00B546E1" w:rsidRPr="005764FC">
        <w:rPr>
          <w:lang w:eastAsia="fr-CA"/>
        </w:rPr>
        <w:t xml:space="preserve"> per cent</w:t>
      </w:r>
      <w:r w:rsidR="00A26827" w:rsidRPr="005764FC">
        <w:rPr>
          <w:lang w:eastAsia="fr-CA"/>
        </w:rPr>
        <w:t>) and established services (62</w:t>
      </w:r>
      <w:r w:rsidR="00B546E1" w:rsidRPr="005764FC">
        <w:rPr>
          <w:lang w:eastAsia="fr-CA"/>
        </w:rPr>
        <w:t xml:space="preserve"> per cent</w:t>
      </w:r>
      <w:r w:rsidR="00A26827" w:rsidRPr="005764FC">
        <w:rPr>
          <w:lang w:eastAsia="fr-CA"/>
        </w:rPr>
        <w:t xml:space="preserve">). While year 2031 total fleet trends for hybrid services </w:t>
      </w:r>
      <w:r w:rsidR="0070341D" w:rsidRPr="005764FC">
        <w:rPr>
          <w:lang w:eastAsia="fr-CA"/>
        </w:rPr>
        <w:t xml:space="preserve">are </w:t>
      </w:r>
      <w:r w:rsidR="00A26827" w:rsidRPr="005764FC">
        <w:rPr>
          <w:lang w:eastAsia="fr-CA"/>
        </w:rPr>
        <w:t>based on: no services resulting in a slow uptake (</w:t>
      </w:r>
      <w:r w:rsidR="0098543E" w:rsidRPr="005764FC">
        <w:rPr>
          <w:lang w:eastAsia="fr-CA"/>
        </w:rPr>
        <w:t>0.8</w:t>
      </w:r>
      <w:r w:rsidR="00B546E1" w:rsidRPr="005764FC">
        <w:rPr>
          <w:lang w:eastAsia="fr-CA"/>
        </w:rPr>
        <w:t xml:space="preserve"> per cent</w:t>
      </w:r>
      <w:r w:rsidR="00A26827" w:rsidRPr="005764FC">
        <w:rPr>
          <w:lang w:eastAsia="fr-CA"/>
        </w:rPr>
        <w:t>), some service introduction resulting in a medium uptake (</w:t>
      </w:r>
      <w:r w:rsidR="0098543E" w:rsidRPr="005764FC">
        <w:rPr>
          <w:lang w:eastAsia="fr-CA"/>
        </w:rPr>
        <w:t>6</w:t>
      </w:r>
      <w:r w:rsidR="00B546E1" w:rsidRPr="005764FC">
        <w:rPr>
          <w:lang w:eastAsia="fr-CA"/>
        </w:rPr>
        <w:t xml:space="preserve"> per cent</w:t>
      </w:r>
      <w:r w:rsidR="00A26827" w:rsidRPr="005764FC">
        <w:rPr>
          <w:lang w:eastAsia="fr-CA"/>
        </w:rPr>
        <w:t>) and established services (</w:t>
      </w:r>
      <w:r w:rsidR="0098543E" w:rsidRPr="005764FC">
        <w:rPr>
          <w:lang w:eastAsia="fr-CA"/>
        </w:rPr>
        <w:t>13</w:t>
      </w:r>
      <w:r w:rsidR="00B546E1" w:rsidRPr="005764FC">
        <w:rPr>
          <w:lang w:eastAsia="fr-CA"/>
        </w:rPr>
        <w:t xml:space="preserve"> per cent</w:t>
      </w:r>
      <w:r w:rsidR="00A26827" w:rsidRPr="005764FC">
        <w:rPr>
          <w:lang w:eastAsia="fr-CA"/>
        </w:rPr>
        <w:t xml:space="preserve">).  </w:t>
      </w:r>
      <w:r w:rsidR="0076238B" w:rsidRPr="005764FC">
        <w:rPr>
          <w:lang w:eastAsia="fr-CA"/>
        </w:rPr>
        <w:t xml:space="preserve">The expected </w:t>
      </w:r>
      <w:r w:rsidR="00A53C62" w:rsidRPr="005764FC">
        <w:rPr>
          <w:lang w:eastAsia="fr-CA"/>
        </w:rPr>
        <w:t xml:space="preserve">year-on-year </w:t>
      </w:r>
      <w:r w:rsidR="0076238B" w:rsidRPr="005764FC">
        <w:rPr>
          <w:lang w:eastAsia="fr-CA"/>
        </w:rPr>
        <w:t>market penetration was</w:t>
      </w:r>
      <w:r w:rsidR="0098543E" w:rsidRPr="005764FC">
        <w:rPr>
          <w:lang w:eastAsia="fr-CA"/>
        </w:rPr>
        <w:t xml:space="preserve"> then</w:t>
      </w:r>
      <w:r w:rsidR="0076238B" w:rsidRPr="005764FC">
        <w:rPr>
          <w:lang w:eastAsia="fr-CA"/>
        </w:rPr>
        <w:t xml:space="preserve"> used to calculate the expected safety and travel</w:t>
      </w:r>
      <w:r w:rsidR="00A53C62" w:rsidRPr="005764FC">
        <w:rPr>
          <w:lang w:eastAsia="fr-CA"/>
        </w:rPr>
        <w:t>-</w:t>
      </w:r>
      <w:r w:rsidR="0076238B" w:rsidRPr="005764FC">
        <w:rPr>
          <w:lang w:eastAsia="fr-CA"/>
        </w:rPr>
        <w:t>time benefits.</w:t>
      </w:r>
    </w:p>
    <w:p w14:paraId="2B2C5B37" w14:textId="5C4DCBA1" w:rsidR="009430D2" w:rsidRPr="005764FC" w:rsidRDefault="00FC5639" w:rsidP="009430D2">
      <w:pPr>
        <w:pStyle w:val="ListBullet"/>
        <w:numPr>
          <w:ilvl w:val="0"/>
          <w:numId w:val="0"/>
        </w:numPr>
        <w:rPr>
          <w:bCs/>
        </w:rPr>
      </w:pPr>
      <w:r w:rsidRPr="005764FC">
        <w:fldChar w:fldCharType="begin" w:fldLock="1"/>
      </w:r>
      <w:r w:rsidRPr="005764FC">
        <w:instrText xml:space="preserve"> REF _Ref94570400 \h </w:instrText>
      </w:r>
      <w:r w:rsidRPr="005764FC">
        <w:fldChar w:fldCharType="separate"/>
      </w:r>
      <w:r w:rsidR="00A34B27" w:rsidRPr="005764FC">
        <w:t xml:space="preserve">Figure </w:t>
      </w:r>
      <w:r w:rsidR="00A34B27">
        <w:rPr>
          <w:noProof/>
        </w:rPr>
        <w:t>1</w:t>
      </w:r>
      <w:r w:rsidR="00A34B27" w:rsidRPr="005764FC">
        <w:t>.</w:t>
      </w:r>
      <w:r w:rsidR="00A34B27">
        <w:rPr>
          <w:noProof/>
        </w:rPr>
        <w:t>19</w:t>
      </w:r>
      <w:r w:rsidRPr="005764FC">
        <w:fldChar w:fldCharType="end"/>
      </w:r>
      <w:r w:rsidRPr="005764FC">
        <w:t xml:space="preserve"> </w:t>
      </w:r>
      <w:r w:rsidR="009430D2" w:rsidRPr="005764FC">
        <w:t xml:space="preserve">helps articulate the benefit of a steppingstone or iterative approach to development. </w:t>
      </w:r>
      <w:r w:rsidR="009430D2" w:rsidRPr="005764FC">
        <w:rPr>
          <w:bCs/>
        </w:rPr>
        <w:t>A national deployment of central systems delivering long-range information or balanced hybrid (right two graphs in</w:t>
      </w:r>
      <w:r w:rsidRPr="005764FC">
        <w:rPr>
          <w:bCs/>
        </w:rPr>
        <w:t xml:space="preserve"> </w:t>
      </w:r>
      <w:r w:rsidRPr="005764FC">
        <w:rPr>
          <w:bCs/>
        </w:rPr>
        <w:fldChar w:fldCharType="begin" w:fldLock="1"/>
      </w:r>
      <w:r w:rsidRPr="005764FC">
        <w:rPr>
          <w:bCs/>
        </w:rPr>
        <w:instrText xml:space="preserve"> REF _Ref94570400 \h </w:instrText>
      </w:r>
      <w:r w:rsidRPr="005764FC">
        <w:rPr>
          <w:bCs/>
        </w:rPr>
      </w:r>
      <w:r w:rsidRPr="005764FC">
        <w:rPr>
          <w:bCs/>
        </w:rPr>
        <w:fldChar w:fldCharType="separate"/>
      </w:r>
      <w:r w:rsidR="00A34B27" w:rsidRPr="005764FC">
        <w:t xml:space="preserve">Figure </w:t>
      </w:r>
      <w:r w:rsidR="00A34B27">
        <w:rPr>
          <w:noProof/>
        </w:rPr>
        <w:t>1</w:t>
      </w:r>
      <w:r w:rsidR="00A34B27" w:rsidRPr="005764FC">
        <w:t>.</w:t>
      </w:r>
      <w:r w:rsidR="00A34B27">
        <w:rPr>
          <w:noProof/>
        </w:rPr>
        <w:t>19</w:t>
      </w:r>
      <w:r w:rsidRPr="005764FC">
        <w:rPr>
          <w:bCs/>
        </w:rPr>
        <w:fldChar w:fldCharType="end"/>
      </w:r>
      <w:r w:rsidR="009430D2" w:rsidRPr="005764FC">
        <w:rPr>
          <w:bCs/>
        </w:rPr>
        <w:t>) is viewed as the C‑ITS long-term target since it achieves the highest benefits (the figure’s tallest two blocks). This is important, as the scale of the benefits is over $11 billon for these two options, compared with $1–2 billion for the freight or capital city options.</w:t>
      </w:r>
    </w:p>
    <w:p w14:paraId="5FB416A2" w14:textId="2DFED0F3" w:rsidR="009430D2" w:rsidRPr="005764FC" w:rsidRDefault="009430D2" w:rsidP="006C24F2">
      <w:pPr>
        <w:pStyle w:val="ListBullet"/>
        <w:keepLines/>
        <w:numPr>
          <w:ilvl w:val="0"/>
          <w:numId w:val="0"/>
        </w:numPr>
        <w:rPr>
          <w:bCs/>
        </w:rPr>
      </w:pPr>
      <w:r w:rsidRPr="005764FC">
        <w:rPr>
          <w:bCs/>
        </w:rPr>
        <w:t xml:space="preserve">The substantially lower cost is the benefit of developing the freight solution first (as one example of a minimum viable market) while providing a foundational or ‘backbone’ system that can be leveraged for larger scale deployment as new viable markets are recognised and developed. Examples may include value models whose benefits our assessment does not currently consider, such as the use of mobile phones to deliver a wide range of C‑ITS applications or the likely future introduction of Connected and Automated Vehicles. Section 5 offers some further discussion of this flexible approach to dealing with uncertainty. </w:t>
      </w:r>
    </w:p>
    <w:p w14:paraId="1AD533E6" w14:textId="7504D421" w:rsidR="009430D2" w:rsidRPr="005764FC" w:rsidRDefault="00174821" w:rsidP="009430D2">
      <w:pPr>
        <w:pStyle w:val="BodyText"/>
        <w:keepNext/>
      </w:pPr>
      <w:r w:rsidRPr="005764FC">
        <w:rPr>
          <w:noProof/>
          <w:lang w:eastAsia="en-AU"/>
        </w:rPr>
        <w:drawing>
          <wp:inline distT="0" distB="0" distL="0" distR="0" wp14:anchorId="328E1009" wp14:editId="39DC3DCB">
            <wp:extent cx="6122670" cy="3620770"/>
            <wp:effectExtent l="0" t="0" r="0" b="0"/>
            <wp:docPr id="251" name="Picture 251" descr="Figure 1.19 'comparison of costs and benefits; shows costs and benefits for the deployment models with the greatest benefits being derived from long range advisory information and the balanced hybrid delivery. The  benefits are further broken down by crash reduction and time savings. The costs are further broken down by capital expenditure and operational expenditure, for cars and infrastructure, as well as data exchange, SCMS, and central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2670" cy="3620770"/>
                    </a:xfrm>
                    <a:prstGeom prst="rect">
                      <a:avLst/>
                    </a:prstGeom>
                    <a:noFill/>
                    <a:ln>
                      <a:noFill/>
                    </a:ln>
                  </pic:spPr>
                </pic:pic>
              </a:graphicData>
            </a:graphic>
          </wp:inline>
        </w:drawing>
      </w:r>
    </w:p>
    <w:p w14:paraId="0034B961" w14:textId="47B29E42" w:rsidR="009430D2" w:rsidRPr="005764FC" w:rsidRDefault="009430D2" w:rsidP="009430D2">
      <w:pPr>
        <w:pStyle w:val="Caption"/>
        <w:keepNext w:val="0"/>
      </w:pPr>
      <w:bookmarkStart w:id="138" w:name="_Ref94570400"/>
      <w:bookmarkStart w:id="139" w:name="_Ref94570387"/>
      <w:bookmarkStart w:id="140" w:name="_Toc97807840"/>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19</w:t>
      </w:r>
      <w:r w:rsidR="00287C9E" w:rsidRPr="005764FC">
        <w:fldChar w:fldCharType="end"/>
      </w:r>
      <w:bookmarkEnd w:id="138"/>
      <w:r w:rsidRPr="005764FC">
        <w:tab/>
        <w:t>Comparisons of costs and benefits – consideration of stepping</w:t>
      </w:r>
      <w:r w:rsidR="00C74C8D" w:rsidRPr="005764FC">
        <w:t xml:space="preserve"> </w:t>
      </w:r>
      <w:r w:rsidRPr="005764FC">
        <w:t>stones</w:t>
      </w:r>
      <w:bookmarkEnd w:id="139"/>
      <w:bookmarkEnd w:id="140"/>
    </w:p>
    <w:p w14:paraId="05239943" w14:textId="77777777" w:rsidR="00FB0E7B" w:rsidRPr="005764FC" w:rsidRDefault="00FB0E7B" w:rsidP="00FB0E7B">
      <w:pPr>
        <w:pStyle w:val="BodyText"/>
      </w:pPr>
      <w:r w:rsidRPr="005764FC">
        <w:t xml:space="preserve">The CBA results were: </w:t>
      </w:r>
    </w:p>
    <w:p w14:paraId="41BB592F" w14:textId="77777777" w:rsidR="00FB0E7B" w:rsidRPr="005764FC" w:rsidRDefault="00FB0E7B" w:rsidP="00FB0E7B">
      <w:pPr>
        <w:pStyle w:val="ListBullet"/>
      </w:pPr>
      <w:r w:rsidRPr="005764FC">
        <w:rPr>
          <w:i/>
          <w:iCs/>
        </w:rPr>
        <w:t>CBA-Option 1</w:t>
      </w:r>
      <w:r w:rsidRPr="005764FC">
        <w:t xml:space="preserve">: Vehicle-to-vehicle centric with minimal infrastructure support has a Benefit-Cost Ratio (BCR) below 1 and is not considered viable. </w:t>
      </w:r>
    </w:p>
    <w:p w14:paraId="4B59429B" w14:textId="77777777" w:rsidR="00FB0E7B" w:rsidRPr="005764FC" w:rsidRDefault="00FB0E7B" w:rsidP="00FB0E7B">
      <w:pPr>
        <w:pStyle w:val="ListBullet"/>
      </w:pPr>
      <w:r w:rsidRPr="005764FC">
        <w:rPr>
          <w:i/>
          <w:iCs/>
        </w:rPr>
        <w:t>CBA-Option 2</w:t>
      </w:r>
      <w:r w:rsidRPr="005764FC">
        <w:t xml:space="preserve">: Ports/Freight Corridors (Vehicle-to-vehicle, plus roadside stations at cities and central systems for intercity motorways focused on freight corridors), has the best economic return. However, its benefits are comparatively modest (~$1 billion). </w:t>
      </w:r>
    </w:p>
    <w:p w14:paraId="3A5D08AE" w14:textId="77777777" w:rsidR="00FB0E7B" w:rsidRPr="005764FC" w:rsidRDefault="00FB0E7B" w:rsidP="00FB0E7B">
      <w:pPr>
        <w:pStyle w:val="ListBullet"/>
      </w:pPr>
      <w:r w:rsidRPr="005764FC">
        <w:rPr>
          <w:i/>
          <w:iCs/>
        </w:rPr>
        <w:t>CBA-Option 3</w:t>
      </w:r>
      <w:r w:rsidRPr="005764FC">
        <w:t>: Urban delivery of C‑ITS with mostly roadside station deployment, is also cost-effective with more and greater benefits than option 2 (~$2 billion).</w:t>
      </w:r>
    </w:p>
    <w:p w14:paraId="1E22C2EB" w14:textId="40D4B8B3" w:rsidR="00FB0E7B" w:rsidRPr="005764FC" w:rsidRDefault="00FB0E7B" w:rsidP="00FB0E7B">
      <w:pPr>
        <w:pStyle w:val="ListBullet"/>
      </w:pPr>
      <w:r w:rsidRPr="005764FC">
        <w:rPr>
          <w:i/>
          <w:iCs/>
        </w:rPr>
        <w:t>CBA-Option 4</w:t>
      </w:r>
      <w:r w:rsidRPr="005764FC">
        <w:t>: Advisory information through cellular communications has a high social benefits return ($11.0</w:t>
      </w:r>
      <w:r w:rsidR="00967DEC">
        <w:t> </w:t>
      </w:r>
      <w:r w:rsidRPr="005764FC">
        <w:t>billion).</w:t>
      </w:r>
    </w:p>
    <w:p w14:paraId="369C84B1" w14:textId="77777777" w:rsidR="00FB0E7B" w:rsidRPr="005764FC" w:rsidRDefault="00FB0E7B" w:rsidP="00FB0E7B">
      <w:pPr>
        <w:pStyle w:val="ListBullet"/>
      </w:pPr>
      <w:r w:rsidRPr="005764FC">
        <w:rPr>
          <w:i/>
          <w:iCs/>
        </w:rPr>
        <w:t>CBA-Option 5</w:t>
      </w:r>
      <w:r w:rsidRPr="005764FC">
        <w:t>: balanced hybrid of city and rural deployment with both technologies realises the highest benefits ($11.8 billion).</w:t>
      </w:r>
    </w:p>
    <w:p w14:paraId="77D7C762" w14:textId="488FB046" w:rsidR="002E1D10" w:rsidRPr="005764FC" w:rsidRDefault="002E1D10" w:rsidP="00D171BF">
      <w:pPr>
        <w:pStyle w:val="ListBullet"/>
        <w:numPr>
          <w:ilvl w:val="0"/>
          <w:numId w:val="0"/>
        </w:numPr>
      </w:pPr>
      <w:r w:rsidRPr="005764FC">
        <w:t xml:space="preserve">Option 2 could be viewed as a minimum viable market and </w:t>
      </w:r>
      <w:r w:rsidR="004C323B" w:rsidRPr="005764FC">
        <w:t xml:space="preserve">might </w:t>
      </w:r>
      <w:r w:rsidRPr="005764FC">
        <w:t xml:space="preserve">also be considered a </w:t>
      </w:r>
      <w:r w:rsidR="004C323B" w:rsidRPr="005764FC">
        <w:t>‘</w:t>
      </w:r>
      <w:r w:rsidRPr="005764FC">
        <w:t>no regrets</w:t>
      </w:r>
      <w:r w:rsidR="004C323B" w:rsidRPr="005764FC">
        <w:t>’</w:t>
      </w:r>
      <w:r w:rsidRPr="005764FC">
        <w:t xml:space="preserve"> option as a step towards Option 5</w:t>
      </w:r>
      <w:r w:rsidR="00A53C62" w:rsidRPr="005764FC">
        <w:t>,</w:t>
      </w:r>
      <w:r w:rsidR="00F71306" w:rsidRPr="005764FC">
        <w:t xml:space="preserve"> which appears the most logical way to achieve </w:t>
      </w:r>
      <w:r w:rsidR="00666929" w:rsidRPr="005764FC">
        <w:t xml:space="preserve">the </w:t>
      </w:r>
      <w:r w:rsidR="00F71306" w:rsidRPr="005764FC">
        <w:t>g</w:t>
      </w:r>
      <w:r w:rsidR="002835A3" w:rsidRPr="005764FC">
        <w:t xml:space="preserve">reatest societal </w:t>
      </w:r>
      <w:r w:rsidR="00CA6DC2" w:rsidRPr="005764FC">
        <w:t>benefits</w:t>
      </w:r>
      <w:r w:rsidR="002835A3" w:rsidRPr="005764FC">
        <w:t xml:space="preserve">. </w:t>
      </w:r>
      <w:r w:rsidR="00D2631B" w:rsidRPr="005764FC">
        <w:t>While five options were investigated in the CBA, these are not the only available deployment options. Other deployments targeted at specific user needs or markets could also be considered.</w:t>
      </w:r>
    </w:p>
    <w:p w14:paraId="4F32243E" w14:textId="77777777" w:rsidR="00E16F9B" w:rsidRPr="005764FC" w:rsidRDefault="00E16F9B" w:rsidP="00E16F9B">
      <w:pPr>
        <w:pStyle w:val="Heading2"/>
      </w:pPr>
      <w:bookmarkStart w:id="141" w:name="_Ref94078959"/>
      <w:bookmarkStart w:id="142" w:name="_Toc94536690"/>
      <w:bookmarkStart w:id="143" w:name="_Toc94453144"/>
      <w:bookmarkStart w:id="144" w:name="_Toc97807788"/>
      <w:bookmarkStart w:id="145" w:name="_Ref87342819"/>
      <w:bookmarkStart w:id="146" w:name="_Ref87346501"/>
      <w:bookmarkStart w:id="147" w:name="_Toc49253756"/>
      <w:bookmarkStart w:id="148" w:name="_Toc49421139"/>
      <w:bookmarkStart w:id="149" w:name="_Toc49515898"/>
      <w:r w:rsidRPr="005764FC">
        <w:t>Current State of C</w:t>
      </w:r>
      <w:r w:rsidRPr="005764FC">
        <w:rPr>
          <w:rFonts w:ascii="Cambria Math" w:hAnsi="Cambria Math" w:cs="Cambria Math"/>
        </w:rPr>
        <w:t>‑</w:t>
      </w:r>
      <w:r w:rsidRPr="005764FC">
        <w:t>ITS</w:t>
      </w:r>
      <w:bookmarkEnd w:id="141"/>
      <w:bookmarkEnd w:id="142"/>
      <w:bookmarkEnd w:id="143"/>
      <w:bookmarkEnd w:id="144"/>
    </w:p>
    <w:p w14:paraId="4B745AF5" w14:textId="03711527" w:rsidR="00E16F9B" w:rsidRPr="005764FC" w:rsidRDefault="00E16F9B" w:rsidP="00E16F9B">
      <w:pPr>
        <w:pStyle w:val="BodyText"/>
        <w:rPr>
          <w:lang w:eastAsia="fr-CA"/>
        </w:rPr>
      </w:pPr>
      <w:r w:rsidRPr="005764FC">
        <w:rPr>
          <w:lang w:eastAsia="fr-CA"/>
        </w:rPr>
        <w:t>Nationally and internationally, the basis of C‑ITS technology has been prove</w:t>
      </w:r>
      <w:r w:rsidR="00A53C62" w:rsidRPr="005764FC">
        <w:rPr>
          <w:lang w:eastAsia="fr-CA"/>
        </w:rPr>
        <w:t>d</w:t>
      </w:r>
      <w:r w:rsidRPr="005764FC">
        <w:rPr>
          <w:lang w:eastAsia="fr-CA"/>
        </w:rPr>
        <w:t xml:space="preserve"> ready for deployment. Internationally, widespread trialling and deployment by </w:t>
      </w:r>
      <w:r w:rsidR="00C03330" w:rsidRPr="005764FC">
        <w:rPr>
          <w:lang w:eastAsia="fr-CA"/>
        </w:rPr>
        <w:t>vehicle manufacturers</w:t>
      </w:r>
      <w:r w:rsidRPr="005764FC">
        <w:rPr>
          <w:lang w:eastAsia="fr-CA"/>
        </w:rPr>
        <w:t xml:space="preserve">, federal and state governments, and academia, have tested C‑ITS technology and successfully demonstrated its viability for further deployment. </w:t>
      </w:r>
    </w:p>
    <w:p w14:paraId="2AAF858B" w14:textId="3702B556" w:rsidR="00EC0FB2" w:rsidRPr="005764FC" w:rsidRDefault="00DE5DE7" w:rsidP="00F64757">
      <w:pPr>
        <w:pStyle w:val="Heading3"/>
        <w:rPr>
          <w:lang w:eastAsia="fr-CA"/>
        </w:rPr>
      </w:pPr>
      <w:bookmarkStart w:id="150" w:name="_Toc94536691"/>
      <w:bookmarkStart w:id="151" w:name="_Toc94453145"/>
      <w:r w:rsidRPr="005764FC">
        <w:rPr>
          <w:lang w:eastAsia="fr-CA"/>
        </w:rPr>
        <w:t>Australian Trials</w:t>
      </w:r>
      <w:bookmarkEnd w:id="150"/>
      <w:bookmarkEnd w:id="151"/>
    </w:p>
    <w:p w14:paraId="49D244B7" w14:textId="60B9BCA1" w:rsidR="00E16F9B" w:rsidRPr="005764FC" w:rsidRDefault="005D2474" w:rsidP="00E16F9B">
      <w:pPr>
        <w:pStyle w:val="BodyText"/>
        <w:rPr>
          <w:lang w:eastAsia="fr-CA"/>
        </w:rPr>
      </w:pPr>
      <w:r w:rsidRPr="005764FC">
        <w:rPr>
          <w:lang w:eastAsia="fr-CA"/>
        </w:rPr>
        <w:t xml:space="preserve">The </w:t>
      </w:r>
      <w:r w:rsidR="007E1BA7" w:rsidRPr="005764FC">
        <w:rPr>
          <w:lang w:eastAsia="fr-CA"/>
        </w:rPr>
        <w:t xml:space="preserve">Cooperative Intelligent Transport Initiative </w:t>
      </w:r>
      <w:r w:rsidR="007A7318" w:rsidRPr="005764FC">
        <w:rPr>
          <w:lang w:eastAsia="fr-CA"/>
        </w:rPr>
        <w:t>(</w:t>
      </w:r>
      <w:r w:rsidR="00E16F9B" w:rsidRPr="005764FC">
        <w:rPr>
          <w:lang w:eastAsia="fr-CA"/>
        </w:rPr>
        <w:t>CITI</w:t>
      </w:r>
      <w:r w:rsidR="007A7318" w:rsidRPr="005764FC">
        <w:rPr>
          <w:lang w:eastAsia="fr-CA"/>
        </w:rPr>
        <w:t>)</w:t>
      </w:r>
      <w:r w:rsidR="00E16F9B" w:rsidRPr="005764FC">
        <w:rPr>
          <w:lang w:eastAsia="fr-CA"/>
        </w:rPr>
        <w:t xml:space="preserve"> provided initial Proof of Concept for DSRC in Australia. It validated the system’s</w:t>
      </w:r>
      <w:r w:rsidR="00E16F9B" w:rsidRPr="005764FC" w:rsidDel="006624FB">
        <w:rPr>
          <w:lang w:eastAsia="fr-CA"/>
        </w:rPr>
        <w:t xml:space="preserve"> </w:t>
      </w:r>
      <w:r w:rsidR="00E16F9B" w:rsidRPr="005764FC">
        <w:rPr>
          <w:lang w:eastAsia="fr-CA"/>
        </w:rPr>
        <w:t xml:space="preserve">capability </w:t>
      </w:r>
      <w:r w:rsidR="00BE0BAD" w:rsidRPr="005764FC">
        <w:rPr>
          <w:lang w:eastAsia="fr-CA"/>
        </w:rPr>
        <w:t xml:space="preserve">across a range of </w:t>
      </w:r>
      <w:r w:rsidR="00AF5CF8" w:rsidRPr="005764FC">
        <w:rPr>
          <w:lang w:eastAsia="fr-CA"/>
        </w:rPr>
        <w:t>vehicle types including passenger vehicles, heavy vehicles and motorcycles</w:t>
      </w:r>
      <w:r w:rsidR="00996BBE" w:rsidRPr="005764FC">
        <w:rPr>
          <w:lang w:eastAsia="fr-CA"/>
        </w:rPr>
        <w:t xml:space="preserve">. CITI found </w:t>
      </w:r>
      <w:r w:rsidR="00666929" w:rsidRPr="005764FC">
        <w:rPr>
          <w:lang w:eastAsia="fr-CA"/>
        </w:rPr>
        <w:t>the system needed</w:t>
      </w:r>
      <w:r w:rsidR="00996BBE" w:rsidRPr="005764FC">
        <w:rPr>
          <w:lang w:eastAsia="fr-CA"/>
        </w:rPr>
        <w:t xml:space="preserve"> </w:t>
      </w:r>
      <w:r w:rsidR="00E16F9B" w:rsidRPr="005764FC">
        <w:rPr>
          <w:lang w:eastAsia="fr-CA"/>
        </w:rPr>
        <w:t>quality improvements</w:t>
      </w:r>
      <w:r w:rsidR="00E16F9B" w:rsidRPr="005764FC" w:rsidDel="00505CAA">
        <w:rPr>
          <w:lang w:eastAsia="fr-CA"/>
        </w:rPr>
        <w:t xml:space="preserve"> </w:t>
      </w:r>
      <w:r w:rsidR="00666929" w:rsidRPr="005764FC">
        <w:rPr>
          <w:lang w:eastAsia="fr-CA"/>
        </w:rPr>
        <w:t>(</w:t>
      </w:r>
      <w:r w:rsidR="00E16F9B" w:rsidRPr="005764FC">
        <w:rPr>
          <w:lang w:eastAsia="fr-CA"/>
        </w:rPr>
        <w:t>specifically around information accuracy</w:t>
      </w:r>
      <w:r w:rsidR="00666929" w:rsidRPr="005764FC">
        <w:rPr>
          <w:lang w:eastAsia="fr-CA"/>
        </w:rPr>
        <w:t>). It also found</w:t>
      </w:r>
      <w:r w:rsidR="00E16F9B" w:rsidRPr="005764FC">
        <w:rPr>
          <w:lang w:eastAsia="fr-CA"/>
        </w:rPr>
        <w:t xml:space="preserve"> security that was</w:t>
      </w:r>
      <w:r w:rsidR="00666929" w:rsidRPr="005764FC">
        <w:rPr>
          <w:lang w:eastAsia="fr-CA"/>
        </w:rPr>
        <w:t xml:space="preserve"> not</w:t>
      </w:r>
      <w:r w:rsidR="00E16F9B" w:rsidRPr="005764FC">
        <w:rPr>
          <w:lang w:eastAsia="fr-CA"/>
        </w:rPr>
        <w:t xml:space="preserve"> implemented, positioning that used standard GPS solutions</w:t>
      </w:r>
      <w:r w:rsidR="002D7723" w:rsidRPr="005764FC">
        <w:rPr>
          <w:lang w:eastAsia="fr-CA"/>
        </w:rPr>
        <w:t xml:space="preserve"> was insufficient</w:t>
      </w:r>
      <w:r w:rsidR="00E16F9B" w:rsidRPr="005764FC">
        <w:rPr>
          <w:lang w:eastAsia="fr-CA"/>
        </w:rPr>
        <w:t>, and use cases that were based on vendor-specific implementation</w:t>
      </w:r>
      <w:r w:rsidR="002D7723" w:rsidRPr="005764FC">
        <w:rPr>
          <w:lang w:eastAsia="fr-CA"/>
        </w:rPr>
        <w:t xml:space="preserve"> were not robust</w:t>
      </w:r>
      <w:r w:rsidR="00E16F9B" w:rsidRPr="005764FC">
        <w:rPr>
          <w:lang w:eastAsia="fr-CA"/>
        </w:rPr>
        <w:t xml:space="preserve">. CITI was unable to complete a </w:t>
      </w:r>
      <w:r w:rsidR="008C1B3F" w:rsidRPr="005764FC">
        <w:rPr>
          <w:lang w:eastAsia="fr-CA"/>
        </w:rPr>
        <w:t xml:space="preserve">quantitative </w:t>
      </w:r>
      <w:r w:rsidR="00E16F9B" w:rsidRPr="005764FC">
        <w:rPr>
          <w:lang w:eastAsia="fr-CA"/>
        </w:rPr>
        <w:t xml:space="preserve">safety analysis due to the system’s </w:t>
      </w:r>
      <w:r w:rsidR="002D7723" w:rsidRPr="005764FC">
        <w:rPr>
          <w:lang w:eastAsia="fr-CA"/>
        </w:rPr>
        <w:t xml:space="preserve">readiness and </w:t>
      </w:r>
      <w:r w:rsidR="00E16F9B" w:rsidRPr="005764FC">
        <w:rPr>
          <w:lang w:eastAsia="fr-CA"/>
        </w:rPr>
        <w:t xml:space="preserve">data collection processes </w:t>
      </w:r>
      <w:r w:rsidR="00666929" w:rsidRPr="005764FC">
        <w:rPr>
          <w:lang w:eastAsia="fr-CA"/>
        </w:rPr>
        <w:t xml:space="preserve">in use </w:t>
      </w:r>
      <w:r w:rsidR="00E16F9B" w:rsidRPr="005764FC">
        <w:rPr>
          <w:lang w:eastAsia="fr-CA"/>
        </w:rPr>
        <w:t>at the time.</w:t>
      </w:r>
    </w:p>
    <w:p w14:paraId="15FD1EE4" w14:textId="34D1B6DD" w:rsidR="00E16F9B" w:rsidRPr="005764FC" w:rsidRDefault="007A7318" w:rsidP="00E16F9B">
      <w:pPr>
        <w:pStyle w:val="BodyText"/>
      </w:pPr>
      <w:r w:rsidRPr="005764FC">
        <w:t xml:space="preserve">The Cooperative and Automated Vehicle initiative (CAVI) </w:t>
      </w:r>
      <w:r w:rsidR="003446D8" w:rsidRPr="005764FC">
        <w:t>created one of the prominent C-ITS pilots nationally and internationally</w:t>
      </w:r>
      <w:r w:rsidRPr="005764FC">
        <w:t xml:space="preserve"> –</w:t>
      </w:r>
      <w:r w:rsidR="003446D8" w:rsidRPr="005764FC">
        <w:t xml:space="preserve"> the Ipswich Connected Vehicle Pilot (ICVP). CAVI’s model </w:t>
      </w:r>
      <w:r w:rsidR="00016D06" w:rsidRPr="005764FC">
        <w:t>was</w:t>
      </w:r>
      <w:r w:rsidR="003446D8" w:rsidRPr="005764FC">
        <w:t xml:space="preserve"> built </w:t>
      </w:r>
      <w:r w:rsidR="00666929" w:rsidRPr="005764FC">
        <w:t>by</w:t>
      </w:r>
      <w:r w:rsidR="003446D8" w:rsidRPr="005764FC">
        <w:t xml:space="preserve"> creating a pilot to foster and measure C-ITS deployment</w:t>
      </w:r>
      <w:r w:rsidR="00666929" w:rsidRPr="005764FC">
        <w:t xml:space="preserve"> </w:t>
      </w:r>
      <w:r w:rsidR="003446D8" w:rsidRPr="005764FC">
        <w:t>readines</w:t>
      </w:r>
      <w:r w:rsidR="00666929" w:rsidRPr="005764FC">
        <w:t>s</w:t>
      </w:r>
      <w:r w:rsidR="007E1BA7" w:rsidRPr="005764FC">
        <w:t xml:space="preserve">. CAVI </w:t>
      </w:r>
      <w:r w:rsidR="0043078C" w:rsidRPr="005764FC">
        <w:t>learn</w:t>
      </w:r>
      <w:r w:rsidR="007E1BA7" w:rsidRPr="005764FC">
        <w:t>ed</w:t>
      </w:r>
      <w:r w:rsidR="0043078C" w:rsidRPr="005764FC">
        <w:t xml:space="preserve"> from </w:t>
      </w:r>
      <w:r w:rsidRPr="005764FC">
        <w:t>previous pilots’</w:t>
      </w:r>
      <w:r w:rsidR="00CC4C41" w:rsidRPr="005764FC">
        <w:t xml:space="preserve"> issues </w:t>
      </w:r>
      <w:r w:rsidR="000C7F09" w:rsidRPr="005764FC">
        <w:t xml:space="preserve">and </w:t>
      </w:r>
      <w:r w:rsidR="005D274E" w:rsidRPr="005764FC">
        <w:rPr>
          <w:lang w:eastAsia="fr-CA"/>
        </w:rPr>
        <w:t>invested to improve vendors’ ability</w:t>
      </w:r>
      <w:r w:rsidR="005D274E" w:rsidRPr="005764FC" w:rsidDel="005870D8">
        <w:rPr>
          <w:lang w:eastAsia="fr-CA"/>
        </w:rPr>
        <w:t xml:space="preserve"> </w:t>
      </w:r>
      <w:r w:rsidR="005D274E" w:rsidRPr="005764FC">
        <w:rPr>
          <w:lang w:eastAsia="fr-CA"/>
        </w:rPr>
        <w:t>to deliver a pre-deployment pilot that demonstrated the value of both short-range and long-range use cases to safety benefits and user experience</w:t>
      </w:r>
      <w:r w:rsidR="00E5110E" w:rsidRPr="005764FC">
        <w:rPr>
          <w:lang w:eastAsia="fr-CA"/>
        </w:rPr>
        <w:t>.</w:t>
      </w:r>
      <w:r w:rsidR="002E6922" w:rsidRPr="005764FC">
        <w:rPr>
          <w:rStyle w:val="FootnoteReference"/>
          <w:lang w:eastAsia="fr-CA"/>
        </w:rPr>
        <w:footnoteReference w:id="5"/>
      </w:r>
      <w:r w:rsidR="000B3024" w:rsidRPr="005764FC">
        <w:rPr>
          <w:lang w:eastAsia="fr-CA"/>
        </w:rPr>
        <w:t xml:space="preserve"> </w:t>
      </w:r>
    </w:p>
    <w:p w14:paraId="5CE1A23C" w14:textId="565F6349" w:rsidR="00F73E24" w:rsidRPr="005764FC" w:rsidRDefault="007B313A" w:rsidP="003518BE">
      <w:pPr>
        <w:pStyle w:val="BodyText"/>
      </w:pPr>
      <w:r w:rsidRPr="005764FC">
        <w:t>Importantly,</w:t>
      </w:r>
      <w:r w:rsidR="0048267E" w:rsidRPr="005764FC">
        <w:t xml:space="preserve"> both</w:t>
      </w:r>
      <w:r w:rsidRPr="005764FC">
        <w:t xml:space="preserve"> </w:t>
      </w:r>
      <w:r w:rsidR="00F73E24" w:rsidRPr="005764FC">
        <w:t>CAVI and CITI</w:t>
      </w:r>
      <w:r w:rsidR="00560327" w:rsidRPr="005764FC">
        <w:t xml:space="preserve"> feedback surveys </w:t>
      </w:r>
      <w:r w:rsidR="007E1BA7" w:rsidRPr="005764FC">
        <w:t>showed a</w:t>
      </w:r>
      <w:r w:rsidR="003B523F" w:rsidRPr="005764FC">
        <w:t xml:space="preserve"> positive</w:t>
      </w:r>
      <w:r w:rsidR="007E1BA7" w:rsidRPr="005764FC">
        <w:t xml:space="preserve"> </w:t>
      </w:r>
      <w:r w:rsidR="00F73E24" w:rsidRPr="005764FC">
        <w:t>user experienc</w:t>
      </w:r>
      <w:r w:rsidR="007E1BA7" w:rsidRPr="005764FC">
        <w:t>e</w:t>
      </w:r>
      <w:r w:rsidR="00F73E24" w:rsidRPr="005764FC">
        <w:t>.</w:t>
      </w:r>
      <w:r w:rsidR="003B523F" w:rsidRPr="005764FC">
        <w:t xml:space="preserve"> CITI </w:t>
      </w:r>
      <w:r w:rsidR="00F17476" w:rsidRPr="005764FC">
        <w:t xml:space="preserve">participants agreed </w:t>
      </w:r>
      <w:r w:rsidR="007E1BA7" w:rsidRPr="005764FC">
        <w:t xml:space="preserve">that </w:t>
      </w:r>
      <w:r w:rsidR="00F17476" w:rsidRPr="005764FC">
        <w:t>connected vehicle technology would reduce crashes if fitted to all vehicles and traffic lights.</w:t>
      </w:r>
      <w:r w:rsidR="001F26BD" w:rsidRPr="005764FC">
        <w:t xml:space="preserve"> </w:t>
      </w:r>
      <w:r w:rsidR="007E1BA7" w:rsidRPr="005764FC">
        <w:t>M</w:t>
      </w:r>
      <w:r w:rsidR="00F17476" w:rsidRPr="005764FC">
        <w:t>ost participants agree</w:t>
      </w:r>
      <w:r w:rsidR="007E1BA7" w:rsidRPr="005764FC">
        <w:t>d</w:t>
      </w:r>
      <w:r w:rsidR="00F17476" w:rsidRPr="005764FC">
        <w:t xml:space="preserve"> they would support a policy requiring all vehicles to be fitted with connected vehicle technology</w:t>
      </w:r>
      <w:r w:rsidR="00D44962">
        <w:t xml:space="preserve"> </w:t>
      </w:r>
      <w:sdt>
        <w:sdtPr>
          <w:id w:val="1087654053"/>
          <w:citation/>
        </w:sdtPr>
        <w:sdtContent>
          <w:r w:rsidR="00D44962">
            <w:fldChar w:fldCharType="begin"/>
          </w:r>
          <w:r w:rsidR="00D44962">
            <w:instrText xml:space="preserve"> CITATION Cen21 \l 3081 </w:instrText>
          </w:r>
          <w:r w:rsidR="00D44962">
            <w:fldChar w:fldCharType="separate"/>
          </w:r>
          <w:r w:rsidR="001428F9">
            <w:rPr>
              <w:noProof/>
            </w:rPr>
            <w:t>(Centre for Road Safety, 2021)</w:t>
          </w:r>
          <w:r w:rsidR="00D44962">
            <w:fldChar w:fldCharType="end"/>
          </w:r>
        </w:sdtContent>
      </w:sdt>
      <w:r w:rsidR="007E1BA7" w:rsidRPr="005764FC">
        <w:t>.</w:t>
      </w:r>
      <w:r w:rsidR="00E36799" w:rsidRPr="005764FC">
        <w:t xml:space="preserve"> CAVI</w:t>
      </w:r>
      <w:r w:rsidR="000D3540" w:rsidRPr="005764FC">
        <w:t xml:space="preserve">’s user acceptance </w:t>
      </w:r>
      <w:r w:rsidR="008D7126" w:rsidRPr="005764FC">
        <w:t xml:space="preserve">surveys </w:t>
      </w:r>
      <w:r w:rsidR="007E1BA7" w:rsidRPr="005764FC">
        <w:t>received</w:t>
      </w:r>
      <w:r w:rsidR="008D7126" w:rsidRPr="005764FC">
        <w:t xml:space="preserve"> </w:t>
      </w:r>
      <w:r w:rsidR="007E1BA7" w:rsidRPr="005764FC">
        <w:t xml:space="preserve">and maintained </w:t>
      </w:r>
      <w:r w:rsidR="008D7126" w:rsidRPr="005764FC">
        <w:t>generally positive responses</w:t>
      </w:r>
      <w:r w:rsidR="00A73BF1">
        <w:t xml:space="preserve"> </w:t>
      </w:r>
      <w:sdt>
        <w:sdtPr>
          <w:id w:val="1153184804"/>
          <w:citation/>
        </w:sdtPr>
        <w:sdtContent>
          <w:r w:rsidR="00A73BF1">
            <w:fldChar w:fldCharType="begin"/>
          </w:r>
          <w:r w:rsidR="00A73BF1">
            <w:instrText xml:space="preserve"> CITATION iMo21 \l 3081 </w:instrText>
          </w:r>
          <w:r w:rsidR="00A73BF1">
            <w:fldChar w:fldCharType="separate"/>
          </w:r>
          <w:r w:rsidR="001428F9">
            <w:rPr>
              <w:noProof/>
            </w:rPr>
            <w:t>(iMove Australia and Department of Transport and Main Roads, 2021)</w:t>
          </w:r>
          <w:r w:rsidR="00A73BF1">
            <w:fldChar w:fldCharType="end"/>
          </w:r>
        </w:sdtContent>
      </w:sdt>
      <w:r w:rsidR="007E1BA7" w:rsidRPr="005764FC">
        <w:t>.</w:t>
      </w:r>
      <w:r w:rsidR="008D7126" w:rsidRPr="005764FC">
        <w:t xml:space="preserve"> </w:t>
      </w:r>
    </w:p>
    <w:p w14:paraId="2A96D145" w14:textId="21BC3079" w:rsidR="00E16F9B" w:rsidRPr="005764FC" w:rsidRDefault="00E16F9B" w:rsidP="00E16F9B">
      <w:pPr>
        <w:pStyle w:val="BodyText"/>
        <w:rPr>
          <w:lang w:eastAsia="fr-CA"/>
        </w:rPr>
      </w:pPr>
      <w:r w:rsidRPr="005764FC">
        <w:rPr>
          <w:lang w:eastAsia="fr-CA"/>
        </w:rPr>
        <w:t xml:space="preserve">The following </w:t>
      </w:r>
      <w:r w:rsidR="004F303C" w:rsidRPr="005764FC">
        <w:rPr>
          <w:lang w:eastAsia="fr-CA"/>
        </w:rPr>
        <w:t xml:space="preserve">Australian </w:t>
      </w:r>
      <w:r w:rsidRPr="005764FC">
        <w:rPr>
          <w:lang w:eastAsia="fr-CA"/>
        </w:rPr>
        <w:t xml:space="preserve">projects outlined in </w:t>
      </w:r>
      <w:r w:rsidRPr="005764FC">
        <w:rPr>
          <w:lang w:eastAsia="fr-CA"/>
        </w:rPr>
        <w:fldChar w:fldCharType="begin" w:fldLock="1"/>
      </w:r>
      <w:r w:rsidRPr="005764FC">
        <w:rPr>
          <w:lang w:eastAsia="fr-CA"/>
        </w:rPr>
        <w:instrText xml:space="preserve"> REF _Ref92361113 \h </w:instrText>
      </w:r>
      <w:r w:rsidRPr="005764FC">
        <w:rPr>
          <w:lang w:eastAsia="fr-CA"/>
        </w:rPr>
      </w:r>
      <w:r w:rsidRPr="005764FC">
        <w:rPr>
          <w:lang w:eastAsia="fr-CA"/>
        </w:rPr>
        <w:fldChar w:fldCharType="separate"/>
      </w:r>
      <w:r w:rsidR="00A34B27" w:rsidRPr="005764FC">
        <w:t xml:space="preserve">Table </w:t>
      </w:r>
      <w:r w:rsidR="00A34B27">
        <w:rPr>
          <w:noProof/>
        </w:rPr>
        <w:t>1</w:t>
      </w:r>
      <w:r w:rsidR="00A34B27" w:rsidRPr="005764FC">
        <w:t>.</w:t>
      </w:r>
      <w:r w:rsidR="00A34B27">
        <w:rPr>
          <w:noProof/>
        </w:rPr>
        <w:t>1</w:t>
      </w:r>
      <w:r w:rsidRPr="005764FC">
        <w:rPr>
          <w:lang w:eastAsia="fr-CA"/>
        </w:rPr>
        <w:fldChar w:fldCharType="end"/>
      </w:r>
      <w:r w:rsidRPr="005764FC">
        <w:rPr>
          <w:lang w:eastAsia="fr-CA"/>
        </w:rPr>
        <w:t xml:space="preserve"> have progressed C‑ITS learnings:  </w:t>
      </w:r>
    </w:p>
    <w:p w14:paraId="76E6FFA2" w14:textId="0F3FCB21" w:rsidR="00E16F9B" w:rsidRPr="005764FC" w:rsidRDefault="00E16F9B" w:rsidP="00E16F9B">
      <w:pPr>
        <w:pStyle w:val="Caption"/>
        <w:ind w:left="0" w:firstLine="0"/>
      </w:pPr>
      <w:bookmarkStart w:id="152" w:name="_Ref92361113"/>
      <w:bookmarkStart w:id="153" w:name="_Ref92361107"/>
      <w:bookmarkStart w:id="154" w:name="_Toc97807811"/>
      <w:r w:rsidRPr="005764FC">
        <w:t xml:space="preserve">Table </w:t>
      </w:r>
      <w:r w:rsidR="009359A9" w:rsidRPr="005764FC">
        <w:fldChar w:fldCharType="begin"/>
      </w:r>
      <w:r w:rsidR="009359A9" w:rsidRPr="005764FC">
        <w:instrText xml:space="preserve"> STYLEREF 1 \s </w:instrText>
      </w:r>
      <w:r w:rsidR="009359A9" w:rsidRPr="005764FC">
        <w:fldChar w:fldCharType="separate"/>
      </w:r>
      <w:r w:rsidR="00A34B27">
        <w:rPr>
          <w:noProof/>
        </w:rPr>
        <w:t>1</w:t>
      </w:r>
      <w:r w:rsidR="009359A9" w:rsidRPr="005764FC">
        <w:fldChar w:fldCharType="end"/>
      </w:r>
      <w:r w:rsidR="009359A9" w:rsidRPr="005764FC">
        <w:t>.</w:t>
      </w:r>
      <w:r w:rsidR="009359A9" w:rsidRPr="005764FC">
        <w:fldChar w:fldCharType="begin"/>
      </w:r>
      <w:r w:rsidR="009359A9" w:rsidRPr="005764FC">
        <w:instrText xml:space="preserve"> SEQ Table \* ARABIC \s 1 </w:instrText>
      </w:r>
      <w:r w:rsidR="009359A9" w:rsidRPr="005764FC">
        <w:fldChar w:fldCharType="separate"/>
      </w:r>
      <w:r w:rsidR="00A34B27">
        <w:rPr>
          <w:noProof/>
        </w:rPr>
        <w:t>1</w:t>
      </w:r>
      <w:r w:rsidR="009359A9" w:rsidRPr="005764FC">
        <w:fldChar w:fldCharType="end"/>
      </w:r>
      <w:bookmarkEnd w:id="152"/>
      <w:r w:rsidRPr="005764FC">
        <w:tab/>
        <w:t>Major Australian C</w:t>
      </w:r>
      <w:r w:rsidRPr="005764FC">
        <w:rPr>
          <w:rFonts w:ascii="Cambria Math" w:hAnsi="Cambria Math" w:cs="Cambria Math"/>
        </w:rPr>
        <w:t>‑</w:t>
      </w:r>
      <w:r w:rsidRPr="005764FC">
        <w:t>ITS trials</w:t>
      </w:r>
      <w:bookmarkEnd w:id="153"/>
      <w:bookmarkEnd w:id="154"/>
    </w:p>
    <w:tbl>
      <w:tblPr>
        <w:tblStyle w:val="Table1"/>
        <w:tblW w:w="5000" w:type="pct"/>
        <w:tblLook w:val="0600" w:firstRow="0" w:lastRow="0" w:firstColumn="0" w:lastColumn="0" w:noHBand="1" w:noVBand="1"/>
      </w:tblPr>
      <w:tblGrid>
        <w:gridCol w:w="2671"/>
        <w:gridCol w:w="7076"/>
      </w:tblGrid>
      <w:tr w:rsidR="00E16F9B" w:rsidRPr="005764FC" w14:paraId="07C503D1" w14:textId="77777777" w:rsidTr="00720527">
        <w:trPr>
          <w:cantSplit/>
        </w:trPr>
        <w:tc>
          <w:tcPr>
            <w:tcW w:w="1370" w:type="pct"/>
          </w:tcPr>
          <w:p w14:paraId="16E9D334" w14:textId="4CD19DC4" w:rsidR="00E16F9B" w:rsidRPr="005764FC" w:rsidRDefault="00E16F9B" w:rsidP="00720527">
            <w:pPr>
              <w:pStyle w:val="TableTextBold"/>
              <w:rPr>
                <w:lang w:eastAsia="fr-CA"/>
              </w:rPr>
            </w:pPr>
            <w:r w:rsidRPr="005764FC">
              <w:rPr>
                <w:noProof/>
              </w:rPr>
              <w:drawing>
                <wp:inline distT="0" distB="0" distL="0" distR="0" wp14:anchorId="3D1CA3FA" wp14:editId="10B673B9">
                  <wp:extent cx="1584000" cy="891161"/>
                  <wp:effectExtent l="0" t="0" r="0" b="4445"/>
                  <wp:docPr id="2143264953" name="Picture 2143264953" descr="Interior of a car from perspective of driver with steering wheel in the forefront. Shows a small rectangular display attached to the windscreen, with a participant selec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the interior of a car from perspective of driver with steering wheel in the forefront. Shows a small rectangular display attached to the windscreen, with a participant selection menu."/>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4000" cy="891161"/>
                          </a:xfrm>
                          <a:prstGeom prst="rect">
                            <a:avLst/>
                          </a:prstGeom>
                          <a:noFill/>
                          <a:ln>
                            <a:noFill/>
                          </a:ln>
                        </pic:spPr>
                      </pic:pic>
                    </a:graphicData>
                  </a:graphic>
                </wp:inline>
              </w:drawing>
            </w:r>
          </w:p>
          <w:p w14:paraId="2358345B" w14:textId="77777777" w:rsidR="00E16F9B" w:rsidRPr="005764FC" w:rsidRDefault="00E16F9B" w:rsidP="00720527">
            <w:pPr>
              <w:pStyle w:val="TableTextBold"/>
              <w:rPr>
                <w:lang w:eastAsia="fr-CA"/>
              </w:rPr>
            </w:pPr>
            <w:r w:rsidRPr="005764FC">
              <w:t>Cooperative and Automated Vehicle initiative (CAVI)</w:t>
            </w:r>
          </w:p>
        </w:tc>
        <w:tc>
          <w:tcPr>
            <w:tcW w:w="3630" w:type="pct"/>
          </w:tcPr>
          <w:p w14:paraId="0787656F" w14:textId="77777777" w:rsidR="007A7318" w:rsidRPr="005764FC" w:rsidRDefault="00E16F9B" w:rsidP="003833D2">
            <w:pPr>
              <w:pStyle w:val="TableText"/>
              <w:rPr>
                <w:lang w:eastAsia="fr-CA"/>
              </w:rPr>
            </w:pPr>
            <w:r w:rsidRPr="005764FC">
              <w:rPr>
                <w:lang w:eastAsia="fr-CA"/>
              </w:rPr>
              <w:t xml:space="preserve">The CAVI project run by TMR launched Australia’s largest C‑ITS pilot, ICVP (est. 2016; pilot active from 2020). This pilot is a pre-deployment project to ready government, industry, and users for C‑ITS. </w:t>
            </w:r>
          </w:p>
          <w:p w14:paraId="09DD3EF5" w14:textId="4670A6C1" w:rsidR="00E16F9B" w:rsidRPr="005764FC" w:rsidRDefault="00E16F9B" w:rsidP="003833D2">
            <w:pPr>
              <w:pStyle w:val="TableText"/>
              <w:rPr>
                <w:lang w:eastAsia="fr-CA"/>
              </w:rPr>
            </w:pPr>
            <w:r w:rsidRPr="005764FC">
              <w:rPr>
                <w:lang w:eastAsia="fr-CA"/>
              </w:rPr>
              <w:t>ICVP uses hybrid communications of short-range DSRC and long-range cellular to exchange information as needed  based on source data location and performance needs. ICVP uses real-world drivers from public participants over 12 months to evaluate road safety benefits, user acceptance</w:t>
            </w:r>
            <w:r w:rsidR="005D2474" w:rsidRPr="005764FC">
              <w:rPr>
                <w:lang w:eastAsia="fr-CA"/>
              </w:rPr>
              <w:t>,</w:t>
            </w:r>
            <w:r w:rsidRPr="005764FC">
              <w:rPr>
                <w:lang w:eastAsia="fr-CA"/>
              </w:rPr>
              <w:t xml:space="preserve"> and system performance. As part of this project, Lexus developed their C‑ITS vehicle system to operate with the ICVP system and use cases.</w:t>
            </w:r>
          </w:p>
        </w:tc>
      </w:tr>
      <w:tr w:rsidR="00E16F9B" w:rsidRPr="005764FC" w14:paraId="37D72D51" w14:textId="77777777" w:rsidTr="00720527">
        <w:trPr>
          <w:cantSplit/>
        </w:trPr>
        <w:tc>
          <w:tcPr>
            <w:tcW w:w="1370" w:type="pct"/>
          </w:tcPr>
          <w:p w14:paraId="2C300EFE" w14:textId="4E65F69A" w:rsidR="00E16F9B" w:rsidRPr="005764FC" w:rsidRDefault="00E16F9B" w:rsidP="00720527">
            <w:pPr>
              <w:pStyle w:val="TableTextBold"/>
              <w:rPr>
                <w:lang w:eastAsia="fr-CA"/>
              </w:rPr>
            </w:pPr>
            <w:r w:rsidRPr="005764FC">
              <w:rPr>
                <w:noProof/>
              </w:rPr>
              <w:drawing>
                <wp:inline distT="0" distB="0" distL="0" distR="0" wp14:anchorId="2E12533F" wp14:editId="72A332E3">
                  <wp:extent cx="1584000" cy="828717"/>
                  <wp:effectExtent l="0" t="0" r="0" b="0"/>
                  <wp:docPr id="2143264955" name="Picture 2143264955" descr="Trucks on freeway with coloured rings surrounding each truck to demonstrate conn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5874" b="-1"/>
                          <a:stretch/>
                        </pic:blipFill>
                        <pic:spPr bwMode="auto">
                          <a:xfrm>
                            <a:off x="0" y="0"/>
                            <a:ext cx="1584000" cy="828717"/>
                          </a:xfrm>
                          <a:prstGeom prst="rect">
                            <a:avLst/>
                          </a:prstGeom>
                          <a:ln>
                            <a:noFill/>
                          </a:ln>
                          <a:extLst>
                            <a:ext uri="{53640926-AAD7-44D8-BBD7-CCE9431645EC}">
                              <a14:shadowObscured xmlns:a14="http://schemas.microsoft.com/office/drawing/2010/main"/>
                            </a:ext>
                          </a:extLst>
                        </pic:spPr>
                      </pic:pic>
                    </a:graphicData>
                  </a:graphic>
                </wp:inline>
              </w:drawing>
            </w:r>
          </w:p>
          <w:p w14:paraId="4ABBE43D" w14:textId="77777777" w:rsidR="00E16F9B" w:rsidRPr="005764FC" w:rsidRDefault="00E16F9B" w:rsidP="00720527">
            <w:pPr>
              <w:pStyle w:val="TableTextBold"/>
              <w:rPr>
                <w:lang w:eastAsia="fr-CA"/>
              </w:rPr>
            </w:pPr>
            <w:r w:rsidRPr="005764FC">
              <w:rPr>
                <w:lang w:eastAsia="fr-CA"/>
              </w:rPr>
              <w:t>Cooperative Intelligent Transport Initiative (CITI)</w:t>
            </w:r>
          </w:p>
        </w:tc>
        <w:tc>
          <w:tcPr>
            <w:tcW w:w="3630" w:type="pct"/>
          </w:tcPr>
          <w:p w14:paraId="60391FC2" w14:textId="77777777" w:rsidR="008F50BE" w:rsidRPr="005764FC" w:rsidRDefault="00E16F9B" w:rsidP="003833D2">
            <w:pPr>
              <w:pStyle w:val="TableText"/>
              <w:rPr>
                <w:lang w:eastAsia="fr-CA"/>
              </w:rPr>
            </w:pPr>
            <w:r w:rsidRPr="005764FC">
              <w:rPr>
                <w:lang w:eastAsia="fr-CA"/>
              </w:rPr>
              <w:t xml:space="preserve">The CITI project run by TfNSW was the first government-led pilot (est. 2012) and formed a Proof-of-Concept for C‑ITS in Australia. </w:t>
            </w:r>
          </w:p>
          <w:p w14:paraId="252FDA51" w14:textId="24F8613A" w:rsidR="00E16F9B" w:rsidRPr="005764FC" w:rsidRDefault="00E16F9B" w:rsidP="003833D2">
            <w:pPr>
              <w:pStyle w:val="TableText"/>
              <w:rPr>
                <w:lang w:eastAsia="fr-CA"/>
              </w:rPr>
            </w:pPr>
            <w:r w:rsidRPr="005764FC">
              <w:rPr>
                <w:lang w:eastAsia="fr-CA"/>
              </w:rPr>
              <w:t>Aimed at smaller scale testing of use cases and user groups, CITI aim</w:t>
            </w:r>
            <w:r w:rsidR="008F50BE" w:rsidRPr="005764FC">
              <w:rPr>
                <w:lang w:eastAsia="fr-CA"/>
              </w:rPr>
              <w:t>ed</w:t>
            </w:r>
            <w:r w:rsidRPr="005764FC">
              <w:rPr>
                <w:lang w:eastAsia="fr-CA"/>
              </w:rPr>
              <w:t xml:space="preserve"> to test the capability of existing C‑ITS equipment to deliver road safety benefits. CITI focused on short-range ITS- G5 (DSRC) communications only.</w:t>
            </w:r>
            <w:r w:rsidR="00FB6038" w:rsidRPr="005764FC">
              <w:rPr>
                <w:lang w:eastAsia="fr-CA"/>
              </w:rPr>
              <w:t xml:space="preserve"> </w:t>
            </w:r>
          </w:p>
        </w:tc>
      </w:tr>
      <w:tr w:rsidR="00E16F9B" w:rsidRPr="005764FC" w14:paraId="093061C6" w14:textId="77777777" w:rsidTr="00720527">
        <w:trPr>
          <w:cantSplit/>
        </w:trPr>
        <w:tc>
          <w:tcPr>
            <w:tcW w:w="1370" w:type="pct"/>
          </w:tcPr>
          <w:p w14:paraId="54F258BD" w14:textId="2F131E31" w:rsidR="00E16F9B" w:rsidRPr="005764FC" w:rsidRDefault="00E16F9B" w:rsidP="00720527">
            <w:pPr>
              <w:pStyle w:val="TableTextBold"/>
              <w:rPr>
                <w:lang w:eastAsia="fr-CA"/>
              </w:rPr>
            </w:pPr>
            <w:r w:rsidRPr="005764FC">
              <w:rPr>
                <w:noProof/>
              </w:rPr>
              <w:drawing>
                <wp:inline distT="0" distB="0" distL="0" distR="0" wp14:anchorId="5D58B2BF" wp14:editId="08CF4B80">
                  <wp:extent cx="1584000" cy="1003200"/>
                  <wp:effectExtent l="0" t="0" r="0" b="6985"/>
                  <wp:docPr id="2143264956" name="Picture 2143264956" descr="AIMES project car parked on busy city street with bus driving pas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84000" cy="1003200"/>
                          </a:xfrm>
                          <a:prstGeom prst="rect">
                            <a:avLst/>
                          </a:prstGeom>
                        </pic:spPr>
                      </pic:pic>
                    </a:graphicData>
                  </a:graphic>
                </wp:inline>
              </w:drawing>
            </w:r>
          </w:p>
          <w:p w14:paraId="70431C1B" w14:textId="77777777" w:rsidR="00E16F9B" w:rsidRPr="005764FC" w:rsidRDefault="00E16F9B" w:rsidP="00720527">
            <w:pPr>
              <w:pStyle w:val="TableTextBold"/>
              <w:rPr>
                <w:lang w:eastAsia="fr-CA"/>
              </w:rPr>
            </w:pPr>
            <w:r w:rsidRPr="005764FC">
              <w:rPr>
                <w:lang w:eastAsia="fr-CA"/>
              </w:rPr>
              <w:t>Australian Integrated Multimodal EcoSystem (AIMES)</w:t>
            </w:r>
          </w:p>
        </w:tc>
        <w:tc>
          <w:tcPr>
            <w:tcW w:w="3630" w:type="pct"/>
          </w:tcPr>
          <w:p w14:paraId="193F27D9" w14:textId="075B583F" w:rsidR="00E90496" w:rsidRPr="005764FC" w:rsidRDefault="00E16F9B" w:rsidP="003833D2">
            <w:pPr>
              <w:pStyle w:val="TableText"/>
              <w:rPr>
                <w:lang w:eastAsia="fr-CA"/>
              </w:rPr>
            </w:pPr>
            <w:r w:rsidRPr="005764FC">
              <w:rPr>
                <w:lang w:eastAsia="fr-CA"/>
              </w:rPr>
              <w:t xml:space="preserve">The AIMES project lead by University of Melbourne in Victoria is a testbed that allows technology providers to develop and test new equipment in the C‑ITS ecosystem. Established in 2016, AIMES prioritised consideration of vulnerable road users and public transport use cases and solutions. </w:t>
            </w:r>
          </w:p>
          <w:p w14:paraId="599A22A8" w14:textId="6C077FDF" w:rsidR="00E16F9B" w:rsidRPr="005764FC" w:rsidRDefault="00E16F9B" w:rsidP="003833D2">
            <w:pPr>
              <w:pStyle w:val="TableText"/>
              <w:rPr>
                <w:lang w:eastAsia="fr-CA"/>
              </w:rPr>
            </w:pPr>
            <w:r w:rsidRPr="005764FC">
              <w:rPr>
                <w:lang w:eastAsia="fr-CA"/>
              </w:rPr>
              <w:t>AIMES announced partnerships with Lexus, including the use of CAVI’s (TMR) central system and further collaboration with TfNSW. This is a positive step in national understanding of interoperability for C‑ITS.</w:t>
            </w:r>
          </w:p>
        </w:tc>
      </w:tr>
      <w:tr w:rsidR="00E16F9B" w:rsidRPr="005764FC" w14:paraId="432E1A64" w14:textId="77777777" w:rsidTr="00720527">
        <w:trPr>
          <w:cantSplit/>
        </w:trPr>
        <w:tc>
          <w:tcPr>
            <w:tcW w:w="1370" w:type="pct"/>
          </w:tcPr>
          <w:p w14:paraId="20239B22" w14:textId="5A7F22AF" w:rsidR="00E16F9B" w:rsidRPr="005764FC" w:rsidRDefault="00E16F9B" w:rsidP="00720527">
            <w:pPr>
              <w:pStyle w:val="TableTextBold"/>
              <w:rPr>
                <w:lang w:eastAsia="fr-CA"/>
              </w:rPr>
            </w:pPr>
            <w:r w:rsidRPr="005764FC">
              <w:rPr>
                <w:noProof/>
              </w:rPr>
              <w:drawing>
                <wp:inline distT="0" distB="0" distL="0" distR="0" wp14:anchorId="389F91E9" wp14:editId="7FC201E7">
                  <wp:extent cx="1584000" cy="733654"/>
                  <wp:effectExtent l="0" t="0" r="0" b="9525"/>
                  <wp:docPr id="55" name="Picture 55" descr="Two vehicles on a test track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of two vehicles on a test track intersec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4000" cy="733654"/>
                          </a:xfrm>
                          <a:prstGeom prst="rect">
                            <a:avLst/>
                          </a:prstGeom>
                          <a:noFill/>
                          <a:ln>
                            <a:noFill/>
                          </a:ln>
                        </pic:spPr>
                      </pic:pic>
                    </a:graphicData>
                  </a:graphic>
                </wp:inline>
              </w:drawing>
            </w:r>
            <w:r w:rsidRPr="005764FC">
              <w:rPr>
                <w:lang w:eastAsia="fr-CA"/>
              </w:rPr>
              <w:t>Advanced Connect Vehicles Victoria (ACV2)</w:t>
            </w:r>
          </w:p>
        </w:tc>
        <w:tc>
          <w:tcPr>
            <w:tcW w:w="3630" w:type="pct"/>
          </w:tcPr>
          <w:p w14:paraId="110335A8" w14:textId="77777777" w:rsidR="00E16F9B" w:rsidRPr="005764FC" w:rsidRDefault="00E16F9B" w:rsidP="003833D2">
            <w:pPr>
              <w:pStyle w:val="TableText"/>
              <w:rPr>
                <w:lang w:eastAsia="fr-CA"/>
              </w:rPr>
            </w:pPr>
            <w:r w:rsidRPr="005764FC">
              <w:rPr>
                <w:lang w:eastAsia="fr-CA"/>
              </w:rPr>
              <w:t>The ACV2 project was an early Proof-of-Concept test for C-V2X demonstrating that two vehicles can transfer data directly to each other for V2V use cases. Information was also sent using 4G connectivity from central systems to demonstrate other use cases.</w:t>
            </w:r>
          </w:p>
        </w:tc>
      </w:tr>
    </w:tbl>
    <w:p w14:paraId="41A68A55" w14:textId="3CD1F6AE" w:rsidR="00E16F9B" w:rsidRPr="005764FC" w:rsidRDefault="00E16F9B" w:rsidP="00E16F9B">
      <w:pPr>
        <w:pStyle w:val="BodyText"/>
        <w:rPr>
          <w:rFonts w:eastAsiaTheme="minorHAnsi"/>
        </w:rPr>
      </w:pPr>
      <w:r w:rsidRPr="005764FC">
        <w:t xml:space="preserve">Lexus Australia </w:t>
      </w:r>
      <w:r w:rsidR="003D2F76" w:rsidRPr="005764FC">
        <w:t xml:space="preserve">is a </w:t>
      </w:r>
      <w:r w:rsidRPr="005764FC">
        <w:t xml:space="preserve">vehicle manufacturer </w:t>
      </w:r>
      <w:r w:rsidR="003D2F76" w:rsidRPr="005764FC">
        <w:t xml:space="preserve">that is </w:t>
      </w:r>
      <w:r w:rsidRPr="005764FC">
        <w:t>actively committed to understanding the C‑ITS road safety capabilities</w:t>
      </w:r>
      <w:r w:rsidR="005D2474" w:rsidRPr="005764FC">
        <w:t>, as</w:t>
      </w:r>
      <w:r w:rsidRPr="005764FC">
        <w:t xml:space="preserve"> demonstrated through </w:t>
      </w:r>
      <w:r w:rsidR="00E90496" w:rsidRPr="005764FC">
        <w:t>its</w:t>
      </w:r>
      <w:r w:rsidRPr="005764FC">
        <w:t xml:space="preserve"> involvement in trials in Queensland (C</w:t>
      </w:r>
      <w:r w:rsidR="005D2474" w:rsidRPr="005764FC">
        <w:t>AVI</w:t>
      </w:r>
      <w:r w:rsidRPr="005764FC">
        <w:t>) and Victoria (</w:t>
      </w:r>
      <w:r w:rsidR="005D2474" w:rsidRPr="005764FC">
        <w:rPr>
          <w:lang w:eastAsia="fr-CA"/>
        </w:rPr>
        <w:t>AIMES</w:t>
      </w:r>
      <w:r w:rsidR="005D2474" w:rsidRPr="005764FC">
        <w:t xml:space="preserve"> </w:t>
      </w:r>
      <w:r w:rsidRPr="005764FC">
        <w:t xml:space="preserve">and </w:t>
      </w:r>
      <w:r w:rsidR="005D2474" w:rsidRPr="005764FC">
        <w:t xml:space="preserve">the </w:t>
      </w:r>
      <w:r w:rsidR="005D2474" w:rsidRPr="005764FC">
        <w:rPr>
          <w:lang w:eastAsia="fr-CA"/>
        </w:rPr>
        <w:t>ACV2</w:t>
      </w:r>
      <w:r w:rsidR="00E90496" w:rsidRPr="005764FC">
        <w:rPr>
          <w:lang w:eastAsia="fr-CA"/>
        </w:rPr>
        <w:t xml:space="preserve"> </w:t>
      </w:r>
      <w:r w:rsidRPr="005764FC">
        <w:t>project)</w:t>
      </w:r>
      <w:r w:rsidR="005D2474" w:rsidRPr="005764FC">
        <w:t>. It demonstrates</w:t>
      </w:r>
      <w:r w:rsidR="005E27C9" w:rsidRPr="005764FC">
        <w:t xml:space="preserve"> </w:t>
      </w:r>
      <w:r w:rsidR="002E728E" w:rsidRPr="005764FC">
        <w:t xml:space="preserve">cross-state </w:t>
      </w:r>
      <w:r w:rsidR="005E27C9" w:rsidRPr="005764FC">
        <w:t xml:space="preserve">interoperability </w:t>
      </w:r>
      <w:r w:rsidR="003D213D" w:rsidRPr="005764FC">
        <w:t xml:space="preserve">with a vehicle manufacturer. </w:t>
      </w:r>
      <w:r w:rsidR="00452369" w:rsidRPr="005764FC">
        <w:rPr>
          <w:lang w:eastAsia="fr-CA"/>
        </w:rPr>
        <w:t>Lexus Australia and other partners in Victoria found</w:t>
      </w:r>
      <w:r w:rsidR="005D2474" w:rsidRPr="005764FC">
        <w:rPr>
          <w:lang w:eastAsia="fr-CA"/>
        </w:rPr>
        <w:t xml:space="preserve"> that,</w:t>
      </w:r>
      <w:r w:rsidR="00452369" w:rsidRPr="005764FC">
        <w:rPr>
          <w:lang w:eastAsia="fr-CA"/>
        </w:rPr>
        <w:t xml:space="preserve"> ‘By seeking to integrate real-life traffic events, all stakeholders have recognised the need for robust, meaningful and current data streams to support use cases. As C‑ITS development and rollout </w:t>
      </w:r>
      <w:r w:rsidR="00F55151" w:rsidRPr="005764FC">
        <w:rPr>
          <w:lang w:eastAsia="fr-CA"/>
        </w:rPr>
        <w:t>progress</w:t>
      </w:r>
      <w:r w:rsidR="00452369" w:rsidRPr="005764FC">
        <w:rPr>
          <w:lang w:eastAsia="fr-CA"/>
        </w:rPr>
        <w:t>, collaboration between government and industry will help define the data requirements and systems to support not only C‑ITS, but the wider management and optimisation of our transport networks’</w:t>
      </w:r>
      <w:r w:rsidR="007A53EB">
        <w:rPr>
          <w:lang w:eastAsia="fr-CA"/>
        </w:rPr>
        <w:t xml:space="preserve"> </w:t>
      </w:r>
      <w:sdt>
        <w:sdtPr>
          <w:rPr>
            <w:lang w:eastAsia="fr-CA"/>
          </w:rPr>
          <w:id w:val="726649339"/>
          <w:citation/>
        </w:sdtPr>
        <w:sdtContent>
          <w:r w:rsidR="00A92B2E">
            <w:rPr>
              <w:lang w:eastAsia="fr-CA"/>
            </w:rPr>
            <w:fldChar w:fldCharType="begin"/>
          </w:r>
          <w:r w:rsidR="00A92B2E">
            <w:rPr>
              <w:lang w:eastAsia="fr-CA"/>
            </w:rPr>
            <w:instrText xml:space="preserve"> CITATION Lex21 \l 3081 </w:instrText>
          </w:r>
          <w:r w:rsidR="00A92B2E">
            <w:rPr>
              <w:lang w:eastAsia="fr-CA"/>
            </w:rPr>
            <w:fldChar w:fldCharType="separate"/>
          </w:r>
          <w:r w:rsidR="001428F9">
            <w:rPr>
              <w:noProof/>
              <w:lang w:eastAsia="fr-CA"/>
            </w:rPr>
            <w:t>(Lexus Australia et al, 2021)</w:t>
          </w:r>
          <w:r w:rsidR="00A92B2E">
            <w:rPr>
              <w:lang w:eastAsia="fr-CA"/>
            </w:rPr>
            <w:fldChar w:fldCharType="end"/>
          </w:r>
        </w:sdtContent>
      </w:sdt>
      <w:r w:rsidR="007A53EB">
        <w:rPr>
          <w:lang w:eastAsia="fr-CA"/>
        </w:rPr>
        <w:t>.</w:t>
      </w:r>
    </w:p>
    <w:p w14:paraId="513EDF60" w14:textId="74FA01C8" w:rsidR="00E16F9B" w:rsidRPr="005764FC" w:rsidRDefault="00F66371" w:rsidP="00F64757">
      <w:pPr>
        <w:pStyle w:val="Heading3"/>
        <w:rPr>
          <w:lang w:eastAsia="fr-CA"/>
        </w:rPr>
      </w:pPr>
      <w:bookmarkStart w:id="155" w:name="_Ref94187445"/>
      <w:bookmarkStart w:id="156" w:name="_Ref94269731"/>
      <w:bookmarkStart w:id="157" w:name="_Toc94536692"/>
      <w:bookmarkStart w:id="158" w:name="_Toc94453146"/>
      <w:r w:rsidRPr="005764FC">
        <w:rPr>
          <w:lang w:eastAsia="fr-CA"/>
        </w:rPr>
        <w:t xml:space="preserve">Status of C-ITS deployment </w:t>
      </w:r>
      <w:r w:rsidR="00A8697A" w:rsidRPr="005764FC">
        <w:rPr>
          <w:lang w:eastAsia="fr-CA"/>
        </w:rPr>
        <w:t>globally</w:t>
      </w:r>
      <w:bookmarkEnd w:id="155"/>
      <w:bookmarkEnd w:id="156"/>
      <w:bookmarkEnd w:id="157"/>
      <w:bookmarkEnd w:id="158"/>
    </w:p>
    <w:p w14:paraId="0A471B40" w14:textId="382E5C21" w:rsidR="00C17F08" w:rsidRPr="005764FC" w:rsidRDefault="002E728E" w:rsidP="00C17F08">
      <w:pPr>
        <w:pStyle w:val="BodyText"/>
      </w:pPr>
      <w:r w:rsidRPr="005764FC">
        <w:t>Europe, US and Asia were t</w:t>
      </w:r>
      <w:r w:rsidR="00F27C85" w:rsidRPr="005764FC">
        <w:t xml:space="preserve">he </w:t>
      </w:r>
      <w:r w:rsidR="008349D3" w:rsidRPr="005764FC">
        <w:t xml:space="preserve">primary regions </w:t>
      </w:r>
      <w:r w:rsidRPr="005764FC">
        <w:t>to</w:t>
      </w:r>
      <w:r w:rsidR="008349D3" w:rsidRPr="005764FC">
        <w:t xml:space="preserve"> consider in the </w:t>
      </w:r>
      <w:r w:rsidR="00244BBC" w:rsidRPr="005764FC">
        <w:t>project assessment</w:t>
      </w:r>
      <w:r w:rsidR="00EC663C" w:rsidRPr="005764FC">
        <w:t>.</w:t>
      </w:r>
      <w:r w:rsidR="00D10663" w:rsidRPr="005764FC">
        <w:t xml:space="preserve"> The</w:t>
      </w:r>
      <w:r w:rsidR="00CC1C20" w:rsidRPr="005764FC">
        <w:t xml:space="preserve"> current state of deployment </w:t>
      </w:r>
      <w:r w:rsidR="004F303C" w:rsidRPr="005764FC">
        <w:t xml:space="preserve">in these regions </w:t>
      </w:r>
      <w:r w:rsidR="00CC1C20" w:rsidRPr="005764FC">
        <w:t xml:space="preserve">compared to Australia is shown </w:t>
      </w:r>
      <w:r w:rsidR="007C3495" w:rsidRPr="005764FC">
        <w:t xml:space="preserve">in </w:t>
      </w:r>
      <w:r w:rsidR="00450374">
        <w:fldChar w:fldCharType="begin" w:fldLock="1"/>
      </w:r>
      <w:r w:rsidR="00450374">
        <w:instrText xml:space="preserve"> REF _Ref96502014 \h </w:instrText>
      </w:r>
      <w:r w:rsidR="00450374">
        <w:fldChar w:fldCharType="separate"/>
      </w:r>
      <w:r w:rsidR="00A34B27" w:rsidRPr="005764FC">
        <w:t xml:space="preserve">Table </w:t>
      </w:r>
      <w:r w:rsidR="00A34B27">
        <w:rPr>
          <w:noProof/>
        </w:rPr>
        <w:t>1</w:t>
      </w:r>
      <w:r w:rsidR="00A34B27" w:rsidRPr="005764FC">
        <w:t>.</w:t>
      </w:r>
      <w:r w:rsidR="00A34B27">
        <w:rPr>
          <w:noProof/>
        </w:rPr>
        <w:t>2</w:t>
      </w:r>
      <w:r w:rsidR="00450374">
        <w:fldChar w:fldCharType="end"/>
      </w:r>
      <w:r w:rsidR="00CC1C20" w:rsidRPr="005764FC">
        <w:t>.</w:t>
      </w:r>
      <w:r w:rsidR="00EC663C" w:rsidRPr="005764FC">
        <w:t xml:space="preserve"> </w:t>
      </w:r>
      <w:r w:rsidR="002402AE" w:rsidRPr="005764FC">
        <w:fldChar w:fldCharType="begin" w:fldLock="1"/>
      </w:r>
      <w:r w:rsidR="002402AE" w:rsidRPr="005764FC">
        <w:instrText xml:space="preserve"> REF _Ref94165843 \h </w:instrText>
      </w:r>
      <w:r w:rsidR="002402AE" w:rsidRPr="005764FC">
        <w:fldChar w:fldCharType="separate"/>
      </w:r>
      <w:r w:rsidR="00A34B27" w:rsidRPr="005764FC">
        <w:t xml:space="preserve">Figure </w:t>
      </w:r>
      <w:r w:rsidR="00A34B27">
        <w:rPr>
          <w:noProof/>
        </w:rPr>
        <w:t>1</w:t>
      </w:r>
      <w:r w:rsidR="00A34B27" w:rsidRPr="005764FC">
        <w:t>.</w:t>
      </w:r>
      <w:r w:rsidR="00A34B27">
        <w:rPr>
          <w:noProof/>
        </w:rPr>
        <w:t>20</w:t>
      </w:r>
      <w:r w:rsidR="002402AE" w:rsidRPr="005764FC">
        <w:fldChar w:fldCharType="end"/>
      </w:r>
      <w:r w:rsidR="002402AE" w:rsidRPr="005764FC">
        <w:t xml:space="preserve"> and </w:t>
      </w:r>
      <w:r w:rsidR="002402AE" w:rsidRPr="005764FC">
        <w:fldChar w:fldCharType="begin" w:fldLock="1"/>
      </w:r>
      <w:r w:rsidR="002402AE" w:rsidRPr="005764FC">
        <w:instrText xml:space="preserve"> REF _Ref94165852 \h </w:instrText>
      </w:r>
      <w:r w:rsidR="002402AE" w:rsidRPr="005764FC">
        <w:fldChar w:fldCharType="separate"/>
      </w:r>
      <w:r w:rsidR="00A34B27" w:rsidRPr="005764FC">
        <w:t xml:space="preserve">Figure </w:t>
      </w:r>
      <w:r w:rsidR="00A34B27">
        <w:rPr>
          <w:noProof/>
        </w:rPr>
        <w:t>1</w:t>
      </w:r>
      <w:r w:rsidR="00A34B27" w:rsidRPr="005764FC">
        <w:t>.</w:t>
      </w:r>
      <w:r w:rsidR="00A34B27">
        <w:rPr>
          <w:noProof/>
        </w:rPr>
        <w:t>21</w:t>
      </w:r>
      <w:r w:rsidR="002402AE" w:rsidRPr="005764FC">
        <w:fldChar w:fldCharType="end"/>
      </w:r>
      <w:r w:rsidR="002402AE" w:rsidRPr="005764FC">
        <w:t xml:space="preserve"> show the deployment </w:t>
      </w:r>
      <w:r w:rsidR="00F85329" w:rsidRPr="005764FC">
        <w:t>coverage across Europe and the US respectively</w:t>
      </w:r>
      <w:r w:rsidRPr="005764FC">
        <w:t>.</w:t>
      </w:r>
      <w:r w:rsidR="003A2A9B" w:rsidRPr="005764FC">
        <w:rPr>
          <w:rStyle w:val="FootnoteReference"/>
        </w:rPr>
        <w:footnoteReference w:id="6"/>
      </w:r>
    </w:p>
    <w:p w14:paraId="21E7C596" w14:textId="1E9C284F" w:rsidR="00304D45" w:rsidRPr="005764FC" w:rsidRDefault="00304D45" w:rsidP="00304D45">
      <w:pPr>
        <w:pStyle w:val="Caption"/>
      </w:pPr>
      <w:bookmarkStart w:id="159" w:name="_Ref96502014"/>
      <w:bookmarkStart w:id="160" w:name="_Toc97807812"/>
      <w:r w:rsidRPr="005764FC">
        <w:t xml:space="preserve">Table </w:t>
      </w:r>
      <w:r w:rsidR="009359A9" w:rsidRPr="005764FC">
        <w:fldChar w:fldCharType="begin"/>
      </w:r>
      <w:r w:rsidR="009359A9" w:rsidRPr="005764FC">
        <w:instrText xml:space="preserve"> STYLEREF 1 \s </w:instrText>
      </w:r>
      <w:r w:rsidR="009359A9" w:rsidRPr="005764FC">
        <w:fldChar w:fldCharType="separate"/>
      </w:r>
      <w:r w:rsidR="00A34B27">
        <w:rPr>
          <w:noProof/>
        </w:rPr>
        <w:t>1</w:t>
      </w:r>
      <w:r w:rsidR="009359A9" w:rsidRPr="005764FC">
        <w:fldChar w:fldCharType="end"/>
      </w:r>
      <w:r w:rsidR="009359A9" w:rsidRPr="005764FC">
        <w:t>.</w:t>
      </w:r>
      <w:r w:rsidR="009359A9" w:rsidRPr="005764FC">
        <w:fldChar w:fldCharType="begin"/>
      </w:r>
      <w:r w:rsidR="009359A9" w:rsidRPr="005764FC">
        <w:instrText xml:space="preserve"> SEQ Table \* ARABIC \s 1 </w:instrText>
      </w:r>
      <w:r w:rsidR="009359A9" w:rsidRPr="005764FC">
        <w:fldChar w:fldCharType="separate"/>
      </w:r>
      <w:r w:rsidR="00A34B27">
        <w:rPr>
          <w:noProof/>
        </w:rPr>
        <w:t>2</w:t>
      </w:r>
      <w:r w:rsidR="009359A9" w:rsidRPr="005764FC">
        <w:fldChar w:fldCharType="end"/>
      </w:r>
      <w:bookmarkEnd w:id="159"/>
      <w:r w:rsidRPr="005764FC">
        <w:tab/>
        <w:t>Deployment status of C</w:t>
      </w:r>
      <w:r w:rsidRPr="005764FC">
        <w:rPr>
          <w:rFonts w:ascii="Cambria Math" w:hAnsi="Cambria Math" w:cs="Cambria Math"/>
        </w:rPr>
        <w:t>‑</w:t>
      </w:r>
      <w:r w:rsidRPr="005764FC">
        <w:t>ITS</w:t>
      </w:r>
      <w:bookmarkEnd w:id="160"/>
    </w:p>
    <w:tbl>
      <w:tblPr>
        <w:tblStyle w:val="Table1"/>
        <w:tblW w:w="0" w:type="auto"/>
        <w:tblLook w:val="0620" w:firstRow="1" w:lastRow="0" w:firstColumn="0" w:lastColumn="0" w:noHBand="1" w:noVBand="1"/>
      </w:tblPr>
      <w:tblGrid>
        <w:gridCol w:w="3034"/>
        <w:gridCol w:w="2108"/>
        <w:gridCol w:w="1804"/>
        <w:gridCol w:w="2801"/>
      </w:tblGrid>
      <w:tr w:rsidR="00304D45" w:rsidRPr="005764FC" w14:paraId="6D59D28B" w14:textId="77777777" w:rsidTr="009134EB">
        <w:trPr>
          <w:cnfStyle w:val="100000000000" w:firstRow="1" w:lastRow="0" w:firstColumn="0" w:lastColumn="0" w:oddVBand="0" w:evenVBand="0" w:oddHBand="0" w:evenHBand="0" w:firstRowFirstColumn="0" w:firstRowLastColumn="0" w:lastRowFirstColumn="0" w:lastRowLastColumn="0"/>
          <w:tblHeader/>
        </w:trPr>
        <w:tc>
          <w:tcPr>
            <w:tcW w:w="0" w:type="auto"/>
          </w:tcPr>
          <w:p w14:paraId="5393C077" w14:textId="77777777" w:rsidR="00304D45" w:rsidRPr="005764FC" w:rsidRDefault="00304D45" w:rsidP="00701E80">
            <w:pPr>
              <w:pStyle w:val="TableHeading"/>
              <w:spacing w:line="264" w:lineRule="auto"/>
              <w:rPr>
                <w:lang w:eastAsia="fr-CA"/>
              </w:rPr>
            </w:pPr>
            <w:r w:rsidRPr="005764FC">
              <w:rPr>
                <w:lang w:eastAsia="fr-CA"/>
              </w:rPr>
              <w:t>Region/Sub Area</w:t>
            </w:r>
          </w:p>
        </w:tc>
        <w:tc>
          <w:tcPr>
            <w:tcW w:w="0" w:type="auto"/>
          </w:tcPr>
          <w:p w14:paraId="664B7F2D" w14:textId="77777777" w:rsidR="00304D45" w:rsidRPr="005764FC" w:rsidRDefault="00304D45" w:rsidP="00701E80">
            <w:pPr>
              <w:pStyle w:val="TableHeading"/>
              <w:spacing w:line="264" w:lineRule="auto"/>
              <w:rPr>
                <w:lang w:eastAsia="fr-CA"/>
              </w:rPr>
            </w:pPr>
            <w:r w:rsidRPr="005764FC">
              <w:rPr>
                <w:lang w:eastAsia="fr-CA"/>
              </w:rPr>
              <w:t>cellular long-range Coverage</w:t>
            </w:r>
          </w:p>
        </w:tc>
        <w:tc>
          <w:tcPr>
            <w:tcW w:w="0" w:type="auto"/>
          </w:tcPr>
          <w:p w14:paraId="795ADB67" w14:textId="77777777" w:rsidR="00304D45" w:rsidRPr="005764FC" w:rsidRDefault="00304D45" w:rsidP="00701E80">
            <w:pPr>
              <w:pStyle w:val="TableHeading"/>
              <w:spacing w:line="264" w:lineRule="auto"/>
              <w:rPr>
                <w:lang w:eastAsia="fr-CA"/>
              </w:rPr>
            </w:pPr>
            <w:r w:rsidRPr="005764FC">
              <w:rPr>
                <w:lang w:eastAsia="fr-CA"/>
              </w:rPr>
              <w:t>Roadside StatioNs</w:t>
            </w:r>
          </w:p>
        </w:tc>
        <w:tc>
          <w:tcPr>
            <w:tcW w:w="0" w:type="auto"/>
          </w:tcPr>
          <w:p w14:paraId="2D9FFA80" w14:textId="77777777" w:rsidR="00304D45" w:rsidRPr="005764FC" w:rsidRDefault="00304D45" w:rsidP="00701E80">
            <w:pPr>
              <w:pStyle w:val="TableHeading"/>
              <w:spacing w:line="264" w:lineRule="auto"/>
              <w:rPr>
                <w:lang w:eastAsia="fr-CA"/>
              </w:rPr>
            </w:pPr>
            <w:r w:rsidRPr="005764FC">
              <w:rPr>
                <w:lang w:eastAsia="fr-CA"/>
              </w:rPr>
              <w:t>Vehicle Equipped</w:t>
            </w:r>
          </w:p>
        </w:tc>
      </w:tr>
      <w:tr w:rsidR="00304D45" w:rsidRPr="005764FC" w14:paraId="31126DAF" w14:textId="77777777" w:rsidTr="009134EB">
        <w:tc>
          <w:tcPr>
            <w:tcW w:w="0" w:type="auto"/>
          </w:tcPr>
          <w:p w14:paraId="29EF1ABB" w14:textId="57759942" w:rsidR="00304D45" w:rsidRPr="005764FC" w:rsidRDefault="00304D45" w:rsidP="00701E80">
            <w:pPr>
              <w:pStyle w:val="TableText"/>
              <w:spacing w:line="264" w:lineRule="auto"/>
              <w:rPr>
                <w:lang w:eastAsia="fr-CA"/>
              </w:rPr>
            </w:pPr>
            <w:r w:rsidRPr="005764FC">
              <w:rPr>
                <w:lang w:eastAsia="fr-CA"/>
              </w:rPr>
              <w:t xml:space="preserve">Australia/ CITI </w:t>
            </w:r>
            <w:r w:rsidR="00E301AB">
              <w:rPr>
                <w:lang w:eastAsia="fr-CA"/>
              </w:rPr>
              <w:t xml:space="preserve">– </w:t>
            </w:r>
            <w:r w:rsidRPr="005764FC">
              <w:rPr>
                <w:lang w:eastAsia="fr-CA"/>
              </w:rPr>
              <w:t>NSW</w:t>
            </w:r>
            <w:r w:rsidR="00E301AB">
              <w:rPr>
                <w:lang w:eastAsia="fr-CA"/>
              </w:rPr>
              <w:t xml:space="preserve"> </w:t>
            </w:r>
            <w:sdt>
              <w:sdtPr>
                <w:rPr>
                  <w:lang w:eastAsia="fr-CA"/>
                </w:rPr>
                <w:id w:val="-779958593"/>
                <w:citation/>
              </w:sdtPr>
              <w:sdtContent>
                <w:r w:rsidR="00E301AB">
                  <w:rPr>
                    <w:lang w:eastAsia="fr-CA"/>
                  </w:rPr>
                  <w:fldChar w:fldCharType="begin"/>
                </w:r>
                <w:r w:rsidR="00E301AB">
                  <w:rPr>
                    <w:lang w:eastAsia="fr-CA"/>
                  </w:rPr>
                  <w:instrText xml:space="preserve"> CITATION TfN19 \l 3081 </w:instrText>
                </w:r>
                <w:r w:rsidR="00E301AB">
                  <w:rPr>
                    <w:lang w:eastAsia="fr-CA"/>
                  </w:rPr>
                  <w:fldChar w:fldCharType="separate"/>
                </w:r>
                <w:r w:rsidR="001428F9">
                  <w:rPr>
                    <w:noProof/>
                    <w:lang w:eastAsia="fr-CA"/>
                  </w:rPr>
                  <w:t>(TfNSW, 2019)</w:t>
                </w:r>
                <w:r w:rsidR="00E301AB">
                  <w:rPr>
                    <w:lang w:eastAsia="fr-CA"/>
                  </w:rPr>
                  <w:fldChar w:fldCharType="end"/>
                </w:r>
              </w:sdtContent>
            </w:sdt>
          </w:p>
        </w:tc>
        <w:tc>
          <w:tcPr>
            <w:tcW w:w="0" w:type="auto"/>
          </w:tcPr>
          <w:p w14:paraId="54E131B4" w14:textId="77777777" w:rsidR="00304D45" w:rsidRPr="005764FC" w:rsidRDefault="00304D45" w:rsidP="00701E80">
            <w:pPr>
              <w:pStyle w:val="TableText"/>
              <w:spacing w:line="264" w:lineRule="auto"/>
              <w:rPr>
                <w:lang w:eastAsia="fr-CA"/>
              </w:rPr>
            </w:pPr>
            <w:r w:rsidRPr="005764FC">
              <w:rPr>
                <w:lang w:eastAsia="fr-CA"/>
              </w:rPr>
              <w:t>None</w:t>
            </w:r>
          </w:p>
        </w:tc>
        <w:tc>
          <w:tcPr>
            <w:tcW w:w="0" w:type="auto"/>
          </w:tcPr>
          <w:p w14:paraId="5E3CA1F4" w14:textId="77777777" w:rsidR="00304D45" w:rsidRPr="005764FC" w:rsidRDefault="00304D45" w:rsidP="00701E80">
            <w:pPr>
              <w:pStyle w:val="TableText"/>
              <w:spacing w:line="264" w:lineRule="auto"/>
              <w:rPr>
                <w:lang w:eastAsia="fr-CA"/>
              </w:rPr>
            </w:pPr>
            <w:r w:rsidRPr="005764FC">
              <w:rPr>
                <w:lang w:eastAsia="fr-CA"/>
              </w:rPr>
              <w:t>12</w:t>
            </w:r>
          </w:p>
        </w:tc>
        <w:tc>
          <w:tcPr>
            <w:tcW w:w="0" w:type="auto"/>
          </w:tcPr>
          <w:p w14:paraId="571DE621" w14:textId="77777777" w:rsidR="00304D45" w:rsidRPr="005764FC" w:rsidRDefault="00304D45" w:rsidP="00701E80">
            <w:pPr>
              <w:pStyle w:val="TableText"/>
              <w:spacing w:line="264" w:lineRule="auto"/>
              <w:rPr>
                <w:lang w:eastAsia="fr-CA"/>
              </w:rPr>
            </w:pPr>
            <w:r w:rsidRPr="005764FC">
              <w:rPr>
                <w:lang w:eastAsia="fr-CA"/>
              </w:rPr>
              <w:t>60 heavy vehicles, 11 buses, 52 light vehicles and a motorcycle</w:t>
            </w:r>
          </w:p>
        </w:tc>
      </w:tr>
      <w:tr w:rsidR="00304D45" w:rsidRPr="005764FC" w14:paraId="1944107B" w14:textId="77777777" w:rsidTr="009134EB">
        <w:tc>
          <w:tcPr>
            <w:tcW w:w="0" w:type="auto"/>
          </w:tcPr>
          <w:p w14:paraId="026CEF10" w14:textId="77777777" w:rsidR="0000096B" w:rsidRDefault="00304D45" w:rsidP="00701E80">
            <w:pPr>
              <w:pStyle w:val="TableText"/>
              <w:spacing w:line="264" w:lineRule="auto"/>
              <w:rPr>
                <w:lang w:eastAsia="fr-CA"/>
              </w:rPr>
            </w:pPr>
            <w:r w:rsidRPr="005764FC">
              <w:rPr>
                <w:lang w:eastAsia="fr-CA"/>
              </w:rPr>
              <w:t xml:space="preserve">Australia/ CAVI </w:t>
            </w:r>
            <w:r w:rsidR="00E301AB">
              <w:rPr>
                <w:lang w:eastAsia="fr-CA"/>
              </w:rPr>
              <w:t xml:space="preserve">– </w:t>
            </w:r>
            <w:r w:rsidRPr="005764FC">
              <w:rPr>
                <w:lang w:eastAsia="fr-CA"/>
              </w:rPr>
              <w:t>QLD</w:t>
            </w:r>
          </w:p>
          <w:p w14:paraId="2B06A96B" w14:textId="0FE9EF83" w:rsidR="00304D45" w:rsidRPr="005764FC" w:rsidRDefault="003251DE" w:rsidP="00701E80">
            <w:pPr>
              <w:pStyle w:val="TableText"/>
              <w:spacing w:line="264" w:lineRule="auto"/>
              <w:rPr>
                <w:lang w:eastAsia="fr-CA"/>
              </w:rPr>
            </w:pPr>
            <w:sdt>
              <w:sdtPr>
                <w:rPr>
                  <w:lang w:eastAsia="fr-CA"/>
                </w:rPr>
                <w:id w:val="1183554640"/>
                <w:citation/>
              </w:sdtPr>
              <w:sdtContent>
                <w:r w:rsidR="0000096B">
                  <w:rPr>
                    <w:lang w:eastAsia="fr-CA"/>
                  </w:rPr>
                  <w:fldChar w:fldCharType="begin"/>
                </w:r>
                <w:r w:rsidR="0000096B">
                  <w:rPr>
                    <w:lang w:eastAsia="fr-CA"/>
                  </w:rPr>
                  <w:instrText xml:space="preserve"> CITATION Que2b \l 3081 </w:instrText>
                </w:r>
                <w:r w:rsidR="0000096B">
                  <w:rPr>
                    <w:lang w:eastAsia="fr-CA"/>
                  </w:rPr>
                  <w:fldChar w:fldCharType="separate"/>
                </w:r>
                <w:r w:rsidR="001428F9">
                  <w:rPr>
                    <w:noProof/>
                    <w:lang w:eastAsia="fr-CA"/>
                  </w:rPr>
                  <w:t>(Queensland Government, 2022b)</w:t>
                </w:r>
                <w:r w:rsidR="0000096B">
                  <w:rPr>
                    <w:lang w:eastAsia="fr-CA"/>
                  </w:rPr>
                  <w:fldChar w:fldCharType="end"/>
                </w:r>
              </w:sdtContent>
            </w:sdt>
          </w:p>
        </w:tc>
        <w:tc>
          <w:tcPr>
            <w:tcW w:w="0" w:type="auto"/>
          </w:tcPr>
          <w:p w14:paraId="399E355A" w14:textId="77777777" w:rsidR="00304D45" w:rsidRPr="005764FC" w:rsidRDefault="00304D45" w:rsidP="00701E80">
            <w:pPr>
              <w:pStyle w:val="TableText"/>
              <w:spacing w:line="264" w:lineRule="auto"/>
              <w:rPr>
                <w:lang w:eastAsia="fr-CA"/>
              </w:rPr>
            </w:pPr>
            <w:r w:rsidRPr="005764FC">
              <w:rPr>
                <w:lang w:eastAsia="fr-CA"/>
              </w:rPr>
              <w:t>300km</w:t>
            </w:r>
            <w:r w:rsidRPr="005764FC">
              <w:rPr>
                <w:vertAlign w:val="superscript"/>
                <w:lang w:eastAsia="fr-CA"/>
              </w:rPr>
              <w:t>2</w:t>
            </w:r>
            <w:r w:rsidRPr="005764FC">
              <w:rPr>
                <w:lang w:eastAsia="fr-CA"/>
              </w:rPr>
              <w:t xml:space="preserve"> area</w:t>
            </w:r>
          </w:p>
        </w:tc>
        <w:tc>
          <w:tcPr>
            <w:tcW w:w="0" w:type="auto"/>
          </w:tcPr>
          <w:p w14:paraId="0571A27A" w14:textId="77777777" w:rsidR="00304D45" w:rsidRPr="005764FC" w:rsidRDefault="00304D45" w:rsidP="00701E80">
            <w:pPr>
              <w:pStyle w:val="TableText"/>
              <w:spacing w:line="264" w:lineRule="auto"/>
              <w:rPr>
                <w:lang w:eastAsia="fr-CA"/>
              </w:rPr>
            </w:pPr>
            <w:r w:rsidRPr="005764FC">
              <w:rPr>
                <w:lang w:eastAsia="fr-CA"/>
              </w:rPr>
              <w:t>29</w:t>
            </w:r>
          </w:p>
        </w:tc>
        <w:tc>
          <w:tcPr>
            <w:tcW w:w="0" w:type="auto"/>
          </w:tcPr>
          <w:p w14:paraId="7372E18F" w14:textId="77777777" w:rsidR="00304D45" w:rsidRPr="005764FC" w:rsidRDefault="00304D45" w:rsidP="00701E80">
            <w:pPr>
              <w:pStyle w:val="TableText"/>
              <w:spacing w:line="264" w:lineRule="auto"/>
              <w:rPr>
                <w:lang w:eastAsia="fr-CA"/>
              </w:rPr>
            </w:pPr>
            <w:r w:rsidRPr="005764FC">
              <w:rPr>
                <w:lang w:eastAsia="fr-CA"/>
              </w:rPr>
              <w:t>350 in participant vehicles</w:t>
            </w:r>
            <w:r w:rsidRPr="005764FC">
              <w:rPr>
                <w:rStyle w:val="FootnoteReference"/>
                <w:lang w:eastAsia="fr-CA"/>
              </w:rPr>
              <w:footnoteReference w:id="7"/>
            </w:r>
          </w:p>
        </w:tc>
      </w:tr>
      <w:tr w:rsidR="00304D45" w:rsidRPr="005764FC" w14:paraId="651658C9" w14:textId="77777777" w:rsidTr="009134EB">
        <w:tc>
          <w:tcPr>
            <w:tcW w:w="0" w:type="auto"/>
          </w:tcPr>
          <w:p w14:paraId="6338F6F4" w14:textId="070C83D8" w:rsidR="00304D45" w:rsidRPr="005764FC" w:rsidRDefault="00304D45" w:rsidP="00701E80">
            <w:pPr>
              <w:pStyle w:val="TableText"/>
              <w:spacing w:line="264" w:lineRule="auto"/>
              <w:rPr>
                <w:lang w:eastAsia="fr-CA"/>
              </w:rPr>
            </w:pPr>
            <w:r w:rsidRPr="005764FC">
              <w:rPr>
                <w:lang w:eastAsia="fr-CA"/>
              </w:rPr>
              <w:t xml:space="preserve">Australia/ AIMES </w:t>
            </w:r>
            <w:r w:rsidR="00E301AB">
              <w:rPr>
                <w:lang w:eastAsia="fr-CA"/>
              </w:rPr>
              <w:t xml:space="preserve">– </w:t>
            </w:r>
            <w:r w:rsidRPr="005764FC">
              <w:rPr>
                <w:lang w:eastAsia="fr-CA"/>
              </w:rPr>
              <w:t>VIC</w:t>
            </w:r>
            <w:r w:rsidR="006D2290">
              <w:rPr>
                <w:lang w:eastAsia="fr-CA"/>
              </w:rPr>
              <w:t xml:space="preserve"> </w:t>
            </w:r>
            <w:sdt>
              <w:sdtPr>
                <w:rPr>
                  <w:lang w:eastAsia="fr-CA"/>
                </w:rPr>
                <w:id w:val="-207800005"/>
                <w:citation/>
              </w:sdtPr>
              <w:sdtContent>
                <w:r w:rsidR="006D2290">
                  <w:rPr>
                    <w:lang w:eastAsia="fr-CA"/>
                  </w:rPr>
                  <w:fldChar w:fldCharType="begin"/>
                </w:r>
                <w:r w:rsidR="006D2290">
                  <w:rPr>
                    <w:lang w:eastAsia="fr-CA"/>
                  </w:rPr>
                  <w:instrText xml:space="preserve"> CITATION The22 \l 3081 </w:instrText>
                </w:r>
                <w:r w:rsidR="006D2290">
                  <w:rPr>
                    <w:lang w:eastAsia="fr-CA"/>
                  </w:rPr>
                  <w:fldChar w:fldCharType="separate"/>
                </w:r>
                <w:r w:rsidR="001428F9">
                  <w:rPr>
                    <w:noProof/>
                    <w:lang w:eastAsia="fr-CA"/>
                  </w:rPr>
                  <w:t>(The University of Melbourne, 2022)</w:t>
                </w:r>
                <w:r w:rsidR="006D2290">
                  <w:rPr>
                    <w:lang w:eastAsia="fr-CA"/>
                  </w:rPr>
                  <w:fldChar w:fldCharType="end"/>
                </w:r>
              </w:sdtContent>
            </w:sdt>
          </w:p>
        </w:tc>
        <w:tc>
          <w:tcPr>
            <w:tcW w:w="0" w:type="auto"/>
          </w:tcPr>
          <w:p w14:paraId="1B66D84B" w14:textId="77777777" w:rsidR="00304D45" w:rsidRPr="005764FC" w:rsidRDefault="00304D45" w:rsidP="00701E80">
            <w:pPr>
              <w:pStyle w:val="TableText"/>
              <w:spacing w:line="264" w:lineRule="auto"/>
              <w:rPr>
                <w:lang w:eastAsia="fr-CA"/>
              </w:rPr>
            </w:pPr>
            <w:r w:rsidRPr="005764FC">
              <w:rPr>
                <w:lang w:eastAsia="fr-CA"/>
              </w:rPr>
              <w:t>None</w:t>
            </w:r>
          </w:p>
        </w:tc>
        <w:tc>
          <w:tcPr>
            <w:tcW w:w="0" w:type="auto"/>
          </w:tcPr>
          <w:p w14:paraId="53846D11" w14:textId="77777777" w:rsidR="00304D45" w:rsidRPr="005764FC" w:rsidRDefault="00304D45" w:rsidP="00701E80">
            <w:pPr>
              <w:pStyle w:val="TableText"/>
              <w:spacing w:line="264" w:lineRule="auto"/>
              <w:rPr>
                <w:lang w:eastAsia="fr-CA"/>
              </w:rPr>
            </w:pPr>
            <w:r w:rsidRPr="005764FC">
              <w:rPr>
                <w:lang w:eastAsia="fr-CA"/>
              </w:rPr>
              <w:t>21</w:t>
            </w:r>
          </w:p>
        </w:tc>
        <w:tc>
          <w:tcPr>
            <w:tcW w:w="0" w:type="auto"/>
          </w:tcPr>
          <w:p w14:paraId="1A590B61" w14:textId="77777777" w:rsidR="00304D45" w:rsidRPr="005764FC" w:rsidRDefault="00304D45" w:rsidP="00701E80">
            <w:pPr>
              <w:pStyle w:val="TableText"/>
              <w:spacing w:line="264" w:lineRule="auto"/>
              <w:rPr>
                <w:lang w:eastAsia="fr-CA"/>
              </w:rPr>
            </w:pPr>
            <w:r w:rsidRPr="005764FC">
              <w:rPr>
                <w:lang w:eastAsia="fr-CA"/>
              </w:rPr>
              <w:t>Adhoc network of 3 vehicles, 5 buses, trams, trucks</w:t>
            </w:r>
          </w:p>
        </w:tc>
      </w:tr>
      <w:tr w:rsidR="00304D45" w:rsidRPr="005764FC" w14:paraId="0F2B0933" w14:textId="77777777" w:rsidTr="009134EB">
        <w:tc>
          <w:tcPr>
            <w:tcW w:w="0" w:type="auto"/>
          </w:tcPr>
          <w:p w14:paraId="2558FAFA" w14:textId="39820DCD" w:rsidR="00304D45" w:rsidRPr="005764FC" w:rsidRDefault="00304D45" w:rsidP="00701E80">
            <w:pPr>
              <w:pStyle w:val="TableText"/>
              <w:spacing w:line="264" w:lineRule="auto"/>
              <w:rPr>
                <w:lang w:eastAsia="fr-CA"/>
              </w:rPr>
            </w:pPr>
            <w:r w:rsidRPr="005764FC">
              <w:rPr>
                <w:lang w:eastAsia="fr-CA"/>
              </w:rPr>
              <w:t>Europe (18 countries, 53</w:t>
            </w:r>
            <w:r w:rsidR="00967DEC">
              <w:rPr>
                <w:lang w:eastAsia="fr-CA"/>
              </w:rPr>
              <w:t> </w:t>
            </w:r>
            <w:r w:rsidRPr="005764FC">
              <w:rPr>
                <w:lang w:eastAsia="fr-CA"/>
              </w:rPr>
              <w:t>cities)</w:t>
            </w:r>
            <w:r w:rsidRPr="005764FC">
              <w:rPr>
                <w:rStyle w:val="FootnoteReference"/>
                <w:lang w:eastAsia="fr-CA"/>
              </w:rPr>
              <w:t xml:space="preserve"> </w:t>
            </w:r>
            <w:sdt>
              <w:sdtPr>
                <w:rPr>
                  <w:rStyle w:val="FootnoteReference"/>
                  <w:lang w:eastAsia="fr-CA"/>
                </w:rPr>
                <w:id w:val="-1126077994"/>
                <w:citation/>
              </w:sdtPr>
              <w:sdtContent>
                <w:r w:rsidR="00B507D3">
                  <w:rPr>
                    <w:rStyle w:val="FootnoteReference"/>
                    <w:lang w:eastAsia="fr-CA"/>
                  </w:rPr>
                  <w:fldChar w:fldCharType="begin"/>
                </w:r>
                <w:r w:rsidR="00B507D3">
                  <w:instrText xml:space="preserve"> CITATION CRo21 \l 3081 </w:instrText>
                </w:r>
                <w:r w:rsidR="00B507D3">
                  <w:rPr>
                    <w:rStyle w:val="FootnoteReference"/>
                    <w:lang w:eastAsia="fr-CA"/>
                  </w:rPr>
                  <w:fldChar w:fldCharType="separate"/>
                </w:r>
                <w:r w:rsidR="001428F9">
                  <w:rPr>
                    <w:noProof/>
                  </w:rPr>
                  <w:t>(C-Roads, 2021)</w:t>
                </w:r>
                <w:r w:rsidR="00B507D3">
                  <w:rPr>
                    <w:rStyle w:val="FootnoteReference"/>
                    <w:lang w:eastAsia="fr-CA"/>
                  </w:rPr>
                  <w:fldChar w:fldCharType="end"/>
                </w:r>
              </w:sdtContent>
            </w:sdt>
          </w:p>
        </w:tc>
        <w:tc>
          <w:tcPr>
            <w:tcW w:w="0" w:type="auto"/>
          </w:tcPr>
          <w:p w14:paraId="61A10822" w14:textId="77777777" w:rsidR="00304D45" w:rsidRPr="005764FC" w:rsidRDefault="00304D45" w:rsidP="00701E80">
            <w:pPr>
              <w:pStyle w:val="TableText"/>
              <w:spacing w:line="264" w:lineRule="auto"/>
              <w:rPr>
                <w:lang w:eastAsia="fr-CA"/>
              </w:rPr>
            </w:pPr>
            <w:r w:rsidRPr="005764FC">
              <w:rPr>
                <w:lang w:eastAsia="fr-CA"/>
              </w:rPr>
              <w:t>+100,000km road length</w:t>
            </w:r>
          </w:p>
        </w:tc>
        <w:tc>
          <w:tcPr>
            <w:tcW w:w="0" w:type="auto"/>
          </w:tcPr>
          <w:p w14:paraId="79C1ECD8" w14:textId="77777777" w:rsidR="00304D45" w:rsidRPr="005764FC" w:rsidRDefault="00304D45" w:rsidP="00701E80">
            <w:pPr>
              <w:pStyle w:val="TableText"/>
              <w:spacing w:line="264" w:lineRule="auto"/>
              <w:rPr>
                <w:lang w:eastAsia="fr-CA"/>
              </w:rPr>
            </w:pPr>
            <w:r w:rsidRPr="005764FC">
              <w:t>20,000 DSRC covering 20,000km</w:t>
            </w:r>
          </w:p>
        </w:tc>
        <w:tc>
          <w:tcPr>
            <w:tcW w:w="0" w:type="auto"/>
          </w:tcPr>
          <w:p w14:paraId="1FA81B46" w14:textId="77777777" w:rsidR="00304D45" w:rsidRPr="005764FC" w:rsidRDefault="00304D45" w:rsidP="00701E80">
            <w:pPr>
              <w:pStyle w:val="TableText"/>
              <w:spacing w:line="264" w:lineRule="auto"/>
              <w:rPr>
                <w:lang w:eastAsia="fr-CA"/>
              </w:rPr>
            </w:pPr>
            <w:r w:rsidRPr="005764FC">
              <w:rPr>
                <w:lang w:eastAsia="fr-CA"/>
              </w:rPr>
              <w:t>+500,000 in passenger vehicles</w:t>
            </w:r>
          </w:p>
        </w:tc>
      </w:tr>
      <w:tr w:rsidR="00304D45" w:rsidRPr="005764FC" w14:paraId="67097365" w14:textId="77777777" w:rsidTr="009134EB">
        <w:tc>
          <w:tcPr>
            <w:tcW w:w="0" w:type="auto"/>
          </w:tcPr>
          <w:p w14:paraId="010CA8EC" w14:textId="2B39F42F" w:rsidR="00304D45" w:rsidRPr="005764FC" w:rsidRDefault="00304D45" w:rsidP="00701E80">
            <w:pPr>
              <w:pStyle w:val="TableText"/>
              <w:spacing w:line="264" w:lineRule="auto"/>
              <w:rPr>
                <w:lang w:eastAsia="fr-CA"/>
              </w:rPr>
            </w:pPr>
            <w:r w:rsidRPr="005764FC">
              <w:rPr>
                <w:lang w:eastAsia="fr-CA"/>
              </w:rPr>
              <w:t>United States</w:t>
            </w:r>
            <w:r w:rsidR="009134EB">
              <w:t xml:space="preserve"> </w:t>
            </w:r>
            <w:sdt>
              <w:sdtPr>
                <w:id w:val="-1695454232"/>
                <w:citation/>
              </w:sdtPr>
              <w:sdtContent>
                <w:r w:rsidR="009134EB">
                  <w:fldChar w:fldCharType="begin"/>
                </w:r>
                <w:r w:rsidR="009134EB">
                  <w:instrText xml:space="preserve"> CITATION USD20 \l 3081 </w:instrText>
                </w:r>
                <w:r w:rsidR="009134EB">
                  <w:fldChar w:fldCharType="separate"/>
                </w:r>
                <w:r w:rsidR="001428F9">
                  <w:rPr>
                    <w:noProof/>
                  </w:rPr>
                  <w:t>(USDOT, 2020)</w:t>
                </w:r>
                <w:r w:rsidR="009134EB">
                  <w:fldChar w:fldCharType="end"/>
                </w:r>
              </w:sdtContent>
            </w:sdt>
          </w:p>
        </w:tc>
        <w:tc>
          <w:tcPr>
            <w:tcW w:w="0" w:type="auto"/>
          </w:tcPr>
          <w:p w14:paraId="5DB90C79" w14:textId="77777777" w:rsidR="00304D45" w:rsidRPr="005764FC" w:rsidRDefault="00304D45" w:rsidP="00701E80">
            <w:pPr>
              <w:pStyle w:val="TableText"/>
              <w:spacing w:line="264" w:lineRule="auto"/>
              <w:rPr>
                <w:lang w:eastAsia="fr-CA"/>
              </w:rPr>
            </w:pPr>
            <w:r w:rsidRPr="005764FC">
              <w:rPr>
                <w:lang w:eastAsia="fr-CA"/>
              </w:rPr>
              <w:t>Uncertain</w:t>
            </w:r>
          </w:p>
        </w:tc>
        <w:tc>
          <w:tcPr>
            <w:tcW w:w="0" w:type="auto"/>
          </w:tcPr>
          <w:p w14:paraId="1F205447" w14:textId="77777777" w:rsidR="00304D45" w:rsidRPr="005764FC" w:rsidRDefault="00304D45" w:rsidP="00701E80">
            <w:pPr>
              <w:pStyle w:val="TableText"/>
              <w:spacing w:line="264" w:lineRule="auto"/>
              <w:rPr>
                <w:lang w:eastAsia="fr-CA"/>
              </w:rPr>
            </w:pPr>
            <w:r w:rsidRPr="005764FC">
              <w:rPr>
                <w:lang w:eastAsia="fr-CA"/>
              </w:rPr>
              <w:t>6,182</w:t>
            </w:r>
          </w:p>
        </w:tc>
        <w:tc>
          <w:tcPr>
            <w:tcW w:w="0" w:type="auto"/>
          </w:tcPr>
          <w:p w14:paraId="364DF053" w14:textId="77777777" w:rsidR="00304D45" w:rsidRPr="005764FC" w:rsidRDefault="00304D45" w:rsidP="00701E80">
            <w:pPr>
              <w:pStyle w:val="TableText"/>
              <w:spacing w:line="264" w:lineRule="auto"/>
              <w:rPr>
                <w:lang w:eastAsia="fr-CA"/>
              </w:rPr>
            </w:pPr>
            <w:r w:rsidRPr="005764FC">
              <w:rPr>
                <w:lang w:eastAsia="fr-CA"/>
              </w:rPr>
              <w:t>15,506</w:t>
            </w:r>
          </w:p>
        </w:tc>
      </w:tr>
      <w:tr w:rsidR="00304D45" w:rsidRPr="005764FC" w14:paraId="2A7BD747" w14:textId="77777777" w:rsidTr="009134EB">
        <w:tc>
          <w:tcPr>
            <w:tcW w:w="0" w:type="auto"/>
          </w:tcPr>
          <w:p w14:paraId="709CE253" w14:textId="134267E6" w:rsidR="00304D45" w:rsidRPr="005764FC" w:rsidRDefault="00304D45" w:rsidP="00701E80">
            <w:pPr>
              <w:pStyle w:val="TableText"/>
              <w:spacing w:line="264" w:lineRule="auto"/>
              <w:rPr>
                <w:lang w:eastAsia="fr-CA"/>
              </w:rPr>
            </w:pPr>
            <w:r w:rsidRPr="005764FC">
              <w:rPr>
                <w:lang w:eastAsia="fr-CA"/>
              </w:rPr>
              <w:t>Japan</w:t>
            </w:r>
            <w:r w:rsidR="0002724F">
              <w:t xml:space="preserve"> </w:t>
            </w:r>
            <w:sdt>
              <w:sdtPr>
                <w:id w:val="-1276256018"/>
                <w:citation/>
              </w:sdtPr>
              <w:sdtContent>
                <w:r w:rsidR="0002724F">
                  <w:fldChar w:fldCharType="begin"/>
                </w:r>
                <w:r w:rsidR="0002724F">
                  <w:instrText xml:space="preserve"> CITATION Min17 \l 3081 </w:instrText>
                </w:r>
                <w:r w:rsidR="0002724F">
                  <w:fldChar w:fldCharType="separate"/>
                </w:r>
                <w:r w:rsidR="001428F9">
                  <w:rPr>
                    <w:noProof/>
                  </w:rPr>
                  <w:t>(Ministry of Land Infrastructure and Transport, 2017)</w:t>
                </w:r>
                <w:r w:rsidR="0002724F">
                  <w:fldChar w:fldCharType="end"/>
                </w:r>
              </w:sdtContent>
            </w:sdt>
          </w:p>
        </w:tc>
        <w:tc>
          <w:tcPr>
            <w:tcW w:w="0" w:type="auto"/>
          </w:tcPr>
          <w:p w14:paraId="4DA374ED" w14:textId="77777777" w:rsidR="00304D45" w:rsidRPr="005764FC" w:rsidRDefault="00304D45" w:rsidP="00701E80">
            <w:pPr>
              <w:pStyle w:val="TableText"/>
              <w:spacing w:line="264" w:lineRule="auto"/>
              <w:rPr>
                <w:lang w:eastAsia="fr-CA"/>
              </w:rPr>
            </w:pPr>
            <w:r w:rsidRPr="005764FC">
              <w:rPr>
                <w:lang w:eastAsia="fr-CA"/>
              </w:rPr>
              <w:t>Uncertain</w:t>
            </w:r>
          </w:p>
        </w:tc>
        <w:tc>
          <w:tcPr>
            <w:tcW w:w="0" w:type="auto"/>
          </w:tcPr>
          <w:p w14:paraId="12C97BCC" w14:textId="77777777" w:rsidR="00304D45" w:rsidRPr="005764FC" w:rsidRDefault="00304D45" w:rsidP="00701E80">
            <w:pPr>
              <w:pStyle w:val="TableText"/>
              <w:spacing w:line="264" w:lineRule="auto"/>
              <w:rPr>
                <w:lang w:eastAsia="fr-CA"/>
              </w:rPr>
            </w:pPr>
            <w:r w:rsidRPr="005764FC">
              <w:rPr>
                <w:lang w:eastAsia="fr-CA"/>
              </w:rPr>
              <w:t>1700</w:t>
            </w:r>
          </w:p>
        </w:tc>
        <w:tc>
          <w:tcPr>
            <w:tcW w:w="0" w:type="auto"/>
          </w:tcPr>
          <w:p w14:paraId="569EF077" w14:textId="77777777" w:rsidR="00304D45" w:rsidRPr="005764FC" w:rsidRDefault="00304D45" w:rsidP="00701E80">
            <w:pPr>
              <w:pStyle w:val="TableText"/>
              <w:spacing w:line="264" w:lineRule="auto"/>
              <w:rPr>
                <w:lang w:eastAsia="fr-CA"/>
              </w:rPr>
            </w:pPr>
            <w:r w:rsidRPr="005764FC">
              <w:t>+3.71 million</w:t>
            </w:r>
          </w:p>
        </w:tc>
      </w:tr>
      <w:tr w:rsidR="00304D45" w:rsidRPr="005764FC" w14:paraId="5ED1EC4A" w14:textId="77777777" w:rsidTr="009134EB">
        <w:tc>
          <w:tcPr>
            <w:tcW w:w="0" w:type="auto"/>
          </w:tcPr>
          <w:p w14:paraId="6BFE94A9" w14:textId="77777777" w:rsidR="00304D45" w:rsidRPr="005764FC" w:rsidRDefault="00304D45" w:rsidP="00701E80">
            <w:pPr>
              <w:pStyle w:val="TableText"/>
              <w:spacing w:line="264" w:lineRule="auto"/>
              <w:rPr>
                <w:lang w:eastAsia="fr-CA"/>
              </w:rPr>
            </w:pPr>
            <w:r w:rsidRPr="005764FC">
              <w:rPr>
                <w:lang w:eastAsia="fr-CA"/>
              </w:rPr>
              <w:t>China</w:t>
            </w:r>
            <w:r w:rsidRPr="005764FC">
              <w:rPr>
                <w:rStyle w:val="FootnoteReference"/>
                <w:lang w:eastAsia="fr-CA"/>
              </w:rPr>
              <w:footnoteReference w:id="8"/>
            </w:r>
          </w:p>
        </w:tc>
        <w:tc>
          <w:tcPr>
            <w:tcW w:w="0" w:type="auto"/>
          </w:tcPr>
          <w:p w14:paraId="2099F761" w14:textId="77777777" w:rsidR="00304D45" w:rsidRPr="005764FC" w:rsidRDefault="00304D45" w:rsidP="00701E80">
            <w:pPr>
              <w:pStyle w:val="TableText"/>
              <w:spacing w:line="264" w:lineRule="auto"/>
              <w:rPr>
                <w:lang w:eastAsia="fr-CA"/>
              </w:rPr>
            </w:pPr>
            <w:r w:rsidRPr="005764FC">
              <w:rPr>
                <w:lang w:eastAsia="fr-CA"/>
              </w:rPr>
              <w:t>Uncertain</w:t>
            </w:r>
          </w:p>
        </w:tc>
        <w:tc>
          <w:tcPr>
            <w:tcW w:w="0" w:type="auto"/>
          </w:tcPr>
          <w:p w14:paraId="4DB411F0" w14:textId="77777777" w:rsidR="00304D45" w:rsidRPr="005764FC" w:rsidRDefault="00304D45" w:rsidP="00701E80">
            <w:pPr>
              <w:pStyle w:val="TableText"/>
              <w:spacing w:line="264" w:lineRule="auto"/>
              <w:rPr>
                <w:lang w:eastAsia="fr-CA"/>
              </w:rPr>
            </w:pPr>
            <w:r w:rsidRPr="005764FC">
              <w:rPr>
                <w:lang w:eastAsia="fr-CA"/>
              </w:rPr>
              <w:t>Uncertain</w:t>
            </w:r>
          </w:p>
        </w:tc>
        <w:tc>
          <w:tcPr>
            <w:tcW w:w="0" w:type="auto"/>
          </w:tcPr>
          <w:p w14:paraId="10210BE4" w14:textId="77777777" w:rsidR="00304D45" w:rsidRPr="005764FC" w:rsidRDefault="00304D45" w:rsidP="00701E80">
            <w:pPr>
              <w:pStyle w:val="TableText"/>
              <w:spacing w:line="264" w:lineRule="auto"/>
              <w:rPr>
                <w:lang w:eastAsia="fr-CA"/>
              </w:rPr>
            </w:pPr>
            <w:r w:rsidRPr="005764FC">
              <w:rPr>
                <w:lang w:eastAsia="fr-CA"/>
              </w:rPr>
              <w:t>Uncertain</w:t>
            </w:r>
          </w:p>
        </w:tc>
      </w:tr>
      <w:tr w:rsidR="00304D45" w:rsidRPr="005764FC" w14:paraId="0D137A83" w14:textId="77777777" w:rsidTr="009134EB">
        <w:tc>
          <w:tcPr>
            <w:tcW w:w="0" w:type="auto"/>
          </w:tcPr>
          <w:p w14:paraId="3662B125" w14:textId="1C225DED" w:rsidR="00304D45" w:rsidRPr="005764FC" w:rsidRDefault="00304D45" w:rsidP="00701E80">
            <w:pPr>
              <w:pStyle w:val="TableText"/>
              <w:spacing w:line="264" w:lineRule="auto"/>
              <w:rPr>
                <w:lang w:eastAsia="fr-CA"/>
              </w:rPr>
            </w:pPr>
            <w:r w:rsidRPr="005764FC">
              <w:rPr>
                <w:lang w:eastAsia="fr-CA"/>
              </w:rPr>
              <w:t>South Korea</w:t>
            </w:r>
            <w:r w:rsidR="002400ED">
              <w:rPr>
                <w:rStyle w:val="FootnoteReference"/>
              </w:rPr>
              <w:t xml:space="preserve"> </w:t>
            </w:r>
            <w:sdt>
              <w:sdtPr>
                <w:rPr>
                  <w:rStyle w:val="FootnoteReference"/>
                </w:rPr>
                <w:id w:val="42644742"/>
                <w:citation/>
              </w:sdtPr>
              <w:sdtContent>
                <w:r w:rsidR="002400ED">
                  <w:rPr>
                    <w:rStyle w:val="FootnoteReference"/>
                  </w:rPr>
                  <w:fldChar w:fldCharType="begin"/>
                </w:r>
                <w:r w:rsidR="002400ED">
                  <w:instrText xml:space="preserve"> CITATION Min17 \l 3081 </w:instrText>
                </w:r>
                <w:r w:rsidR="002400ED">
                  <w:rPr>
                    <w:rStyle w:val="FootnoteReference"/>
                  </w:rPr>
                  <w:fldChar w:fldCharType="separate"/>
                </w:r>
                <w:r w:rsidR="001428F9">
                  <w:rPr>
                    <w:noProof/>
                  </w:rPr>
                  <w:t>(Ministry of Land Infrastructure and Transport, 2017)</w:t>
                </w:r>
                <w:r w:rsidR="002400ED">
                  <w:rPr>
                    <w:rStyle w:val="FootnoteReference"/>
                  </w:rPr>
                  <w:fldChar w:fldCharType="end"/>
                </w:r>
              </w:sdtContent>
            </w:sdt>
          </w:p>
        </w:tc>
        <w:tc>
          <w:tcPr>
            <w:tcW w:w="0" w:type="auto"/>
          </w:tcPr>
          <w:p w14:paraId="03329F41" w14:textId="77777777" w:rsidR="00304D45" w:rsidRPr="005764FC" w:rsidRDefault="00304D45" w:rsidP="00701E80">
            <w:pPr>
              <w:pStyle w:val="TableText"/>
              <w:spacing w:line="264" w:lineRule="auto"/>
              <w:rPr>
                <w:lang w:eastAsia="fr-CA"/>
              </w:rPr>
            </w:pPr>
            <w:r w:rsidRPr="005764FC">
              <w:rPr>
                <w:lang w:eastAsia="fr-CA"/>
              </w:rPr>
              <w:t>Uncertain</w:t>
            </w:r>
          </w:p>
        </w:tc>
        <w:tc>
          <w:tcPr>
            <w:tcW w:w="0" w:type="auto"/>
          </w:tcPr>
          <w:p w14:paraId="481426AD" w14:textId="77777777" w:rsidR="00304D45" w:rsidRPr="005764FC" w:rsidRDefault="00304D45" w:rsidP="00701E80">
            <w:pPr>
              <w:pStyle w:val="TableText"/>
              <w:spacing w:line="264" w:lineRule="auto"/>
              <w:rPr>
                <w:lang w:eastAsia="fr-CA"/>
              </w:rPr>
            </w:pPr>
            <w:r w:rsidRPr="005764FC">
              <w:rPr>
                <w:lang w:eastAsia="fr-CA"/>
              </w:rPr>
              <w:t>1570</w:t>
            </w:r>
          </w:p>
        </w:tc>
        <w:tc>
          <w:tcPr>
            <w:tcW w:w="0" w:type="auto"/>
          </w:tcPr>
          <w:p w14:paraId="481C9F2E" w14:textId="77777777" w:rsidR="00304D45" w:rsidRPr="005764FC" w:rsidRDefault="00304D45" w:rsidP="00701E80">
            <w:pPr>
              <w:pStyle w:val="TableText"/>
              <w:spacing w:line="264" w:lineRule="auto"/>
              <w:rPr>
                <w:lang w:eastAsia="fr-CA"/>
              </w:rPr>
            </w:pPr>
            <w:r w:rsidRPr="005764FC">
              <w:rPr>
                <w:lang w:eastAsia="fr-CA"/>
              </w:rPr>
              <w:t>+15,800</w:t>
            </w:r>
          </w:p>
        </w:tc>
      </w:tr>
    </w:tbl>
    <w:p w14:paraId="64ED263D" w14:textId="29468BFA" w:rsidR="00C17F08" w:rsidRPr="005764FC" w:rsidRDefault="00596B12" w:rsidP="00720527">
      <w:pPr>
        <w:pStyle w:val="Heading4"/>
      </w:pPr>
      <w:r w:rsidRPr="005764FC">
        <w:t>Europe</w:t>
      </w:r>
    </w:p>
    <w:p w14:paraId="106F8DF6" w14:textId="5367C427" w:rsidR="003E5F81" w:rsidRPr="005764FC" w:rsidRDefault="00B36BDB" w:rsidP="00DE0F95">
      <w:pPr>
        <w:pStyle w:val="BodyText"/>
        <w:rPr>
          <w:lang w:eastAsia="fr-CA"/>
        </w:rPr>
      </w:pPr>
      <w:r w:rsidRPr="005764FC">
        <w:t xml:space="preserve">Europe </w:t>
      </w:r>
      <w:r w:rsidR="00C74ED2" w:rsidRPr="005764FC">
        <w:t>currently ha</w:t>
      </w:r>
      <w:r w:rsidR="002E728E" w:rsidRPr="005764FC">
        <w:t>s</w:t>
      </w:r>
      <w:r w:rsidR="00C74ED2" w:rsidRPr="005764FC">
        <w:t xml:space="preserve"> an </w:t>
      </w:r>
      <w:r w:rsidR="00A362FC" w:rsidRPr="005764FC">
        <w:t xml:space="preserve">active proposal for </w:t>
      </w:r>
      <w:r w:rsidR="00383E85" w:rsidRPr="005764FC">
        <w:t>amend</w:t>
      </w:r>
      <w:r w:rsidR="002E728E" w:rsidRPr="005764FC">
        <w:t>ing</w:t>
      </w:r>
      <w:r w:rsidR="00383E85" w:rsidRPr="005764FC">
        <w:t xml:space="preserve"> the </w:t>
      </w:r>
      <w:r w:rsidR="003D2A63" w:rsidRPr="005764FC">
        <w:t>ITS directive which</w:t>
      </w:r>
      <w:r w:rsidR="00C85C82" w:rsidRPr="005764FC">
        <w:t>, if adopted, will</w:t>
      </w:r>
      <w:r w:rsidR="001151E6" w:rsidRPr="005764FC">
        <w:t xml:space="preserve"> </w:t>
      </w:r>
      <w:r w:rsidR="00C85C82" w:rsidRPr="005764FC">
        <w:t xml:space="preserve">mandate the </w:t>
      </w:r>
      <w:r w:rsidR="00CC42C4" w:rsidRPr="005764FC">
        <w:t xml:space="preserve">use </w:t>
      </w:r>
      <w:r w:rsidR="00657E9A" w:rsidRPr="005764FC">
        <w:t>of C-ITS services and data sharing requirements for new vehicles</w:t>
      </w:r>
      <w:r w:rsidR="00E63F43">
        <w:t xml:space="preserve">. </w:t>
      </w:r>
      <w:r w:rsidR="00A864BB">
        <w:t xml:space="preserve">This amendment presents similar </w:t>
      </w:r>
      <w:r w:rsidR="00DC7756">
        <w:t xml:space="preserve">considerations to this analysis </w:t>
      </w:r>
      <w:r w:rsidR="00716084">
        <w:t>which</w:t>
      </w:r>
      <w:r w:rsidR="00DC7756">
        <w:t xml:space="preserve"> is detailed an Impact </w:t>
      </w:r>
      <w:r w:rsidR="00210E39">
        <w:t xml:space="preserve">Assessment </w:t>
      </w:r>
      <w:sdt>
        <w:sdtPr>
          <w:id w:val="-473377592"/>
          <w:citation/>
        </w:sdtPr>
        <w:sdtContent>
          <w:r w:rsidR="003B0D75">
            <w:fldChar w:fldCharType="begin"/>
          </w:r>
          <w:r w:rsidR="00511025">
            <w:instrText xml:space="preserve">CITATION Eur21 \l 3081 </w:instrText>
          </w:r>
          <w:r w:rsidR="003B0D75">
            <w:fldChar w:fldCharType="separate"/>
          </w:r>
          <w:r w:rsidR="001428F9">
            <w:rPr>
              <w:noProof/>
            </w:rPr>
            <w:t>(European Commission, 2021b)</w:t>
          </w:r>
          <w:r w:rsidR="003B0D75">
            <w:fldChar w:fldCharType="end"/>
          </w:r>
        </w:sdtContent>
      </w:sdt>
      <w:r w:rsidR="00D17895">
        <w:t xml:space="preserve">. </w:t>
      </w:r>
      <w:r w:rsidR="00210E39">
        <w:t xml:space="preserve"> </w:t>
      </w:r>
      <w:r w:rsidR="00DC7756">
        <w:t xml:space="preserve"> </w:t>
      </w:r>
      <w:r w:rsidR="00DE0F95">
        <w:t>The proposed amendment aims to address the lack of interoperability and continuity of applications, systems and services; the lack of concertation and effective cooperation among stakeholders; and the unresolved issues related to the availability and sharing of data to support ITS services</w:t>
      </w:r>
      <w:r w:rsidR="00E63F43" w:rsidRPr="00E63F43">
        <w:t xml:space="preserve"> </w:t>
      </w:r>
      <w:sdt>
        <w:sdtPr>
          <w:id w:val="1110399543"/>
          <w:citation/>
        </w:sdtPr>
        <w:sdtContent>
          <w:r w:rsidR="00E63F43">
            <w:fldChar w:fldCharType="begin"/>
          </w:r>
          <w:r w:rsidR="00511025">
            <w:instrText xml:space="preserve">CITATION Eur20 \l 3081 </w:instrText>
          </w:r>
          <w:r w:rsidR="00E63F43">
            <w:fldChar w:fldCharType="separate"/>
          </w:r>
          <w:r w:rsidR="001428F9">
            <w:rPr>
              <w:noProof/>
            </w:rPr>
            <w:t>(European Commission, 2021a)</w:t>
          </w:r>
          <w:r w:rsidR="00E63F43">
            <w:fldChar w:fldCharType="end"/>
          </w:r>
        </w:sdtContent>
      </w:sdt>
      <w:r w:rsidR="00DE0F95">
        <w:t>.</w:t>
      </w:r>
      <w:r w:rsidR="00DE0F95" w:rsidRPr="005764FC">
        <w:t xml:space="preserve"> </w:t>
      </w:r>
      <w:r w:rsidR="00931C2E" w:rsidRPr="005764FC">
        <w:t>An</w:t>
      </w:r>
      <w:r w:rsidR="00E85875" w:rsidRPr="005764FC">
        <w:rPr>
          <w:lang w:eastAsia="fr-CA"/>
        </w:rPr>
        <w:t xml:space="preserve"> approved amendment, as supported by the Regulatory Scrutiny Board, will provide certainty for requiring C-ITS services in vehicles.</w:t>
      </w:r>
      <w:r w:rsidR="00931C2E" w:rsidRPr="005764FC">
        <w:rPr>
          <w:lang w:eastAsia="fr-CA"/>
        </w:rPr>
        <w:t xml:space="preserve"> </w:t>
      </w:r>
    </w:p>
    <w:p w14:paraId="0C9616BE" w14:textId="7A11ED01" w:rsidR="00AC6A29" w:rsidRPr="005764FC" w:rsidRDefault="003E5F81" w:rsidP="00244A16">
      <w:pPr>
        <w:pStyle w:val="BodyText"/>
        <w:keepNext/>
        <w:rPr>
          <w:lang w:eastAsia="fr-CA"/>
        </w:rPr>
      </w:pPr>
      <w:r w:rsidRPr="005764FC">
        <w:rPr>
          <w:lang w:eastAsia="fr-CA"/>
        </w:rPr>
        <w:t>Europe recognise</w:t>
      </w:r>
      <w:r w:rsidR="00814E99" w:rsidRPr="005764FC">
        <w:rPr>
          <w:lang w:eastAsia="fr-CA"/>
        </w:rPr>
        <w:t>d</w:t>
      </w:r>
      <w:r w:rsidRPr="005764FC">
        <w:rPr>
          <w:lang w:eastAsia="fr-CA"/>
        </w:rPr>
        <w:t xml:space="preserve"> the need for </w:t>
      </w:r>
      <w:r w:rsidR="005C3AB9" w:rsidRPr="005764FC">
        <w:rPr>
          <w:lang w:eastAsia="fr-CA"/>
        </w:rPr>
        <w:t xml:space="preserve">formal </w:t>
      </w:r>
      <w:r w:rsidR="007274BB" w:rsidRPr="005764FC">
        <w:rPr>
          <w:lang w:eastAsia="fr-CA"/>
        </w:rPr>
        <w:t xml:space="preserve">collaboration between industry and government with </w:t>
      </w:r>
      <w:r w:rsidR="005C3AB9" w:rsidRPr="005764FC">
        <w:rPr>
          <w:lang w:eastAsia="fr-CA"/>
        </w:rPr>
        <w:t>three lead</w:t>
      </w:r>
      <w:r w:rsidR="005760E8" w:rsidRPr="005764FC">
        <w:rPr>
          <w:lang w:eastAsia="fr-CA"/>
        </w:rPr>
        <w:t>ing</w:t>
      </w:r>
      <w:r w:rsidR="005C3AB9" w:rsidRPr="005764FC">
        <w:rPr>
          <w:lang w:eastAsia="fr-CA"/>
        </w:rPr>
        <w:t xml:space="preserve"> initiatives.</w:t>
      </w:r>
      <w:r w:rsidR="007274BB" w:rsidRPr="005764FC">
        <w:rPr>
          <w:lang w:eastAsia="fr-CA"/>
        </w:rPr>
        <w:t xml:space="preserve"> </w:t>
      </w:r>
      <w:r w:rsidR="002E728E" w:rsidRPr="005764FC">
        <w:rPr>
          <w:lang w:eastAsia="fr-CA"/>
        </w:rPr>
        <w:t xml:space="preserve">The </w:t>
      </w:r>
      <w:r w:rsidR="001562C1" w:rsidRPr="005764FC">
        <w:rPr>
          <w:lang w:eastAsia="fr-CA"/>
        </w:rPr>
        <w:t>C-Roads</w:t>
      </w:r>
      <w:r w:rsidR="002E728E" w:rsidRPr="005764FC">
        <w:t xml:space="preserve"> </w:t>
      </w:r>
      <w:r w:rsidR="002E728E" w:rsidRPr="005764FC">
        <w:rPr>
          <w:lang w:eastAsia="fr-CA"/>
        </w:rPr>
        <w:t>Platform joint initiative of European Member States and road operators</w:t>
      </w:r>
      <w:r w:rsidR="00A16467">
        <w:rPr>
          <w:lang w:eastAsia="fr-CA"/>
        </w:rPr>
        <w:t>, which</w:t>
      </w:r>
      <w:r w:rsidR="002E728E" w:rsidRPr="005764FC">
        <w:rPr>
          <w:lang w:eastAsia="fr-CA"/>
        </w:rPr>
        <w:t xml:space="preserve"> tests and implements C-ITS services for cross-border harmonisation and interoperability. C-Roads</w:t>
      </w:r>
      <w:r w:rsidR="00566960">
        <w:rPr>
          <w:lang w:eastAsia="fr-CA"/>
        </w:rPr>
        <w:t xml:space="preserve"> </w:t>
      </w:r>
      <w:sdt>
        <w:sdtPr>
          <w:rPr>
            <w:lang w:eastAsia="fr-CA"/>
          </w:rPr>
          <w:id w:val="1496536322"/>
          <w:citation/>
        </w:sdtPr>
        <w:sdtContent>
          <w:r w:rsidR="00566960">
            <w:rPr>
              <w:lang w:eastAsia="fr-CA"/>
            </w:rPr>
            <w:fldChar w:fldCharType="begin"/>
          </w:r>
          <w:r w:rsidR="00566960">
            <w:rPr>
              <w:lang w:eastAsia="fr-CA"/>
            </w:rPr>
            <w:instrText xml:space="preserve">CITATION Placeholder1 \n  \t  \l 3081 </w:instrText>
          </w:r>
          <w:r w:rsidR="00566960">
            <w:rPr>
              <w:lang w:eastAsia="fr-CA"/>
            </w:rPr>
            <w:fldChar w:fldCharType="separate"/>
          </w:r>
          <w:r w:rsidR="001428F9">
            <w:rPr>
              <w:noProof/>
              <w:lang w:eastAsia="fr-CA"/>
            </w:rPr>
            <w:t>(2021)</w:t>
          </w:r>
          <w:r w:rsidR="00566960">
            <w:rPr>
              <w:lang w:eastAsia="fr-CA"/>
            </w:rPr>
            <w:fldChar w:fldCharType="end"/>
          </w:r>
        </w:sdtContent>
      </w:sdt>
      <w:r w:rsidR="001562C1" w:rsidRPr="005764FC">
        <w:rPr>
          <w:lang w:eastAsia="fr-CA"/>
        </w:rPr>
        <w:t xml:space="preserve"> stated that </w:t>
      </w:r>
      <w:r w:rsidR="00227EB9" w:rsidRPr="005764FC">
        <w:rPr>
          <w:lang w:eastAsia="fr-CA"/>
        </w:rPr>
        <w:t xml:space="preserve">Europe is </w:t>
      </w:r>
      <w:r w:rsidR="00947A35" w:rsidRPr="005764FC">
        <w:rPr>
          <w:lang w:eastAsia="fr-CA"/>
        </w:rPr>
        <w:t>actively deploying</w:t>
      </w:r>
      <w:r w:rsidR="00227EB9" w:rsidRPr="005764FC">
        <w:rPr>
          <w:lang w:eastAsia="fr-CA"/>
        </w:rPr>
        <w:t xml:space="preserve"> C-ITS</w:t>
      </w:r>
      <w:r w:rsidR="002E728E" w:rsidRPr="005764FC">
        <w:rPr>
          <w:lang w:eastAsia="fr-CA"/>
        </w:rPr>
        <w:t>.</w:t>
      </w:r>
      <w:r w:rsidR="000D51EB" w:rsidRPr="005764FC">
        <w:rPr>
          <w:lang w:eastAsia="fr-CA"/>
        </w:rPr>
        <w:t xml:space="preserve"> C2C-CC is the </w:t>
      </w:r>
      <w:r w:rsidR="00AC6A29" w:rsidRPr="005764FC">
        <w:rPr>
          <w:lang w:eastAsia="fr-CA"/>
        </w:rPr>
        <w:t xml:space="preserve">leading European and international vehicle manufacturers, equipment suppliers, engineering companies, road operators and research institutions </w:t>
      </w:r>
      <w:r w:rsidR="00F76391">
        <w:rPr>
          <w:lang w:eastAsia="fr-CA"/>
        </w:rPr>
        <w:t>working together t</w:t>
      </w:r>
      <w:r w:rsidR="0007400E">
        <w:rPr>
          <w:lang w:eastAsia="fr-CA"/>
        </w:rPr>
        <w:t xml:space="preserve">hrough </w:t>
      </w:r>
      <w:r w:rsidR="00396CE5">
        <w:rPr>
          <w:lang w:eastAsia="fr-CA"/>
        </w:rPr>
        <w:t xml:space="preserve">joint </w:t>
      </w:r>
      <w:r w:rsidR="00AC6A29" w:rsidRPr="005764FC">
        <w:rPr>
          <w:lang w:eastAsia="fr-CA"/>
        </w:rPr>
        <w:t xml:space="preserve">research and development of C-ITS solutions to </w:t>
      </w:r>
      <w:r w:rsidR="00875F57">
        <w:rPr>
          <w:lang w:eastAsia="fr-CA"/>
        </w:rPr>
        <w:t>reduce</w:t>
      </w:r>
      <w:r w:rsidR="009118DD" w:rsidRPr="005764FC">
        <w:rPr>
          <w:lang w:eastAsia="fr-CA"/>
        </w:rPr>
        <w:t xml:space="preserve"> </w:t>
      </w:r>
      <w:r w:rsidR="00AC6A29" w:rsidRPr="005764FC">
        <w:rPr>
          <w:lang w:eastAsia="fr-CA"/>
        </w:rPr>
        <w:t>road accidents (vision zero)</w:t>
      </w:r>
      <w:r w:rsidR="00C7449D">
        <w:rPr>
          <w:lang w:eastAsia="fr-CA"/>
        </w:rPr>
        <w:t xml:space="preserve"> </w:t>
      </w:r>
      <w:sdt>
        <w:sdtPr>
          <w:rPr>
            <w:lang w:eastAsia="fr-CA"/>
          </w:rPr>
          <w:id w:val="871578179"/>
          <w:citation/>
        </w:sdtPr>
        <w:sdtContent>
          <w:r w:rsidR="00C7449D">
            <w:rPr>
              <w:lang w:eastAsia="fr-CA"/>
            </w:rPr>
            <w:fldChar w:fldCharType="begin"/>
          </w:r>
          <w:r w:rsidR="00C7449D">
            <w:rPr>
              <w:lang w:eastAsia="fr-CA"/>
            </w:rPr>
            <w:instrText xml:space="preserve"> CITATION C2C22 \l 3081 </w:instrText>
          </w:r>
          <w:r w:rsidR="00C7449D">
            <w:rPr>
              <w:lang w:eastAsia="fr-CA"/>
            </w:rPr>
            <w:fldChar w:fldCharType="separate"/>
          </w:r>
          <w:r w:rsidR="001428F9">
            <w:rPr>
              <w:noProof/>
              <w:lang w:eastAsia="fr-CA"/>
            </w:rPr>
            <w:t>(C2CCC, 2022)</w:t>
          </w:r>
          <w:r w:rsidR="00C7449D">
            <w:rPr>
              <w:lang w:eastAsia="fr-CA"/>
            </w:rPr>
            <w:fldChar w:fldCharType="end"/>
          </w:r>
        </w:sdtContent>
      </w:sdt>
      <w:r w:rsidR="00AC6A29" w:rsidRPr="005764FC">
        <w:rPr>
          <w:lang w:eastAsia="fr-CA"/>
        </w:rPr>
        <w:t xml:space="preserve">. </w:t>
      </w:r>
      <w:r w:rsidR="002C14D0" w:rsidRPr="005764FC">
        <w:rPr>
          <w:lang w:eastAsia="fr-CA"/>
        </w:rPr>
        <w:t xml:space="preserve"> CCAM </w:t>
      </w:r>
      <w:sdt>
        <w:sdtPr>
          <w:rPr>
            <w:lang w:eastAsia="fr-CA"/>
          </w:rPr>
          <w:id w:val="1258324972"/>
          <w:citation/>
        </w:sdtPr>
        <w:sdtContent>
          <w:r w:rsidR="006209C2">
            <w:rPr>
              <w:lang w:eastAsia="fr-CA"/>
            </w:rPr>
            <w:fldChar w:fldCharType="begin"/>
          </w:r>
          <w:r w:rsidR="006209C2">
            <w:rPr>
              <w:lang w:eastAsia="fr-CA"/>
            </w:rPr>
            <w:instrText xml:space="preserve">CITATION CCA21 \n  \t  \l 3081 </w:instrText>
          </w:r>
          <w:r w:rsidR="006209C2">
            <w:rPr>
              <w:lang w:eastAsia="fr-CA"/>
            </w:rPr>
            <w:fldChar w:fldCharType="separate"/>
          </w:r>
          <w:r w:rsidR="001428F9">
            <w:rPr>
              <w:noProof/>
              <w:lang w:eastAsia="fr-CA"/>
            </w:rPr>
            <w:t>(2021)</w:t>
          </w:r>
          <w:r w:rsidR="006209C2">
            <w:rPr>
              <w:lang w:eastAsia="fr-CA"/>
            </w:rPr>
            <w:fldChar w:fldCharType="end"/>
          </w:r>
        </w:sdtContent>
      </w:sdt>
      <w:r w:rsidR="002C14D0" w:rsidRPr="005764FC">
        <w:rPr>
          <w:lang w:eastAsia="fr-CA"/>
        </w:rPr>
        <w:t>is a new initiative bringing together the actors of the complex cross-sectoral connected, cooperative</w:t>
      </w:r>
      <w:r w:rsidRPr="005764FC">
        <w:rPr>
          <w:lang w:eastAsia="fr-CA"/>
        </w:rPr>
        <w:t xml:space="preserve">, automated mobility </w:t>
      </w:r>
      <w:r w:rsidR="002C14D0" w:rsidRPr="005764FC">
        <w:rPr>
          <w:lang w:eastAsia="fr-CA"/>
        </w:rPr>
        <w:t>value chain.</w:t>
      </w:r>
    </w:p>
    <w:p w14:paraId="78E0D0A4" w14:textId="6400C518" w:rsidR="00C17F08" w:rsidRPr="005764FC" w:rsidRDefault="008839B0" w:rsidP="00C17F08">
      <w:pPr>
        <w:pStyle w:val="BodyText"/>
      </w:pPr>
      <w:r w:rsidRPr="005764FC">
        <w:t xml:space="preserve">The following </w:t>
      </w:r>
      <w:r w:rsidR="00C32765" w:rsidRPr="005764FC">
        <w:t xml:space="preserve">progress is </w:t>
      </w:r>
      <w:r w:rsidR="008C083B" w:rsidRPr="005764FC">
        <w:t xml:space="preserve">relevant to deployment in Europe: </w:t>
      </w:r>
    </w:p>
    <w:p w14:paraId="6D424937" w14:textId="41EF6CBA" w:rsidR="00C83335" w:rsidRPr="005764FC" w:rsidRDefault="004E5D30" w:rsidP="00C83335">
      <w:pPr>
        <w:pStyle w:val="ListBullet"/>
        <w:ind w:left="357" w:hanging="357"/>
        <w:contextualSpacing/>
      </w:pPr>
      <w:r w:rsidRPr="005764FC">
        <w:t>T</w:t>
      </w:r>
      <w:r w:rsidR="00C83335" w:rsidRPr="005764FC">
        <w:t>he release of the Volkswagen Golf MK8 and battery electric vehicles with C-ITS as standard</w:t>
      </w:r>
    </w:p>
    <w:p w14:paraId="22FFAE21" w14:textId="20646373" w:rsidR="00C83335" w:rsidRPr="005764FC" w:rsidRDefault="004E5D30" w:rsidP="00C83335">
      <w:pPr>
        <w:pStyle w:val="ListBullet"/>
        <w:ind w:left="357" w:hanging="357"/>
        <w:contextualSpacing/>
      </w:pPr>
      <w:r w:rsidRPr="005764FC">
        <w:t>C</w:t>
      </w:r>
      <w:r w:rsidR="00C83335" w:rsidRPr="005764FC">
        <w:t xml:space="preserve">ontinued releases of </w:t>
      </w:r>
      <w:r w:rsidR="00900D10" w:rsidRPr="005764FC">
        <w:t xml:space="preserve">specifications to </w:t>
      </w:r>
      <w:r w:rsidR="00DD545E" w:rsidRPr="005764FC">
        <w:t xml:space="preserve">implement the </w:t>
      </w:r>
      <w:r w:rsidR="001010E9" w:rsidRPr="005764FC">
        <w:t xml:space="preserve">European </w:t>
      </w:r>
      <w:r w:rsidR="00DD545E" w:rsidRPr="005764FC">
        <w:t>standards</w:t>
      </w:r>
      <w:r w:rsidR="006754CC" w:rsidRPr="005764FC">
        <w:t>’</w:t>
      </w:r>
      <w:r w:rsidR="00DD545E" w:rsidRPr="005764FC">
        <w:t xml:space="preserve"> suite</w:t>
      </w:r>
      <w:r w:rsidR="00C83335" w:rsidRPr="005764FC">
        <w:t xml:space="preserve"> from both government (C-Roads) and industry (C2C-CC</w:t>
      </w:r>
      <w:r w:rsidR="00260FB8" w:rsidRPr="005764FC">
        <w:t>: Car 2 Car Communication Consortium</w:t>
      </w:r>
      <w:r w:rsidR="00C83335" w:rsidRPr="005764FC">
        <w:t>)</w:t>
      </w:r>
      <w:r w:rsidR="00B260C9" w:rsidRPr="005764FC">
        <w:t xml:space="preserve"> </w:t>
      </w:r>
    </w:p>
    <w:p w14:paraId="45C7F83D" w14:textId="49CE1C7D" w:rsidR="00C83335" w:rsidRPr="005764FC" w:rsidRDefault="004E5D30" w:rsidP="00C83335">
      <w:pPr>
        <w:pStyle w:val="ListBullet"/>
        <w:ind w:left="357" w:hanging="357"/>
        <w:contextualSpacing/>
      </w:pPr>
      <w:r w:rsidRPr="005764FC">
        <w:t>D</w:t>
      </w:r>
      <w:r w:rsidR="00C83335" w:rsidRPr="005764FC">
        <w:t>evelop</w:t>
      </w:r>
      <w:r w:rsidR="00FB5DEC" w:rsidRPr="005764FC">
        <w:t xml:space="preserve">ment of </w:t>
      </w:r>
      <w:r w:rsidR="00C83335" w:rsidRPr="005764FC">
        <w:t>basic requirements for C-I</w:t>
      </w:r>
      <w:r w:rsidR="00035C77" w:rsidRPr="005764FC">
        <w:t>TS</w:t>
      </w:r>
      <w:r w:rsidR="00C83335" w:rsidRPr="005764FC">
        <w:t xml:space="preserve"> deployment by </w:t>
      </w:r>
      <w:r w:rsidR="006754CC" w:rsidRPr="005764FC">
        <w:t>Germany’s</w:t>
      </w:r>
      <w:r w:rsidR="00C83335" w:rsidRPr="005764FC">
        <w:t xml:space="preserve"> Federal Ministry of Transport and Digital Infrastructure has led to deployment of construction</w:t>
      </w:r>
      <w:r w:rsidR="00DC1285" w:rsidRPr="005764FC">
        <w:t>-</w:t>
      </w:r>
      <w:r w:rsidR="00C83335" w:rsidRPr="005764FC">
        <w:t>site warning C-ITS messages across some motorway corridors, to be expanded to all remaining motorway sections by 2023</w:t>
      </w:r>
      <w:r w:rsidR="00AE6844">
        <w:t xml:space="preserve"> </w:t>
      </w:r>
      <w:sdt>
        <w:sdtPr>
          <w:id w:val="-1107427408"/>
          <w:citation/>
        </w:sdtPr>
        <w:sdtContent>
          <w:r w:rsidR="00AE6844">
            <w:fldChar w:fldCharType="begin"/>
          </w:r>
          <w:r w:rsidR="00887953">
            <w:instrText xml:space="preserve">CITATION CIT20 \l 3081 </w:instrText>
          </w:r>
          <w:r w:rsidR="00AE6844">
            <w:fldChar w:fldCharType="separate"/>
          </w:r>
          <w:r w:rsidR="001428F9">
            <w:rPr>
              <w:noProof/>
            </w:rPr>
            <w:t>(C-ITS Deployment Group, 2020a)</w:t>
          </w:r>
          <w:r w:rsidR="00AE6844">
            <w:fldChar w:fldCharType="end"/>
          </w:r>
        </w:sdtContent>
      </w:sdt>
    </w:p>
    <w:p w14:paraId="238B043E" w14:textId="07E9159D" w:rsidR="00C83335" w:rsidRPr="005764FC" w:rsidRDefault="004E5D30" w:rsidP="00C83335">
      <w:pPr>
        <w:pStyle w:val="ListBullet"/>
        <w:ind w:left="357" w:hanging="357"/>
        <w:contextualSpacing/>
      </w:pPr>
      <w:r w:rsidRPr="005764FC">
        <w:t>D</w:t>
      </w:r>
      <w:r w:rsidR="00C83335" w:rsidRPr="005764FC">
        <w:t>eployment of operational systems across Europe (</w:t>
      </w:r>
      <w:r w:rsidR="00FB5DEC" w:rsidRPr="005764FC">
        <w:t>such as</w:t>
      </w:r>
      <w:r w:rsidR="00C83335" w:rsidRPr="005764FC">
        <w:t xml:space="preserve"> 525 roadside stations and a central station on Austrian motorways by 2023)</w:t>
      </w:r>
      <w:r w:rsidR="00887953">
        <w:t xml:space="preserve"> </w:t>
      </w:r>
      <w:sdt>
        <w:sdtPr>
          <w:id w:val="1205224048"/>
          <w:citation/>
        </w:sdtPr>
        <w:sdtContent>
          <w:r w:rsidR="00887953">
            <w:fldChar w:fldCharType="begin"/>
          </w:r>
          <w:r w:rsidR="00887953">
            <w:instrText xml:space="preserve">CITATION CIT0a \l 3081 </w:instrText>
          </w:r>
          <w:r w:rsidR="00887953">
            <w:fldChar w:fldCharType="separate"/>
          </w:r>
          <w:r w:rsidR="001428F9">
            <w:rPr>
              <w:noProof/>
            </w:rPr>
            <w:t>(C-ITS Deployment Group, 2020b)</w:t>
          </w:r>
          <w:r w:rsidR="00887953">
            <w:fldChar w:fldCharType="end"/>
          </w:r>
        </w:sdtContent>
      </w:sdt>
    </w:p>
    <w:p w14:paraId="272E8E53" w14:textId="04306B46" w:rsidR="00C83335" w:rsidRPr="005764FC" w:rsidRDefault="004E5D30" w:rsidP="00C83335">
      <w:pPr>
        <w:pStyle w:val="ListBullet"/>
        <w:ind w:left="357" w:hanging="357"/>
        <w:contextualSpacing/>
      </w:pPr>
      <w:r w:rsidRPr="005764FC">
        <w:t>D</w:t>
      </w:r>
      <w:r w:rsidR="00C83335" w:rsidRPr="005764FC">
        <w:t>eployment of an operational, cross-jurisdictional SCMS</w:t>
      </w:r>
    </w:p>
    <w:p w14:paraId="4016CAC9" w14:textId="02BD3F2C" w:rsidR="00C83335" w:rsidRPr="005764FC" w:rsidRDefault="004E5D30" w:rsidP="00C83335">
      <w:pPr>
        <w:pStyle w:val="ListBullet"/>
        <w:ind w:left="357" w:hanging="357"/>
        <w:contextualSpacing/>
      </w:pPr>
      <w:r w:rsidRPr="005764FC">
        <w:t>C</w:t>
      </w:r>
      <w:r w:rsidR="00C83335" w:rsidRPr="005764FC">
        <w:t>ommitment at parliament</w:t>
      </w:r>
      <w:r w:rsidR="00FB5DEC" w:rsidRPr="005764FC">
        <w:t>ary</w:t>
      </w:r>
      <w:r w:rsidR="00C83335" w:rsidRPr="005764FC">
        <w:t xml:space="preserve"> level by some national jurisdictions (such as Italy</w:t>
      </w:r>
      <w:r w:rsidR="00255799">
        <w:t xml:space="preserve"> </w:t>
      </w:r>
      <w:sdt>
        <w:sdtPr>
          <w:id w:val="-1512826026"/>
          <w:citation/>
        </w:sdtPr>
        <w:sdtContent>
          <w:r w:rsidR="00255799">
            <w:fldChar w:fldCharType="begin"/>
          </w:r>
          <w:r w:rsidR="00255799">
            <w:instrText xml:space="preserve"> CITATION Mau20 \l 3081 </w:instrText>
          </w:r>
          <w:r w:rsidR="00255799">
            <w:fldChar w:fldCharType="separate"/>
          </w:r>
          <w:r w:rsidR="001428F9">
            <w:rPr>
              <w:noProof/>
            </w:rPr>
            <w:t>(Mauro, 2020)</w:t>
          </w:r>
          <w:r w:rsidR="00255799">
            <w:fldChar w:fldCharType="end"/>
          </w:r>
        </w:sdtContent>
      </w:sdt>
      <w:r w:rsidR="00C83335" w:rsidRPr="005764FC">
        <w:t>)</w:t>
      </w:r>
    </w:p>
    <w:p w14:paraId="4F9AA8C8" w14:textId="589667AC" w:rsidR="00E30A4B" w:rsidRDefault="004E5D30" w:rsidP="0065405F">
      <w:pPr>
        <w:pStyle w:val="ListBullet"/>
        <w:spacing w:before="0" w:after="0" w:line="240" w:lineRule="auto"/>
        <w:ind w:left="357" w:hanging="357"/>
        <w:contextualSpacing/>
      </w:pPr>
      <w:r w:rsidRPr="005764FC">
        <w:t>T</w:t>
      </w:r>
      <w:r w:rsidR="00C83335" w:rsidRPr="005764FC">
        <w:t>he</w:t>
      </w:r>
      <w:r w:rsidR="00BB755B">
        <w:t xml:space="preserve"> amendment</w:t>
      </w:r>
      <w:r w:rsidR="0052564F" w:rsidRPr="005764FC">
        <w:t xml:space="preserve"> </w:t>
      </w:r>
      <w:r w:rsidR="00BB755B">
        <w:t>to</w:t>
      </w:r>
      <w:r w:rsidR="00C83335" w:rsidRPr="005764FC">
        <w:t xml:space="preserve"> legislative documentation </w:t>
      </w:r>
      <w:sdt>
        <w:sdtPr>
          <w:id w:val="-1314720219"/>
          <w:citation/>
        </w:sdtPr>
        <w:sdtContent>
          <w:r w:rsidR="008606C9">
            <w:fldChar w:fldCharType="begin"/>
          </w:r>
          <w:r w:rsidR="008606C9">
            <w:instrText xml:space="preserve"> CITATION Eur10 \l 3081 </w:instrText>
          </w:r>
          <w:r w:rsidR="008606C9">
            <w:fldChar w:fldCharType="separate"/>
          </w:r>
          <w:r w:rsidR="001428F9">
            <w:rPr>
              <w:noProof/>
            </w:rPr>
            <w:t>(European Union, 2010)</w:t>
          </w:r>
          <w:r w:rsidR="008606C9">
            <w:fldChar w:fldCharType="end"/>
          </w:r>
        </w:sdtContent>
      </w:sdt>
      <w:r w:rsidR="00C83335" w:rsidRPr="005764FC">
        <w:t xml:space="preserve"> for ITS in Europe (ITS Directive) </w:t>
      </w:r>
      <w:r w:rsidR="00BB755B">
        <w:t xml:space="preserve">is </w:t>
      </w:r>
      <w:r w:rsidR="00C83335" w:rsidRPr="005764FC">
        <w:t xml:space="preserve">currently </w:t>
      </w:r>
      <w:r w:rsidR="00FD7101">
        <w:t>open for feedback</w:t>
      </w:r>
      <w:r w:rsidR="0095603B">
        <w:t xml:space="preserve">. The </w:t>
      </w:r>
      <w:r w:rsidR="00DF5234">
        <w:t xml:space="preserve">Impact Assessment </w:t>
      </w:r>
      <w:sdt>
        <w:sdtPr>
          <w:id w:val="1164445705"/>
          <w:citation/>
        </w:sdtPr>
        <w:sdtContent>
          <w:r w:rsidR="00DF5234">
            <w:fldChar w:fldCharType="begin"/>
          </w:r>
          <w:r w:rsidR="00DF5234">
            <w:instrText xml:space="preserve">CITATION Eur21 \l 3081 </w:instrText>
          </w:r>
          <w:r w:rsidR="00DF5234">
            <w:fldChar w:fldCharType="separate"/>
          </w:r>
          <w:r w:rsidR="001428F9">
            <w:rPr>
              <w:noProof/>
            </w:rPr>
            <w:t>(European Commission, 2021b)</w:t>
          </w:r>
          <w:r w:rsidR="00DF5234">
            <w:fldChar w:fldCharType="end"/>
          </w:r>
        </w:sdtContent>
      </w:sdt>
      <w:r w:rsidR="00C83335" w:rsidRPr="005764FC">
        <w:t xml:space="preserve"> </w:t>
      </w:r>
      <w:r w:rsidR="00606787">
        <w:t>lists 25 policy measures including</w:t>
      </w:r>
      <w:r w:rsidR="00E30A4B">
        <w:t xml:space="preserve">: </w:t>
      </w:r>
    </w:p>
    <w:p w14:paraId="0A43351A" w14:textId="53AAEC86" w:rsidR="00AC1901" w:rsidRDefault="00AC1901" w:rsidP="0065405F">
      <w:pPr>
        <w:pStyle w:val="ListBullet2"/>
        <w:spacing w:before="0" w:after="0" w:line="240" w:lineRule="auto"/>
      </w:pPr>
      <w:r>
        <w:t>Mandate availability of Day 1 C-ITS services</w:t>
      </w:r>
      <w:r w:rsidR="00A02D6D">
        <w:t xml:space="preserve"> </w:t>
      </w:r>
      <w:r w:rsidR="00A02D6D" w:rsidRPr="00A02D6D">
        <w:t>all new vehicle models after 2028</w:t>
      </w:r>
    </w:p>
    <w:p w14:paraId="1FC60C97" w14:textId="77777777" w:rsidR="001C05B6" w:rsidRDefault="001C05B6" w:rsidP="0065405F">
      <w:pPr>
        <w:pStyle w:val="ListBullet2"/>
        <w:spacing w:before="0" w:after="0" w:line="240" w:lineRule="auto"/>
      </w:pPr>
      <w:r>
        <w:t>Specifications for C-ITS (Day 1, Day 1,5 and Day 2 services)</w:t>
      </w:r>
    </w:p>
    <w:p w14:paraId="3D77909F" w14:textId="4FA4CEEB" w:rsidR="00B30677" w:rsidRDefault="00B30677" w:rsidP="0065405F">
      <w:pPr>
        <w:pStyle w:val="ListBullet2"/>
        <w:spacing w:before="0" w:after="0" w:line="240" w:lineRule="auto"/>
      </w:pPr>
      <w:r>
        <w:t>Implement the European C-ITS Trust model</w:t>
      </w:r>
    </w:p>
    <w:p w14:paraId="63B47B3C" w14:textId="7EC1623A" w:rsidR="00B30677" w:rsidRDefault="00B30677" w:rsidP="0065405F">
      <w:pPr>
        <w:pStyle w:val="ListBullet2"/>
        <w:spacing w:before="0" w:after="0" w:line="240" w:lineRule="auto"/>
      </w:pPr>
      <w:r>
        <w:t>Introduce legal provisions on the European Union C-ITS Trust model</w:t>
      </w:r>
    </w:p>
    <w:p w14:paraId="117B7CB8" w14:textId="77777777" w:rsidR="001C05B6" w:rsidRDefault="001C05B6" w:rsidP="0065405F">
      <w:pPr>
        <w:pStyle w:val="ListBullet2"/>
        <w:spacing w:before="0" w:after="0" w:line="240" w:lineRule="auto"/>
      </w:pPr>
      <w:r>
        <w:t>Mandate availability of crucial real time traffic information data</w:t>
      </w:r>
    </w:p>
    <w:p w14:paraId="496C6BA5" w14:textId="77777777" w:rsidR="001C05B6" w:rsidRDefault="001C05B6" w:rsidP="0065405F">
      <w:pPr>
        <w:pStyle w:val="ListBullet2"/>
        <w:spacing w:before="0" w:after="0" w:line="240" w:lineRule="auto"/>
      </w:pPr>
      <w:r>
        <w:t>Mandate availability of Safe &amp; Secure truck parking data</w:t>
      </w:r>
    </w:p>
    <w:p w14:paraId="5F6A79BF" w14:textId="77777777" w:rsidR="001C05B6" w:rsidRDefault="001C05B6" w:rsidP="0065405F">
      <w:pPr>
        <w:pStyle w:val="ListBullet2"/>
        <w:spacing w:before="0" w:after="0" w:line="240" w:lineRule="auto"/>
      </w:pPr>
      <w:r>
        <w:t>Mandate availability of safety related traffic information services</w:t>
      </w:r>
    </w:p>
    <w:p w14:paraId="01B9FDA4" w14:textId="71C569C5" w:rsidR="00290C0C" w:rsidRDefault="00290C0C" w:rsidP="0065405F">
      <w:pPr>
        <w:pStyle w:val="ListBullet2"/>
        <w:spacing w:before="0" w:after="0" w:line="240" w:lineRule="auto"/>
      </w:pPr>
      <w:r>
        <w:t>Revision of specification for real time traffic information data</w:t>
      </w:r>
    </w:p>
    <w:p w14:paraId="24686706" w14:textId="573311ED" w:rsidR="00BF36A0" w:rsidRDefault="00BF36A0" w:rsidP="0065405F">
      <w:pPr>
        <w:pStyle w:val="ListBullet2"/>
        <w:spacing w:before="0" w:after="0" w:line="240" w:lineRule="auto"/>
      </w:pPr>
      <w:r>
        <w:t>Requirements for the access to in-vehicle generated data for road operation (asset and traffic management) services</w:t>
      </w:r>
    </w:p>
    <w:p w14:paraId="4623B80D" w14:textId="10CC210F" w:rsidR="00323350" w:rsidRDefault="00323350" w:rsidP="0065405F">
      <w:pPr>
        <w:pStyle w:val="ListBullet2"/>
        <w:spacing w:before="0" w:after="0" w:line="240" w:lineRule="auto"/>
      </w:pPr>
      <w:r>
        <w:t>Standards for in-vehicle generated data for road operation (asset and traffic management) services</w:t>
      </w:r>
    </w:p>
    <w:p w14:paraId="456E698B" w14:textId="52F34712" w:rsidR="00C83335" w:rsidRPr="005764FC" w:rsidRDefault="00AC1901" w:rsidP="0065405F">
      <w:pPr>
        <w:pStyle w:val="ListBullet2"/>
        <w:spacing w:before="0" w:after="0" w:line="240" w:lineRule="auto"/>
      </w:pPr>
      <w:r>
        <w:t xml:space="preserve">Setting-up of governance and the facilitation of national &amp; </w:t>
      </w:r>
      <w:r w:rsidR="00D948A3">
        <w:t>European Union</w:t>
      </w:r>
      <w:r>
        <w:t xml:space="preserve"> wide operational co-ordination of </w:t>
      </w:r>
      <w:r w:rsidR="00D948A3" w:rsidRPr="005764FC">
        <w:t>National Access Point</w:t>
      </w:r>
      <w:r w:rsidR="00D948A3">
        <w:t>s</w:t>
      </w:r>
      <w:r w:rsidR="00D948A3" w:rsidRPr="005764FC">
        <w:t xml:space="preserve"> (NAP</w:t>
      </w:r>
      <w:r w:rsidR="00D948A3">
        <w:t>s)</w:t>
      </w:r>
    </w:p>
    <w:p w14:paraId="37D3E23F" w14:textId="76ACCBB6" w:rsidR="00C83335" w:rsidRPr="005764FC" w:rsidRDefault="004E5D30" w:rsidP="0065405F">
      <w:pPr>
        <w:pStyle w:val="ListBullet"/>
        <w:spacing w:before="0" w:after="0" w:line="240" w:lineRule="auto"/>
        <w:ind w:left="357" w:hanging="357"/>
        <w:contextualSpacing/>
      </w:pPr>
      <w:r w:rsidRPr="005764FC">
        <w:t>T</w:t>
      </w:r>
      <w:r w:rsidR="00C83335" w:rsidRPr="005764FC">
        <w:t xml:space="preserve">he announcement of CCAM which will develop the standards and deployment framework </w:t>
      </w:r>
      <w:r w:rsidR="009B184A" w:rsidRPr="005764FC">
        <w:t>for</w:t>
      </w:r>
      <w:r w:rsidR="00C83335" w:rsidRPr="005764FC">
        <w:t xml:space="preserve"> combining C-ITS (co-operative and connected) with automated technology</w:t>
      </w:r>
      <w:r w:rsidR="009B184A" w:rsidRPr="005764FC">
        <w:t>,</w:t>
      </w:r>
      <w:r w:rsidR="00C83335" w:rsidRPr="005764FC">
        <w:t xml:space="preserve"> leveraging the current and near-term deployment of C-ITS</w:t>
      </w:r>
    </w:p>
    <w:p w14:paraId="15D19468" w14:textId="3248D193" w:rsidR="00C83335" w:rsidRPr="005764FC" w:rsidRDefault="008D1B54" w:rsidP="00720527">
      <w:pPr>
        <w:pStyle w:val="Heading4"/>
      </w:pPr>
      <w:r w:rsidRPr="005764FC">
        <w:t>U</w:t>
      </w:r>
      <w:r w:rsidR="00D9502D" w:rsidRPr="005764FC">
        <w:t>nited States</w:t>
      </w:r>
    </w:p>
    <w:p w14:paraId="1D0BA948" w14:textId="021F6231" w:rsidR="00A305A8" w:rsidRPr="005764FC" w:rsidRDefault="00A305A8" w:rsidP="00A305A8">
      <w:pPr>
        <w:pStyle w:val="BodyText"/>
      </w:pPr>
      <w:r w:rsidRPr="005764FC">
        <w:t xml:space="preserve">In the US, there are multiple </w:t>
      </w:r>
      <w:r w:rsidR="002E728E" w:rsidRPr="005764FC">
        <w:t xml:space="preserve">planned and operational </w:t>
      </w:r>
      <w:r w:rsidRPr="005764FC">
        <w:t>connected vehicle deployment locations</w:t>
      </w:r>
      <w:r w:rsidR="00591C8C">
        <w:t xml:space="preserve"> </w:t>
      </w:r>
      <w:sdt>
        <w:sdtPr>
          <w:id w:val="206538197"/>
          <w:citation/>
        </w:sdtPr>
        <w:sdtContent>
          <w:r w:rsidR="00591C8C">
            <w:fldChar w:fldCharType="begin"/>
          </w:r>
          <w:r w:rsidR="00591C8C">
            <w:instrText xml:space="preserve"> CITATION USD21 \l 3081 </w:instrText>
          </w:r>
          <w:r w:rsidR="000E1B0D">
            <w:instrText xml:space="preserve"> \m MDO17</w:instrText>
          </w:r>
          <w:r w:rsidR="00591C8C">
            <w:fldChar w:fldCharType="separate"/>
          </w:r>
          <w:r w:rsidR="001428F9">
            <w:rPr>
              <w:noProof/>
            </w:rPr>
            <w:t>(USDOT, 2021; MDOT and CAR, 2017)</w:t>
          </w:r>
          <w:r w:rsidR="00591C8C">
            <w:fldChar w:fldCharType="end"/>
          </w:r>
        </w:sdtContent>
      </w:sdt>
      <w:r w:rsidR="002E728E" w:rsidRPr="005764FC">
        <w:t>.</w:t>
      </w:r>
      <w:r w:rsidRPr="005764FC">
        <w:t xml:space="preserve"> Recommendations made to increase </w:t>
      </w:r>
      <w:r w:rsidR="002E728E" w:rsidRPr="005764FC">
        <w:t xml:space="preserve">regulators’, vehicle manufacturers’ and drivers’ </w:t>
      </w:r>
      <w:r w:rsidRPr="005764FC">
        <w:t>awareness and uptake</w:t>
      </w:r>
      <w:r w:rsidR="00B20F06" w:rsidRPr="005764FC">
        <w:t>,</w:t>
      </w:r>
      <w:r w:rsidRPr="005764FC">
        <w:t xml:space="preserve"> include</w:t>
      </w:r>
      <w:r w:rsidR="002E728E" w:rsidRPr="005764FC">
        <w:t xml:space="preserve"> the need for</w:t>
      </w:r>
      <w:r w:rsidRPr="005764FC">
        <w:t>:</w:t>
      </w:r>
    </w:p>
    <w:p w14:paraId="6369E9C0" w14:textId="63079588" w:rsidR="00A305A8" w:rsidRPr="005764FC" w:rsidRDefault="004E5D30" w:rsidP="00A305A8">
      <w:pPr>
        <w:pStyle w:val="ListBullet"/>
        <w:ind w:left="357" w:hanging="357"/>
        <w:contextualSpacing/>
      </w:pPr>
      <w:r w:rsidRPr="005764FC">
        <w:t>C</w:t>
      </w:r>
      <w:r w:rsidR="00A305A8" w:rsidRPr="005764FC">
        <w:t>omplete standards for use cases and performance</w:t>
      </w:r>
    </w:p>
    <w:p w14:paraId="7139463C" w14:textId="35005E7E" w:rsidR="00A305A8" w:rsidRPr="005764FC" w:rsidRDefault="004E5D30" w:rsidP="00A305A8">
      <w:pPr>
        <w:pStyle w:val="ListBullet"/>
        <w:ind w:left="357" w:hanging="357"/>
        <w:contextualSpacing/>
      </w:pPr>
      <w:r w:rsidRPr="005764FC">
        <w:t>I</w:t>
      </w:r>
      <w:r w:rsidR="00A305A8" w:rsidRPr="005764FC">
        <w:t>mprove</w:t>
      </w:r>
      <w:r w:rsidR="002E728E" w:rsidRPr="005764FC">
        <w:t>d</w:t>
      </w:r>
      <w:r w:rsidR="00A305A8" w:rsidRPr="005764FC">
        <w:t xml:space="preserve"> consumer awareness </w:t>
      </w:r>
      <w:r w:rsidR="002E728E" w:rsidRPr="005764FC">
        <w:t>by</w:t>
      </w:r>
      <w:r w:rsidR="00A305A8" w:rsidRPr="005764FC">
        <w:t xml:space="preserve"> inclu</w:t>
      </w:r>
      <w:r w:rsidR="002E728E" w:rsidRPr="005764FC">
        <w:t>ding</w:t>
      </w:r>
      <w:r w:rsidR="00A305A8" w:rsidRPr="005764FC">
        <w:t xml:space="preserve"> technology as a criterion in the New Car Assessment Program’s 5-star rating system</w:t>
      </w:r>
    </w:p>
    <w:p w14:paraId="3D4863AF" w14:textId="5702DB39" w:rsidR="00A305A8" w:rsidRPr="005764FC" w:rsidRDefault="004E5D30" w:rsidP="00A305A8">
      <w:pPr>
        <w:pStyle w:val="ListBullet"/>
        <w:ind w:left="357" w:hanging="357"/>
        <w:contextualSpacing/>
      </w:pPr>
      <w:r w:rsidRPr="005764FC">
        <w:t>C</w:t>
      </w:r>
      <w:r w:rsidR="002E728E" w:rsidRPr="005764FC">
        <w:t xml:space="preserve">onsumer </w:t>
      </w:r>
      <w:r w:rsidR="00A305A8" w:rsidRPr="005764FC">
        <w:t>education o</w:t>
      </w:r>
      <w:r w:rsidR="002E728E" w:rsidRPr="005764FC">
        <w:t>n</w:t>
      </w:r>
      <w:r w:rsidR="00A305A8" w:rsidRPr="005764FC">
        <w:t xml:space="preserve"> collision avoidance system features </w:t>
      </w:r>
      <w:r w:rsidR="007677EA" w:rsidRPr="005764FC">
        <w:t>via</w:t>
      </w:r>
      <w:r w:rsidR="00A305A8" w:rsidRPr="005764FC">
        <w:t xml:space="preserve"> vehicle manufacturers/dealers, a</w:t>
      </w:r>
      <w:r w:rsidR="007677EA" w:rsidRPr="005764FC">
        <w:t>nd</w:t>
      </w:r>
      <w:r w:rsidR="00A305A8" w:rsidRPr="005764FC">
        <w:t xml:space="preserve"> regulation</w:t>
      </w:r>
      <w:r w:rsidR="00967DEC">
        <w:t>.</w:t>
      </w:r>
    </w:p>
    <w:p w14:paraId="4A82D7AD" w14:textId="10598335" w:rsidR="008D1B54" w:rsidRPr="005764FC" w:rsidRDefault="00A305A8" w:rsidP="00A305A8">
      <w:pPr>
        <w:pStyle w:val="BodyText"/>
      </w:pPr>
      <w:r w:rsidRPr="005764FC">
        <w:t xml:space="preserve">In the US, uptake varies from state-to-state and from city-to-city as federal coordination </w:t>
      </w:r>
      <w:r w:rsidR="00A46FE0" w:rsidRPr="005764FC">
        <w:t>w</w:t>
      </w:r>
      <w:r w:rsidRPr="005764FC">
        <w:t xml:space="preserve">as limited under the previous </w:t>
      </w:r>
      <w:r w:rsidR="004F303C" w:rsidRPr="005764FC">
        <w:t xml:space="preserve">federal </w:t>
      </w:r>
      <w:r w:rsidRPr="005764FC">
        <w:t xml:space="preserve">administration. </w:t>
      </w:r>
      <w:r w:rsidR="00A46FE0" w:rsidRPr="005764FC">
        <w:t xml:space="preserve">Section </w:t>
      </w:r>
      <w:r w:rsidR="00A46FE0" w:rsidRPr="005764FC">
        <w:fldChar w:fldCharType="begin" w:fldLock="1"/>
      </w:r>
      <w:r w:rsidR="00A46FE0" w:rsidRPr="005764FC">
        <w:instrText xml:space="preserve"> REF _Ref94133238 \r \h </w:instrText>
      </w:r>
      <w:r w:rsidR="00A46FE0" w:rsidRPr="005764FC">
        <w:fldChar w:fldCharType="separate"/>
      </w:r>
      <w:r w:rsidR="00A34B27">
        <w:t>1.6.3</w:t>
      </w:r>
      <w:r w:rsidR="00A46FE0" w:rsidRPr="005764FC">
        <w:fldChar w:fldCharType="end"/>
      </w:r>
      <w:r w:rsidR="00A46FE0" w:rsidRPr="005764FC">
        <w:t xml:space="preserve"> covers t</w:t>
      </w:r>
      <w:r w:rsidRPr="005764FC">
        <w:t xml:space="preserve">he recent </w:t>
      </w:r>
      <w:r w:rsidR="00A46FE0" w:rsidRPr="005764FC">
        <w:t xml:space="preserve">US </w:t>
      </w:r>
      <w:r w:rsidRPr="005764FC">
        <w:t xml:space="preserve">development </w:t>
      </w:r>
      <w:r w:rsidR="00A46FE0" w:rsidRPr="005764FC">
        <w:t>that</w:t>
      </w:r>
      <w:r w:rsidRPr="005764FC">
        <w:t xml:space="preserve"> reallocat</w:t>
      </w:r>
      <w:r w:rsidR="00A46FE0" w:rsidRPr="005764FC">
        <w:t>ed</w:t>
      </w:r>
      <w:r w:rsidRPr="005764FC">
        <w:t xml:space="preserve"> </w:t>
      </w:r>
      <w:r w:rsidR="003D2F76" w:rsidRPr="005764FC">
        <w:t xml:space="preserve">a portion of </w:t>
      </w:r>
      <w:r w:rsidRPr="005764FC">
        <w:t>the 5.</w:t>
      </w:r>
      <w:r w:rsidR="004F303C" w:rsidRPr="005764FC">
        <w:t>9</w:t>
      </w:r>
      <w:r w:rsidRPr="005764FC">
        <w:t>GHz spectrum</w:t>
      </w:r>
      <w:r w:rsidR="00B538D3" w:rsidRPr="005764FC">
        <w:t>.</w:t>
      </w:r>
    </w:p>
    <w:tbl>
      <w:tblPr>
        <w:tblStyle w:val="TablePlaceholder"/>
        <w:tblW w:w="5000" w:type="pct"/>
        <w:tblLayout w:type="fixed"/>
        <w:tblLook w:val="04A0" w:firstRow="1" w:lastRow="0" w:firstColumn="1" w:lastColumn="0" w:noHBand="0" w:noVBand="1"/>
      </w:tblPr>
      <w:tblGrid>
        <w:gridCol w:w="3957"/>
        <w:gridCol w:w="110"/>
        <w:gridCol w:w="5686"/>
      </w:tblGrid>
      <w:tr w:rsidR="00C17F08" w:rsidRPr="005764FC" w14:paraId="5120CAA3" w14:textId="77777777" w:rsidTr="00B2330D">
        <w:trPr>
          <w:trHeight w:val="2807"/>
        </w:trPr>
        <w:tc>
          <w:tcPr>
            <w:tcW w:w="2029" w:type="pct"/>
          </w:tcPr>
          <w:p w14:paraId="29D2178A" w14:textId="77777777" w:rsidR="00C17F08" w:rsidRPr="005764FC" w:rsidRDefault="00C17F08" w:rsidP="007B54AB">
            <w:r w:rsidRPr="005764FC">
              <w:rPr>
                <w:noProof/>
              </w:rPr>
              <w:drawing>
                <wp:inline distT="0" distB="0" distL="0" distR="0" wp14:anchorId="3A023E42" wp14:editId="5127807F">
                  <wp:extent cx="2700020" cy="3020695"/>
                  <wp:effectExtent l="0" t="0" r="5080" b="8255"/>
                  <wp:docPr id="101" name="Picture 101" descr="Figure 1.20 is a map of UK that demonstrates where roadside stations and cellular C-ITS services are i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09043" cy="3030790"/>
                          </a:xfrm>
                          <a:prstGeom prst="rect">
                            <a:avLst/>
                          </a:prstGeom>
                        </pic:spPr>
                      </pic:pic>
                    </a:graphicData>
                  </a:graphic>
                </wp:inline>
              </w:drawing>
            </w:r>
          </w:p>
          <w:p w14:paraId="53A5BBF7" w14:textId="55BEB74E" w:rsidR="00C626B6" w:rsidRPr="005764FC" w:rsidRDefault="003251DE" w:rsidP="007B54AB">
            <w:r>
              <w:rPr>
                <w:lang w:eastAsia="en-US"/>
              </w:rPr>
              <w:pict w14:anchorId="5DAB7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1,291,555 Wifi Symbol Stock Photos, Pictures &amp;amp; Royalty-Free Images - iStock" style="width:15.75pt;height:14.25pt;visibility:visible" o:bullet="t">
                  <v:imagedata r:id="rId63" o:title="1,291,555 Wifi Symbol Stock Photos, Pictures &amp;amp; Royalty-Free Images - iStock" croptop="15688f" cropbottom="16432f" cropleft="12068f" cropright="12001f"/>
                </v:shape>
              </w:pict>
            </w:r>
            <w:r w:rsidR="00086ED9" w:rsidRPr="005764FC">
              <w:t xml:space="preserve"> </w:t>
            </w:r>
            <w:r w:rsidR="00ED15CF" w:rsidRPr="005764FC">
              <w:t xml:space="preserve"> R</w:t>
            </w:r>
            <w:r w:rsidR="00086ED9" w:rsidRPr="005764FC">
              <w:t>oadside stations</w:t>
            </w:r>
          </w:p>
          <w:p w14:paraId="63B125A7" w14:textId="734F5361" w:rsidR="005F5A33" w:rsidRPr="005764FC" w:rsidRDefault="00AA28FC" w:rsidP="00D60ADF">
            <w:pPr>
              <w:ind w:left="381"/>
            </w:pPr>
            <w:r w:rsidRPr="005764FC">
              <w:rPr>
                <w:noProof/>
              </w:rPr>
              <mc:AlternateContent>
                <mc:Choice Requires="wps">
                  <w:drawing>
                    <wp:anchor distT="0" distB="0" distL="114300" distR="114300" simplePos="0" relativeHeight="251658243" behindDoc="0" locked="0" layoutInCell="1" allowOverlap="1" wp14:anchorId="1D33BF74" wp14:editId="582B555F">
                      <wp:simplePos x="0" y="0"/>
                      <wp:positionH relativeFrom="column">
                        <wp:posOffset>-1270</wp:posOffset>
                      </wp:positionH>
                      <wp:positionV relativeFrom="paragraph">
                        <wp:posOffset>59055</wp:posOffset>
                      </wp:positionV>
                      <wp:extent cx="180000" cy="0"/>
                      <wp:effectExtent l="0" t="19050" r="29845" b="1905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85DD9" id="Straight Connector 12"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65pt" to="1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" strokecolor="red" strokeweight="2.25pt"/>
                  </w:pict>
                </mc:Fallback>
              </mc:AlternateContent>
            </w:r>
            <w:r w:rsidR="00422EAE" w:rsidRPr="005764FC">
              <w:t xml:space="preserve">Cellular </w:t>
            </w:r>
            <w:r w:rsidR="00F314E2" w:rsidRPr="005764FC">
              <w:t>C-ITS services</w:t>
            </w:r>
          </w:p>
        </w:tc>
        <w:tc>
          <w:tcPr>
            <w:tcW w:w="56" w:type="pct"/>
          </w:tcPr>
          <w:p w14:paraId="1DFE5E19" w14:textId="77777777" w:rsidR="00C17F08" w:rsidRPr="005764FC" w:rsidRDefault="00C17F08" w:rsidP="007B54AB"/>
        </w:tc>
        <w:tc>
          <w:tcPr>
            <w:tcW w:w="2915" w:type="pct"/>
          </w:tcPr>
          <w:p w14:paraId="426CA42C" w14:textId="77777777" w:rsidR="00C17F08" w:rsidRPr="000D5F1A" w:rsidRDefault="00C17F08" w:rsidP="007B54AB">
            <w:r w:rsidRPr="000D5F1A">
              <w:rPr>
                <w:noProof/>
              </w:rPr>
              <w:drawing>
                <wp:inline distT="0" distB="0" distL="0" distR="0" wp14:anchorId="46FA26A0" wp14:editId="59DA3F03">
                  <wp:extent cx="3562185" cy="1954033"/>
                  <wp:effectExtent l="0" t="0" r="1270" b="5715"/>
                  <wp:docPr id="102" name="Picture 102" descr="Figure 1.21 is a Map of US to demonstrate where planned and operational connected vehicle deployments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62185" cy="1954033"/>
                          </a:xfrm>
                          <a:prstGeom prst="rect">
                            <a:avLst/>
                          </a:prstGeom>
                        </pic:spPr>
                      </pic:pic>
                    </a:graphicData>
                  </a:graphic>
                </wp:inline>
              </w:drawing>
            </w:r>
          </w:p>
          <w:p w14:paraId="5CE30393" w14:textId="7BD07811" w:rsidR="00C17F08" w:rsidRPr="005764FC" w:rsidRDefault="00C17F08" w:rsidP="004B5143">
            <w:r w:rsidRPr="005764FC">
              <w:rPr>
                <w:noProof/>
              </w:rPr>
              <w:drawing>
                <wp:inline distT="0" distB="0" distL="0" distR="0" wp14:anchorId="313ACAD4" wp14:editId="748B09D5">
                  <wp:extent cx="190196" cy="190196"/>
                  <wp:effectExtent l="0" t="0" r="635" b="635"/>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113" cy="193113"/>
                          </a:xfrm>
                          <a:prstGeom prst="rect">
                            <a:avLst/>
                          </a:prstGeom>
                          <a:noFill/>
                          <a:ln>
                            <a:noFill/>
                          </a:ln>
                        </pic:spPr>
                      </pic:pic>
                    </a:graphicData>
                  </a:graphic>
                </wp:inline>
              </w:drawing>
            </w:r>
            <w:r w:rsidR="004B5143" w:rsidRPr="005764FC">
              <w:t xml:space="preserve">  </w:t>
            </w:r>
            <w:r w:rsidRPr="005764FC">
              <w:t>Planned Connected Vehicle Deployments</w:t>
            </w:r>
          </w:p>
          <w:p w14:paraId="6A8D7DD2" w14:textId="67BD3A41" w:rsidR="00C17F08" w:rsidRPr="005764FC" w:rsidRDefault="00C17F08" w:rsidP="004B5143">
            <w:r w:rsidRPr="005764FC">
              <w:rPr>
                <w:noProof/>
              </w:rPr>
              <w:drawing>
                <wp:inline distT="0" distB="0" distL="0" distR="0" wp14:anchorId="5DBFE7A0" wp14:editId="4EAC52B7">
                  <wp:extent cx="189865" cy="189865"/>
                  <wp:effectExtent l="0" t="0" r="635" b="63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5251" cy="195251"/>
                          </a:xfrm>
                          <a:prstGeom prst="rect">
                            <a:avLst/>
                          </a:prstGeom>
                          <a:noFill/>
                          <a:ln>
                            <a:noFill/>
                          </a:ln>
                        </pic:spPr>
                      </pic:pic>
                    </a:graphicData>
                  </a:graphic>
                </wp:inline>
              </w:drawing>
            </w:r>
            <w:r w:rsidR="004B5143" w:rsidRPr="005764FC">
              <w:t xml:space="preserve"> </w:t>
            </w:r>
            <w:r w:rsidRPr="005764FC">
              <w:t>Operational Connected Vehicle Deployments</w:t>
            </w:r>
          </w:p>
        </w:tc>
      </w:tr>
      <w:tr w:rsidR="00C17F08" w:rsidRPr="005764FC" w14:paraId="70058105" w14:textId="77777777" w:rsidTr="00B2330D">
        <w:tc>
          <w:tcPr>
            <w:tcW w:w="2029" w:type="pct"/>
          </w:tcPr>
          <w:p w14:paraId="720AB7E3" w14:textId="3BCD0BB3" w:rsidR="00C17F08" w:rsidRPr="005764FC" w:rsidRDefault="00C17F08" w:rsidP="00711380">
            <w:pPr>
              <w:pStyle w:val="Caption"/>
              <w:keepNext w:val="0"/>
              <w:spacing w:before="40" w:after="0" w:line="240" w:lineRule="auto"/>
            </w:pPr>
            <w:bookmarkStart w:id="161" w:name="_Ref94165843"/>
            <w:bookmarkStart w:id="162" w:name="_Toc97807841"/>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20</w:t>
            </w:r>
            <w:r w:rsidR="00287C9E" w:rsidRPr="005764FC">
              <w:fldChar w:fldCharType="end"/>
            </w:r>
            <w:bookmarkEnd w:id="161"/>
            <w:r w:rsidRPr="005764FC">
              <w:tab/>
              <w:t>Europe Deployment Map</w:t>
            </w:r>
            <w:bookmarkEnd w:id="162"/>
          </w:p>
        </w:tc>
        <w:tc>
          <w:tcPr>
            <w:tcW w:w="56" w:type="pct"/>
          </w:tcPr>
          <w:p w14:paraId="203D7627" w14:textId="77777777" w:rsidR="00C17F08" w:rsidRPr="005764FC" w:rsidRDefault="00C17F08" w:rsidP="00711380">
            <w:pPr>
              <w:pStyle w:val="BodyText"/>
              <w:spacing w:before="40" w:after="0" w:line="240" w:lineRule="auto"/>
            </w:pPr>
          </w:p>
        </w:tc>
        <w:tc>
          <w:tcPr>
            <w:tcW w:w="2915" w:type="pct"/>
          </w:tcPr>
          <w:p w14:paraId="70EA8537" w14:textId="4A20EED4" w:rsidR="00C17F08" w:rsidRPr="005764FC" w:rsidRDefault="00C17F08" w:rsidP="00711380">
            <w:pPr>
              <w:pStyle w:val="Caption"/>
              <w:keepNext w:val="0"/>
              <w:spacing w:before="40" w:after="0" w:line="240" w:lineRule="auto"/>
            </w:pPr>
            <w:bookmarkStart w:id="163" w:name="_Ref94165852"/>
            <w:bookmarkStart w:id="164" w:name="_Toc97807842"/>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1</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21</w:t>
            </w:r>
            <w:r w:rsidR="00287C9E" w:rsidRPr="005764FC">
              <w:fldChar w:fldCharType="end"/>
            </w:r>
            <w:bookmarkEnd w:id="163"/>
            <w:r w:rsidRPr="005764FC">
              <w:tab/>
              <w:t>US Deployment Map</w:t>
            </w:r>
            <w:sdt>
              <w:sdtPr>
                <w:id w:val="1605845834"/>
                <w:citation/>
              </w:sdtPr>
              <w:sdtContent>
                <w:r w:rsidR="00284E2B">
                  <w:fldChar w:fldCharType="begin"/>
                </w:r>
                <w:r w:rsidR="00284E2B">
                  <w:instrText xml:space="preserve"> CITATION USD21 \l 3081 </w:instrText>
                </w:r>
                <w:r w:rsidR="00284E2B">
                  <w:fldChar w:fldCharType="separate"/>
                </w:r>
                <w:r w:rsidR="001428F9">
                  <w:rPr>
                    <w:noProof/>
                  </w:rPr>
                  <w:t xml:space="preserve"> (USDOT, 2021)</w:t>
                </w:r>
                <w:r w:rsidR="00284E2B">
                  <w:fldChar w:fldCharType="end"/>
                </w:r>
              </w:sdtContent>
            </w:sdt>
            <w:bookmarkEnd w:id="164"/>
          </w:p>
        </w:tc>
      </w:tr>
    </w:tbl>
    <w:p w14:paraId="175776B0" w14:textId="77777777" w:rsidR="000D172C" w:rsidRPr="005764FC" w:rsidRDefault="000D172C" w:rsidP="00720527">
      <w:pPr>
        <w:pStyle w:val="Heading4"/>
      </w:pPr>
      <w:r w:rsidRPr="005764FC">
        <w:t>Japan</w:t>
      </w:r>
    </w:p>
    <w:p w14:paraId="11710592" w14:textId="5C25A611" w:rsidR="000D172C" w:rsidRPr="005764FC" w:rsidRDefault="000D172C" w:rsidP="000D5F1A">
      <w:pPr>
        <w:pStyle w:val="BodyText"/>
        <w:keepLines/>
      </w:pPr>
      <w:r w:rsidRPr="005764FC">
        <w:t xml:space="preserve">Notably, the first C-ITS system in Japan </w:t>
      </w:r>
      <w:r w:rsidR="00A46FE0" w:rsidRPr="005764FC">
        <w:t>‘</w:t>
      </w:r>
      <w:r w:rsidRPr="005764FC">
        <w:t>VICS (Vehicle Infrastructure Communication Systems)</w:t>
      </w:r>
      <w:r w:rsidR="00A46FE0" w:rsidRPr="005764FC">
        <w:t>’</w:t>
      </w:r>
      <w:r w:rsidRPr="005764FC">
        <w:t xml:space="preserve"> was launched in 1996. This system provides In-Vehicle Information using 2.4GHz radio wave communications. </w:t>
      </w:r>
      <w:r w:rsidR="00A46FE0" w:rsidRPr="005764FC">
        <w:t>T</w:t>
      </w:r>
      <w:r w:rsidRPr="005764FC">
        <w:t xml:space="preserve">he </w:t>
      </w:r>
      <w:r w:rsidR="006A0249" w:rsidRPr="005764FC">
        <w:t>Electronic Toll Collection (</w:t>
      </w:r>
      <w:r w:rsidRPr="005764FC">
        <w:t>ETC</w:t>
      </w:r>
      <w:r w:rsidR="006A0249" w:rsidRPr="005764FC">
        <w:t>)</w:t>
      </w:r>
      <w:r w:rsidRPr="005764FC">
        <w:t xml:space="preserve"> 2.0 C-ITS project launched</w:t>
      </w:r>
      <w:r w:rsidR="00A46FE0" w:rsidRPr="005764FC">
        <w:t xml:space="preserve"> in 2014</w:t>
      </w:r>
      <w:r w:rsidRPr="005764FC">
        <w:t xml:space="preserve">, aimed to develop and deliver a range of applications for V2I and V2V communications that fully uses the </w:t>
      </w:r>
      <w:r w:rsidR="00A46FE0" w:rsidRPr="005764FC">
        <w:t xml:space="preserve">5.8GHz DSRC </w:t>
      </w:r>
      <w:r w:rsidRPr="005764FC">
        <w:t>capacity and bidirectional capabilities. This project delivered the ability to collect probe data that accurately detailed congestion information</w:t>
      </w:r>
      <w:r w:rsidR="00A46FE0" w:rsidRPr="005764FC">
        <w:t>,</w:t>
      </w:r>
      <w:r w:rsidRPr="005764FC">
        <w:t xml:space="preserve"> as well as an application that allowed for dynamic route guidance along </w:t>
      </w:r>
      <w:r w:rsidR="00A46FE0" w:rsidRPr="005764FC">
        <w:t>Tokyo</w:t>
      </w:r>
      <w:r w:rsidR="000463CE" w:rsidRPr="005764FC">
        <w:t>’s</w:t>
      </w:r>
      <w:r w:rsidR="00A46FE0" w:rsidRPr="005764FC">
        <w:t xml:space="preserve"> </w:t>
      </w:r>
      <w:r w:rsidRPr="005764FC">
        <w:t>expressways</w:t>
      </w:r>
      <w:r w:rsidR="00AC5961">
        <w:t xml:space="preserve"> </w:t>
      </w:r>
      <w:sdt>
        <w:sdtPr>
          <w:id w:val="635923494"/>
          <w:citation/>
        </w:sdtPr>
        <w:sdtContent>
          <w:r w:rsidR="00AC5961">
            <w:fldChar w:fldCharType="begin"/>
          </w:r>
          <w:r w:rsidR="00AC5961">
            <w:instrText xml:space="preserve"> CITATION Mak17 \l 3081 </w:instrText>
          </w:r>
          <w:r w:rsidR="00AC5961">
            <w:fldChar w:fldCharType="separate"/>
          </w:r>
          <w:r w:rsidR="001428F9">
            <w:rPr>
              <w:noProof/>
            </w:rPr>
            <w:t>(Makano, 2017)</w:t>
          </w:r>
          <w:r w:rsidR="00AC5961">
            <w:fldChar w:fldCharType="end"/>
          </w:r>
        </w:sdtContent>
      </w:sdt>
      <w:r w:rsidR="00A46FE0" w:rsidRPr="005764FC">
        <w:t>.</w:t>
      </w:r>
      <w:r w:rsidRPr="005764FC">
        <w:t xml:space="preserve"> In August 2015, ETC 2.0 on-board units </w:t>
      </w:r>
      <w:r w:rsidR="00D2302E" w:rsidRPr="005764FC">
        <w:t>(ve</w:t>
      </w:r>
      <w:r w:rsidR="00583A52" w:rsidRPr="005764FC">
        <w:t>h</w:t>
      </w:r>
      <w:r w:rsidR="00D2302E" w:rsidRPr="005764FC">
        <w:t>ic</w:t>
      </w:r>
      <w:r w:rsidR="00583A52" w:rsidRPr="005764FC">
        <w:t>l</w:t>
      </w:r>
      <w:r w:rsidR="00D2302E" w:rsidRPr="005764FC">
        <w:t xml:space="preserve">e stations) </w:t>
      </w:r>
      <w:r w:rsidRPr="005764FC">
        <w:t xml:space="preserve">were available in the market, </w:t>
      </w:r>
      <w:r w:rsidR="0001210B" w:rsidRPr="005764FC">
        <w:t>with</w:t>
      </w:r>
      <w:r w:rsidR="00A46FE0" w:rsidRPr="005764FC">
        <w:t xml:space="preserve"> about</w:t>
      </w:r>
      <w:r w:rsidRPr="005764FC">
        <w:t xml:space="preserve"> 3.71 million units </w:t>
      </w:r>
      <w:r w:rsidR="00A46FE0" w:rsidRPr="005764FC">
        <w:t>were</w:t>
      </w:r>
      <w:r w:rsidRPr="005764FC">
        <w:t xml:space="preserve"> set up by March 2019</w:t>
      </w:r>
      <w:r w:rsidR="00AE3CB1">
        <w:t xml:space="preserve"> </w:t>
      </w:r>
      <w:sdt>
        <w:sdtPr>
          <w:id w:val="-340626425"/>
          <w:citation/>
        </w:sdtPr>
        <w:sdtContent>
          <w:r w:rsidR="00AE3CB1">
            <w:fldChar w:fldCharType="begin"/>
          </w:r>
          <w:r w:rsidR="00AE3CB1">
            <w:instrText xml:space="preserve"> CITATION Min19 \l 3081 </w:instrText>
          </w:r>
          <w:r w:rsidR="00AE3CB1">
            <w:fldChar w:fldCharType="separate"/>
          </w:r>
          <w:r w:rsidR="001428F9">
            <w:rPr>
              <w:noProof/>
            </w:rPr>
            <w:t>(Ministry of Land, Infrastructure, Transport and Tourism, 2019)</w:t>
          </w:r>
          <w:r w:rsidR="00AE3CB1">
            <w:fldChar w:fldCharType="end"/>
          </w:r>
        </w:sdtContent>
      </w:sdt>
      <w:r w:rsidR="00A46FE0" w:rsidRPr="005764FC">
        <w:t>.</w:t>
      </w:r>
      <w:r w:rsidRPr="005764FC">
        <w:t xml:space="preserve"> </w:t>
      </w:r>
      <w:r w:rsidR="00A46FE0" w:rsidRPr="005764FC">
        <w:t>About</w:t>
      </w:r>
      <w:r w:rsidRPr="005764FC">
        <w:t xml:space="preserve"> 1700 </w:t>
      </w:r>
      <w:r w:rsidR="00951919" w:rsidRPr="005764FC">
        <w:t>roadside stations</w:t>
      </w:r>
      <w:r w:rsidRPr="005764FC">
        <w:t xml:space="preserve"> are located on highways across Japan. C-ITS technology is promoted to users as a means </w:t>
      </w:r>
      <w:r w:rsidR="00A46FE0" w:rsidRPr="005764FC">
        <w:t>of</w:t>
      </w:r>
      <w:r w:rsidRPr="005764FC">
        <w:t xml:space="preserve"> ‘smart road use’, including as a tool to avoid traffic congestion, traffic </w:t>
      </w:r>
      <w:r w:rsidR="001E1E04" w:rsidRPr="005764FC">
        <w:t>crashes</w:t>
      </w:r>
      <w:r w:rsidRPr="005764FC">
        <w:t>, and for smart logistics management among other use cases. A large amount of data collected from this deployment includ</w:t>
      </w:r>
      <w:r w:rsidR="00A46FE0" w:rsidRPr="005764FC">
        <w:t>es</w:t>
      </w:r>
      <w:r w:rsidRPr="005764FC">
        <w:t xml:space="preserve"> vehicle speed data, route data, and sudden braking occurrences. </w:t>
      </w:r>
    </w:p>
    <w:p w14:paraId="2727F662" w14:textId="07ED4406" w:rsidR="00BA1EDF" w:rsidRPr="005764FC" w:rsidRDefault="00BA1EDF" w:rsidP="00720527">
      <w:pPr>
        <w:pStyle w:val="Heading4"/>
      </w:pPr>
      <w:r w:rsidRPr="005764FC">
        <w:t>China</w:t>
      </w:r>
    </w:p>
    <w:p w14:paraId="4323DAA1" w14:textId="31DDCDE0" w:rsidR="00BA1EDF" w:rsidRPr="005764FC" w:rsidRDefault="00BA1EDF" w:rsidP="00BA1EDF">
      <w:pPr>
        <w:pStyle w:val="BodyText"/>
      </w:pPr>
      <w:r w:rsidRPr="005764FC">
        <w:t>In China, General Motors (GM) push</w:t>
      </w:r>
      <w:r w:rsidR="00A46FE0" w:rsidRPr="005764FC">
        <w:t>es</w:t>
      </w:r>
      <w:r w:rsidRPr="005764FC">
        <w:t xml:space="preserve"> for safer roads and more sustainable travel through investment in electric and automated vehicles. As part of China’s Advanced Technology Roadmap, GM introduced “Drive to 2030” at the 2010 Shanghai World Expo and has built a large</w:t>
      </w:r>
      <w:r w:rsidR="00A46FE0" w:rsidRPr="005764FC">
        <w:t>,</w:t>
      </w:r>
      <w:r w:rsidRPr="005764FC">
        <w:t xml:space="preserve"> connected customer base to enable long-term deployment of its electric and automated vehicles. GM will aim to have all its vehicles in China connected via flexible platforms</w:t>
      </w:r>
      <w:r w:rsidR="00A46FE0" w:rsidRPr="005764FC">
        <w:t>.</w:t>
      </w:r>
      <w:r w:rsidRPr="005764FC">
        <w:t xml:space="preserve"> Cadillac models, as well as some Chevrolet and Buick vehicles</w:t>
      </w:r>
      <w:r w:rsidR="00A46FE0" w:rsidRPr="005764FC">
        <w:t>,</w:t>
      </w:r>
      <w:r w:rsidRPr="005764FC">
        <w:t xml:space="preserve"> will also be 5G enabled in 2022</w:t>
      </w:r>
      <w:r w:rsidR="00FF7925">
        <w:t xml:space="preserve"> </w:t>
      </w:r>
      <w:sdt>
        <w:sdtPr>
          <w:id w:val="1620955152"/>
          <w:citation/>
        </w:sdtPr>
        <w:sdtContent>
          <w:r w:rsidR="00FF7925">
            <w:fldChar w:fldCharType="begin"/>
          </w:r>
          <w:r w:rsidR="00FF7925">
            <w:instrText xml:space="preserve"> CITATION GM19 \l 3081 </w:instrText>
          </w:r>
          <w:r w:rsidR="00FF7925">
            <w:fldChar w:fldCharType="separate"/>
          </w:r>
          <w:r w:rsidR="001428F9">
            <w:rPr>
              <w:noProof/>
            </w:rPr>
            <w:t>(GM, 2019)</w:t>
          </w:r>
          <w:r w:rsidR="00FF7925">
            <w:fldChar w:fldCharType="end"/>
          </w:r>
        </w:sdtContent>
      </w:sdt>
      <w:r w:rsidR="00A46FE0" w:rsidRPr="005764FC">
        <w:t>.</w:t>
      </w:r>
      <w:r w:rsidRPr="005764FC">
        <w:t xml:space="preserve"> From this, China appears to be scaling up </w:t>
      </w:r>
      <w:r w:rsidR="00A46FE0" w:rsidRPr="005764FC">
        <w:t>C-ITS</w:t>
      </w:r>
      <w:r w:rsidR="00287ED1" w:rsidRPr="005764FC">
        <w:t xml:space="preserve"> </w:t>
      </w:r>
      <w:r w:rsidRPr="005764FC">
        <w:t>deployment based on C-V2X</w:t>
      </w:r>
      <w:r w:rsidR="00A46FE0" w:rsidRPr="005764FC">
        <w:t xml:space="preserve">. </w:t>
      </w:r>
      <w:r w:rsidR="00231314" w:rsidRPr="005764FC">
        <w:t>However,</w:t>
      </w:r>
      <w:r w:rsidRPr="005764FC">
        <w:t xml:space="preserve"> limited open information has been found on the specific standards </w:t>
      </w:r>
      <w:r w:rsidR="0086059A" w:rsidRPr="005764FC">
        <w:t>or</w:t>
      </w:r>
      <w:r w:rsidRPr="005764FC">
        <w:t xml:space="preserve"> associated information on managing deployment. </w:t>
      </w:r>
    </w:p>
    <w:p w14:paraId="4814372A" w14:textId="47545984" w:rsidR="008D4ED6" w:rsidRPr="005764FC" w:rsidRDefault="008D4ED6" w:rsidP="00720527">
      <w:pPr>
        <w:pStyle w:val="Heading4"/>
      </w:pPr>
      <w:r w:rsidRPr="005764FC">
        <w:t>South Korea</w:t>
      </w:r>
    </w:p>
    <w:p w14:paraId="4A95226B" w14:textId="6CB57659" w:rsidR="008D4ED6" w:rsidRPr="005764FC" w:rsidRDefault="008D4ED6" w:rsidP="008D4ED6">
      <w:pPr>
        <w:pStyle w:val="BodyText"/>
        <w:rPr>
          <w:lang w:eastAsia="en-AU"/>
        </w:rPr>
      </w:pPr>
      <w:r w:rsidRPr="005764FC">
        <w:rPr>
          <w:lang w:eastAsia="en-AU"/>
        </w:rPr>
        <w:t xml:space="preserve">The South Korean deployment has historically been based on the US model using </w:t>
      </w:r>
      <w:r w:rsidR="00F43CC4" w:rsidRPr="005764FC">
        <w:rPr>
          <w:lang w:eastAsia="en-AU"/>
        </w:rPr>
        <w:t xml:space="preserve">WAVE </w:t>
      </w:r>
      <w:r w:rsidRPr="005764FC">
        <w:rPr>
          <w:lang w:eastAsia="en-AU"/>
        </w:rPr>
        <w:t>short-range communications (the US DSRC equivalent of ITS-G5) and aligning with the US suite of standards. South Korea’s deployment strategy creates a clear direction for C-ITS delivery including significant deployment nearing 1750 roadside stations.</w:t>
      </w:r>
      <w:r w:rsidR="00CA286F" w:rsidRPr="005764FC">
        <w:rPr>
          <w:lang w:eastAsia="en-AU"/>
        </w:rPr>
        <w:t xml:space="preserve"> </w:t>
      </w:r>
      <w:r w:rsidR="00852C44" w:rsidRPr="005764FC">
        <w:rPr>
          <w:lang w:eastAsia="en-AU"/>
        </w:rPr>
        <w:t>In prepar</w:t>
      </w:r>
      <w:r w:rsidR="00A46FE0" w:rsidRPr="005764FC">
        <w:rPr>
          <w:lang w:eastAsia="en-AU"/>
        </w:rPr>
        <w:t>ing</w:t>
      </w:r>
      <w:r w:rsidR="00852C44" w:rsidRPr="005764FC">
        <w:rPr>
          <w:lang w:eastAsia="en-AU"/>
        </w:rPr>
        <w:t xml:space="preserve"> </w:t>
      </w:r>
      <w:r w:rsidR="00A46FE0" w:rsidRPr="005764FC">
        <w:rPr>
          <w:lang w:eastAsia="en-AU"/>
        </w:rPr>
        <w:t>for</w:t>
      </w:r>
      <w:r w:rsidR="00852C44" w:rsidRPr="005764FC">
        <w:rPr>
          <w:lang w:eastAsia="en-AU"/>
        </w:rPr>
        <w:t xml:space="preserve"> Level 4 </w:t>
      </w:r>
      <w:r w:rsidR="007A4870" w:rsidRPr="005764FC">
        <w:rPr>
          <w:lang w:eastAsia="en-AU"/>
        </w:rPr>
        <w:t>C</w:t>
      </w:r>
      <w:r w:rsidR="00852C44" w:rsidRPr="005764FC">
        <w:rPr>
          <w:lang w:eastAsia="en-AU"/>
        </w:rPr>
        <w:t>AVs</w:t>
      </w:r>
      <w:r w:rsidR="001E2DBF" w:rsidRPr="005764FC">
        <w:rPr>
          <w:lang w:eastAsia="en-AU"/>
        </w:rPr>
        <w:t xml:space="preserve"> in 2027</w:t>
      </w:r>
      <w:r w:rsidR="00852C44" w:rsidRPr="005764FC">
        <w:rPr>
          <w:lang w:eastAsia="en-AU"/>
        </w:rPr>
        <w:t xml:space="preserve">, C-ITS will be established throughout major roads in South Korea </w:t>
      </w:r>
      <w:r w:rsidR="001E2DBF" w:rsidRPr="005764FC">
        <w:rPr>
          <w:lang w:eastAsia="en-AU"/>
        </w:rPr>
        <w:t>from</w:t>
      </w:r>
      <w:r w:rsidR="00BF2274" w:rsidRPr="005764FC">
        <w:rPr>
          <w:lang w:eastAsia="en-AU"/>
        </w:rPr>
        <w:t xml:space="preserve"> 2021</w:t>
      </w:r>
      <w:r w:rsidR="000173F6">
        <w:rPr>
          <w:lang w:eastAsia="en-AU"/>
        </w:rPr>
        <w:t xml:space="preserve"> </w:t>
      </w:r>
      <w:sdt>
        <w:sdtPr>
          <w:rPr>
            <w:lang w:eastAsia="en-AU"/>
          </w:rPr>
          <w:id w:val="-1246415885"/>
          <w:citation/>
        </w:sdtPr>
        <w:sdtContent>
          <w:r w:rsidR="000173F6">
            <w:rPr>
              <w:lang w:eastAsia="en-AU"/>
            </w:rPr>
            <w:fldChar w:fldCharType="begin"/>
          </w:r>
          <w:r w:rsidR="000173F6">
            <w:rPr>
              <w:lang w:eastAsia="en-AU"/>
            </w:rPr>
            <w:instrText xml:space="preserve"> CITATION Kor21 \l 3081 </w:instrText>
          </w:r>
          <w:r w:rsidR="000173F6">
            <w:rPr>
              <w:lang w:eastAsia="en-AU"/>
            </w:rPr>
            <w:fldChar w:fldCharType="separate"/>
          </w:r>
          <w:r w:rsidR="001428F9">
            <w:rPr>
              <w:noProof/>
              <w:lang w:eastAsia="en-AU"/>
            </w:rPr>
            <w:t>(Korea Bizwire, 2021)</w:t>
          </w:r>
          <w:r w:rsidR="000173F6">
            <w:rPr>
              <w:lang w:eastAsia="en-AU"/>
            </w:rPr>
            <w:fldChar w:fldCharType="end"/>
          </w:r>
        </w:sdtContent>
      </w:sdt>
      <w:r w:rsidR="00852C44" w:rsidRPr="005764FC">
        <w:rPr>
          <w:lang w:eastAsia="en-AU"/>
        </w:rPr>
        <w:t>.</w:t>
      </w:r>
    </w:p>
    <w:p w14:paraId="3B58B3EE" w14:textId="77777777" w:rsidR="00441F62" w:rsidRPr="007E2480" w:rsidRDefault="00441F62" w:rsidP="00441F62">
      <w:pPr>
        <w:pStyle w:val="Heading3"/>
        <w:rPr>
          <w:lang w:eastAsia="fr-CA"/>
        </w:rPr>
      </w:pPr>
      <w:bookmarkStart w:id="165" w:name="_Ref94133238"/>
      <w:bookmarkStart w:id="166" w:name="_Ref94361720"/>
      <w:bookmarkStart w:id="167" w:name="_Toc94536693"/>
      <w:bookmarkStart w:id="168" w:name="_Toc94453147"/>
      <w:bookmarkStart w:id="169" w:name="_Ref96419521"/>
      <w:r w:rsidRPr="007E2480">
        <w:rPr>
          <w:lang w:eastAsia="fr-CA"/>
        </w:rPr>
        <w:t>Current Technical Challenges</w:t>
      </w:r>
    </w:p>
    <w:p w14:paraId="54FB79FE" w14:textId="61E1C040" w:rsidR="00441F62" w:rsidRPr="007E2480" w:rsidRDefault="00441F62" w:rsidP="00441F62">
      <w:pPr>
        <w:pStyle w:val="BodyText"/>
        <w:rPr>
          <w:lang w:eastAsia="fr-CA"/>
        </w:rPr>
      </w:pPr>
      <w:r w:rsidRPr="007E2480">
        <w:rPr>
          <w:lang w:eastAsia="fr-CA"/>
        </w:rPr>
        <w:t xml:space="preserve">Technical challenges to be resolved to improve readiness to deliver Day 1 and 1.5 use cases in Australia are summarised in </w:t>
      </w:r>
      <w:r w:rsidRPr="007E2480">
        <w:rPr>
          <w:lang w:eastAsia="fr-CA"/>
        </w:rPr>
        <w:fldChar w:fldCharType="begin" w:fldLock="1"/>
      </w:r>
      <w:r w:rsidRPr="007E2480">
        <w:rPr>
          <w:lang w:eastAsia="fr-CA"/>
        </w:rPr>
        <w:instrText xml:space="preserve"> REF _Ref96419749 \h </w:instrText>
      </w:r>
      <w:r w:rsidR="000A6FD5" w:rsidRPr="007E2480">
        <w:rPr>
          <w:lang w:eastAsia="fr-CA"/>
        </w:rPr>
        <w:instrText xml:space="preserve"> \* MERGEFORMAT </w:instrText>
      </w:r>
      <w:r w:rsidRPr="007E2480">
        <w:rPr>
          <w:lang w:eastAsia="fr-CA"/>
        </w:rPr>
      </w:r>
      <w:r w:rsidRPr="007E2480">
        <w:rPr>
          <w:lang w:eastAsia="fr-CA"/>
        </w:rPr>
        <w:fldChar w:fldCharType="separate"/>
      </w:r>
      <w:r w:rsidR="00A34B27" w:rsidRPr="007E2480">
        <w:t xml:space="preserve">Table </w:t>
      </w:r>
      <w:r w:rsidR="00A34B27">
        <w:rPr>
          <w:noProof/>
        </w:rPr>
        <w:t>1</w:t>
      </w:r>
      <w:r w:rsidR="00A34B27" w:rsidRPr="007E2480">
        <w:rPr>
          <w:noProof/>
        </w:rPr>
        <w:t>.</w:t>
      </w:r>
      <w:r w:rsidR="00A34B27">
        <w:rPr>
          <w:noProof/>
        </w:rPr>
        <w:t>3</w:t>
      </w:r>
      <w:r w:rsidRPr="007E2480">
        <w:rPr>
          <w:lang w:eastAsia="fr-CA"/>
        </w:rPr>
        <w:fldChar w:fldCharType="end"/>
      </w:r>
      <w:r w:rsidRPr="007E2480">
        <w:rPr>
          <w:lang w:eastAsia="fr-CA"/>
        </w:rPr>
        <w:t xml:space="preserve">. </w:t>
      </w:r>
    </w:p>
    <w:p w14:paraId="4E83D885" w14:textId="2387AD2F" w:rsidR="00441F62" w:rsidRPr="007E2480" w:rsidRDefault="00441F62" w:rsidP="00441F62">
      <w:pPr>
        <w:pStyle w:val="Caption"/>
      </w:pPr>
      <w:bookmarkStart w:id="170" w:name="_Ref96419749"/>
      <w:bookmarkStart w:id="171" w:name="_Toc97807813"/>
      <w:r w:rsidRPr="007E2480">
        <w:t xml:space="preserve">Table </w:t>
      </w:r>
      <w:r w:rsidRPr="007E2480">
        <w:fldChar w:fldCharType="begin"/>
      </w:r>
      <w:r w:rsidRPr="007E2480">
        <w:instrText xml:space="preserve"> STYLEREF 1 \s </w:instrText>
      </w:r>
      <w:r w:rsidRPr="007E2480">
        <w:fldChar w:fldCharType="separate"/>
      </w:r>
      <w:r w:rsidR="00A34B27">
        <w:rPr>
          <w:noProof/>
        </w:rPr>
        <w:t>1</w:t>
      </w:r>
      <w:r w:rsidRPr="007E2480">
        <w:fldChar w:fldCharType="end"/>
      </w:r>
      <w:r w:rsidRPr="007E2480">
        <w:t>.</w:t>
      </w:r>
      <w:r w:rsidRPr="007E2480">
        <w:fldChar w:fldCharType="begin"/>
      </w:r>
      <w:r w:rsidRPr="007E2480">
        <w:instrText xml:space="preserve"> SEQ Table \* ARABIC \s 1 </w:instrText>
      </w:r>
      <w:r w:rsidRPr="007E2480">
        <w:fldChar w:fldCharType="separate"/>
      </w:r>
      <w:r w:rsidR="00A34B27">
        <w:rPr>
          <w:noProof/>
        </w:rPr>
        <w:t>3</w:t>
      </w:r>
      <w:r w:rsidRPr="007E2480">
        <w:fldChar w:fldCharType="end"/>
      </w:r>
      <w:bookmarkEnd w:id="170"/>
      <w:r w:rsidRPr="007E2480">
        <w:tab/>
        <w:t>Current technical challenges</w:t>
      </w:r>
      <w:bookmarkEnd w:id="171"/>
    </w:p>
    <w:tbl>
      <w:tblPr>
        <w:tblStyle w:val="Table1"/>
        <w:tblW w:w="5000" w:type="pct"/>
        <w:tblLook w:val="0620" w:firstRow="1" w:lastRow="0" w:firstColumn="0" w:lastColumn="0" w:noHBand="1" w:noVBand="1"/>
      </w:tblPr>
      <w:tblGrid>
        <w:gridCol w:w="1743"/>
        <w:gridCol w:w="8004"/>
      </w:tblGrid>
      <w:tr w:rsidR="00441F62" w:rsidRPr="007E2480" w14:paraId="03BAAD54" w14:textId="77777777" w:rsidTr="000D5F1A">
        <w:trPr>
          <w:cnfStyle w:val="100000000000" w:firstRow="1" w:lastRow="0" w:firstColumn="0" w:lastColumn="0" w:oddVBand="0" w:evenVBand="0" w:oddHBand="0" w:evenHBand="0" w:firstRowFirstColumn="0" w:firstRowLastColumn="0" w:lastRowFirstColumn="0" w:lastRowLastColumn="0"/>
          <w:cantSplit/>
          <w:tblHeader/>
        </w:trPr>
        <w:tc>
          <w:tcPr>
            <w:tcW w:w="894" w:type="pct"/>
          </w:tcPr>
          <w:p w14:paraId="33163897" w14:textId="77777777" w:rsidR="00441F62" w:rsidRPr="007E2480" w:rsidRDefault="00441F62" w:rsidP="000D5F1A">
            <w:pPr>
              <w:pStyle w:val="TableHeading"/>
              <w:rPr>
                <w:lang w:eastAsia="fr-CA"/>
              </w:rPr>
            </w:pPr>
            <w:r w:rsidRPr="007E2480">
              <w:rPr>
                <w:lang w:eastAsia="fr-CA"/>
              </w:rPr>
              <w:t>Technical Area</w:t>
            </w:r>
          </w:p>
        </w:tc>
        <w:tc>
          <w:tcPr>
            <w:tcW w:w="4106" w:type="pct"/>
          </w:tcPr>
          <w:p w14:paraId="7685BD43" w14:textId="77777777" w:rsidR="00441F62" w:rsidRPr="007E2480" w:rsidRDefault="00441F62" w:rsidP="000D5F1A">
            <w:pPr>
              <w:pStyle w:val="TableHeading"/>
              <w:rPr>
                <w:lang w:eastAsia="fr-CA"/>
              </w:rPr>
            </w:pPr>
            <w:r w:rsidRPr="007E2480">
              <w:rPr>
                <w:lang w:eastAsia="fr-CA"/>
              </w:rPr>
              <w:t>Technical Challenges to be resolved</w:t>
            </w:r>
          </w:p>
        </w:tc>
      </w:tr>
      <w:tr w:rsidR="00441F62" w:rsidRPr="007E2480" w14:paraId="32EA547D" w14:textId="77777777" w:rsidTr="000D5F1A">
        <w:trPr>
          <w:cantSplit/>
        </w:trPr>
        <w:tc>
          <w:tcPr>
            <w:tcW w:w="894" w:type="pct"/>
          </w:tcPr>
          <w:p w14:paraId="2B9817E7" w14:textId="77777777" w:rsidR="00441F62" w:rsidRPr="007E2480" w:rsidRDefault="00441F62" w:rsidP="00C25A10">
            <w:pPr>
              <w:pStyle w:val="TableTextBold"/>
              <w:rPr>
                <w:lang w:eastAsia="fr-CA"/>
              </w:rPr>
            </w:pPr>
            <w:r w:rsidRPr="007E2480">
              <w:rPr>
                <w:lang w:eastAsia="fr-CA"/>
              </w:rPr>
              <w:t>Short-range Communications</w:t>
            </w:r>
          </w:p>
        </w:tc>
        <w:tc>
          <w:tcPr>
            <w:tcW w:w="4106" w:type="pct"/>
          </w:tcPr>
          <w:p w14:paraId="04D9CF17" w14:textId="0DAF1D81" w:rsidR="00441F62" w:rsidRPr="007E2480" w:rsidRDefault="00441F62" w:rsidP="00C25A10">
            <w:pPr>
              <w:pStyle w:val="TableText"/>
              <w:rPr>
                <w:lang w:eastAsia="fr-CA"/>
              </w:rPr>
            </w:pPr>
            <w:r w:rsidRPr="007E2480">
              <w:rPr>
                <w:lang w:eastAsia="fr-CA"/>
              </w:rPr>
              <w:t>Depending on national direction of alternative technology: Coexistence of multiple solutions (ITS</w:t>
            </w:r>
            <w:r w:rsidR="00694DE3" w:rsidRPr="007E2480">
              <w:rPr>
                <w:lang w:eastAsia="fr-CA"/>
              </w:rPr>
              <w:noBreakHyphen/>
            </w:r>
            <w:r w:rsidRPr="007E2480">
              <w:rPr>
                <w:lang w:eastAsia="fr-CA"/>
              </w:rPr>
              <w:t xml:space="preserve">G5 and C-V2X). This is discussed further in </w:t>
            </w:r>
            <w:r w:rsidR="000D5F1A" w:rsidRPr="007E2480">
              <w:rPr>
                <w:lang w:eastAsia="fr-CA"/>
              </w:rPr>
              <w:t xml:space="preserve">Section </w:t>
            </w:r>
            <w:r w:rsidR="00223099" w:rsidRPr="007E2480">
              <w:rPr>
                <w:lang w:eastAsia="fr-CA"/>
              </w:rPr>
              <w:fldChar w:fldCharType="begin" w:fldLock="1"/>
            </w:r>
            <w:r w:rsidR="00223099" w:rsidRPr="007E2480">
              <w:rPr>
                <w:lang w:eastAsia="fr-CA"/>
              </w:rPr>
              <w:instrText xml:space="preserve"> REF _Ref96888269 \r \h </w:instrText>
            </w:r>
            <w:r w:rsidR="007E2480">
              <w:rPr>
                <w:lang w:eastAsia="fr-CA"/>
              </w:rPr>
              <w:instrText xml:space="preserve"> \* MERGEFORMAT </w:instrText>
            </w:r>
            <w:r w:rsidR="00223099" w:rsidRPr="007E2480">
              <w:rPr>
                <w:lang w:eastAsia="fr-CA"/>
              </w:rPr>
            </w:r>
            <w:r w:rsidR="00223099" w:rsidRPr="007E2480">
              <w:rPr>
                <w:lang w:eastAsia="fr-CA"/>
              </w:rPr>
              <w:fldChar w:fldCharType="separate"/>
            </w:r>
            <w:r w:rsidR="00A34B27">
              <w:rPr>
                <w:lang w:eastAsia="fr-CA"/>
              </w:rPr>
              <w:t>1.6.4</w:t>
            </w:r>
            <w:r w:rsidR="00223099" w:rsidRPr="007E2480">
              <w:rPr>
                <w:lang w:eastAsia="fr-CA"/>
              </w:rPr>
              <w:fldChar w:fldCharType="end"/>
            </w:r>
            <w:r w:rsidR="00223099" w:rsidRPr="007E2480">
              <w:rPr>
                <w:lang w:eastAsia="fr-CA"/>
              </w:rPr>
              <w:t>.</w:t>
            </w:r>
          </w:p>
        </w:tc>
      </w:tr>
      <w:tr w:rsidR="00441F62" w:rsidRPr="007E2480" w14:paraId="5E6C3400" w14:textId="77777777" w:rsidTr="000D5F1A">
        <w:trPr>
          <w:cantSplit/>
        </w:trPr>
        <w:tc>
          <w:tcPr>
            <w:tcW w:w="894" w:type="pct"/>
          </w:tcPr>
          <w:p w14:paraId="62B7FC8D" w14:textId="77777777" w:rsidR="00441F62" w:rsidRPr="007E2480" w:rsidRDefault="00441F62" w:rsidP="00C25A10">
            <w:pPr>
              <w:pStyle w:val="TableTextBold"/>
              <w:rPr>
                <w:lang w:eastAsia="fr-CA"/>
              </w:rPr>
            </w:pPr>
            <w:r w:rsidRPr="007E2480">
              <w:rPr>
                <w:lang w:eastAsia="fr-CA"/>
              </w:rPr>
              <w:t>C‑ITS Security</w:t>
            </w:r>
          </w:p>
        </w:tc>
        <w:tc>
          <w:tcPr>
            <w:tcW w:w="4106" w:type="pct"/>
          </w:tcPr>
          <w:p w14:paraId="47608F74" w14:textId="77777777" w:rsidR="00441F62" w:rsidRPr="007E2480" w:rsidRDefault="00441F62" w:rsidP="00C25A10">
            <w:pPr>
              <w:pStyle w:val="TableText"/>
              <w:rPr>
                <w:lang w:eastAsia="fr-CA"/>
              </w:rPr>
            </w:pPr>
            <w:r w:rsidRPr="007E2480">
              <w:t>Ensure the SCMS for Australia is built to meet the security and privacy needs across Australia.</w:t>
            </w:r>
          </w:p>
        </w:tc>
      </w:tr>
      <w:tr w:rsidR="00441F62" w:rsidRPr="007E2480" w14:paraId="5E860456" w14:textId="77777777" w:rsidTr="000D5F1A">
        <w:trPr>
          <w:cantSplit/>
        </w:trPr>
        <w:tc>
          <w:tcPr>
            <w:tcW w:w="894" w:type="pct"/>
          </w:tcPr>
          <w:p w14:paraId="282775A0" w14:textId="15F7EAA7" w:rsidR="00441F62" w:rsidRPr="007E2480" w:rsidRDefault="00441F62" w:rsidP="00C25A10">
            <w:pPr>
              <w:pStyle w:val="TableTextBold"/>
              <w:rPr>
                <w:lang w:eastAsia="fr-CA"/>
              </w:rPr>
            </w:pPr>
            <w:r w:rsidRPr="007E2480">
              <w:rPr>
                <w:lang w:eastAsia="fr-CA"/>
              </w:rPr>
              <w:t>Positioning</w:t>
            </w:r>
          </w:p>
        </w:tc>
        <w:tc>
          <w:tcPr>
            <w:tcW w:w="4106" w:type="pct"/>
          </w:tcPr>
          <w:p w14:paraId="0CD83C17" w14:textId="39875FC8" w:rsidR="00441F62" w:rsidRPr="007E2480" w:rsidRDefault="00441F62" w:rsidP="00C25A10">
            <w:pPr>
              <w:pStyle w:val="TableText"/>
              <w:rPr>
                <w:lang w:eastAsia="fr-CA"/>
              </w:rPr>
            </w:pPr>
            <w:r w:rsidRPr="007E2480">
              <w:rPr>
                <w:lang w:eastAsia="fr-CA"/>
              </w:rPr>
              <w:t xml:space="preserve">Geoscience Australia progressing to higher positioning accuracy through SBAS. This will likely </w:t>
            </w:r>
            <w:r w:rsidR="00E677A3" w:rsidRPr="007E2480">
              <w:rPr>
                <w:lang w:eastAsia="fr-CA"/>
              </w:rPr>
              <w:t xml:space="preserve">cost efficiently </w:t>
            </w:r>
            <w:r w:rsidRPr="007E2480">
              <w:rPr>
                <w:lang w:eastAsia="fr-CA"/>
              </w:rPr>
              <w:t xml:space="preserve">improve accuracy but needs testing and validation for in-vehicle systems.  </w:t>
            </w:r>
          </w:p>
        </w:tc>
      </w:tr>
      <w:tr w:rsidR="00441F62" w:rsidRPr="007E2480" w14:paraId="324B3CCF" w14:textId="77777777" w:rsidTr="000D5F1A">
        <w:trPr>
          <w:cantSplit/>
        </w:trPr>
        <w:tc>
          <w:tcPr>
            <w:tcW w:w="894" w:type="pct"/>
          </w:tcPr>
          <w:p w14:paraId="56614A1B" w14:textId="77777777" w:rsidR="00441F62" w:rsidRPr="007E2480" w:rsidRDefault="00441F62" w:rsidP="00C25A10">
            <w:pPr>
              <w:pStyle w:val="TableTextBold"/>
              <w:rPr>
                <w:lang w:eastAsia="fr-CA"/>
              </w:rPr>
            </w:pPr>
            <w:r w:rsidRPr="007E2480">
              <w:rPr>
                <w:lang w:eastAsia="fr-CA"/>
              </w:rPr>
              <w:t>Central systems and National Data Exchange</w:t>
            </w:r>
          </w:p>
        </w:tc>
        <w:tc>
          <w:tcPr>
            <w:tcW w:w="4106" w:type="pct"/>
          </w:tcPr>
          <w:p w14:paraId="6D64D91A" w14:textId="77777777" w:rsidR="00441F62" w:rsidRPr="007E2480" w:rsidRDefault="00441F62" w:rsidP="00C25A10">
            <w:pPr>
              <w:pStyle w:val="TableText"/>
              <w:rPr>
                <w:lang w:eastAsia="fr-CA"/>
              </w:rPr>
            </w:pPr>
            <w:r w:rsidRPr="007E2480">
              <w:rPr>
                <w:lang w:eastAsia="fr-CA"/>
              </w:rPr>
              <w:t xml:space="preserve">Requires clarity in terms of national consistency with central C‑ITS systems. </w:t>
            </w:r>
          </w:p>
          <w:p w14:paraId="50E9BED8" w14:textId="77777777" w:rsidR="00441F62" w:rsidRPr="007E2480" w:rsidRDefault="00441F62" w:rsidP="00C25A10">
            <w:pPr>
              <w:pStyle w:val="TableText"/>
              <w:rPr>
                <w:lang w:eastAsia="fr-CA"/>
              </w:rPr>
            </w:pPr>
            <w:r w:rsidRPr="007E2480">
              <w:rPr>
                <w:lang w:eastAsia="fr-CA"/>
              </w:rPr>
              <w:t>For each relevant use case, each road operator must assess the source data needed for input into C‑ITS central systems.</w:t>
            </w:r>
          </w:p>
        </w:tc>
      </w:tr>
      <w:tr w:rsidR="00441F62" w:rsidRPr="007E2480" w14:paraId="6779E716" w14:textId="77777777" w:rsidTr="000D5F1A">
        <w:trPr>
          <w:cantSplit/>
        </w:trPr>
        <w:tc>
          <w:tcPr>
            <w:tcW w:w="894" w:type="pct"/>
          </w:tcPr>
          <w:p w14:paraId="0B68B0F6" w14:textId="77777777" w:rsidR="00441F62" w:rsidRPr="007E2480" w:rsidRDefault="00441F62" w:rsidP="00C25A10">
            <w:pPr>
              <w:pStyle w:val="TableTextBold"/>
              <w:rPr>
                <w:lang w:eastAsia="fr-CA"/>
              </w:rPr>
            </w:pPr>
            <w:r w:rsidRPr="007E2480">
              <w:rPr>
                <w:lang w:eastAsia="fr-CA"/>
              </w:rPr>
              <w:t xml:space="preserve">Cellular Connectivity </w:t>
            </w:r>
          </w:p>
        </w:tc>
        <w:tc>
          <w:tcPr>
            <w:tcW w:w="4106" w:type="pct"/>
          </w:tcPr>
          <w:p w14:paraId="4A598616" w14:textId="61CE4E59" w:rsidR="00441F62" w:rsidRPr="007E2480" w:rsidRDefault="00441F62" w:rsidP="00C25A10">
            <w:pPr>
              <w:pStyle w:val="TableText"/>
              <w:rPr>
                <w:lang w:eastAsia="fr-CA"/>
              </w:rPr>
            </w:pPr>
            <w:r w:rsidRPr="007E2480">
              <w:rPr>
                <w:lang w:eastAsia="fr-CA"/>
              </w:rPr>
              <w:t xml:space="preserve">Continuity of cellular coverage </w:t>
            </w:r>
            <w:r w:rsidR="000A6FD5" w:rsidRPr="007E2480">
              <w:rPr>
                <w:lang w:eastAsia="fr-CA"/>
              </w:rPr>
              <w:t>for whole of</w:t>
            </w:r>
            <w:r w:rsidRPr="007E2480">
              <w:rPr>
                <w:lang w:eastAsia="fr-CA"/>
              </w:rPr>
              <w:t xml:space="preserve"> journey</w:t>
            </w:r>
            <w:r w:rsidR="000A6FD5" w:rsidRPr="007E2480">
              <w:rPr>
                <w:lang w:eastAsia="fr-CA"/>
              </w:rPr>
              <w:t xml:space="preserve">. </w:t>
            </w:r>
            <w:r w:rsidRPr="007E2480">
              <w:rPr>
                <w:lang w:eastAsia="fr-CA"/>
              </w:rPr>
              <w:t>Particular</w:t>
            </w:r>
            <w:r w:rsidR="00D050F9" w:rsidRPr="007E2480">
              <w:rPr>
                <w:lang w:eastAsia="fr-CA"/>
              </w:rPr>
              <w:t xml:space="preserve"> consideration of rural and regional travel</w:t>
            </w:r>
            <w:r w:rsidRPr="007E2480">
              <w:rPr>
                <w:lang w:eastAsia="fr-CA"/>
              </w:rPr>
              <w:t>.</w:t>
            </w:r>
          </w:p>
        </w:tc>
      </w:tr>
      <w:tr w:rsidR="00441F62" w:rsidRPr="007E2480" w14:paraId="5F278818" w14:textId="77777777" w:rsidTr="000D5F1A">
        <w:trPr>
          <w:cantSplit/>
        </w:trPr>
        <w:tc>
          <w:tcPr>
            <w:tcW w:w="894" w:type="pct"/>
          </w:tcPr>
          <w:p w14:paraId="6F7B6E03" w14:textId="57456E48" w:rsidR="00441F62" w:rsidRPr="007E2480" w:rsidRDefault="00441F62" w:rsidP="00C25A10">
            <w:pPr>
              <w:pStyle w:val="TableTextBold"/>
              <w:rPr>
                <w:lang w:eastAsia="fr-CA"/>
              </w:rPr>
            </w:pPr>
            <w:r w:rsidRPr="007E2480">
              <w:rPr>
                <w:lang w:eastAsia="fr-CA"/>
              </w:rPr>
              <w:t>Data</w:t>
            </w:r>
          </w:p>
        </w:tc>
        <w:tc>
          <w:tcPr>
            <w:tcW w:w="4106" w:type="pct"/>
          </w:tcPr>
          <w:p w14:paraId="6D384ADE" w14:textId="77777777" w:rsidR="00441F62" w:rsidRPr="007E2480" w:rsidRDefault="00441F62" w:rsidP="00C25A10">
            <w:pPr>
              <w:pStyle w:val="TableText"/>
              <w:rPr>
                <w:lang w:eastAsia="fr-CA"/>
              </w:rPr>
            </w:pPr>
            <w:r w:rsidRPr="007E2480">
              <w:rPr>
                <w:lang w:eastAsia="fr-CA"/>
              </w:rPr>
              <w:t>The data’s accuracy, reliability, timeliness, completeness, and consistency is critical to allow vehicles to correctly interpret the data in a given situation or use case, and deliver alerts to drivers in a highly contextual manner.</w:t>
            </w:r>
          </w:p>
          <w:p w14:paraId="239D2880" w14:textId="14782124" w:rsidR="00441F62" w:rsidRPr="007E2480" w:rsidRDefault="00441F62" w:rsidP="00C25A10">
            <w:pPr>
              <w:pStyle w:val="TableText"/>
            </w:pPr>
            <w:r w:rsidRPr="007E2480">
              <w:t>C‑ITS’ two-way capability is expected to benefit Australia by creating dynamic data capture of road network operations, understanding of high-risk locations, and identifying on-road issues</w:t>
            </w:r>
            <w:r w:rsidR="00CB7BFE" w:rsidRPr="007E2480">
              <w:t xml:space="preserve">. This needs to be considered </w:t>
            </w:r>
            <w:r w:rsidRPr="007E2480">
              <w:t>across regions and systems.</w:t>
            </w:r>
          </w:p>
        </w:tc>
      </w:tr>
      <w:tr w:rsidR="00441F62" w:rsidRPr="005764FC" w14:paraId="3FF79C23" w14:textId="77777777" w:rsidTr="000D5F1A">
        <w:trPr>
          <w:cantSplit/>
        </w:trPr>
        <w:tc>
          <w:tcPr>
            <w:tcW w:w="894" w:type="pct"/>
          </w:tcPr>
          <w:p w14:paraId="431C9C36" w14:textId="5ED01E3B" w:rsidR="00441F62" w:rsidRPr="007E2480" w:rsidRDefault="00441F62" w:rsidP="00C25A10">
            <w:pPr>
              <w:pStyle w:val="TableTextBold"/>
              <w:rPr>
                <w:lang w:eastAsia="fr-CA"/>
              </w:rPr>
            </w:pPr>
            <w:r w:rsidRPr="007E2480">
              <w:rPr>
                <w:lang w:eastAsia="fr-CA"/>
              </w:rPr>
              <w:t>Standards</w:t>
            </w:r>
          </w:p>
        </w:tc>
        <w:tc>
          <w:tcPr>
            <w:tcW w:w="4106" w:type="pct"/>
          </w:tcPr>
          <w:p w14:paraId="3BA18EFF" w14:textId="77777777" w:rsidR="00441F62" w:rsidRPr="007E2480" w:rsidRDefault="00441F62" w:rsidP="00C25A10">
            <w:pPr>
              <w:pStyle w:val="TableText"/>
              <w:rPr>
                <w:lang w:eastAsia="fr-CA"/>
              </w:rPr>
            </w:pPr>
            <w:r w:rsidRPr="007E2480">
              <w:rPr>
                <w:lang w:eastAsia="fr-CA"/>
              </w:rPr>
              <w:t>The use of standards and agreement between users is needed to achieve the operational intent. Australia could sensibly align to one region’s standards base, thereby minimising the complexity of a national implementation. This would avert the challenges of aligning different standard sets, e.g.,</w:t>
            </w:r>
            <w:r w:rsidRPr="007E2480">
              <w:rPr>
                <w:rFonts w:ascii="Segoe UI" w:hAnsi="Segoe UI" w:cs="Segoe UI"/>
                <w:color w:val="242424"/>
                <w:sz w:val="21"/>
                <w:szCs w:val="21"/>
                <w:shd w:val="clear" w:color="auto" w:fill="FFFFFF"/>
                <w:lang w:eastAsia="en-US"/>
              </w:rPr>
              <w:t xml:space="preserve"> </w:t>
            </w:r>
            <w:r w:rsidRPr="007E2480">
              <w:rPr>
                <w:lang w:eastAsia="fr-CA"/>
              </w:rPr>
              <w:t xml:space="preserve">European Access layer with Chinese geo-networking, Japanese security and US message types.   </w:t>
            </w:r>
          </w:p>
        </w:tc>
      </w:tr>
    </w:tbl>
    <w:p w14:paraId="068341D9" w14:textId="6C08DA1A" w:rsidR="00E83B63" w:rsidRPr="005764FC" w:rsidRDefault="009F1528" w:rsidP="00E83B63">
      <w:pPr>
        <w:pStyle w:val="Heading3"/>
        <w:rPr>
          <w:lang w:eastAsia="fr-CA"/>
        </w:rPr>
      </w:pPr>
      <w:bookmarkStart w:id="172" w:name="_Ref96888269"/>
      <w:r w:rsidRPr="005764FC">
        <w:rPr>
          <w:lang w:eastAsia="fr-CA"/>
        </w:rPr>
        <w:t>Short-range communication technology</w:t>
      </w:r>
      <w:bookmarkEnd w:id="165"/>
      <w:bookmarkEnd w:id="166"/>
      <w:bookmarkEnd w:id="167"/>
      <w:bookmarkEnd w:id="168"/>
      <w:bookmarkEnd w:id="169"/>
      <w:bookmarkEnd w:id="172"/>
    </w:p>
    <w:p w14:paraId="7E07CDC4" w14:textId="7C350A06" w:rsidR="009F1528" w:rsidRPr="005764FC" w:rsidRDefault="003D2F76" w:rsidP="009F1528">
      <w:pPr>
        <w:pStyle w:val="BodyText"/>
        <w:rPr>
          <w:lang w:eastAsia="fr-CA"/>
        </w:rPr>
      </w:pPr>
      <w:r w:rsidRPr="005764FC">
        <w:t xml:space="preserve">Through the </w:t>
      </w:r>
      <w:r w:rsidRPr="005764FC">
        <w:rPr>
          <w:i/>
        </w:rPr>
        <w:t>Radiocommunications (Intelligent Transport Systems) Class Licence 2017</w:t>
      </w:r>
      <w:r w:rsidRPr="005764FC">
        <w:t xml:space="preserve"> the</w:t>
      </w:r>
      <w:r w:rsidRPr="005764FC">
        <w:rPr>
          <w:lang w:eastAsia="fr-CA"/>
        </w:rPr>
        <w:t xml:space="preserve"> Australian Communications and Media Authority (ACMA) has made available 70 MHz of spectrum in the 5.9 GHz band for ITS use in Australia. As a condition of the class licence, a</w:t>
      </w:r>
      <w:r w:rsidR="00694DE3">
        <w:rPr>
          <w:lang w:eastAsia="fr-CA"/>
        </w:rPr>
        <w:t xml:space="preserve"> </w:t>
      </w:r>
      <w:r w:rsidRPr="005764FC">
        <w:rPr>
          <w:lang w:eastAsia="fr-CA"/>
        </w:rPr>
        <w:t>ITS station</w:t>
      </w:r>
      <w:r w:rsidR="00694DE3">
        <w:rPr>
          <w:lang w:eastAsia="fr-CA"/>
        </w:rPr>
        <w:t xml:space="preserve"> </w:t>
      </w:r>
      <w:r w:rsidRPr="005764FC">
        <w:rPr>
          <w:lang w:eastAsia="fr-CA"/>
        </w:rPr>
        <w:t xml:space="preserve">operating in this spectrum must comply with the </w:t>
      </w:r>
      <w:r w:rsidRPr="005764FC">
        <w:rPr>
          <w:color w:val="000000"/>
          <w:shd w:val="clear" w:color="auto" w:fill="FFFFFF"/>
        </w:rPr>
        <w:t>European Telecommunications Standards Institute (</w:t>
      </w:r>
      <w:r w:rsidRPr="005764FC">
        <w:rPr>
          <w:lang w:eastAsia="fr-CA"/>
        </w:rPr>
        <w:t>ETSI) Standard EN 302 571</w:t>
      </w:r>
      <w:r w:rsidR="00A46FE0" w:rsidRPr="005764FC">
        <w:rPr>
          <w:lang w:eastAsia="fr-CA"/>
        </w:rPr>
        <w:t>.</w:t>
      </w:r>
      <w:r w:rsidR="00B86267" w:rsidRPr="005764FC">
        <w:rPr>
          <w:rStyle w:val="FootnoteReference"/>
          <w:lang w:eastAsia="fr-CA"/>
        </w:rPr>
        <w:footnoteReference w:id="9"/>
      </w:r>
      <w:r w:rsidR="009F1528" w:rsidRPr="005764FC">
        <w:rPr>
          <w:lang w:eastAsia="fr-CA"/>
        </w:rPr>
        <w:t xml:space="preserve"> </w:t>
      </w:r>
      <w:r w:rsidRPr="005764FC">
        <w:rPr>
          <w:lang w:eastAsia="fr-CA"/>
        </w:rPr>
        <w:t xml:space="preserve"> </w:t>
      </w:r>
      <w:r w:rsidR="00F74491" w:rsidRPr="005764FC">
        <w:rPr>
          <w:lang w:eastAsia="fr-CA"/>
        </w:rPr>
        <w:t xml:space="preserve">In </w:t>
      </w:r>
      <w:r w:rsidR="00F675CA" w:rsidRPr="005764FC">
        <w:rPr>
          <w:lang w:eastAsia="fr-CA"/>
        </w:rPr>
        <w:t>December 2021</w:t>
      </w:r>
      <w:r w:rsidR="00F74491" w:rsidRPr="005764FC">
        <w:rPr>
          <w:lang w:eastAsia="fr-CA"/>
        </w:rPr>
        <w:t>, th</w:t>
      </w:r>
      <w:r w:rsidR="00F675CA" w:rsidRPr="005764FC">
        <w:rPr>
          <w:lang w:eastAsia="fr-CA"/>
        </w:rPr>
        <w:t>e FCAI</w:t>
      </w:r>
      <w:r w:rsidR="00717C36">
        <w:rPr>
          <w:lang w:eastAsia="fr-CA"/>
        </w:rPr>
        <w:t xml:space="preserve"> </w:t>
      </w:r>
      <w:sdt>
        <w:sdtPr>
          <w:rPr>
            <w:lang w:eastAsia="fr-CA"/>
          </w:rPr>
          <w:id w:val="-1047218606"/>
          <w:citation/>
        </w:sdtPr>
        <w:sdtContent>
          <w:r w:rsidR="00717C36">
            <w:rPr>
              <w:lang w:eastAsia="fr-CA"/>
            </w:rPr>
            <w:fldChar w:fldCharType="begin"/>
          </w:r>
          <w:r w:rsidR="00717C36">
            <w:rPr>
              <w:lang w:eastAsia="fr-CA"/>
            </w:rPr>
            <w:instrText xml:space="preserve">CITATION FCA21 \n  \t  \l 3081 </w:instrText>
          </w:r>
          <w:r w:rsidR="00717C36">
            <w:rPr>
              <w:lang w:eastAsia="fr-CA"/>
            </w:rPr>
            <w:fldChar w:fldCharType="separate"/>
          </w:r>
          <w:r w:rsidR="001428F9">
            <w:rPr>
              <w:noProof/>
              <w:lang w:eastAsia="fr-CA"/>
            </w:rPr>
            <w:t>(2021)</w:t>
          </w:r>
          <w:r w:rsidR="00717C36">
            <w:rPr>
              <w:lang w:eastAsia="fr-CA"/>
            </w:rPr>
            <w:fldChar w:fldCharType="end"/>
          </w:r>
        </w:sdtContent>
      </w:sdt>
      <w:r w:rsidR="00F74491" w:rsidRPr="005764FC">
        <w:rPr>
          <w:lang w:eastAsia="fr-CA"/>
        </w:rPr>
        <w:t xml:space="preserve"> reaffirmed</w:t>
      </w:r>
      <w:r w:rsidR="00F9146A" w:rsidRPr="005764FC">
        <w:rPr>
          <w:lang w:eastAsia="fr-CA"/>
        </w:rPr>
        <w:t>,</w:t>
      </w:r>
      <w:r w:rsidR="00D60FEB" w:rsidRPr="005764FC">
        <w:rPr>
          <w:lang w:eastAsia="fr-CA"/>
        </w:rPr>
        <w:t xml:space="preserve"> </w:t>
      </w:r>
      <w:r w:rsidR="00F675CA" w:rsidRPr="005764FC">
        <w:rPr>
          <w:lang w:eastAsia="fr-CA"/>
        </w:rPr>
        <w:t>as representative of vehicle manufacturers importing to Australia</w:t>
      </w:r>
      <w:r w:rsidR="00F9146A" w:rsidRPr="005764FC">
        <w:rPr>
          <w:lang w:eastAsia="fr-CA"/>
        </w:rPr>
        <w:t>, the need for this class licence</w:t>
      </w:r>
      <w:r w:rsidR="00F675CA" w:rsidRPr="005764FC">
        <w:rPr>
          <w:lang w:eastAsia="fr-CA"/>
        </w:rPr>
        <w:t xml:space="preserve">. </w:t>
      </w:r>
      <w:r w:rsidR="00F74491" w:rsidRPr="005764FC">
        <w:t>Most</w:t>
      </w:r>
      <w:r w:rsidR="00F675CA" w:rsidRPr="005764FC">
        <w:t xml:space="preserve"> of Australia’s C</w:t>
      </w:r>
      <w:r w:rsidR="00A16467">
        <w:noBreakHyphen/>
      </w:r>
      <w:r w:rsidR="00F675CA" w:rsidRPr="005764FC">
        <w:t xml:space="preserve">ITS pilots </w:t>
      </w:r>
      <w:r w:rsidR="0023074C" w:rsidRPr="005764FC">
        <w:t>(CAVI</w:t>
      </w:r>
      <w:r w:rsidR="00F675CA" w:rsidRPr="005764FC">
        <w:t>, CITI and AIMES</w:t>
      </w:r>
      <w:r w:rsidR="0023074C" w:rsidRPr="005764FC">
        <w:t>)</w:t>
      </w:r>
      <w:r w:rsidR="00F675CA" w:rsidRPr="005764FC">
        <w:t xml:space="preserve"> have deployed and tested DSRC technology. Proof-of-concept testing in Victoria used C-V2X in the ACV2 project </w:t>
      </w:r>
      <w:r w:rsidR="00F74491" w:rsidRPr="005764FC">
        <w:t xml:space="preserve">that </w:t>
      </w:r>
      <w:r w:rsidR="00E50EEF" w:rsidRPr="005764FC">
        <w:t>demonstrated C-V2X operation</w:t>
      </w:r>
      <w:r w:rsidR="0066335B" w:rsidRPr="005764FC">
        <w:t xml:space="preserve"> between vehicles</w:t>
      </w:r>
      <w:r w:rsidR="00F675CA" w:rsidRPr="005764FC">
        <w:t>.</w:t>
      </w:r>
    </w:p>
    <w:p w14:paraId="0804C24E" w14:textId="02395D20" w:rsidR="009116CE" w:rsidRPr="005764FC" w:rsidRDefault="009116CE" w:rsidP="007654AB">
      <w:pPr>
        <w:pStyle w:val="Heading4"/>
        <w:rPr>
          <w:lang w:eastAsia="fr-CA"/>
        </w:rPr>
      </w:pPr>
      <w:r w:rsidRPr="005764FC">
        <w:rPr>
          <w:lang w:eastAsia="fr-CA"/>
        </w:rPr>
        <w:t xml:space="preserve">What is </w:t>
      </w:r>
      <w:r w:rsidR="002664CC" w:rsidRPr="005764FC">
        <w:rPr>
          <w:lang w:eastAsia="fr-CA"/>
        </w:rPr>
        <w:t>DSRC</w:t>
      </w:r>
      <w:r w:rsidR="002664CC" w:rsidRPr="005764FC" w:rsidDel="002664CC">
        <w:rPr>
          <w:lang w:eastAsia="fr-CA"/>
        </w:rPr>
        <w:t xml:space="preserve"> </w:t>
      </w:r>
      <w:r w:rsidR="00C47516" w:rsidRPr="005764FC">
        <w:rPr>
          <w:lang w:eastAsia="fr-CA"/>
        </w:rPr>
        <w:t>(</w:t>
      </w:r>
      <w:r w:rsidR="002664CC" w:rsidRPr="005764FC">
        <w:rPr>
          <w:lang w:eastAsia="fr-CA"/>
        </w:rPr>
        <w:t>ITS-G5</w:t>
      </w:r>
      <w:r w:rsidR="00C47516" w:rsidRPr="005764FC">
        <w:rPr>
          <w:lang w:eastAsia="fr-CA"/>
        </w:rPr>
        <w:t>)</w:t>
      </w:r>
      <w:r w:rsidR="00ED4AE6" w:rsidRPr="005764FC">
        <w:rPr>
          <w:lang w:eastAsia="fr-CA"/>
        </w:rPr>
        <w:t>?</w:t>
      </w:r>
    </w:p>
    <w:p w14:paraId="4C15CC02" w14:textId="269F2B7E" w:rsidR="00ED4AE6" w:rsidRPr="005764FC" w:rsidRDefault="00521887" w:rsidP="009F1528">
      <w:pPr>
        <w:pStyle w:val="BodyText"/>
        <w:rPr>
          <w:lang w:eastAsia="fr-CA"/>
        </w:rPr>
      </w:pPr>
      <w:r w:rsidRPr="005764FC">
        <w:rPr>
          <w:lang w:eastAsia="fr-CA"/>
        </w:rPr>
        <w:t>DSRC (</w:t>
      </w:r>
      <w:r w:rsidR="00A16467">
        <w:rPr>
          <w:lang w:eastAsia="fr-CA"/>
        </w:rPr>
        <w:t xml:space="preserve">European version is called </w:t>
      </w:r>
      <w:r w:rsidRPr="005764FC">
        <w:rPr>
          <w:lang w:eastAsia="fr-CA"/>
        </w:rPr>
        <w:t>ITS-G5)</w:t>
      </w:r>
      <w:r w:rsidR="00C47516" w:rsidRPr="005764FC">
        <w:rPr>
          <w:lang w:eastAsia="fr-CA"/>
        </w:rPr>
        <w:t xml:space="preserve"> is a mature communication method that has been used </w:t>
      </w:r>
      <w:r w:rsidR="00755013" w:rsidRPr="005764FC">
        <w:rPr>
          <w:lang w:eastAsia="fr-CA"/>
        </w:rPr>
        <w:t xml:space="preserve">in the past 20 years </w:t>
      </w:r>
      <w:r w:rsidR="00C47516" w:rsidRPr="005764FC">
        <w:rPr>
          <w:lang w:eastAsia="fr-CA"/>
        </w:rPr>
        <w:t>as the basis for trials across the world.</w:t>
      </w:r>
      <w:r w:rsidR="00B65BEC" w:rsidRPr="005764FC">
        <w:rPr>
          <w:lang w:eastAsia="fr-CA"/>
        </w:rPr>
        <w:t xml:space="preserve"> Current</w:t>
      </w:r>
      <w:r w:rsidR="00C47516" w:rsidRPr="005764FC">
        <w:rPr>
          <w:lang w:eastAsia="fr-CA"/>
        </w:rPr>
        <w:t xml:space="preserve"> </w:t>
      </w:r>
      <w:r w:rsidR="007E2480">
        <w:rPr>
          <w:lang w:eastAsia="fr-CA"/>
        </w:rPr>
        <w:t>DSRC</w:t>
      </w:r>
      <w:r w:rsidR="00C546EA" w:rsidRPr="005764FC">
        <w:rPr>
          <w:lang w:eastAsia="fr-CA"/>
        </w:rPr>
        <w:t xml:space="preserve"> </w:t>
      </w:r>
      <w:r w:rsidR="00A00348" w:rsidRPr="005764FC">
        <w:rPr>
          <w:lang w:eastAsia="fr-CA"/>
        </w:rPr>
        <w:t xml:space="preserve">communication represents </w:t>
      </w:r>
      <w:r w:rsidR="00956ADB" w:rsidRPr="005764FC">
        <w:rPr>
          <w:lang w:eastAsia="fr-CA"/>
        </w:rPr>
        <w:t xml:space="preserve">use </w:t>
      </w:r>
      <w:r w:rsidR="00B65BEC" w:rsidRPr="005764FC">
        <w:rPr>
          <w:lang w:eastAsia="fr-CA"/>
        </w:rPr>
        <w:t xml:space="preserve">of </w:t>
      </w:r>
      <w:r w:rsidR="008F29EA" w:rsidRPr="005764FC">
        <w:rPr>
          <w:lang w:eastAsia="fr-CA"/>
        </w:rPr>
        <w:t xml:space="preserve">a specific </w:t>
      </w:r>
      <w:r w:rsidR="00F74491" w:rsidRPr="005764FC">
        <w:rPr>
          <w:lang w:eastAsia="fr-CA"/>
        </w:rPr>
        <w:t xml:space="preserve">Wi-Fi </w:t>
      </w:r>
      <w:r w:rsidR="008F29EA" w:rsidRPr="005764FC">
        <w:rPr>
          <w:lang w:eastAsia="fr-CA"/>
        </w:rPr>
        <w:t xml:space="preserve">definition to </w:t>
      </w:r>
      <w:r w:rsidR="009E4C44" w:rsidRPr="005764FC">
        <w:rPr>
          <w:lang w:eastAsia="fr-CA"/>
        </w:rPr>
        <w:t xml:space="preserve">build the physical and data-link layer </w:t>
      </w:r>
      <w:r w:rsidR="00166860" w:rsidRPr="005764FC">
        <w:rPr>
          <w:lang w:eastAsia="fr-CA"/>
        </w:rPr>
        <w:t>required in each device to exchange information</w:t>
      </w:r>
      <w:r w:rsidR="00F74491" w:rsidRPr="005764FC">
        <w:rPr>
          <w:lang w:eastAsia="fr-CA"/>
        </w:rPr>
        <w:t>.</w:t>
      </w:r>
      <w:r w:rsidR="00166860" w:rsidRPr="005764FC">
        <w:rPr>
          <w:rStyle w:val="FootnoteReference"/>
          <w:lang w:eastAsia="fr-CA"/>
        </w:rPr>
        <w:footnoteReference w:id="10"/>
      </w:r>
      <w:r w:rsidR="00166860" w:rsidRPr="005764FC">
        <w:rPr>
          <w:lang w:eastAsia="fr-CA"/>
        </w:rPr>
        <w:t xml:space="preserve"> </w:t>
      </w:r>
      <w:r w:rsidR="00CB116D" w:rsidRPr="005764FC">
        <w:rPr>
          <w:lang w:eastAsia="fr-CA"/>
        </w:rPr>
        <w:t xml:space="preserve">This </w:t>
      </w:r>
      <w:r w:rsidR="00775924" w:rsidRPr="005764FC">
        <w:rPr>
          <w:lang w:eastAsia="fr-CA"/>
        </w:rPr>
        <w:t>report</w:t>
      </w:r>
      <w:r w:rsidR="00CB116D" w:rsidRPr="005764FC">
        <w:rPr>
          <w:lang w:eastAsia="fr-CA"/>
        </w:rPr>
        <w:t xml:space="preserve"> refers to the C-ITS Wi-Fi implementation as </w:t>
      </w:r>
      <w:r w:rsidR="00052813" w:rsidRPr="005764FC">
        <w:rPr>
          <w:lang w:eastAsia="fr-CA"/>
        </w:rPr>
        <w:t>DSRC</w:t>
      </w:r>
      <w:r w:rsidR="00CB116D" w:rsidRPr="005764FC">
        <w:rPr>
          <w:lang w:eastAsia="fr-CA"/>
        </w:rPr>
        <w:t xml:space="preserve"> reflecting the European terminology</w:t>
      </w:r>
      <w:r w:rsidR="00F74491" w:rsidRPr="005764FC">
        <w:rPr>
          <w:lang w:eastAsia="fr-CA"/>
        </w:rPr>
        <w:t>,</w:t>
      </w:r>
      <w:r w:rsidR="00814899" w:rsidRPr="005764FC">
        <w:rPr>
          <w:lang w:eastAsia="fr-CA"/>
        </w:rPr>
        <w:t xml:space="preserve"> while WAVE is used in the US and South Korea. </w:t>
      </w:r>
      <w:r w:rsidR="00F74491" w:rsidRPr="005764FC">
        <w:rPr>
          <w:lang w:eastAsia="fr-CA"/>
        </w:rPr>
        <w:t>It</w:t>
      </w:r>
      <w:r w:rsidR="00052813" w:rsidRPr="005764FC">
        <w:rPr>
          <w:lang w:eastAsia="fr-CA"/>
        </w:rPr>
        <w:t xml:space="preserve"> is a</w:t>
      </w:r>
      <w:r w:rsidR="00CB116D" w:rsidRPr="005764FC">
        <w:rPr>
          <w:lang w:eastAsia="fr-CA"/>
        </w:rPr>
        <w:t xml:space="preserve"> </w:t>
      </w:r>
      <w:r w:rsidR="00106E0E" w:rsidRPr="005764FC">
        <w:rPr>
          <w:lang w:eastAsia="fr-CA"/>
        </w:rPr>
        <w:t xml:space="preserve">subset of DSRC </w:t>
      </w:r>
      <w:r w:rsidR="00311F68" w:rsidRPr="005764FC">
        <w:rPr>
          <w:lang w:eastAsia="fr-CA"/>
        </w:rPr>
        <w:t>which supports other technology implementations such as elect</w:t>
      </w:r>
      <w:r w:rsidR="005A0CF9" w:rsidRPr="005764FC">
        <w:rPr>
          <w:lang w:eastAsia="fr-CA"/>
        </w:rPr>
        <w:t xml:space="preserve">ronic tolling systems. </w:t>
      </w:r>
    </w:p>
    <w:p w14:paraId="5CB447BE" w14:textId="77777777" w:rsidR="00ED4AE6" w:rsidRPr="005764FC" w:rsidRDefault="00ED4AE6" w:rsidP="007654AB">
      <w:pPr>
        <w:pStyle w:val="Heading4"/>
        <w:rPr>
          <w:b/>
          <w:lang w:eastAsia="fr-CA"/>
        </w:rPr>
      </w:pPr>
      <w:r w:rsidRPr="005764FC">
        <w:rPr>
          <w:lang w:eastAsia="fr-CA"/>
        </w:rPr>
        <w:t>What is C-V2X?</w:t>
      </w:r>
    </w:p>
    <w:p w14:paraId="1E149F59" w14:textId="178E916D" w:rsidR="00134D59" w:rsidRPr="005764FC" w:rsidRDefault="0067518C" w:rsidP="00134D59">
      <w:pPr>
        <w:pStyle w:val="BodyText"/>
        <w:rPr>
          <w:lang w:eastAsia="fr-CA"/>
        </w:rPr>
      </w:pPr>
      <w:r w:rsidRPr="005764FC">
        <w:t>Component manufacturers have recently begun produc</w:t>
      </w:r>
      <w:r w:rsidR="00755013" w:rsidRPr="005764FC">
        <w:t xml:space="preserve">ing </w:t>
      </w:r>
      <w:r w:rsidRPr="005764FC">
        <w:t>commercial C-V2X chipsets that can be used in trials (LTE-V2X release</w:t>
      </w:r>
      <w:r w:rsidR="00755013" w:rsidRPr="005764FC">
        <w:t>)</w:t>
      </w:r>
      <w:r w:rsidRPr="005764FC">
        <w:t xml:space="preserve">. </w:t>
      </w:r>
      <w:r w:rsidR="00AA0BFD" w:rsidRPr="005764FC">
        <w:rPr>
          <w:lang w:eastAsia="fr-CA"/>
        </w:rPr>
        <w:t>Two</w:t>
      </w:r>
      <w:r w:rsidR="00ED4AE6" w:rsidRPr="005764FC">
        <w:rPr>
          <w:lang w:eastAsia="fr-CA"/>
        </w:rPr>
        <w:t xml:space="preserve"> </w:t>
      </w:r>
      <w:r w:rsidR="00134D59" w:rsidRPr="005764FC">
        <w:rPr>
          <w:lang w:eastAsia="fr-CA"/>
        </w:rPr>
        <w:t>chipsets</w:t>
      </w:r>
      <w:r w:rsidR="000369DF" w:rsidRPr="005764FC">
        <w:rPr>
          <w:lang w:eastAsia="fr-CA"/>
        </w:rPr>
        <w:t xml:space="preserve"> of</w:t>
      </w:r>
      <w:r w:rsidR="00E81537" w:rsidRPr="005764FC">
        <w:rPr>
          <w:lang w:eastAsia="fr-CA"/>
        </w:rPr>
        <w:t xml:space="preserve"> </w:t>
      </w:r>
      <w:r w:rsidR="000369DF" w:rsidRPr="005764FC">
        <w:rPr>
          <w:lang w:eastAsia="fr-CA"/>
        </w:rPr>
        <w:t xml:space="preserve">C-V2X </w:t>
      </w:r>
      <w:r w:rsidR="00E81537" w:rsidRPr="005764FC">
        <w:rPr>
          <w:lang w:eastAsia="fr-CA"/>
        </w:rPr>
        <w:t>have been defined</w:t>
      </w:r>
      <w:r w:rsidR="003313F4" w:rsidRPr="005764FC">
        <w:rPr>
          <w:lang w:eastAsia="fr-CA"/>
        </w:rPr>
        <w:t xml:space="preserve">: </w:t>
      </w:r>
      <w:r w:rsidR="00ED4AE6" w:rsidRPr="005764FC">
        <w:rPr>
          <w:lang w:eastAsia="fr-CA"/>
        </w:rPr>
        <w:t>LTE-V2X us</w:t>
      </w:r>
      <w:r w:rsidR="00911461" w:rsidRPr="005764FC">
        <w:rPr>
          <w:lang w:eastAsia="fr-CA"/>
        </w:rPr>
        <w:t>es</w:t>
      </w:r>
      <w:r w:rsidR="00ED4AE6" w:rsidRPr="005764FC">
        <w:rPr>
          <w:lang w:eastAsia="fr-CA"/>
        </w:rPr>
        <w:t xml:space="preserve"> </w:t>
      </w:r>
      <w:r w:rsidR="004F303C" w:rsidRPr="005764FC">
        <w:rPr>
          <w:lang w:eastAsia="fr-CA"/>
        </w:rPr>
        <w:t xml:space="preserve">the </w:t>
      </w:r>
      <w:r w:rsidR="00ED4AE6" w:rsidRPr="005764FC">
        <w:rPr>
          <w:lang w:eastAsia="fr-CA"/>
        </w:rPr>
        <w:t>4G network</w:t>
      </w:r>
      <w:r w:rsidR="00547A71" w:rsidRPr="005764FC">
        <w:rPr>
          <w:lang w:eastAsia="fr-CA"/>
        </w:rPr>
        <w:t xml:space="preserve"> and is the technology </w:t>
      </w:r>
      <w:r w:rsidR="00755013" w:rsidRPr="005764FC">
        <w:rPr>
          <w:lang w:eastAsia="fr-CA"/>
        </w:rPr>
        <w:t xml:space="preserve">currently </w:t>
      </w:r>
      <w:r w:rsidR="008A4406" w:rsidRPr="005764FC">
        <w:rPr>
          <w:lang w:eastAsia="fr-CA"/>
        </w:rPr>
        <w:t>used</w:t>
      </w:r>
      <w:r w:rsidR="00547A71" w:rsidRPr="005764FC">
        <w:rPr>
          <w:lang w:eastAsia="fr-CA"/>
        </w:rPr>
        <w:t xml:space="preserve"> for C-V2X trials</w:t>
      </w:r>
      <w:r w:rsidR="00E70D89" w:rsidRPr="005764FC">
        <w:rPr>
          <w:lang w:eastAsia="fr-CA"/>
        </w:rPr>
        <w:t>, while</w:t>
      </w:r>
      <w:r w:rsidR="00FD7247" w:rsidRPr="005764FC">
        <w:rPr>
          <w:lang w:eastAsia="fr-CA"/>
        </w:rPr>
        <w:t xml:space="preserve"> </w:t>
      </w:r>
      <w:r w:rsidR="00E70D89" w:rsidRPr="005764FC">
        <w:rPr>
          <w:lang w:eastAsia="fr-CA"/>
        </w:rPr>
        <w:t>5G</w:t>
      </w:r>
      <w:r w:rsidR="00FD7247" w:rsidRPr="005764FC">
        <w:rPr>
          <w:lang w:eastAsia="fr-CA"/>
        </w:rPr>
        <w:t xml:space="preserve">-V2X </w:t>
      </w:r>
      <w:r w:rsidR="00E70D89" w:rsidRPr="005764FC">
        <w:rPr>
          <w:lang w:eastAsia="fr-CA"/>
        </w:rPr>
        <w:t xml:space="preserve">(new radio NR) </w:t>
      </w:r>
      <w:r w:rsidR="00755013" w:rsidRPr="005764FC">
        <w:rPr>
          <w:lang w:eastAsia="fr-CA"/>
        </w:rPr>
        <w:t xml:space="preserve">that </w:t>
      </w:r>
      <w:r w:rsidR="00FD7247" w:rsidRPr="005764FC">
        <w:rPr>
          <w:lang w:eastAsia="fr-CA"/>
        </w:rPr>
        <w:t>uses</w:t>
      </w:r>
      <w:r w:rsidR="008A4406" w:rsidRPr="005764FC">
        <w:rPr>
          <w:lang w:eastAsia="fr-CA"/>
        </w:rPr>
        <w:t xml:space="preserve"> the</w:t>
      </w:r>
      <w:r w:rsidR="00FD7247" w:rsidRPr="005764FC">
        <w:rPr>
          <w:lang w:eastAsia="fr-CA"/>
        </w:rPr>
        <w:t xml:space="preserve"> 5G</w:t>
      </w:r>
      <w:r w:rsidR="008A4406" w:rsidRPr="005764FC">
        <w:rPr>
          <w:lang w:eastAsia="fr-CA"/>
        </w:rPr>
        <w:t xml:space="preserve"> network,</w:t>
      </w:r>
      <w:r w:rsidR="00E70D89" w:rsidRPr="005764FC">
        <w:rPr>
          <w:lang w:eastAsia="fr-CA"/>
        </w:rPr>
        <w:t xml:space="preserve"> is not </w:t>
      </w:r>
      <w:r w:rsidR="00E70D89" w:rsidRPr="005764FC">
        <w:t>yet commercially available</w:t>
      </w:r>
      <w:r w:rsidR="003313F4" w:rsidRPr="005764FC">
        <w:rPr>
          <w:lang w:eastAsia="fr-CA"/>
        </w:rPr>
        <w:t xml:space="preserve">. </w:t>
      </w:r>
      <w:r w:rsidR="00134D59" w:rsidRPr="005764FC">
        <w:rPr>
          <w:lang w:eastAsia="fr-CA"/>
        </w:rPr>
        <w:t xml:space="preserve">Following early milestones of C-V2X, a 10-year gap exists compared to the </w:t>
      </w:r>
      <w:r w:rsidR="00B47DE1" w:rsidRPr="005764FC">
        <w:rPr>
          <w:lang w:eastAsia="fr-CA"/>
        </w:rPr>
        <w:t>DSRC (</w:t>
      </w:r>
      <w:r w:rsidR="00755013" w:rsidRPr="005764FC">
        <w:rPr>
          <w:lang w:eastAsia="fr-CA"/>
        </w:rPr>
        <w:t>ITS-G5</w:t>
      </w:r>
      <w:r w:rsidR="00B47DE1" w:rsidRPr="005764FC">
        <w:rPr>
          <w:lang w:eastAsia="fr-CA"/>
        </w:rPr>
        <w:t>)</w:t>
      </w:r>
      <w:r w:rsidR="008E76D2" w:rsidRPr="005764FC">
        <w:rPr>
          <w:lang w:eastAsia="fr-CA"/>
        </w:rPr>
        <w:t xml:space="preserve"> </w:t>
      </w:r>
      <w:r w:rsidR="00134D59" w:rsidRPr="005764FC">
        <w:rPr>
          <w:lang w:eastAsia="fr-CA"/>
        </w:rPr>
        <w:t>development and testing life cycle</w:t>
      </w:r>
      <w:r w:rsidR="00D424D1">
        <w:rPr>
          <w:lang w:eastAsia="fr-CA"/>
        </w:rPr>
        <w:t xml:space="preserve"> </w:t>
      </w:r>
      <w:sdt>
        <w:sdtPr>
          <w:rPr>
            <w:lang w:eastAsia="fr-CA"/>
          </w:rPr>
          <w:id w:val="-1244952088"/>
          <w:citation/>
        </w:sdtPr>
        <w:sdtContent>
          <w:r w:rsidR="00D424D1">
            <w:rPr>
              <w:lang w:eastAsia="fr-CA"/>
            </w:rPr>
            <w:fldChar w:fldCharType="begin"/>
          </w:r>
          <w:r w:rsidR="00D424D1">
            <w:rPr>
              <w:lang w:eastAsia="fr-CA"/>
            </w:rPr>
            <w:instrText xml:space="preserve"> CITATION NXP20 \l 3081 </w:instrText>
          </w:r>
          <w:r w:rsidR="00D424D1">
            <w:rPr>
              <w:lang w:eastAsia="fr-CA"/>
            </w:rPr>
            <w:fldChar w:fldCharType="separate"/>
          </w:r>
          <w:r w:rsidR="001428F9">
            <w:rPr>
              <w:noProof/>
              <w:lang w:eastAsia="fr-CA"/>
            </w:rPr>
            <w:t>(NXP, 2020)</w:t>
          </w:r>
          <w:r w:rsidR="00D424D1">
            <w:rPr>
              <w:lang w:eastAsia="fr-CA"/>
            </w:rPr>
            <w:fldChar w:fldCharType="end"/>
          </w:r>
        </w:sdtContent>
      </w:sdt>
      <w:r w:rsidR="00F74491" w:rsidRPr="005764FC">
        <w:rPr>
          <w:lang w:eastAsia="fr-CA"/>
        </w:rPr>
        <w:t>.</w:t>
      </w:r>
      <w:r w:rsidR="005620E5" w:rsidRPr="005764FC">
        <w:rPr>
          <w:lang w:eastAsia="fr-CA"/>
        </w:rPr>
        <w:t xml:space="preserve"> </w:t>
      </w:r>
      <w:r w:rsidR="002372D2" w:rsidRPr="005764FC">
        <w:rPr>
          <w:lang w:eastAsia="fr-CA"/>
        </w:rPr>
        <w:t>The 5G Automotive Association (5GAA) is a global, cross-industry organisation of companies from the automotive, technology, and telecommunications industries</w:t>
      </w:r>
      <w:r w:rsidR="00ED3B26">
        <w:rPr>
          <w:lang w:eastAsia="fr-CA"/>
        </w:rPr>
        <w:t>,</w:t>
      </w:r>
      <w:r w:rsidR="002372D2" w:rsidRPr="005764FC">
        <w:rPr>
          <w:lang w:eastAsia="fr-CA"/>
        </w:rPr>
        <w:t xml:space="preserve"> working together to develop end-to-end solutions for future mobility and transportation services</w:t>
      </w:r>
      <w:r w:rsidR="00A31BCF" w:rsidRPr="005764FC">
        <w:rPr>
          <w:lang w:eastAsia="fr-CA"/>
        </w:rPr>
        <w:t>,</w:t>
      </w:r>
      <w:r w:rsidR="002372D2" w:rsidRPr="005764FC">
        <w:rPr>
          <w:lang w:eastAsia="fr-CA"/>
        </w:rPr>
        <w:t xml:space="preserve"> and</w:t>
      </w:r>
      <w:r w:rsidR="00F74491" w:rsidRPr="005764FC">
        <w:rPr>
          <w:lang w:eastAsia="fr-CA"/>
        </w:rPr>
        <w:t xml:space="preserve"> track C-V2X </w:t>
      </w:r>
      <w:r w:rsidR="00352BE9" w:rsidRPr="005764FC">
        <w:rPr>
          <w:lang w:eastAsia="fr-CA"/>
        </w:rPr>
        <w:t xml:space="preserve">progress. </w:t>
      </w:r>
    </w:p>
    <w:p w14:paraId="62513CCB" w14:textId="16B85655" w:rsidR="00196858" w:rsidRPr="005764FC" w:rsidRDefault="007A6422" w:rsidP="009F1528">
      <w:pPr>
        <w:pStyle w:val="BodyText"/>
        <w:rPr>
          <w:lang w:eastAsia="fr-CA"/>
        </w:rPr>
      </w:pPr>
      <w:r w:rsidRPr="005764FC">
        <w:rPr>
          <w:lang w:eastAsia="fr-CA"/>
        </w:rPr>
        <w:t>Importantly, a</w:t>
      </w:r>
      <w:r w:rsidR="00822744" w:rsidRPr="005764FC">
        <w:rPr>
          <w:lang w:eastAsia="fr-CA"/>
        </w:rPr>
        <w:t xml:space="preserve">s shown in </w:t>
      </w:r>
      <w:r w:rsidR="0093372E" w:rsidRPr="005764FC">
        <w:rPr>
          <w:lang w:eastAsia="fr-CA"/>
        </w:rPr>
        <w:fldChar w:fldCharType="begin" w:fldLock="1"/>
      </w:r>
      <w:r w:rsidR="0093372E" w:rsidRPr="005764FC">
        <w:rPr>
          <w:lang w:eastAsia="fr-CA"/>
        </w:rPr>
        <w:instrText xml:space="preserve"> REF _Ref94024658 \h </w:instrText>
      </w:r>
      <w:r w:rsidR="00B377D5" w:rsidRPr="005764FC">
        <w:rPr>
          <w:lang w:eastAsia="fr-CA"/>
        </w:rPr>
        <w:instrText xml:space="preserve"> \* MERGEFORMAT </w:instrText>
      </w:r>
      <w:r w:rsidR="0093372E" w:rsidRPr="005764FC">
        <w:rPr>
          <w:lang w:eastAsia="fr-CA"/>
        </w:rPr>
      </w:r>
      <w:r w:rsidR="0093372E" w:rsidRPr="005764FC">
        <w:rPr>
          <w:lang w:eastAsia="fr-CA"/>
        </w:rPr>
        <w:fldChar w:fldCharType="separate"/>
      </w:r>
      <w:r w:rsidR="00A34B27" w:rsidRPr="005764FC">
        <w:t xml:space="preserve">Figure </w:t>
      </w:r>
      <w:r w:rsidR="00A34B27">
        <w:t>1</w:t>
      </w:r>
      <w:r w:rsidR="00A34B27" w:rsidRPr="005764FC">
        <w:t>.</w:t>
      </w:r>
      <w:r w:rsidR="00A34B27">
        <w:t>8</w:t>
      </w:r>
      <w:r w:rsidR="0093372E" w:rsidRPr="005764FC">
        <w:rPr>
          <w:lang w:eastAsia="fr-CA"/>
        </w:rPr>
        <w:fldChar w:fldCharType="end"/>
      </w:r>
      <w:r w:rsidR="0093372E" w:rsidRPr="005764FC">
        <w:rPr>
          <w:lang w:eastAsia="fr-CA"/>
        </w:rPr>
        <w:t xml:space="preserve">, </w:t>
      </w:r>
      <w:r w:rsidR="00746CBE" w:rsidRPr="005764FC">
        <w:rPr>
          <w:lang w:eastAsia="fr-CA"/>
        </w:rPr>
        <w:t>c</w:t>
      </w:r>
      <w:r w:rsidR="00A01342" w:rsidRPr="005764FC">
        <w:rPr>
          <w:lang w:eastAsia="fr-CA"/>
        </w:rPr>
        <w:t xml:space="preserve">ellular </w:t>
      </w:r>
      <w:r w:rsidR="00196E82" w:rsidRPr="005764FC">
        <w:rPr>
          <w:lang w:eastAsia="fr-CA"/>
        </w:rPr>
        <w:t>long-range</w:t>
      </w:r>
      <w:r w:rsidR="00A01342" w:rsidRPr="005764FC">
        <w:rPr>
          <w:lang w:eastAsia="fr-CA"/>
        </w:rPr>
        <w:t xml:space="preserve"> communications is not C-V2X</w:t>
      </w:r>
      <w:r w:rsidR="00755013" w:rsidRPr="005764FC">
        <w:rPr>
          <w:lang w:eastAsia="fr-CA"/>
        </w:rPr>
        <w:t>,</w:t>
      </w:r>
      <w:r w:rsidR="0093372E" w:rsidRPr="005764FC">
        <w:rPr>
          <w:lang w:eastAsia="fr-CA"/>
        </w:rPr>
        <w:t xml:space="preserve"> which focuses on short</w:t>
      </w:r>
      <w:r w:rsidR="00755013" w:rsidRPr="005764FC">
        <w:rPr>
          <w:lang w:eastAsia="fr-CA"/>
        </w:rPr>
        <w:t>-</w:t>
      </w:r>
      <w:r w:rsidR="0093372E" w:rsidRPr="005764FC">
        <w:rPr>
          <w:lang w:eastAsia="fr-CA"/>
        </w:rPr>
        <w:t>range communication</w:t>
      </w:r>
      <w:r w:rsidR="00A01342" w:rsidRPr="005764FC">
        <w:rPr>
          <w:lang w:eastAsia="fr-CA"/>
        </w:rPr>
        <w:t xml:space="preserve">. </w:t>
      </w:r>
      <w:r w:rsidRPr="005764FC">
        <w:rPr>
          <w:lang w:eastAsia="fr-CA"/>
        </w:rPr>
        <w:t>This means th</w:t>
      </w:r>
      <w:r w:rsidR="00746CBE" w:rsidRPr="005764FC">
        <w:rPr>
          <w:lang w:eastAsia="fr-CA"/>
        </w:rPr>
        <w:t xml:space="preserve">at </w:t>
      </w:r>
      <w:r w:rsidR="00196858" w:rsidRPr="005764FC">
        <w:rPr>
          <w:lang w:eastAsia="fr-CA"/>
        </w:rPr>
        <w:t xml:space="preserve">solutions and </w:t>
      </w:r>
      <w:r w:rsidR="00746CBE" w:rsidRPr="005764FC">
        <w:rPr>
          <w:lang w:eastAsia="fr-CA"/>
        </w:rPr>
        <w:t xml:space="preserve">benefits identified </w:t>
      </w:r>
      <w:r w:rsidR="00196858" w:rsidRPr="005764FC">
        <w:rPr>
          <w:lang w:eastAsia="fr-CA"/>
        </w:rPr>
        <w:t>using</w:t>
      </w:r>
      <w:r w:rsidR="00746CBE" w:rsidRPr="005764FC">
        <w:rPr>
          <w:lang w:eastAsia="fr-CA"/>
        </w:rPr>
        <w:t xml:space="preserve"> </w:t>
      </w:r>
      <w:r w:rsidR="003055FF" w:rsidRPr="005764FC">
        <w:rPr>
          <w:lang w:eastAsia="fr-CA"/>
        </w:rPr>
        <w:t xml:space="preserve">long-range cellular network communications to </w:t>
      </w:r>
      <w:r w:rsidR="00196858" w:rsidRPr="005764FC">
        <w:rPr>
          <w:lang w:eastAsia="fr-CA"/>
        </w:rPr>
        <w:t>central</w:t>
      </w:r>
      <w:r w:rsidR="003055FF" w:rsidRPr="005764FC">
        <w:rPr>
          <w:lang w:eastAsia="fr-CA"/>
        </w:rPr>
        <w:t xml:space="preserve"> systems </w:t>
      </w:r>
      <w:r w:rsidR="00DD6FA4" w:rsidRPr="005764FC">
        <w:rPr>
          <w:lang w:eastAsia="fr-CA"/>
        </w:rPr>
        <w:t xml:space="preserve">such as traffic management centres </w:t>
      </w:r>
      <w:r w:rsidR="00755013" w:rsidRPr="005764FC">
        <w:rPr>
          <w:lang w:eastAsia="fr-CA"/>
        </w:rPr>
        <w:t>cann</w:t>
      </w:r>
      <w:r w:rsidR="00105C0D" w:rsidRPr="005764FC">
        <w:rPr>
          <w:lang w:eastAsia="fr-CA"/>
        </w:rPr>
        <w:t>ot be considered as C-V2X benefits.</w:t>
      </w:r>
    </w:p>
    <w:p w14:paraId="45F778DE" w14:textId="1860F354" w:rsidR="00040404" w:rsidRPr="005764FC" w:rsidRDefault="00040404" w:rsidP="009F1528">
      <w:pPr>
        <w:pStyle w:val="BodyText"/>
      </w:pPr>
      <w:r w:rsidRPr="005764FC">
        <w:t xml:space="preserve">Qualcomm </w:t>
      </w:r>
      <w:sdt>
        <w:sdtPr>
          <w:id w:val="-2059239345"/>
          <w:citation/>
        </w:sdtPr>
        <w:sdtContent>
          <w:r w:rsidR="00E42290">
            <w:fldChar w:fldCharType="begin"/>
          </w:r>
          <w:r w:rsidR="00E42290">
            <w:instrText xml:space="preserve">CITATION Qua20 \n  \t  \l 3081 </w:instrText>
          </w:r>
          <w:r w:rsidR="00E42290">
            <w:fldChar w:fldCharType="separate"/>
          </w:r>
          <w:r w:rsidR="001428F9">
            <w:rPr>
              <w:noProof/>
            </w:rPr>
            <w:t>(2020)</w:t>
          </w:r>
          <w:r w:rsidR="00E42290">
            <w:fldChar w:fldCharType="end"/>
          </w:r>
        </w:sdtContent>
      </w:sdt>
      <w:r w:rsidRPr="005764FC">
        <w:t xml:space="preserve"> </w:t>
      </w:r>
      <w:r w:rsidR="00F74491" w:rsidRPr="005764FC">
        <w:t>notes</w:t>
      </w:r>
      <w:r w:rsidRPr="005764FC">
        <w:t xml:space="preserve"> a performance benefit to C-V2X in range, latency and capacity (which may relate to LTE-V2X or the 5G-V2X variant yet to be released). In contrast</w:t>
      </w:r>
      <w:r w:rsidR="00F74491" w:rsidRPr="005764FC">
        <w:t>,</w:t>
      </w:r>
      <w:r w:rsidRPr="005764FC">
        <w:t xml:space="preserve"> Toyota noted positive performance aspects for </w:t>
      </w:r>
      <w:r w:rsidR="000816A7" w:rsidRPr="005764FC">
        <w:t xml:space="preserve">DSRC. </w:t>
      </w:r>
      <w:r w:rsidRPr="005764FC">
        <w:t xml:space="preserve">Regardless of which </w:t>
      </w:r>
      <w:r w:rsidR="00F74491" w:rsidRPr="005764FC">
        <w:t>is</w:t>
      </w:r>
      <w:r w:rsidRPr="005764FC">
        <w:t xml:space="preserve"> true, this </w:t>
      </w:r>
      <w:r w:rsidR="00F74491" w:rsidRPr="005764FC">
        <w:t>makes</w:t>
      </w:r>
      <w:r w:rsidRPr="005764FC">
        <w:t xml:space="preserve"> no significant difference </w:t>
      </w:r>
      <w:r w:rsidR="00F74491" w:rsidRPr="005764FC">
        <w:t>to</w:t>
      </w:r>
      <w:r w:rsidRPr="005764FC">
        <w:t xml:space="preserve"> the impact of </w:t>
      </w:r>
      <w:r w:rsidR="004B17B1" w:rsidRPr="005764FC">
        <w:t>real-world</w:t>
      </w:r>
      <w:r w:rsidRPr="005764FC">
        <w:t xml:space="preserve"> operation for Day 1 and 1.5 use cases</w:t>
      </w:r>
      <w:r w:rsidR="00F74491" w:rsidRPr="005764FC">
        <w:t>, or to</w:t>
      </w:r>
      <w:r w:rsidRPr="005764FC">
        <w:t xml:space="preserve"> the outcomes for end users</w:t>
      </w:r>
      <w:r w:rsidR="00F74491" w:rsidRPr="005764FC">
        <w:t>,</w:t>
      </w:r>
      <w:r w:rsidRPr="005764FC">
        <w:t xml:space="preserve"> since both perform with acceptable range and latency</w:t>
      </w:r>
      <w:r w:rsidR="0018659D">
        <w:t xml:space="preserve"> </w:t>
      </w:r>
      <w:sdt>
        <w:sdtPr>
          <w:id w:val="597836770"/>
          <w:citation/>
        </w:sdtPr>
        <w:sdtContent>
          <w:r w:rsidR="0018659D">
            <w:fldChar w:fldCharType="begin"/>
          </w:r>
          <w:r w:rsidR="0018659D">
            <w:instrText xml:space="preserve"> CITATION Get20 \l 3081 </w:instrText>
          </w:r>
          <w:r w:rsidR="0018659D">
            <w:fldChar w:fldCharType="separate"/>
          </w:r>
          <w:r w:rsidR="001428F9">
            <w:rPr>
              <w:noProof/>
            </w:rPr>
            <w:t>(Gettman, 2020)</w:t>
          </w:r>
          <w:r w:rsidR="0018659D">
            <w:fldChar w:fldCharType="end"/>
          </w:r>
        </w:sdtContent>
      </w:sdt>
      <w:r w:rsidR="00F74491" w:rsidRPr="005764FC">
        <w:t>.</w:t>
      </w:r>
      <w:r w:rsidRPr="005764FC">
        <w:t xml:space="preserve"> </w:t>
      </w:r>
    </w:p>
    <w:p w14:paraId="38DE769E" w14:textId="72AA30E1" w:rsidR="00A47AAC" w:rsidRPr="005764FC" w:rsidRDefault="001D3737" w:rsidP="007654AB">
      <w:pPr>
        <w:pStyle w:val="Heading4"/>
        <w:rPr>
          <w:lang w:eastAsia="fr-CA"/>
        </w:rPr>
      </w:pPr>
      <w:r w:rsidRPr="005764FC">
        <w:rPr>
          <w:lang w:eastAsia="fr-CA"/>
        </w:rPr>
        <w:t>Interoperability and</w:t>
      </w:r>
      <w:r w:rsidR="006B6BB7" w:rsidRPr="005764FC">
        <w:rPr>
          <w:lang w:eastAsia="fr-CA"/>
        </w:rPr>
        <w:t xml:space="preserve"> coexistence</w:t>
      </w:r>
      <w:r w:rsidR="001400F1" w:rsidRPr="005764FC">
        <w:rPr>
          <w:lang w:eastAsia="fr-CA"/>
        </w:rPr>
        <w:t>?</w:t>
      </w:r>
    </w:p>
    <w:p w14:paraId="46067344" w14:textId="2ACDB54D" w:rsidR="001D3737" w:rsidRPr="005764FC" w:rsidRDefault="00521887" w:rsidP="001D3737">
      <w:pPr>
        <w:pStyle w:val="BodyText"/>
        <w:rPr>
          <w:lang w:eastAsia="fr-CA"/>
        </w:rPr>
      </w:pPr>
      <w:r w:rsidRPr="005764FC">
        <w:rPr>
          <w:lang w:eastAsia="fr-CA"/>
        </w:rPr>
        <w:t>DSRC (ITS-G5)</w:t>
      </w:r>
      <w:r w:rsidR="005A5214" w:rsidRPr="005764FC">
        <w:rPr>
          <w:lang w:eastAsia="fr-CA"/>
        </w:rPr>
        <w:t xml:space="preserve"> and C-V2X are not interoperable</w:t>
      </w:r>
      <w:r w:rsidR="00754C54" w:rsidRPr="005764FC">
        <w:rPr>
          <w:lang w:eastAsia="fr-CA"/>
        </w:rPr>
        <w:t>. Fu</w:t>
      </w:r>
      <w:r w:rsidR="005A5214" w:rsidRPr="005764FC">
        <w:rPr>
          <w:lang w:eastAsia="fr-CA"/>
        </w:rPr>
        <w:t xml:space="preserve">rther testing is </w:t>
      </w:r>
      <w:r w:rsidR="00D60779" w:rsidRPr="005764FC">
        <w:rPr>
          <w:lang w:eastAsia="fr-CA"/>
        </w:rPr>
        <w:t xml:space="preserve">needed </w:t>
      </w:r>
      <w:r w:rsidR="005A5214" w:rsidRPr="005764FC">
        <w:rPr>
          <w:lang w:eastAsia="fr-CA"/>
        </w:rPr>
        <w:t xml:space="preserve">to determine if they can co-exist. </w:t>
      </w:r>
      <w:r w:rsidR="00770305" w:rsidRPr="005764FC">
        <w:rPr>
          <w:lang w:eastAsia="fr-CA"/>
        </w:rPr>
        <w:t>This is an essential difference</w:t>
      </w:r>
      <w:r w:rsidR="00F74491" w:rsidRPr="005764FC">
        <w:rPr>
          <w:lang w:eastAsia="fr-CA"/>
        </w:rPr>
        <w:t>:</w:t>
      </w:r>
      <w:r w:rsidR="00770305" w:rsidRPr="005764FC">
        <w:rPr>
          <w:lang w:eastAsia="fr-CA"/>
        </w:rPr>
        <w:t xml:space="preserve"> interoperability means information can be shared between all involved</w:t>
      </w:r>
      <w:r w:rsidR="00D60779" w:rsidRPr="005764FC">
        <w:rPr>
          <w:lang w:eastAsia="fr-CA"/>
        </w:rPr>
        <w:t>;</w:t>
      </w:r>
      <w:r w:rsidR="00770305" w:rsidRPr="005764FC">
        <w:rPr>
          <w:lang w:eastAsia="fr-CA"/>
        </w:rPr>
        <w:t xml:space="preserve"> co-existence means that systems operate independently </w:t>
      </w:r>
      <w:r w:rsidR="00F74491" w:rsidRPr="005764FC">
        <w:rPr>
          <w:lang w:eastAsia="fr-CA"/>
        </w:rPr>
        <w:t>without</w:t>
      </w:r>
      <w:r w:rsidR="00770305" w:rsidRPr="005764FC">
        <w:rPr>
          <w:lang w:eastAsia="fr-CA"/>
        </w:rPr>
        <w:t xml:space="preserve"> interfer</w:t>
      </w:r>
      <w:r w:rsidR="00F74491" w:rsidRPr="005764FC">
        <w:rPr>
          <w:lang w:eastAsia="fr-CA"/>
        </w:rPr>
        <w:t>ing</w:t>
      </w:r>
      <w:r w:rsidR="00770305" w:rsidRPr="005764FC">
        <w:rPr>
          <w:lang w:eastAsia="fr-CA"/>
        </w:rPr>
        <w:t xml:space="preserve"> with each other. </w:t>
      </w:r>
      <w:r w:rsidR="00F74491" w:rsidRPr="005764FC">
        <w:rPr>
          <w:lang w:eastAsia="fr-CA"/>
        </w:rPr>
        <w:t>I</w:t>
      </w:r>
      <w:r w:rsidR="00770305" w:rsidRPr="005764FC">
        <w:rPr>
          <w:lang w:eastAsia="fr-CA"/>
        </w:rPr>
        <w:t>nteroperability leads to more interactions and higher likelihood of success</w:t>
      </w:r>
      <w:r w:rsidR="00F74491" w:rsidRPr="005764FC">
        <w:rPr>
          <w:lang w:eastAsia="fr-CA"/>
        </w:rPr>
        <w:t>,</w:t>
      </w:r>
      <w:r w:rsidR="00770305" w:rsidRPr="005764FC">
        <w:rPr>
          <w:lang w:eastAsia="fr-CA"/>
        </w:rPr>
        <w:t xml:space="preserve"> </w:t>
      </w:r>
      <w:r w:rsidR="00B867A3" w:rsidRPr="005764FC">
        <w:rPr>
          <w:lang w:eastAsia="fr-CA"/>
        </w:rPr>
        <w:t>whereas</w:t>
      </w:r>
      <w:r w:rsidR="00770305" w:rsidRPr="005764FC">
        <w:rPr>
          <w:lang w:eastAsia="fr-CA"/>
        </w:rPr>
        <w:t xml:space="preserve"> co-existence will limit benefits to specific groups. </w:t>
      </w:r>
      <w:r w:rsidR="001D3737" w:rsidRPr="005764FC">
        <w:rPr>
          <w:lang w:eastAsia="fr-CA"/>
        </w:rPr>
        <w:t xml:space="preserve">Current dual roadside stations (offering </w:t>
      </w:r>
      <w:r w:rsidR="00754C54" w:rsidRPr="005764FC">
        <w:rPr>
          <w:lang w:eastAsia="fr-CA"/>
        </w:rPr>
        <w:t xml:space="preserve">DSRC </w:t>
      </w:r>
      <w:r w:rsidR="001D3737" w:rsidRPr="005764FC">
        <w:rPr>
          <w:lang w:eastAsia="fr-CA"/>
        </w:rPr>
        <w:t xml:space="preserve">and C-V2X in one unit) </w:t>
      </w:r>
      <w:r w:rsidR="00CF14BC">
        <w:rPr>
          <w:lang w:eastAsia="fr-CA"/>
        </w:rPr>
        <w:t>cannot</w:t>
      </w:r>
      <w:r w:rsidR="001D3737" w:rsidRPr="005764FC">
        <w:rPr>
          <w:lang w:eastAsia="fr-CA"/>
        </w:rPr>
        <w:t xml:space="preserve"> operate with both technologies at the same time. They must select a mode </w:t>
      </w:r>
      <w:r w:rsidR="00F74491" w:rsidRPr="005764FC">
        <w:rPr>
          <w:lang w:eastAsia="fr-CA"/>
        </w:rPr>
        <w:t>at</w:t>
      </w:r>
      <w:r w:rsidR="001D3737" w:rsidRPr="005764FC">
        <w:rPr>
          <w:lang w:eastAsia="fr-CA"/>
        </w:rPr>
        <w:t xml:space="preserve"> power</w:t>
      </w:r>
      <w:r w:rsidR="00F74491" w:rsidRPr="005764FC">
        <w:rPr>
          <w:lang w:eastAsia="fr-CA"/>
        </w:rPr>
        <w:t>-</w:t>
      </w:r>
      <w:r w:rsidR="001D3737" w:rsidRPr="005764FC">
        <w:rPr>
          <w:lang w:eastAsia="fr-CA"/>
        </w:rPr>
        <w:t>up</w:t>
      </w:r>
      <w:r w:rsidR="00F74491" w:rsidRPr="005764FC">
        <w:rPr>
          <w:lang w:eastAsia="fr-CA"/>
        </w:rPr>
        <w:t>, i.e.,</w:t>
      </w:r>
      <w:r w:rsidR="001D3737" w:rsidRPr="005764FC">
        <w:rPr>
          <w:lang w:eastAsia="fr-CA"/>
        </w:rPr>
        <w:t xml:space="preserve"> a single roadside station cannot </w:t>
      </w:r>
      <w:r w:rsidR="009B4AAF" w:rsidRPr="005764FC">
        <w:rPr>
          <w:lang w:eastAsia="fr-CA"/>
        </w:rPr>
        <w:t>provide information</w:t>
      </w:r>
      <w:r w:rsidR="001D3737" w:rsidRPr="005764FC">
        <w:rPr>
          <w:lang w:eastAsia="fr-CA"/>
        </w:rPr>
        <w:t xml:space="preserve"> to two vehicles operating with different technologies</w:t>
      </w:r>
      <w:r w:rsidR="00F71DA3">
        <w:rPr>
          <w:lang w:eastAsia="fr-CA"/>
        </w:rPr>
        <w:t xml:space="preserve"> </w:t>
      </w:r>
      <w:sdt>
        <w:sdtPr>
          <w:rPr>
            <w:lang w:eastAsia="fr-CA"/>
          </w:rPr>
          <w:id w:val="762734331"/>
          <w:citation/>
        </w:sdtPr>
        <w:sdtContent>
          <w:r w:rsidR="00F71DA3">
            <w:rPr>
              <w:lang w:eastAsia="fr-CA"/>
            </w:rPr>
            <w:fldChar w:fldCharType="begin"/>
          </w:r>
          <w:r w:rsidR="00F71DA3">
            <w:rPr>
              <w:lang w:eastAsia="fr-CA"/>
            </w:rPr>
            <w:instrText xml:space="preserve"> CITATION Omn21 \l 3081 </w:instrText>
          </w:r>
          <w:r w:rsidR="00F71DA3">
            <w:rPr>
              <w:lang w:eastAsia="fr-CA"/>
            </w:rPr>
            <w:fldChar w:fldCharType="separate"/>
          </w:r>
          <w:r w:rsidR="001428F9">
            <w:rPr>
              <w:noProof/>
              <w:lang w:eastAsia="fr-CA"/>
            </w:rPr>
            <w:t>(Omniair Consortium, 2021)</w:t>
          </w:r>
          <w:r w:rsidR="00F71DA3">
            <w:rPr>
              <w:lang w:eastAsia="fr-CA"/>
            </w:rPr>
            <w:fldChar w:fldCharType="end"/>
          </w:r>
        </w:sdtContent>
      </w:sdt>
      <w:r w:rsidR="00F74491" w:rsidRPr="005764FC">
        <w:rPr>
          <w:lang w:eastAsia="fr-CA"/>
        </w:rPr>
        <w:t>.</w:t>
      </w:r>
    </w:p>
    <w:p w14:paraId="786A7D61" w14:textId="618AC9F5" w:rsidR="00701D35" w:rsidRPr="005764FC" w:rsidRDefault="00701D35" w:rsidP="00CA4070">
      <w:pPr>
        <w:pStyle w:val="BodyText"/>
        <w:keepLines/>
        <w:rPr>
          <w:lang w:eastAsia="fr-CA"/>
        </w:rPr>
      </w:pPr>
      <w:r w:rsidRPr="005764FC">
        <w:rPr>
          <w:lang w:eastAsia="fr-CA"/>
        </w:rPr>
        <w:t>Europe ha</w:t>
      </w:r>
      <w:r w:rsidR="00F74491" w:rsidRPr="005764FC">
        <w:rPr>
          <w:lang w:eastAsia="fr-CA"/>
        </w:rPr>
        <w:t>s</w:t>
      </w:r>
      <w:r w:rsidRPr="005764FC">
        <w:rPr>
          <w:lang w:eastAsia="fr-CA"/>
        </w:rPr>
        <w:t xml:space="preserve"> begun studies on sharing spectrum between </w:t>
      </w:r>
      <w:r w:rsidR="00405523" w:rsidRPr="005764FC">
        <w:rPr>
          <w:lang w:eastAsia="fr-CA"/>
        </w:rPr>
        <w:t>DSRC (</w:t>
      </w:r>
      <w:r w:rsidRPr="005764FC">
        <w:rPr>
          <w:lang w:eastAsia="fr-CA"/>
        </w:rPr>
        <w:t>ITS-G5</w:t>
      </w:r>
      <w:r w:rsidR="00405523" w:rsidRPr="005764FC">
        <w:rPr>
          <w:lang w:eastAsia="fr-CA"/>
        </w:rPr>
        <w:t>)</w:t>
      </w:r>
      <w:r w:rsidRPr="005764FC">
        <w:rPr>
          <w:lang w:eastAsia="fr-CA"/>
        </w:rPr>
        <w:t xml:space="preserve"> and C-V2X (LTE-V2X)</w:t>
      </w:r>
      <w:r w:rsidR="00FC63C3" w:rsidRPr="005764FC">
        <w:rPr>
          <w:lang w:eastAsia="fr-CA"/>
        </w:rPr>
        <w:t>.</w:t>
      </w:r>
      <w:r w:rsidRPr="005764FC">
        <w:rPr>
          <w:rStyle w:val="FootnoteReference"/>
          <w:lang w:eastAsia="fr-CA"/>
        </w:rPr>
        <w:footnoteReference w:id="11"/>
      </w:r>
      <w:r w:rsidRPr="005764FC">
        <w:rPr>
          <w:lang w:eastAsia="fr-CA"/>
        </w:rPr>
        <w:t xml:space="preserve"> These technical reports discuss the potential for the competing technologies to minimise interference by using separate channels or </w:t>
      </w:r>
      <w:r w:rsidR="00FC63C3" w:rsidRPr="005764FC">
        <w:rPr>
          <w:lang w:eastAsia="fr-CA"/>
        </w:rPr>
        <w:t>‘</w:t>
      </w:r>
      <w:r w:rsidRPr="005764FC">
        <w:rPr>
          <w:lang w:eastAsia="fr-CA"/>
        </w:rPr>
        <w:t xml:space="preserve">detecting and </w:t>
      </w:r>
      <w:r w:rsidR="00770F15" w:rsidRPr="005764FC">
        <w:rPr>
          <w:lang w:eastAsia="fr-CA"/>
        </w:rPr>
        <w:t>a</w:t>
      </w:r>
      <w:r w:rsidRPr="005764FC">
        <w:rPr>
          <w:lang w:eastAsia="fr-CA"/>
        </w:rPr>
        <w:t>voiding</w:t>
      </w:r>
      <w:r w:rsidR="00FC63C3" w:rsidRPr="005764FC">
        <w:rPr>
          <w:lang w:eastAsia="fr-CA"/>
        </w:rPr>
        <w:t>’</w:t>
      </w:r>
      <w:r w:rsidRPr="005764FC">
        <w:rPr>
          <w:lang w:eastAsia="fr-CA"/>
        </w:rPr>
        <w:t xml:space="preserve"> each other. This means that when both technologies are in use by surrounding stations, each set of stations </w:t>
      </w:r>
      <w:r w:rsidR="00405523" w:rsidRPr="005764FC">
        <w:rPr>
          <w:lang w:eastAsia="fr-CA"/>
        </w:rPr>
        <w:t>cannot</w:t>
      </w:r>
      <w:r w:rsidRPr="005764FC">
        <w:rPr>
          <w:lang w:eastAsia="fr-CA"/>
        </w:rPr>
        <w:t xml:space="preserve"> hear the other</w:t>
      </w:r>
      <w:r w:rsidR="001958B8" w:rsidRPr="005764FC">
        <w:rPr>
          <w:lang w:eastAsia="fr-CA"/>
        </w:rPr>
        <w:t>:</w:t>
      </w:r>
      <w:r w:rsidRPr="005764FC">
        <w:rPr>
          <w:lang w:eastAsia="fr-CA"/>
        </w:rPr>
        <w:t xml:space="preserve"> one set of stations must stop broadcasting (po</w:t>
      </w:r>
      <w:r w:rsidR="00FC63C3" w:rsidRPr="005764FC">
        <w:rPr>
          <w:lang w:eastAsia="fr-CA"/>
        </w:rPr>
        <w:t>ssibly</w:t>
      </w:r>
      <w:r w:rsidRPr="005764FC">
        <w:rPr>
          <w:lang w:eastAsia="fr-CA"/>
        </w:rPr>
        <w:t xml:space="preserve"> switch to another channel). New radio technologies (802.11bd and 5G-V2X) have not been considered in the co-existence studies undertaken to date.</w:t>
      </w:r>
    </w:p>
    <w:p w14:paraId="66DB5F35" w14:textId="2E2FF801" w:rsidR="00F40574" w:rsidRPr="005764FC" w:rsidRDefault="004F303C" w:rsidP="007654AB">
      <w:pPr>
        <w:pStyle w:val="Heading4"/>
        <w:rPr>
          <w:lang w:eastAsia="fr-CA"/>
        </w:rPr>
      </w:pPr>
      <w:r w:rsidRPr="005764FC">
        <w:rPr>
          <w:lang w:eastAsia="fr-CA"/>
        </w:rPr>
        <w:t xml:space="preserve">International Consideration of </w:t>
      </w:r>
      <w:r w:rsidR="009A52A2" w:rsidRPr="005764FC">
        <w:rPr>
          <w:lang w:eastAsia="fr-CA"/>
        </w:rPr>
        <w:t>short-range</w:t>
      </w:r>
      <w:r w:rsidRPr="005764FC">
        <w:rPr>
          <w:lang w:eastAsia="fr-CA"/>
        </w:rPr>
        <w:t xml:space="preserve"> </w:t>
      </w:r>
      <w:r w:rsidR="009A52A2" w:rsidRPr="005764FC">
        <w:rPr>
          <w:lang w:eastAsia="fr-CA"/>
        </w:rPr>
        <w:t>c</w:t>
      </w:r>
      <w:r w:rsidRPr="005764FC">
        <w:rPr>
          <w:lang w:eastAsia="fr-CA"/>
        </w:rPr>
        <w:t xml:space="preserve">ommunication </w:t>
      </w:r>
      <w:r w:rsidR="009A52A2" w:rsidRPr="005764FC">
        <w:rPr>
          <w:lang w:eastAsia="fr-CA"/>
        </w:rPr>
        <w:t>s</w:t>
      </w:r>
      <w:r w:rsidRPr="005764FC">
        <w:rPr>
          <w:lang w:eastAsia="fr-CA"/>
        </w:rPr>
        <w:t xml:space="preserve">pectrum </w:t>
      </w:r>
      <w:r w:rsidR="009A52A2" w:rsidRPr="005764FC">
        <w:rPr>
          <w:lang w:eastAsia="fr-CA"/>
        </w:rPr>
        <w:t>a</w:t>
      </w:r>
      <w:r w:rsidRPr="005764FC">
        <w:rPr>
          <w:lang w:eastAsia="fr-CA"/>
        </w:rPr>
        <w:t xml:space="preserve">llocation </w:t>
      </w:r>
    </w:p>
    <w:p w14:paraId="563E8826" w14:textId="42949470" w:rsidR="00D62463" w:rsidRPr="005764FC" w:rsidRDefault="00980201" w:rsidP="00CA4070">
      <w:pPr>
        <w:pStyle w:val="BodyText"/>
        <w:rPr>
          <w:lang w:eastAsia="fr-CA"/>
        </w:rPr>
      </w:pPr>
      <w:r w:rsidRPr="005764FC">
        <w:rPr>
          <w:lang w:eastAsia="fr-CA"/>
        </w:rPr>
        <w:t xml:space="preserve">Europe </w:t>
      </w:r>
      <w:r w:rsidR="000239D5">
        <w:rPr>
          <w:lang w:eastAsia="fr-CA"/>
        </w:rPr>
        <w:t>did not</w:t>
      </w:r>
      <w:r w:rsidRPr="005764FC">
        <w:rPr>
          <w:lang w:eastAsia="fr-CA"/>
        </w:rPr>
        <w:t xml:space="preserve"> adopt C-ITS as regulation in the </w:t>
      </w:r>
      <w:r w:rsidR="00FC63C3" w:rsidRPr="005764FC">
        <w:rPr>
          <w:lang w:eastAsia="fr-CA"/>
        </w:rPr>
        <w:t>delegated acts under Directive 2010/40/EU (</w:t>
      </w:r>
      <w:r w:rsidRPr="005764FC">
        <w:rPr>
          <w:lang w:eastAsia="fr-CA"/>
        </w:rPr>
        <w:t xml:space="preserve">delegates act </w:t>
      </w:r>
      <w:r w:rsidR="00814E99" w:rsidRPr="005764FC">
        <w:rPr>
          <w:lang w:eastAsia="fr-CA"/>
        </w:rPr>
        <w:t xml:space="preserve">that </w:t>
      </w:r>
      <w:r w:rsidR="008E58E4" w:rsidRPr="005764FC">
        <w:rPr>
          <w:lang w:eastAsia="fr-CA"/>
        </w:rPr>
        <w:t xml:space="preserve">aimed to regulate the </w:t>
      </w:r>
      <w:r w:rsidR="00FC63C3" w:rsidRPr="005764FC">
        <w:rPr>
          <w:lang w:eastAsia="fr-CA"/>
        </w:rPr>
        <w:t>Intelligent Transport Systems (ITS)</w:t>
      </w:r>
      <w:r w:rsidR="00955F2F" w:rsidRPr="005764FC">
        <w:rPr>
          <w:lang w:eastAsia="fr-CA"/>
        </w:rPr>
        <w:t xml:space="preserve"> in 2019</w:t>
      </w:r>
      <w:r w:rsidR="00FC63C3" w:rsidRPr="005764FC">
        <w:rPr>
          <w:lang w:eastAsia="fr-CA"/>
        </w:rPr>
        <w:t xml:space="preserve">. </w:t>
      </w:r>
      <w:r w:rsidR="002B75DF" w:rsidRPr="005764FC">
        <w:rPr>
          <w:lang w:eastAsia="fr-CA"/>
        </w:rPr>
        <w:t>H</w:t>
      </w:r>
      <w:r w:rsidRPr="005764FC">
        <w:rPr>
          <w:lang w:eastAsia="fr-CA"/>
        </w:rPr>
        <w:t>owever</w:t>
      </w:r>
      <w:r w:rsidR="00286388" w:rsidRPr="005764FC">
        <w:rPr>
          <w:lang w:eastAsia="fr-CA"/>
        </w:rPr>
        <w:t>,</w:t>
      </w:r>
      <w:r w:rsidRPr="005764FC">
        <w:rPr>
          <w:lang w:eastAsia="fr-CA"/>
        </w:rPr>
        <w:t xml:space="preserve"> 2021 </w:t>
      </w:r>
      <w:r w:rsidR="003E1ADC" w:rsidRPr="005764FC">
        <w:rPr>
          <w:lang w:eastAsia="fr-CA"/>
        </w:rPr>
        <w:t>saw</w:t>
      </w:r>
      <w:r w:rsidRPr="005764FC">
        <w:rPr>
          <w:lang w:eastAsia="fr-CA"/>
        </w:rPr>
        <w:t xml:space="preserve"> most European countries push forward with </w:t>
      </w:r>
      <w:r w:rsidR="00521887" w:rsidRPr="005764FC">
        <w:rPr>
          <w:lang w:eastAsia="fr-CA"/>
        </w:rPr>
        <w:t>DSRC (ITS-G5)</w:t>
      </w:r>
      <w:r w:rsidRPr="005764FC">
        <w:rPr>
          <w:lang w:eastAsia="fr-CA"/>
        </w:rPr>
        <w:t xml:space="preserve"> </w:t>
      </w:r>
      <w:r w:rsidR="003E1ADC" w:rsidRPr="005764FC">
        <w:rPr>
          <w:lang w:eastAsia="fr-CA"/>
        </w:rPr>
        <w:t>–</w:t>
      </w:r>
      <w:r w:rsidRPr="005764FC">
        <w:rPr>
          <w:lang w:eastAsia="fr-CA"/>
        </w:rPr>
        <w:t xml:space="preserve"> it is the mature technology</w:t>
      </w:r>
      <w:r w:rsidR="00286388" w:rsidRPr="005764FC">
        <w:rPr>
          <w:lang w:eastAsia="fr-CA"/>
        </w:rPr>
        <w:t>,</w:t>
      </w:r>
      <w:r w:rsidRPr="005764FC">
        <w:rPr>
          <w:lang w:eastAsia="fr-CA"/>
        </w:rPr>
        <w:t xml:space="preserve"> and </w:t>
      </w:r>
      <w:r w:rsidR="003E1ADC" w:rsidRPr="005764FC">
        <w:rPr>
          <w:lang w:eastAsia="fr-CA"/>
        </w:rPr>
        <w:t>stakeholders wish</w:t>
      </w:r>
      <w:r w:rsidRPr="005764FC">
        <w:rPr>
          <w:lang w:eastAsia="fr-CA"/>
        </w:rPr>
        <w:t xml:space="preserve"> to realise associated </w:t>
      </w:r>
      <w:r w:rsidR="003E1ADC" w:rsidRPr="005764FC">
        <w:rPr>
          <w:lang w:eastAsia="fr-CA"/>
        </w:rPr>
        <w:t xml:space="preserve">C-ITS </w:t>
      </w:r>
      <w:r w:rsidRPr="005764FC">
        <w:rPr>
          <w:lang w:eastAsia="fr-CA"/>
        </w:rPr>
        <w:t xml:space="preserve">benefits. </w:t>
      </w:r>
      <w:r w:rsidR="00D44231" w:rsidRPr="005764FC">
        <w:rPr>
          <w:lang w:eastAsia="fr-CA"/>
        </w:rPr>
        <w:t xml:space="preserve">In 2020, the commission implementing </w:t>
      </w:r>
      <w:r w:rsidR="003E1ADC" w:rsidRPr="005764FC">
        <w:rPr>
          <w:lang w:eastAsia="fr-CA"/>
        </w:rPr>
        <w:t xml:space="preserve">the </w:t>
      </w:r>
      <w:r w:rsidR="00D44231" w:rsidRPr="005764FC">
        <w:rPr>
          <w:lang w:eastAsia="fr-CA"/>
        </w:rPr>
        <w:t xml:space="preserve">regulatory framework decision </w:t>
      </w:r>
      <w:r w:rsidR="003E1ADC" w:rsidRPr="005764FC">
        <w:rPr>
          <w:lang w:eastAsia="fr-CA"/>
        </w:rPr>
        <w:t>on</w:t>
      </w:r>
      <w:r w:rsidR="00D44231" w:rsidRPr="005764FC">
        <w:rPr>
          <w:lang w:eastAsia="fr-CA"/>
        </w:rPr>
        <w:t xml:space="preserve"> spectrum policy</w:t>
      </w:r>
      <w:r w:rsidR="003E1ADC" w:rsidRPr="005764FC">
        <w:rPr>
          <w:lang w:eastAsia="fr-CA"/>
        </w:rPr>
        <w:t>,</w:t>
      </w:r>
      <w:r w:rsidR="001B3BBB" w:rsidRPr="005764FC">
        <w:rPr>
          <w:lang w:eastAsia="fr-CA"/>
        </w:rPr>
        <w:t xml:space="preserve"> proposed keep</w:t>
      </w:r>
      <w:r w:rsidR="003E1ADC" w:rsidRPr="005764FC">
        <w:rPr>
          <w:lang w:eastAsia="fr-CA"/>
        </w:rPr>
        <w:t>ing</w:t>
      </w:r>
      <w:r w:rsidR="001B3BBB" w:rsidRPr="005764FC">
        <w:rPr>
          <w:lang w:eastAsia="fr-CA"/>
        </w:rPr>
        <w:t xml:space="preserve"> the designation of spectrum </w:t>
      </w:r>
      <w:r w:rsidR="00C04663" w:rsidRPr="005764FC">
        <w:rPr>
          <w:lang w:eastAsia="fr-CA"/>
        </w:rPr>
        <w:t xml:space="preserve">used by ETSI wireless </w:t>
      </w:r>
      <w:r w:rsidR="000D48FD" w:rsidRPr="005764FC">
        <w:rPr>
          <w:lang w:eastAsia="fr-CA"/>
        </w:rPr>
        <w:t>short-range</w:t>
      </w:r>
      <w:r w:rsidR="00C04663" w:rsidRPr="005764FC">
        <w:rPr>
          <w:lang w:eastAsia="fr-CA"/>
        </w:rPr>
        <w:t xml:space="preserve"> communications (</w:t>
      </w:r>
      <w:r w:rsidR="00E53257" w:rsidRPr="005764FC">
        <w:rPr>
          <w:lang w:eastAsia="fr-CA"/>
        </w:rPr>
        <w:t>DSRC</w:t>
      </w:r>
      <w:r w:rsidR="00C04663" w:rsidRPr="005764FC">
        <w:rPr>
          <w:lang w:eastAsia="fr-CA"/>
        </w:rPr>
        <w:t>) for safety-related ITS services</w:t>
      </w:r>
      <w:r w:rsidR="00A55367" w:rsidRPr="005764FC">
        <w:rPr>
          <w:lang w:eastAsia="fr-CA"/>
        </w:rPr>
        <w:t>. It</w:t>
      </w:r>
      <w:r w:rsidR="000D5AE4" w:rsidRPr="005764FC">
        <w:rPr>
          <w:lang w:eastAsia="fr-CA"/>
        </w:rPr>
        <w:t xml:space="preserve"> </w:t>
      </w:r>
      <w:r w:rsidR="000D48FD" w:rsidRPr="005764FC">
        <w:rPr>
          <w:lang w:eastAsia="fr-CA"/>
        </w:rPr>
        <w:t>recognised</w:t>
      </w:r>
      <w:r w:rsidR="005C0ECD" w:rsidRPr="005764FC">
        <w:rPr>
          <w:lang w:eastAsia="fr-CA"/>
        </w:rPr>
        <w:t xml:space="preserve"> the development of </w:t>
      </w:r>
      <w:r w:rsidR="003E1ADC" w:rsidRPr="005764FC">
        <w:rPr>
          <w:lang w:eastAsia="fr-CA"/>
        </w:rPr>
        <w:t xml:space="preserve">a </w:t>
      </w:r>
      <w:r w:rsidR="005C0ECD" w:rsidRPr="005764FC">
        <w:rPr>
          <w:lang w:eastAsia="fr-CA"/>
        </w:rPr>
        <w:t>report investigating co-</w:t>
      </w:r>
      <w:r w:rsidR="000D48FD" w:rsidRPr="005764FC">
        <w:rPr>
          <w:lang w:eastAsia="fr-CA"/>
        </w:rPr>
        <w:t>existence</w:t>
      </w:r>
      <w:r w:rsidR="005C0ECD" w:rsidRPr="005764FC">
        <w:rPr>
          <w:lang w:eastAsia="fr-CA"/>
        </w:rPr>
        <w:t xml:space="preserve"> </w:t>
      </w:r>
      <w:r w:rsidR="000D48FD" w:rsidRPr="005764FC">
        <w:rPr>
          <w:lang w:eastAsia="fr-CA"/>
        </w:rPr>
        <w:t xml:space="preserve">between </w:t>
      </w:r>
      <w:r w:rsidR="00E53257" w:rsidRPr="005764FC">
        <w:rPr>
          <w:lang w:eastAsia="fr-CA"/>
        </w:rPr>
        <w:t>DSRC</w:t>
      </w:r>
      <w:r w:rsidR="000D48FD" w:rsidRPr="005764FC">
        <w:rPr>
          <w:lang w:eastAsia="fr-CA"/>
        </w:rPr>
        <w:t xml:space="preserve"> and LTE-V2X</w:t>
      </w:r>
      <w:r w:rsidR="003E1ADC" w:rsidRPr="005764FC">
        <w:rPr>
          <w:lang w:eastAsia="fr-CA"/>
        </w:rPr>
        <w:t>.</w:t>
      </w:r>
      <w:r w:rsidR="0007661E" w:rsidRPr="005764FC">
        <w:rPr>
          <w:lang w:eastAsia="fr-CA"/>
        </w:rPr>
        <w:t xml:space="preserve"> </w:t>
      </w:r>
      <w:r w:rsidR="00072996" w:rsidRPr="005764FC">
        <w:rPr>
          <w:lang w:eastAsia="fr-CA"/>
        </w:rPr>
        <w:t xml:space="preserve">This presents </w:t>
      </w:r>
      <w:r w:rsidR="00E53257" w:rsidRPr="005764FC">
        <w:rPr>
          <w:lang w:eastAsia="fr-CA"/>
        </w:rPr>
        <w:t>DSRC</w:t>
      </w:r>
      <w:r w:rsidR="00072996" w:rsidRPr="005764FC">
        <w:rPr>
          <w:lang w:eastAsia="fr-CA"/>
        </w:rPr>
        <w:t xml:space="preserve"> as the preferred technology </w:t>
      </w:r>
      <w:r w:rsidR="003018EA" w:rsidRPr="005764FC">
        <w:rPr>
          <w:lang w:eastAsia="fr-CA"/>
        </w:rPr>
        <w:t xml:space="preserve">to </w:t>
      </w:r>
      <w:r w:rsidR="00640F05" w:rsidRPr="005764FC">
        <w:rPr>
          <w:lang w:eastAsia="fr-CA"/>
        </w:rPr>
        <w:t xml:space="preserve">deliver safety benefits </w:t>
      </w:r>
      <w:r w:rsidR="00072996" w:rsidRPr="005764FC">
        <w:rPr>
          <w:lang w:eastAsia="fr-CA"/>
        </w:rPr>
        <w:t xml:space="preserve">with </w:t>
      </w:r>
      <w:r w:rsidR="003018EA" w:rsidRPr="005764FC">
        <w:rPr>
          <w:lang w:eastAsia="fr-CA"/>
        </w:rPr>
        <w:t xml:space="preserve">the potential </w:t>
      </w:r>
      <w:r w:rsidR="003E1ADC" w:rsidRPr="005764FC">
        <w:rPr>
          <w:lang w:eastAsia="fr-CA"/>
        </w:rPr>
        <w:t>to investigate</w:t>
      </w:r>
      <w:r w:rsidR="003018EA" w:rsidRPr="005764FC">
        <w:rPr>
          <w:lang w:eastAsia="fr-CA"/>
        </w:rPr>
        <w:t xml:space="preserve"> </w:t>
      </w:r>
      <w:r w:rsidR="00640F05" w:rsidRPr="005764FC">
        <w:rPr>
          <w:lang w:eastAsia="fr-CA"/>
        </w:rPr>
        <w:t>C-V2X</w:t>
      </w:r>
      <w:r w:rsidR="003D5F0B" w:rsidRPr="005764FC">
        <w:rPr>
          <w:lang w:eastAsia="fr-CA"/>
        </w:rPr>
        <w:t xml:space="preserve"> </w:t>
      </w:r>
      <w:r w:rsidR="008D5897" w:rsidRPr="005764FC">
        <w:rPr>
          <w:lang w:eastAsia="fr-CA"/>
        </w:rPr>
        <w:t>in the future</w:t>
      </w:r>
      <w:r w:rsidR="00640F05" w:rsidRPr="005764FC">
        <w:rPr>
          <w:lang w:eastAsia="fr-CA"/>
        </w:rPr>
        <w:t xml:space="preserve">. </w:t>
      </w:r>
      <w:r w:rsidR="0083613B" w:rsidRPr="005764FC">
        <w:rPr>
          <w:rStyle w:val="FootnoteReference"/>
          <w:lang w:eastAsia="fr-CA"/>
        </w:rPr>
        <w:footnoteReference w:id="12"/>
      </w:r>
    </w:p>
    <w:p w14:paraId="14A52C2A" w14:textId="03A4DD8B" w:rsidR="001E7B70" w:rsidRPr="005764FC" w:rsidRDefault="006D12A3" w:rsidP="00CA4070">
      <w:pPr>
        <w:pStyle w:val="BodyText"/>
        <w:rPr>
          <w:lang w:eastAsia="fr-CA"/>
        </w:rPr>
      </w:pPr>
      <w:r w:rsidRPr="005764FC">
        <w:rPr>
          <w:lang w:eastAsia="fr-CA"/>
        </w:rPr>
        <w:t xml:space="preserve">In the US, </w:t>
      </w:r>
      <w:r w:rsidR="00720476" w:rsidRPr="005764FC">
        <w:rPr>
          <w:lang w:eastAsia="fr-CA"/>
        </w:rPr>
        <w:t xml:space="preserve">the Federal Communications Commission moved to allocate the spectrum partly to public </w:t>
      </w:r>
      <w:r w:rsidR="00B867A3" w:rsidRPr="005764FC">
        <w:rPr>
          <w:lang w:eastAsia="fr-CA"/>
        </w:rPr>
        <w:t>Wi-Fi</w:t>
      </w:r>
      <w:r w:rsidR="00720476" w:rsidRPr="005764FC">
        <w:rPr>
          <w:lang w:eastAsia="fr-CA"/>
        </w:rPr>
        <w:t xml:space="preserve"> and partly </w:t>
      </w:r>
      <w:r w:rsidR="003E1ADC" w:rsidRPr="005764FC">
        <w:rPr>
          <w:lang w:eastAsia="fr-CA"/>
        </w:rPr>
        <w:t xml:space="preserve">to </w:t>
      </w:r>
      <w:r w:rsidR="00720476" w:rsidRPr="005764FC">
        <w:rPr>
          <w:lang w:eastAsia="fr-CA"/>
        </w:rPr>
        <w:t>C-V2X</w:t>
      </w:r>
      <w:r w:rsidR="00145E4C">
        <w:rPr>
          <w:lang w:eastAsia="fr-CA"/>
        </w:rPr>
        <w:t xml:space="preserve"> </w:t>
      </w:r>
      <w:sdt>
        <w:sdtPr>
          <w:rPr>
            <w:lang w:eastAsia="fr-CA"/>
          </w:rPr>
          <w:id w:val="-204803061"/>
          <w:citation/>
        </w:sdtPr>
        <w:sdtContent>
          <w:r w:rsidR="00145E4C">
            <w:rPr>
              <w:lang w:eastAsia="fr-CA"/>
            </w:rPr>
            <w:fldChar w:fldCharType="begin"/>
          </w:r>
          <w:r w:rsidR="00145E4C">
            <w:rPr>
              <w:lang w:eastAsia="fr-CA"/>
            </w:rPr>
            <w:instrText xml:space="preserve"> CITATION FCC20 \l 3081 </w:instrText>
          </w:r>
          <w:r w:rsidR="00145E4C">
            <w:rPr>
              <w:lang w:eastAsia="fr-CA"/>
            </w:rPr>
            <w:fldChar w:fldCharType="separate"/>
          </w:r>
          <w:r w:rsidR="001428F9">
            <w:rPr>
              <w:noProof/>
              <w:lang w:eastAsia="fr-CA"/>
            </w:rPr>
            <w:t>(FCC, 2020)</w:t>
          </w:r>
          <w:r w:rsidR="00145E4C">
            <w:rPr>
              <w:lang w:eastAsia="fr-CA"/>
            </w:rPr>
            <w:fldChar w:fldCharType="end"/>
          </w:r>
        </w:sdtContent>
      </w:sdt>
      <w:r w:rsidR="00720476" w:rsidRPr="005764FC">
        <w:rPr>
          <w:lang w:eastAsia="fr-CA"/>
        </w:rPr>
        <w:t>.</w:t>
      </w:r>
      <w:r w:rsidR="00D34F4B" w:rsidRPr="005764FC">
        <w:rPr>
          <w:lang w:eastAsia="fr-CA"/>
        </w:rPr>
        <w:t xml:space="preserve"> </w:t>
      </w:r>
      <w:r w:rsidR="00041D63" w:rsidRPr="005764FC">
        <w:rPr>
          <w:lang w:eastAsia="fr-CA"/>
        </w:rPr>
        <w:t>This requires remov</w:t>
      </w:r>
      <w:r w:rsidR="003E1ADC" w:rsidRPr="005764FC">
        <w:rPr>
          <w:lang w:eastAsia="fr-CA"/>
        </w:rPr>
        <w:t>ing</w:t>
      </w:r>
      <w:r w:rsidR="00041D63" w:rsidRPr="005764FC">
        <w:rPr>
          <w:lang w:eastAsia="fr-CA"/>
        </w:rPr>
        <w:t xml:space="preserve"> existing DSRC equipment </w:t>
      </w:r>
      <w:r w:rsidR="00FF0DF9" w:rsidRPr="005764FC">
        <w:rPr>
          <w:lang w:eastAsia="fr-CA"/>
        </w:rPr>
        <w:t xml:space="preserve">and replacing </w:t>
      </w:r>
      <w:r w:rsidR="003E1ADC" w:rsidRPr="005764FC">
        <w:rPr>
          <w:lang w:eastAsia="fr-CA"/>
        </w:rPr>
        <w:t xml:space="preserve">it </w:t>
      </w:r>
      <w:r w:rsidR="00FF0DF9" w:rsidRPr="005764FC">
        <w:rPr>
          <w:lang w:eastAsia="fr-CA"/>
        </w:rPr>
        <w:t>with C-V2X</w:t>
      </w:r>
      <w:r w:rsidR="00DC747F" w:rsidRPr="005764FC">
        <w:rPr>
          <w:lang w:eastAsia="fr-CA"/>
        </w:rPr>
        <w:t xml:space="preserve"> technology.</w:t>
      </w:r>
      <w:r w:rsidR="00720476" w:rsidRPr="005764FC">
        <w:rPr>
          <w:lang w:eastAsia="fr-CA"/>
        </w:rPr>
        <w:t xml:space="preserve"> This </w:t>
      </w:r>
      <w:r w:rsidR="003E1ADC" w:rsidRPr="005764FC">
        <w:rPr>
          <w:lang w:eastAsia="fr-CA"/>
        </w:rPr>
        <w:t>w</w:t>
      </w:r>
      <w:r w:rsidR="00720476" w:rsidRPr="005764FC">
        <w:rPr>
          <w:lang w:eastAsia="fr-CA"/>
        </w:rPr>
        <w:t>as strong</w:t>
      </w:r>
      <w:r w:rsidR="003E1ADC" w:rsidRPr="005764FC">
        <w:rPr>
          <w:lang w:eastAsia="fr-CA"/>
        </w:rPr>
        <w:t>ly</w:t>
      </w:r>
      <w:r w:rsidR="00720476" w:rsidRPr="005764FC">
        <w:rPr>
          <w:lang w:eastAsia="fr-CA"/>
        </w:rPr>
        <w:t xml:space="preserve"> oppos</w:t>
      </w:r>
      <w:r w:rsidR="003E1ADC" w:rsidRPr="005764FC">
        <w:rPr>
          <w:lang w:eastAsia="fr-CA"/>
        </w:rPr>
        <w:t>ed by</w:t>
      </w:r>
      <w:r w:rsidR="00720476" w:rsidRPr="005764FC">
        <w:rPr>
          <w:lang w:eastAsia="fr-CA"/>
        </w:rPr>
        <w:t xml:space="preserve"> the US </w:t>
      </w:r>
      <w:r w:rsidR="003E1ADC" w:rsidRPr="005764FC">
        <w:rPr>
          <w:lang w:eastAsia="fr-CA"/>
        </w:rPr>
        <w:t>D</w:t>
      </w:r>
      <w:r w:rsidR="00720476" w:rsidRPr="005764FC">
        <w:rPr>
          <w:lang w:eastAsia="fr-CA"/>
        </w:rPr>
        <w:t xml:space="preserve">epartment of </w:t>
      </w:r>
      <w:r w:rsidR="003E1ADC" w:rsidRPr="005764FC">
        <w:rPr>
          <w:lang w:eastAsia="fr-CA"/>
        </w:rPr>
        <w:t>T</w:t>
      </w:r>
      <w:r w:rsidR="00720476" w:rsidRPr="005764FC">
        <w:rPr>
          <w:lang w:eastAsia="fr-CA"/>
        </w:rPr>
        <w:t>ransport</w:t>
      </w:r>
      <w:r w:rsidR="00304DB3">
        <w:rPr>
          <w:lang w:eastAsia="fr-CA"/>
        </w:rPr>
        <w:t>,</w:t>
      </w:r>
      <w:r w:rsidR="00720476" w:rsidRPr="005764FC">
        <w:rPr>
          <w:lang w:eastAsia="fr-CA"/>
        </w:rPr>
        <w:t xml:space="preserve"> </w:t>
      </w:r>
      <w:r w:rsidR="000239D5">
        <w:rPr>
          <w:lang w:eastAsia="fr-CA"/>
        </w:rPr>
        <w:t>t</w:t>
      </w:r>
      <w:r w:rsidR="003E1ADC" w:rsidRPr="005764FC">
        <w:rPr>
          <w:lang w:eastAsia="fr-CA"/>
        </w:rPr>
        <w:t>he</w:t>
      </w:r>
      <w:r w:rsidR="00720476" w:rsidRPr="005764FC">
        <w:rPr>
          <w:lang w:eastAsia="fr-CA"/>
        </w:rPr>
        <w:t xml:space="preserve"> Intelligent Transportation Society of America (ITS America) and the American Association of State Highway and Transportation Officials (AASHTO)</w:t>
      </w:r>
      <w:r w:rsidR="000239D5">
        <w:rPr>
          <w:lang w:eastAsia="fr-CA"/>
        </w:rPr>
        <w:t>, with the latter two</w:t>
      </w:r>
      <w:r w:rsidR="00720476" w:rsidRPr="005764FC">
        <w:rPr>
          <w:lang w:eastAsia="fr-CA"/>
        </w:rPr>
        <w:t xml:space="preserve"> recently launch</w:t>
      </w:r>
      <w:r w:rsidR="000239D5">
        <w:rPr>
          <w:lang w:eastAsia="fr-CA"/>
        </w:rPr>
        <w:t xml:space="preserve">ing </w:t>
      </w:r>
      <w:r w:rsidR="00720476" w:rsidRPr="005764FC">
        <w:rPr>
          <w:lang w:eastAsia="fr-CA"/>
        </w:rPr>
        <w:t>an appeal against this order</w:t>
      </w:r>
      <w:r w:rsidR="00717C36">
        <w:rPr>
          <w:lang w:eastAsia="fr-CA"/>
        </w:rPr>
        <w:t xml:space="preserve"> </w:t>
      </w:r>
      <w:sdt>
        <w:sdtPr>
          <w:rPr>
            <w:lang w:eastAsia="fr-CA"/>
          </w:rPr>
          <w:id w:val="-872613884"/>
          <w:citation/>
        </w:sdtPr>
        <w:sdtContent>
          <w:r w:rsidR="00717C36">
            <w:rPr>
              <w:lang w:eastAsia="fr-CA"/>
            </w:rPr>
            <w:fldChar w:fldCharType="begin"/>
          </w:r>
          <w:r w:rsidR="00717C36">
            <w:rPr>
              <w:lang w:eastAsia="fr-CA"/>
            </w:rPr>
            <w:instrText xml:space="preserve"> CITATION Int21 \l 3081 </w:instrText>
          </w:r>
          <w:r w:rsidR="00717C36">
            <w:rPr>
              <w:lang w:eastAsia="fr-CA"/>
            </w:rPr>
            <w:fldChar w:fldCharType="separate"/>
          </w:r>
          <w:r w:rsidR="001428F9">
            <w:rPr>
              <w:noProof/>
              <w:lang w:eastAsia="fr-CA"/>
            </w:rPr>
            <w:t>(Intelligent Transportation Society of America and the American Association of State Highway and Transportation Officials, 2021)</w:t>
          </w:r>
          <w:r w:rsidR="00717C36">
            <w:rPr>
              <w:lang w:eastAsia="fr-CA"/>
            </w:rPr>
            <w:fldChar w:fldCharType="end"/>
          </w:r>
        </w:sdtContent>
      </w:sdt>
      <w:r w:rsidR="00720476" w:rsidRPr="005764FC">
        <w:rPr>
          <w:lang w:eastAsia="fr-CA"/>
        </w:rPr>
        <w:t>.</w:t>
      </w:r>
    </w:p>
    <w:p w14:paraId="717534DC" w14:textId="7EC82235" w:rsidR="00741265" w:rsidRPr="005764FC" w:rsidRDefault="002879CA" w:rsidP="00CA4070">
      <w:pPr>
        <w:pStyle w:val="BodyText"/>
        <w:rPr>
          <w:lang w:eastAsia="fr-CA"/>
        </w:rPr>
      </w:pPr>
      <w:r w:rsidRPr="005764FC">
        <w:rPr>
          <w:lang w:eastAsia="fr-CA"/>
        </w:rPr>
        <w:t>Asia</w:t>
      </w:r>
      <w:r w:rsidR="00921568" w:rsidRPr="005764FC">
        <w:rPr>
          <w:lang w:eastAsia="fr-CA"/>
        </w:rPr>
        <w:t xml:space="preserve"> </w:t>
      </w:r>
      <w:r w:rsidR="00A55367" w:rsidRPr="005764FC">
        <w:rPr>
          <w:lang w:eastAsia="fr-CA"/>
        </w:rPr>
        <w:t>is</w:t>
      </w:r>
      <w:r w:rsidR="00921568" w:rsidRPr="005764FC">
        <w:rPr>
          <w:lang w:eastAsia="fr-CA"/>
        </w:rPr>
        <w:t xml:space="preserve"> taking different paths</w:t>
      </w:r>
      <w:r w:rsidR="00A55367" w:rsidRPr="005764FC">
        <w:rPr>
          <w:lang w:eastAsia="fr-CA"/>
        </w:rPr>
        <w:t>:</w:t>
      </w:r>
      <w:r w:rsidR="00921568" w:rsidRPr="005764FC">
        <w:rPr>
          <w:lang w:eastAsia="fr-CA"/>
        </w:rPr>
        <w:t xml:space="preserve"> </w:t>
      </w:r>
      <w:r w:rsidR="001E7B70" w:rsidRPr="005764FC">
        <w:rPr>
          <w:lang w:eastAsia="fr-CA"/>
        </w:rPr>
        <w:t xml:space="preserve">China </w:t>
      </w:r>
      <w:r w:rsidR="003E1ADC" w:rsidRPr="005764FC">
        <w:rPr>
          <w:lang w:eastAsia="fr-CA"/>
        </w:rPr>
        <w:t xml:space="preserve">has </w:t>
      </w:r>
      <w:r w:rsidR="00B70B21" w:rsidRPr="005764FC">
        <w:rPr>
          <w:lang w:eastAsia="fr-CA"/>
        </w:rPr>
        <w:t>regulat</w:t>
      </w:r>
      <w:r w:rsidR="003E1ADC" w:rsidRPr="005764FC">
        <w:rPr>
          <w:lang w:eastAsia="fr-CA"/>
        </w:rPr>
        <w:t>ed</w:t>
      </w:r>
      <w:r w:rsidR="000423A6" w:rsidRPr="005764FC">
        <w:rPr>
          <w:lang w:eastAsia="fr-CA"/>
        </w:rPr>
        <w:t xml:space="preserve"> use of</w:t>
      </w:r>
      <w:r w:rsidR="00B70B21" w:rsidRPr="005764FC">
        <w:rPr>
          <w:lang w:eastAsia="fr-CA"/>
        </w:rPr>
        <w:t xml:space="preserve"> </w:t>
      </w:r>
      <w:r w:rsidR="00741265" w:rsidRPr="005764FC">
        <w:rPr>
          <w:lang w:eastAsia="fr-CA"/>
        </w:rPr>
        <w:t xml:space="preserve">C-V2X </w:t>
      </w:r>
      <w:r w:rsidR="000423A6" w:rsidRPr="005764FC">
        <w:rPr>
          <w:lang w:eastAsia="fr-CA"/>
        </w:rPr>
        <w:t xml:space="preserve">as the single short-range communication technology. </w:t>
      </w:r>
      <w:r w:rsidR="003E1ADC" w:rsidRPr="005764FC">
        <w:rPr>
          <w:lang w:eastAsia="fr-CA"/>
        </w:rPr>
        <w:t>In</w:t>
      </w:r>
      <w:r w:rsidR="000423A6" w:rsidRPr="005764FC">
        <w:rPr>
          <w:lang w:eastAsia="fr-CA"/>
        </w:rPr>
        <w:t xml:space="preserve"> </w:t>
      </w:r>
      <w:r w:rsidR="00741265" w:rsidRPr="005764FC">
        <w:rPr>
          <w:lang w:eastAsia="fr-CA"/>
        </w:rPr>
        <w:t>Japan</w:t>
      </w:r>
      <w:r w:rsidR="001B3C11" w:rsidRPr="005764FC">
        <w:rPr>
          <w:lang w:eastAsia="fr-CA"/>
        </w:rPr>
        <w:t xml:space="preserve"> and South Korea</w:t>
      </w:r>
      <w:r w:rsidR="00741265" w:rsidRPr="005764FC">
        <w:rPr>
          <w:lang w:eastAsia="fr-CA"/>
        </w:rPr>
        <w:t xml:space="preserve">, DSRC </w:t>
      </w:r>
      <w:r w:rsidR="00D63107" w:rsidRPr="005764FC">
        <w:rPr>
          <w:lang w:eastAsia="fr-CA"/>
        </w:rPr>
        <w:t xml:space="preserve">is the deployed technology. </w:t>
      </w:r>
    </w:p>
    <w:p w14:paraId="4EFC3E58" w14:textId="7694DAD6" w:rsidR="00C0309F" w:rsidRPr="005764FC" w:rsidRDefault="0000473A" w:rsidP="00C0309F">
      <w:pPr>
        <w:pStyle w:val="Heading3"/>
        <w:rPr>
          <w:lang w:eastAsia="fr-CA"/>
        </w:rPr>
      </w:pPr>
      <w:bookmarkStart w:id="173" w:name="_Ref94262762"/>
      <w:bookmarkStart w:id="174" w:name="_Toc94536694"/>
      <w:bookmarkStart w:id="175" w:name="_Toc94453148"/>
      <w:r w:rsidRPr="005764FC">
        <w:rPr>
          <w:lang w:eastAsia="fr-CA"/>
        </w:rPr>
        <w:t xml:space="preserve">Vehicle Standards and </w:t>
      </w:r>
      <w:r w:rsidR="00F64757" w:rsidRPr="005764FC">
        <w:rPr>
          <w:lang w:eastAsia="fr-CA"/>
        </w:rPr>
        <w:t>Compliance</w:t>
      </w:r>
      <w:bookmarkEnd w:id="173"/>
      <w:bookmarkEnd w:id="174"/>
      <w:bookmarkEnd w:id="175"/>
      <w:r w:rsidR="00F64757" w:rsidRPr="005764FC">
        <w:rPr>
          <w:lang w:eastAsia="fr-CA"/>
        </w:rPr>
        <w:t xml:space="preserve"> </w:t>
      </w:r>
    </w:p>
    <w:p w14:paraId="70EFE1A2" w14:textId="61CFBE05" w:rsidR="00566F0D" w:rsidRPr="005764FC" w:rsidRDefault="00836A5D" w:rsidP="00CA4070">
      <w:pPr>
        <w:pStyle w:val="BodyText"/>
      </w:pPr>
      <w:r w:rsidRPr="005764FC">
        <w:rPr>
          <w:lang w:eastAsia="fr-CA"/>
        </w:rPr>
        <w:t>Global</w:t>
      </w:r>
      <w:r w:rsidR="00CB55BE" w:rsidRPr="005764FC">
        <w:rPr>
          <w:lang w:eastAsia="fr-CA"/>
        </w:rPr>
        <w:t xml:space="preserve">ly, </w:t>
      </w:r>
      <w:r w:rsidR="00877065" w:rsidRPr="005764FC">
        <w:rPr>
          <w:lang w:eastAsia="fr-CA"/>
        </w:rPr>
        <w:t>the United Nations Economic Commission for Europe</w:t>
      </w:r>
      <w:sdt>
        <w:sdtPr>
          <w:rPr>
            <w:lang w:eastAsia="fr-CA"/>
          </w:rPr>
          <w:id w:val="-828898838"/>
          <w:citation/>
        </w:sdtPr>
        <w:sdtContent>
          <w:r w:rsidR="00BB6EB1">
            <w:rPr>
              <w:lang w:eastAsia="fr-CA"/>
            </w:rPr>
            <w:fldChar w:fldCharType="begin"/>
          </w:r>
          <w:r w:rsidR="00BB6EB1">
            <w:rPr>
              <w:lang w:eastAsia="fr-CA"/>
            </w:rPr>
            <w:instrText xml:space="preserve"> CITATION UNE10 \l 3081 </w:instrText>
          </w:r>
          <w:r w:rsidR="00BB6EB1">
            <w:rPr>
              <w:lang w:eastAsia="fr-CA"/>
            </w:rPr>
            <w:fldChar w:fldCharType="separate"/>
          </w:r>
          <w:r w:rsidR="001428F9">
            <w:rPr>
              <w:noProof/>
              <w:lang w:eastAsia="fr-CA"/>
            </w:rPr>
            <w:t xml:space="preserve"> (UNECE, 2010)</w:t>
          </w:r>
          <w:r w:rsidR="00BB6EB1">
            <w:rPr>
              <w:lang w:eastAsia="fr-CA"/>
            </w:rPr>
            <w:fldChar w:fldCharType="end"/>
          </w:r>
        </w:sdtContent>
      </w:sdt>
      <w:r w:rsidR="00CB55BE" w:rsidRPr="005764FC">
        <w:rPr>
          <w:lang w:eastAsia="fr-CA"/>
        </w:rPr>
        <w:t xml:space="preserve"> World Forum for Harmonization of Vehicle Regulations (WP.29) sets the framework</w:t>
      </w:r>
      <w:r w:rsidR="005D4F17" w:rsidRPr="005764FC">
        <w:rPr>
          <w:lang w:eastAsia="fr-CA"/>
        </w:rPr>
        <w:t>, based on European standards,</w:t>
      </w:r>
      <w:r w:rsidR="00CB55BE" w:rsidRPr="005764FC">
        <w:rPr>
          <w:lang w:eastAsia="fr-CA"/>
        </w:rPr>
        <w:t xml:space="preserve"> for which </w:t>
      </w:r>
      <w:r w:rsidR="00CE70DD" w:rsidRPr="005764FC">
        <w:rPr>
          <w:lang w:eastAsia="fr-CA"/>
        </w:rPr>
        <w:t xml:space="preserve">innovative technology </w:t>
      </w:r>
      <w:r w:rsidR="00B01F3A" w:rsidRPr="005764FC">
        <w:rPr>
          <w:lang w:eastAsia="fr-CA"/>
        </w:rPr>
        <w:t>can be introduced while improving vehicle safety</w:t>
      </w:r>
      <w:r w:rsidR="00177712" w:rsidRPr="005764FC">
        <w:rPr>
          <w:lang w:eastAsia="fr-CA"/>
        </w:rPr>
        <w:t>.</w:t>
      </w:r>
      <w:r w:rsidR="00B01F3A" w:rsidRPr="005764FC">
        <w:rPr>
          <w:lang w:eastAsia="fr-CA"/>
        </w:rPr>
        <w:t xml:space="preserve"> </w:t>
      </w:r>
      <w:r w:rsidR="007E3FCE" w:rsidRPr="005764FC">
        <w:rPr>
          <w:lang w:eastAsia="fr-CA"/>
        </w:rPr>
        <w:t xml:space="preserve">This includes </w:t>
      </w:r>
      <w:r w:rsidR="00FC4C72" w:rsidRPr="005764FC">
        <w:rPr>
          <w:lang w:eastAsia="fr-CA"/>
        </w:rPr>
        <w:t xml:space="preserve">establishment of a dedicated working party to </w:t>
      </w:r>
      <w:r w:rsidR="00774C64" w:rsidRPr="005764FC">
        <w:rPr>
          <w:lang w:eastAsia="fr-CA"/>
        </w:rPr>
        <w:t xml:space="preserve">assess </w:t>
      </w:r>
      <w:r w:rsidR="007E3FCE" w:rsidRPr="005764FC">
        <w:rPr>
          <w:lang w:eastAsia="fr-CA"/>
        </w:rPr>
        <w:t xml:space="preserve">the </w:t>
      </w:r>
      <w:r w:rsidR="00532CCF" w:rsidRPr="005764FC">
        <w:rPr>
          <w:lang w:eastAsia="fr-CA"/>
        </w:rPr>
        <w:t xml:space="preserve">global regulatory considerations of </w:t>
      </w:r>
      <w:r w:rsidR="004F303C" w:rsidRPr="005764FC">
        <w:rPr>
          <w:lang w:eastAsia="fr-CA"/>
        </w:rPr>
        <w:t xml:space="preserve">connected and </w:t>
      </w:r>
      <w:r w:rsidR="00532CCF" w:rsidRPr="005764FC">
        <w:rPr>
          <w:lang w:eastAsia="fr-CA"/>
        </w:rPr>
        <w:t>automated vehicles</w:t>
      </w:r>
      <w:sdt>
        <w:sdtPr>
          <w:rPr>
            <w:lang w:eastAsia="fr-CA"/>
          </w:rPr>
          <w:id w:val="573639302"/>
          <w:citation/>
        </w:sdtPr>
        <w:sdtContent>
          <w:r w:rsidR="00EF39FF">
            <w:rPr>
              <w:lang w:eastAsia="fr-CA"/>
            </w:rPr>
            <w:fldChar w:fldCharType="begin"/>
          </w:r>
          <w:r w:rsidR="00EF39FF">
            <w:rPr>
              <w:lang w:eastAsia="fr-CA"/>
            </w:rPr>
            <w:instrText xml:space="preserve"> CITATION UNE21 \l 3081 </w:instrText>
          </w:r>
          <w:r w:rsidR="00EF39FF">
            <w:rPr>
              <w:lang w:eastAsia="fr-CA"/>
            </w:rPr>
            <w:fldChar w:fldCharType="separate"/>
          </w:r>
          <w:r w:rsidR="001428F9">
            <w:rPr>
              <w:noProof/>
              <w:lang w:eastAsia="fr-CA"/>
            </w:rPr>
            <w:t xml:space="preserve"> (UNECE, 2021)</w:t>
          </w:r>
          <w:r w:rsidR="00EF39FF">
            <w:rPr>
              <w:lang w:eastAsia="fr-CA"/>
            </w:rPr>
            <w:fldChar w:fldCharType="end"/>
          </w:r>
        </w:sdtContent>
      </w:sdt>
      <w:r w:rsidR="00177712" w:rsidRPr="005764FC">
        <w:rPr>
          <w:lang w:eastAsia="fr-CA"/>
        </w:rPr>
        <w:t>.</w:t>
      </w:r>
      <w:r w:rsidR="00774C64" w:rsidRPr="005764FC">
        <w:rPr>
          <w:lang w:eastAsia="fr-CA"/>
        </w:rPr>
        <w:t xml:space="preserve"> </w:t>
      </w:r>
      <w:r w:rsidR="00566F0D" w:rsidRPr="005764FC">
        <w:t>Australian safety law (under the Road Vehicle Standards Act 2018) is modelled after WP</w:t>
      </w:r>
      <w:r w:rsidR="004E2EFF" w:rsidRPr="005764FC">
        <w:t>.</w:t>
      </w:r>
      <w:r w:rsidR="00566F0D" w:rsidRPr="005764FC">
        <w:t>29 regulations</w:t>
      </w:r>
      <w:r w:rsidR="000C3DFE" w:rsidRPr="005764FC">
        <w:t xml:space="preserve"> w</w:t>
      </w:r>
      <w:r w:rsidR="003D7319" w:rsidRPr="005764FC">
        <w:t xml:space="preserve">ith </w:t>
      </w:r>
      <w:r w:rsidR="0072121B" w:rsidRPr="005764FC">
        <w:t>Australian Design Rules (</w:t>
      </w:r>
      <w:r w:rsidR="003D7319" w:rsidRPr="005764FC">
        <w:t>ADRs</w:t>
      </w:r>
      <w:r w:rsidR="0072121B" w:rsidRPr="005764FC">
        <w:t>)</w:t>
      </w:r>
      <w:r w:rsidR="004E2EFF" w:rsidRPr="005764FC">
        <w:t xml:space="preserve"> </w:t>
      </w:r>
      <w:r w:rsidR="003D7319" w:rsidRPr="005764FC">
        <w:t>harmonised with international regulations (UNECE</w:t>
      </w:r>
      <w:r w:rsidR="0072121B" w:rsidRPr="005764FC">
        <w:t>)</w:t>
      </w:r>
      <w:r w:rsidR="003D7319" w:rsidRPr="005764FC">
        <w:t xml:space="preserve"> </w:t>
      </w:r>
      <w:r w:rsidR="0072121B" w:rsidRPr="005764FC">
        <w:t>and p</w:t>
      </w:r>
      <w:r w:rsidR="003D7319" w:rsidRPr="005764FC">
        <w:t>assenger vehicles and motorcycles almost 100</w:t>
      </w:r>
      <w:r w:rsidR="009F4811" w:rsidRPr="005764FC">
        <w:t xml:space="preserve"> per cent</w:t>
      </w:r>
      <w:r w:rsidR="003D7319" w:rsidRPr="005764FC">
        <w:t xml:space="preserve"> harmonised with UNECE </w:t>
      </w:r>
      <w:sdt>
        <w:sdtPr>
          <w:id w:val="-1200006547"/>
          <w:citation/>
        </w:sdtPr>
        <w:sdtContent>
          <w:r w:rsidR="00676615">
            <w:fldChar w:fldCharType="begin"/>
          </w:r>
          <w:r w:rsidR="00676615">
            <w:instrText xml:space="preserve">CITATION UNE06 \n  \t  \l 3081 </w:instrText>
          </w:r>
          <w:r w:rsidR="00676615">
            <w:fldChar w:fldCharType="separate"/>
          </w:r>
          <w:r w:rsidR="001428F9">
            <w:rPr>
              <w:noProof/>
            </w:rPr>
            <w:t>(2006)</w:t>
          </w:r>
          <w:r w:rsidR="00676615">
            <w:fldChar w:fldCharType="end"/>
          </w:r>
        </w:sdtContent>
      </w:sdt>
      <w:r w:rsidR="003D7319" w:rsidRPr="005764FC">
        <w:t xml:space="preserve"> regulations</w:t>
      </w:r>
      <w:r w:rsidR="009F4811" w:rsidRPr="005764FC">
        <w:t>.</w:t>
      </w:r>
      <w:r w:rsidR="0023446D" w:rsidRPr="005764FC">
        <w:t xml:space="preserve"> The US and Canada are the only two countries not </w:t>
      </w:r>
      <w:r w:rsidR="00072335" w:rsidRPr="005764FC">
        <w:t>aligned to the WP.29 regulations</w:t>
      </w:r>
      <w:r w:rsidR="006B4DBA" w:rsidRPr="005764FC">
        <w:t>,</w:t>
      </w:r>
      <w:r w:rsidR="00072335" w:rsidRPr="005764FC">
        <w:t xml:space="preserve"> instead </w:t>
      </w:r>
      <w:r w:rsidR="00AA5D68" w:rsidRPr="005764FC">
        <w:t>implementing their own</w:t>
      </w:r>
      <w:r w:rsidR="00B23EC6" w:rsidRPr="005764FC">
        <w:t xml:space="preserve"> </w:t>
      </w:r>
      <w:r w:rsidR="00AA5D68" w:rsidRPr="005764FC">
        <w:t xml:space="preserve">requirements </w:t>
      </w:r>
      <w:r w:rsidR="006B4DBA" w:rsidRPr="005764FC">
        <w:t>(</w:t>
      </w:r>
      <w:r w:rsidR="00B23EC6" w:rsidRPr="005764FC">
        <w:t xml:space="preserve">the Federal Motor Vehicle Safety Standards (FMVSS) and </w:t>
      </w:r>
      <w:r w:rsidR="00811CEA" w:rsidRPr="005764FC">
        <w:t>Canada Motor Vehicle Safety Standards (CMVSS) respectively</w:t>
      </w:r>
      <w:r w:rsidR="006B4DBA" w:rsidRPr="005764FC">
        <w:t>)</w:t>
      </w:r>
      <w:r w:rsidR="00811CEA" w:rsidRPr="005764FC">
        <w:t xml:space="preserve">. </w:t>
      </w:r>
    </w:p>
    <w:p w14:paraId="2CB4F1BE" w14:textId="1F23678C" w:rsidR="00FE50B1" w:rsidRPr="005764FC" w:rsidRDefault="009D7F3B" w:rsidP="00CA4070">
      <w:pPr>
        <w:pStyle w:val="BodyText"/>
        <w:rPr>
          <w:lang w:eastAsia="fr-CA"/>
        </w:rPr>
      </w:pPr>
      <w:bookmarkStart w:id="176" w:name="_Ref94598641"/>
      <w:r w:rsidRPr="005764FC">
        <w:rPr>
          <w:lang w:eastAsia="fr-CA"/>
        </w:rPr>
        <w:t xml:space="preserve">Australasian New Car Assessment Program (ANCAP) is an independent vehicle safety assessment authority. The </w:t>
      </w:r>
      <w:r w:rsidR="00F77DAB" w:rsidRPr="005764FC">
        <w:rPr>
          <w:lang w:eastAsia="fr-CA"/>
        </w:rPr>
        <w:t xml:space="preserve">ANCAP </w:t>
      </w:r>
      <w:r w:rsidRPr="005764FC">
        <w:rPr>
          <w:lang w:eastAsia="fr-CA"/>
        </w:rPr>
        <w:t>assessment ratings are typically linked to the Euro NCAP Assessment Protocols. With the advent of connected and automated vehicles, ANCAP’s assessment rating will consider inclu</w:t>
      </w:r>
      <w:r w:rsidR="00F77DAB" w:rsidRPr="005764FC">
        <w:rPr>
          <w:lang w:eastAsia="fr-CA"/>
        </w:rPr>
        <w:t>ding</w:t>
      </w:r>
      <w:r w:rsidRPr="005764FC">
        <w:rPr>
          <w:lang w:eastAsia="fr-CA"/>
        </w:rPr>
        <w:t xml:space="preserve"> C-ITS technologies V2V and V2X communications in the future. In 2025, V2X (C-ITS) capabilities will contribute to </w:t>
      </w:r>
      <w:r w:rsidR="00F77DAB" w:rsidRPr="005764FC">
        <w:rPr>
          <w:lang w:eastAsia="fr-CA"/>
        </w:rPr>
        <w:t xml:space="preserve">new vehicles’ </w:t>
      </w:r>
      <w:r w:rsidRPr="005764FC">
        <w:rPr>
          <w:lang w:eastAsia="fr-CA"/>
        </w:rPr>
        <w:t>5-star rating</w:t>
      </w:r>
      <w:r w:rsidR="00EB756D">
        <w:rPr>
          <w:lang w:eastAsia="fr-CA"/>
        </w:rPr>
        <w:t xml:space="preserve"> </w:t>
      </w:r>
      <w:sdt>
        <w:sdtPr>
          <w:rPr>
            <w:lang w:eastAsia="fr-CA"/>
          </w:rPr>
          <w:id w:val="691262232"/>
          <w:citation/>
        </w:sdtPr>
        <w:sdtContent>
          <w:r w:rsidR="00EB756D">
            <w:rPr>
              <w:lang w:eastAsia="fr-CA"/>
            </w:rPr>
            <w:fldChar w:fldCharType="begin"/>
          </w:r>
          <w:r w:rsidR="00EB756D">
            <w:rPr>
              <w:lang w:eastAsia="fr-CA"/>
            </w:rPr>
            <w:instrText xml:space="preserve"> CITATION ANC21 \l 3081 </w:instrText>
          </w:r>
          <w:r w:rsidR="00EB756D">
            <w:rPr>
              <w:lang w:eastAsia="fr-CA"/>
            </w:rPr>
            <w:fldChar w:fldCharType="separate"/>
          </w:r>
          <w:r w:rsidR="001428F9">
            <w:rPr>
              <w:noProof/>
              <w:lang w:eastAsia="fr-CA"/>
            </w:rPr>
            <w:t>(ANCAP, 2021)</w:t>
          </w:r>
          <w:r w:rsidR="00EB756D">
            <w:rPr>
              <w:lang w:eastAsia="fr-CA"/>
            </w:rPr>
            <w:fldChar w:fldCharType="end"/>
          </w:r>
        </w:sdtContent>
      </w:sdt>
      <w:r w:rsidR="006B4DBA" w:rsidRPr="005764FC">
        <w:rPr>
          <w:lang w:eastAsia="fr-CA"/>
        </w:rPr>
        <w:t>.</w:t>
      </w:r>
      <w:r w:rsidRPr="005764FC">
        <w:rPr>
          <w:lang w:eastAsia="fr-CA"/>
        </w:rPr>
        <w:t xml:space="preserve"> A 5-star rating represents the highest safety for vehicles sold in Australia. This is a significant factor when considering a roadmap for C-ITS progression</w:t>
      </w:r>
      <w:r w:rsidR="000239D5">
        <w:rPr>
          <w:lang w:eastAsia="fr-CA"/>
        </w:rPr>
        <w:t xml:space="preserve"> as ANCAP ratings are likely to affect consumers’ purchasing decisions</w:t>
      </w:r>
      <w:r w:rsidR="00653321">
        <w:rPr>
          <w:lang w:eastAsia="fr-CA"/>
        </w:rPr>
        <w:t xml:space="preserve"> </w:t>
      </w:r>
      <w:sdt>
        <w:sdtPr>
          <w:rPr>
            <w:lang w:eastAsia="fr-CA"/>
          </w:rPr>
          <w:id w:val="1712462253"/>
          <w:citation/>
        </w:sdtPr>
        <w:sdtContent>
          <w:r w:rsidR="00653321">
            <w:rPr>
              <w:lang w:eastAsia="fr-CA"/>
            </w:rPr>
            <w:fldChar w:fldCharType="begin"/>
          </w:r>
          <w:r w:rsidR="00653321">
            <w:rPr>
              <w:lang w:eastAsia="fr-CA"/>
            </w:rPr>
            <w:instrText xml:space="preserve"> CITATION ANC16 \l 3081 </w:instrText>
          </w:r>
          <w:r w:rsidR="00653321">
            <w:rPr>
              <w:lang w:eastAsia="fr-CA"/>
            </w:rPr>
            <w:fldChar w:fldCharType="separate"/>
          </w:r>
          <w:r w:rsidR="001428F9">
            <w:rPr>
              <w:noProof/>
              <w:lang w:eastAsia="fr-CA"/>
            </w:rPr>
            <w:t>(ANCAP, 2016)</w:t>
          </w:r>
          <w:r w:rsidR="00653321">
            <w:rPr>
              <w:lang w:eastAsia="fr-CA"/>
            </w:rPr>
            <w:fldChar w:fldCharType="end"/>
          </w:r>
        </w:sdtContent>
      </w:sdt>
      <w:r w:rsidRPr="005764FC">
        <w:rPr>
          <w:lang w:eastAsia="fr-CA"/>
        </w:rPr>
        <w:t>, although it does not fully determine the likelihood of C-ITS deployment in vehicles. Additionally, there remains uncertainty on specific details of V2X protocols.</w:t>
      </w:r>
      <w:bookmarkEnd w:id="176"/>
      <w:r w:rsidR="00632152" w:rsidRPr="005764FC">
        <w:rPr>
          <w:lang w:eastAsia="fr-CA"/>
        </w:rPr>
        <w:t xml:space="preserve"> </w:t>
      </w:r>
    </w:p>
    <w:p w14:paraId="2E556979" w14:textId="09567C21" w:rsidR="00B328E0" w:rsidRPr="005764FC" w:rsidRDefault="00004964" w:rsidP="00BA4F0B">
      <w:pPr>
        <w:pStyle w:val="Heading1"/>
      </w:pPr>
      <w:bookmarkStart w:id="177" w:name="_Ref94470912"/>
      <w:bookmarkStart w:id="178" w:name="_Toc94536696"/>
      <w:bookmarkStart w:id="179" w:name="_Toc94453149"/>
      <w:bookmarkStart w:id="180" w:name="_Toc97807789"/>
      <w:r w:rsidRPr="005764FC">
        <w:t>Policy Impact Analysis</w:t>
      </w:r>
      <w:bookmarkEnd w:id="177"/>
      <w:bookmarkEnd w:id="178"/>
      <w:bookmarkEnd w:id="179"/>
      <w:bookmarkEnd w:id="180"/>
    </w:p>
    <w:p w14:paraId="1812BC8E" w14:textId="1C3F602B" w:rsidR="00FB4434" w:rsidRPr="005764FC" w:rsidRDefault="00816611" w:rsidP="0019002F">
      <w:pPr>
        <w:pStyle w:val="BodyText"/>
      </w:pPr>
      <w:r w:rsidRPr="005764FC">
        <w:t>Th</w:t>
      </w:r>
      <w:r w:rsidR="00F77DAB" w:rsidRPr="005764FC">
        <w:t>is</w:t>
      </w:r>
      <w:r w:rsidR="00782B08" w:rsidRPr="005764FC">
        <w:t xml:space="preserve"> section discuss</w:t>
      </w:r>
      <w:r w:rsidR="00267C2E" w:rsidRPr="005764FC">
        <w:t>es</w:t>
      </w:r>
      <w:r w:rsidR="0030069D" w:rsidRPr="005764FC">
        <w:t xml:space="preserve"> </w:t>
      </w:r>
      <w:r w:rsidR="00F77DAB" w:rsidRPr="005764FC">
        <w:t>whether</w:t>
      </w:r>
      <w:r w:rsidR="00FA50BD" w:rsidRPr="005764FC">
        <w:t xml:space="preserve"> </w:t>
      </w:r>
      <w:r w:rsidR="00894313" w:rsidRPr="005764FC">
        <w:t xml:space="preserve">leadership and new </w:t>
      </w:r>
      <w:r w:rsidR="00BB1AE6" w:rsidRPr="005764FC">
        <w:t>policy</w:t>
      </w:r>
      <w:r w:rsidR="00894313" w:rsidRPr="005764FC">
        <w:t xml:space="preserve"> direction</w:t>
      </w:r>
      <w:r w:rsidR="00BB1AE6" w:rsidRPr="005764FC">
        <w:t xml:space="preserve"> </w:t>
      </w:r>
      <w:r w:rsidR="00C873C0" w:rsidRPr="005764FC">
        <w:t>for</w:t>
      </w:r>
      <w:r w:rsidR="00535CAC" w:rsidRPr="005764FC">
        <w:t xml:space="preserve"> </w:t>
      </w:r>
      <w:r w:rsidR="005D6D7D" w:rsidRPr="005764FC">
        <w:t>C</w:t>
      </w:r>
      <w:r w:rsidR="008A3437" w:rsidRPr="005764FC">
        <w:t>‑ITS</w:t>
      </w:r>
      <w:r w:rsidR="005D6D7D" w:rsidRPr="005764FC">
        <w:t xml:space="preserve"> technology </w:t>
      </w:r>
      <w:r w:rsidR="00AE3E8E" w:rsidRPr="005764FC">
        <w:t>an</w:t>
      </w:r>
      <w:r w:rsidR="00AE51BB" w:rsidRPr="005764FC">
        <w:t xml:space="preserve">d </w:t>
      </w:r>
      <w:r w:rsidR="00AE3E8E" w:rsidRPr="005764FC">
        <w:t xml:space="preserve">services </w:t>
      </w:r>
      <w:r w:rsidR="005D6D7D" w:rsidRPr="005764FC">
        <w:t xml:space="preserve">could </w:t>
      </w:r>
      <w:r w:rsidR="00101525" w:rsidRPr="005764FC">
        <w:t xml:space="preserve">help </w:t>
      </w:r>
      <w:r w:rsidR="005D6D7D" w:rsidRPr="005764FC">
        <w:t>the Australian Government improv</w:t>
      </w:r>
      <w:r w:rsidR="00101525" w:rsidRPr="005764FC">
        <w:t>e</w:t>
      </w:r>
      <w:r w:rsidR="005D6D7D" w:rsidRPr="005764FC">
        <w:t xml:space="preserve"> the </w:t>
      </w:r>
      <w:r w:rsidR="00442542" w:rsidRPr="005764FC">
        <w:t>safety</w:t>
      </w:r>
      <w:r w:rsidR="00090AC4" w:rsidRPr="005764FC">
        <w:t>,</w:t>
      </w:r>
      <w:r w:rsidR="00442542" w:rsidRPr="005764FC">
        <w:t xml:space="preserve"> efficiency</w:t>
      </w:r>
      <w:r w:rsidR="002D7DB9" w:rsidRPr="005764FC">
        <w:t xml:space="preserve">, </w:t>
      </w:r>
      <w:r w:rsidR="00090AC4" w:rsidRPr="005764FC">
        <w:t>sustainability</w:t>
      </w:r>
      <w:r w:rsidR="002D7DB9" w:rsidRPr="005764FC">
        <w:t xml:space="preserve"> and accessibility</w:t>
      </w:r>
      <w:r w:rsidR="00090AC4" w:rsidRPr="005764FC">
        <w:t xml:space="preserve"> </w:t>
      </w:r>
      <w:r w:rsidR="00442542" w:rsidRPr="005764FC">
        <w:t>o</w:t>
      </w:r>
      <w:r w:rsidR="005D6D7D" w:rsidRPr="005764FC">
        <w:t>f the land transport network</w:t>
      </w:r>
      <w:r w:rsidR="00746C29" w:rsidRPr="005764FC">
        <w:t xml:space="preserve"> and Australian communities</w:t>
      </w:r>
      <w:r w:rsidR="005D6D7D" w:rsidRPr="005764FC">
        <w:t xml:space="preserve">, as set out in the </w:t>
      </w:r>
      <w:r w:rsidR="00101525" w:rsidRPr="005764FC">
        <w:t xml:space="preserve">National Land Transport Act </w:t>
      </w:r>
      <w:r w:rsidR="005D6D7D" w:rsidRPr="005764FC">
        <w:t>objectives.</w:t>
      </w:r>
      <w:r w:rsidR="00A941C2" w:rsidRPr="005764FC">
        <w:t xml:space="preserve"> </w:t>
      </w:r>
    </w:p>
    <w:p w14:paraId="660D0AD3" w14:textId="0A07C0EF" w:rsidR="00D47832" w:rsidRPr="005764FC" w:rsidRDefault="00D47832" w:rsidP="00D47832">
      <w:pPr>
        <w:pStyle w:val="Heading2"/>
      </w:pPr>
      <w:bookmarkStart w:id="181" w:name="_Ref92806356"/>
      <w:bookmarkStart w:id="182" w:name="_Toc94536697"/>
      <w:bookmarkStart w:id="183" w:name="_Toc94453150"/>
      <w:bookmarkStart w:id="184" w:name="_Toc97807790"/>
      <w:r w:rsidRPr="005764FC">
        <w:t xml:space="preserve">The </w:t>
      </w:r>
      <w:r w:rsidR="0010086F" w:rsidRPr="005764FC">
        <w:t>Issue</w:t>
      </w:r>
      <w:r w:rsidR="00442B9A" w:rsidRPr="005764FC">
        <w:t xml:space="preserve"> (challenge)</w:t>
      </w:r>
      <w:bookmarkEnd w:id="181"/>
      <w:bookmarkEnd w:id="182"/>
      <w:bookmarkEnd w:id="183"/>
      <w:bookmarkEnd w:id="184"/>
    </w:p>
    <w:p w14:paraId="1AD86116" w14:textId="5217CBE5" w:rsidR="007E17C1" w:rsidRPr="005764FC" w:rsidRDefault="00A1092B" w:rsidP="00A50174">
      <w:pPr>
        <w:pStyle w:val="BodyText"/>
      </w:pPr>
      <w:r w:rsidRPr="005764FC">
        <w:rPr>
          <w:lang w:eastAsia="fr-CA"/>
        </w:rPr>
        <w:t xml:space="preserve">Section </w:t>
      </w:r>
      <w:r w:rsidRPr="005764FC">
        <w:rPr>
          <w:lang w:eastAsia="fr-CA"/>
        </w:rPr>
        <w:fldChar w:fldCharType="begin" w:fldLock="1"/>
      </w:r>
      <w:r w:rsidRPr="005764FC">
        <w:rPr>
          <w:lang w:eastAsia="fr-CA"/>
        </w:rPr>
        <w:instrText xml:space="preserve"> REF _Ref90834843 \r \h </w:instrText>
      </w:r>
      <w:r w:rsidRPr="005764FC">
        <w:rPr>
          <w:lang w:eastAsia="fr-CA"/>
        </w:rPr>
      </w:r>
      <w:r w:rsidRPr="005764FC">
        <w:rPr>
          <w:lang w:eastAsia="fr-CA"/>
        </w:rPr>
        <w:fldChar w:fldCharType="separate"/>
      </w:r>
      <w:r w:rsidR="00A34B27">
        <w:rPr>
          <w:lang w:eastAsia="fr-CA"/>
        </w:rPr>
        <w:t>1.2</w:t>
      </w:r>
      <w:r w:rsidRPr="005764FC">
        <w:rPr>
          <w:lang w:eastAsia="fr-CA"/>
        </w:rPr>
        <w:fldChar w:fldCharType="end"/>
      </w:r>
      <w:r w:rsidRPr="005764FC">
        <w:rPr>
          <w:lang w:eastAsia="fr-CA"/>
        </w:rPr>
        <w:t xml:space="preserve"> </w:t>
      </w:r>
      <w:r w:rsidR="00F6622A" w:rsidRPr="005764FC">
        <w:rPr>
          <w:lang w:eastAsia="fr-CA"/>
        </w:rPr>
        <w:t xml:space="preserve">outlines the core </w:t>
      </w:r>
      <w:r w:rsidR="003774B4" w:rsidRPr="005764FC">
        <w:rPr>
          <w:lang w:eastAsia="fr-CA"/>
        </w:rPr>
        <w:t>issues present for Australian road users</w:t>
      </w:r>
      <w:r w:rsidR="005B7B9E" w:rsidRPr="005764FC">
        <w:rPr>
          <w:lang w:eastAsia="fr-CA"/>
        </w:rPr>
        <w:t xml:space="preserve"> and agencies</w:t>
      </w:r>
      <w:r w:rsidR="003774B4" w:rsidRPr="005764FC">
        <w:rPr>
          <w:lang w:eastAsia="fr-CA"/>
        </w:rPr>
        <w:t xml:space="preserve">. </w:t>
      </w:r>
      <w:r w:rsidR="001C6822" w:rsidRPr="005764FC">
        <w:t>Australia is not currently on track to meet road safety targets such as Vision Zero</w:t>
      </w:r>
      <w:r w:rsidR="00386023" w:rsidRPr="005764FC">
        <w:t>. T</w:t>
      </w:r>
      <w:r w:rsidR="008B6626" w:rsidRPr="005764FC">
        <w:t xml:space="preserve">oo many people are </w:t>
      </w:r>
      <w:r w:rsidR="00155B5A" w:rsidRPr="005764FC">
        <w:t>being</w:t>
      </w:r>
      <w:r w:rsidR="008B6626" w:rsidRPr="005764FC">
        <w:t xml:space="preserve"> killed or injured on Australian roads. </w:t>
      </w:r>
      <w:r w:rsidR="00FE205F" w:rsidRPr="005764FC">
        <w:t>T</w:t>
      </w:r>
      <w:r w:rsidR="00562F17" w:rsidRPr="005764FC">
        <w:t xml:space="preserve">he </w:t>
      </w:r>
      <w:r w:rsidR="00D17D94" w:rsidRPr="005764FC">
        <w:t xml:space="preserve">cost of congestion </w:t>
      </w:r>
      <w:r w:rsidR="00984812" w:rsidRPr="005764FC">
        <w:t xml:space="preserve">keeps rising </w:t>
      </w:r>
      <w:r w:rsidR="000B09C4" w:rsidRPr="005764FC">
        <w:t>and</w:t>
      </w:r>
      <w:r w:rsidR="00F134CA" w:rsidRPr="005764FC">
        <w:t xml:space="preserve"> </w:t>
      </w:r>
      <w:r w:rsidR="00A24E30" w:rsidRPr="005764FC">
        <w:t xml:space="preserve">demand for freight </w:t>
      </w:r>
      <w:r w:rsidR="000B09C4" w:rsidRPr="005764FC">
        <w:t xml:space="preserve">is </w:t>
      </w:r>
      <w:r w:rsidR="00A24E30" w:rsidRPr="005764FC">
        <w:t xml:space="preserve">expected to double </w:t>
      </w:r>
      <w:r w:rsidR="00615CC7" w:rsidRPr="005764FC">
        <w:t>between 2</w:t>
      </w:r>
      <w:r w:rsidR="00713CD9" w:rsidRPr="005764FC">
        <w:t>010 and 2040</w:t>
      </w:r>
      <w:r w:rsidR="000F6631">
        <w:t xml:space="preserve"> </w:t>
      </w:r>
      <w:sdt>
        <w:sdtPr>
          <w:id w:val="902556430"/>
          <w:citation/>
        </w:sdtPr>
        <w:sdtContent>
          <w:r w:rsidR="000F6631">
            <w:fldChar w:fldCharType="begin"/>
          </w:r>
          <w:r w:rsidR="000F6631">
            <w:instrText xml:space="preserve"> CITATION BIT14 \l 3081 </w:instrText>
          </w:r>
          <w:r w:rsidR="000F6631">
            <w:fldChar w:fldCharType="separate"/>
          </w:r>
          <w:r w:rsidR="001428F9">
            <w:rPr>
              <w:noProof/>
            </w:rPr>
            <w:t>(BITRE, 2014)</w:t>
          </w:r>
          <w:r w:rsidR="000F6631">
            <w:fldChar w:fldCharType="end"/>
          </w:r>
        </w:sdtContent>
      </w:sdt>
      <w:r w:rsidR="00C27DD7" w:rsidRPr="005764FC">
        <w:t>.</w:t>
      </w:r>
      <w:r w:rsidR="00D8048F" w:rsidRPr="005764FC" w:rsidDel="00984812">
        <w:t xml:space="preserve"> </w:t>
      </w:r>
      <w:r w:rsidR="00FE205F" w:rsidRPr="005764FC">
        <w:t>Further</w:t>
      </w:r>
      <w:r w:rsidR="00984812" w:rsidRPr="005764FC">
        <w:t xml:space="preserve">, </w:t>
      </w:r>
      <w:r w:rsidR="00523618" w:rsidRPr="005764FC">
        <w:t>sustainability</w:t>
      </w:r>
      <w:r w:rsidR="00223055" w:rsidRPr="005764FC">
        <w:t xml:space="preserve"> </w:t>
      </w:r>
      <w:r w:rsidR="00AC1F76" w:rsidRPr="005764FC">
        <w:t xml:space="preserve">targets </w:t>
      </w:r>
      <w:r w:rsidR="0021751D" w:rsidRPr="005764FC">
        <w:t xml:space="preserve">for </w:t>
      </w:r>
      <w:r w:rsidR="00F41AC9" w:rsidRPr="005764FC">
        <w:t xml:space="preserve">net zero by 2050 require a collective </w:t>
      </w:r>
      <w:r w:rsidR="00CA0AF1" w:rsidRPr="005764FC">
        <w:t xml:space="preserve">effort across all industries including transport. </w:t>
      </w:r>
      <w:r w:rsidR="006D0EE2" w:rsidRPr="005764FC">
        <w:t>To address this, the</w:t>
      </w:r>
      <w:r w:rsidR="00015EEC" w:rsidRPr="005764FC">
        <w:t xml:space="preserve"> National </w:t>
      </w:r>
      <w:r w:rsidR="007E17C1" w:rsidRPr="005764FC">
        <w:t xml:space="preserve">Land </w:t>
      </w:r>
      <w:r w:rsidR="0021751D" w:rsidRPr="005764FC">
        <w:t>Transport Technology Action Plan</w:t>
      </w:r>
      <w:r w:rsidR="004705EB" w:rsidRPr="005764FC">
        <w:t xml:space="preserve"> </w:t>
      </w:r>
      <w:r w:rsidR="00672CA7" w:rsidRPr="005764FC">
        <w:t>2020</w:t>
      </w:r>
      <w:r w:rsidR="00984812" w:rsidRPr="005764FC">
        <w:t>–</w:t>
      </w:r>
      <w:r w:rsidR="00672CA7" w:rsidRPr="005764FC">
        <w:t xml:space="preserve">23 outlined the </w:t>
      </w:r>
      <w:r w:rsidR="00052053" w:rsidRPr="005764FC">
        <w:t xml:space="preserve">following </w:t>
      </w:r>
      <w:r w:rsidR="00905AD5" w:rsidRPr="005764FC">
        <w:t xml:space="preserve">outcomes </w:t>
      </w:r>
      <w:r w:rsidR="000B09C4" w:rsidRPr="005764FC">
        <w:t>sought</w:t>
      </w:r>
      <w:r w:rsidR="00905AD5" w:rsidRPr="005764FC">
        <w:t xml:space="preserve"> with the use of </w:t>
      </w:r>
      <w:r w:rsidR="000251F8" w:rsidRPr="005764FC">
        <w:t>technology</w:t>
      </w:r>
      <w:r w:rsidR="007E17C1" w:rsidRPr="005764FC">
        <w:t xml:space="preserve">: </w:t>
      </w:r>
    </w:p>
    <w:p w14:paraId="54568D39" w14:textId="629F516B" w:rsidR="00A50174" w:rsidRPr="005764FC" w:rsidRDefault="00CA4070" w:rsidP="00A0293C">
      <w:pPr>
        <w:pStyle w:val="ListBullet"/>
        <w:ind w:left="357" w:hanging="357"/>
        <w:contextualSpacing/>
      </w:pPr>
      <w:r w:rsidRPr="005764FC">
        <w:t>safety</w:t>
      </w:r>
    </w:p>
    <w:p w14:paraId="1774B3E1" w14:textId="3D9F6D90" w:rsidR="00A50174" w:rsidRPr="005764FC" w:rsidRDefault="00CA4070" w:rsidP="00A0293C">
      <w:pPr>
        <w:pStyle w:val="ListBullet"/>
        <w:ind w:left="357" w:hanging="357"/>
        <w:contextualSpacing/>
      </w:pPr>
      <w:r w:rsidRPr="005764FC">
        <w:t>efficiency</w:t>
      </w:r>
    </w:p>
    <w:p w14:paraId="73256EFD" w14:textId="79E4C7FA" w:rsidR="00A50174" w:rsidRPr="005764FC" w:rsidRDefault="00CA4070" w:rsidP="00A0293C">
      <w:pPr>
        <w:pStyle w:val="ListBullet"/>
        <w:ind w:left="357" w:hanging="357"/>
        <w:contextualSpacing/>
      </w:pPr>
      <w:r w:rsidRPr="005764FC">
        <w:t>sustainability</w:t>
      </w:r>
    </w:p>
    <w:p w14:paraId="43485174" w14:textId="54C1F45F" w:rsidR="006C16D3" w:rsidRPr="005764FC" w:rsidRDefault="00CA4070" w:rsidP="00A0293C">
      <w:pPr>
        <w:pStyle w:val="ListBullet"/>
        <w:ind w:left="357" w:hanging="357"/>
        <w:contextualSpacing/>
      </w:pPr>
      <w:r w:rsidRPr="005764FC">
        <w:t>accessibility</w:t>
      </w:r>
      <w:r>
        <w:t>.</w:t>
      </w:r>
    </w:p>
    <w:p w14:paraId="1A08C821" w14:textId="33B635A8" w:rsidR="00877811" w:rsidRPr="005764FC" w:rsidRDefault="00BC21B2" w:rsidP="00BC21B2">
      <w:pPr>
        <w:pStyle w:val="BodyText"/>
      </w:pPr>
      <w:r w:rsidRPr="005764FC">
        <w:t xml:space="preserve">Section </w:t>
      </w:r>
      <w:r w:rsidRPr="005764FC">
        <w:fldChar w:fldCharType="begin" w:fldLock="1"/>
      </w:r>
      <w:r w:rsidRPr="005764FC">
        <w:instrText xml:space="preserve"> REF _Ref94078959 \r \h </w:instrText>
      </w:r>
      <w:r w:rsidRPr="005764FC">
        <w:fldChar w:fldCharType="separate"/>
      </w:r>
      <w:r w:rsidR="00A34B27">
        <w:t>1.6</w:t>
      </w:r>
      <w:r w:rsidRPr="005764FC">
        <w:fldChar w:fldCharType="end"/>
      </w:r>
      <w:r w:rsidRPr="005764FC">
        <w:t xml:space="preserve"> outlines where </w:t>
      </w:r>
      <w:r w:rsidR="000B09C4" w:rsidRPr="005764FC">
        <w:t xml:space="preserve">the last 5 years of </w:t>
      </w:r>
      <w:r w:rsidRPr="005764FC">
        <w:t xml:space="preserve">trials </w:t>
      </w:r>
      <w:r w:rsidR="000B09C4" w:rsidRPr="005764FC">
        <w:t>conducted</w:t>
      </w:r>
      <w:r w:rsidRPr="005764FC">
        <w:t xml:space="preserve"> assess the capability to achieve these benefits</w:t>
      </w:r>
      <w:r w:rsidR="001555FB" w:rsidRPr="005764FC">
        <w:t xml:space="preserve"> with C-ITS</w:t>
      </w:r>
      <w:r w:rsidRPr="005764FC">
        <w:t xml:space="preserve">. These </w:t>
      </w:r>
      <w:r w:rsidR="008E3350" w:rsidRPr="005764FC">
        <w:t>trials</w:t>
      </w:r>
      <w:r w:rsidRPr="005764FC">
        <w:t xml:space="preserve"> have generated learnings that improve Australia’s </w:t>
      </w:r>
      <w:r w:rsidR="00E766D9" w:rsidRPr="005764FC">
        <w:t xml:space="preserve">understanding and </w:t>
      </w:r>
      <w:r w:rsidRPr="005764FC">
        <w:t xml:space="preserve">readiness. </w:t>
      </w:r>
      <w:r w:rsidR="00177859" w:rsidRPr="005764FC">
        <w:t xml:space="preserve">The CBA </w:t>
      </w:r>
      <w:r w:rsidR="00A9289E" w:rsidRPr="005764FC">
        <w:t>(</w:t>
      </w:r>
      <w:r w:rsidR="00377DBD" w:rsidRPr="005764FC">
        <w:t xml:space="preserve">Section </w:t>
      </w:r>
      <w:r w:rsidR="00A9289E" w:rsidRPr="005764FC">
        <w:fldChar w:fldCharType="begin" w:fldLock="1"/>
      </w:r>
      <w:r w:rsidR="00A9289E" w:rsidRPr="005764FC">
        <w:instrText xml:space="preserve"> REF _Ref90976241 \r \h  \* MERGEFORMAT </w:instrText>
      </w:r>
      <w:r w:rsidR="00A9289E" w:rsidRPr="005764FC">
        <w:fldChar w:fldCharType="separate"/>
      </w:r>
      <w:r w:rsidR="00A34B27">
        <w:t>1.5.3</w:t>
      </w:r>
      <w:r w:rsidR="00A9289E" w:rsidRPr="005764FC">
        <w:fldChar w:fldCharType="end"/>
      </w:r>
      <w:r w:rsidR="00A9289E" w:rsidRPr="005764FC">
        <w:t>)</w:t>
      </w:r>
      <w:r w:rsidR="003E7B87" w:rsidRPr="005764FC">
        <w:t xml:space="preserve"> </w:t>
      </w:r>
      <w:r w:rsidR="00661B68" w:rsidRPr="005764FC">
        <w:t>outlined a potential for a staged</w:t>
      </w:r>
      <w:r w:rsidR="00174B75" w:rsidRPr="005764FC">
        <w:t xml:space="preserve"> national </w:t>
      </w:r>
      <w:r w:rsidR="000B09C4" w:rsidRPr="005764FC">
        <w:t xml:space="preserve">C-ITS </w:t>
      </w:r>
      <w:r w:rsidR="00174B75" w:rsidRPr="005764FC">
        <w:t xml:space="preserve">deployment </w:t>
      </w:r>
      <w:r w:rsidR="00035317" w:rsidRPr="005764FC">
        <w:t>to</w:t>
      </w:r>
      <w:r w:rsidR="00475852" w:rsidRPr="005764FC">
        <w:t xml:space="preserve"> be</w:t>
      </w:r>
      <w:r w:rsidR="003E7B87" w:rsidRPr="005764FC">
        <w:t xml:space="preserve"> an economically viable </w:t>
      </w:r>
      <w:r w:rsidR="00250E96" w:rsidRPr="005764FC">
        <w:t xml:space="preserve">technology </w:t>
      </w:r>
      <w:r w:rsidR="00174B75" w:rsidRPr="005764FC">
        <w:t>for Australia</w:t>
      </w:r>
      <w:r w:rsidR="00833367" w:rsidRPr="005764FC">
        <w:t xml:space="preserve"> </w:t>
      </w:r>
      <w:r w:rsidR="00B12207" w:rsidRPr="005764FC">
        <w:t>from</w:t>
      </w:r>
      <w:r w:rsidR="00833367" w:rsidRPr="005764FC">
        <w:t xml:space="preserve"> a 10-year </w:t>
      </w:r>
      <w:r w:rsidR="008B5C76" w:rsidRPr="005764FC">
        <w:t>appraisal</w:t>
      </w:r>
      <w:r w:rsidR="00B12207" w:rsidRPr="005764FC">
        <w:t xml:space="preserve"> </w:t>
      </w:r>
      <w:r w:rsidR="00833367" w:rsidRPr="005764FC">
        <w:t>period</w:t>
      </w:r>
      <w:r w:rsidR="00174B75" w:rsidRPr="005764FC">
        <w:t xml:space="preserve">. </w:t>
      </w:r>
      <w:r w:rsidR="00F97038" w:rsidRPr="005764FC">
        <w:t xml:space="preserve">For this </w:t>
      </w:r>
      <w:r w:rsidR="00661B68" w:rsidRPr="005764FC">
        <w:t>deployment</w:t>
      </w:r>
      <w:r w:rsidR="00F97038" w:rsidRPr="005764FC">
        <w:t xml:space="preserve"> to be </w:t>
      </w:r>
      <w:r w:rsidR="006811FE" w:rsidRPr="005764FC">
        <w:t xml:space="preserve">feasible, </w:t>
      </w:r>
      <w:r w:rsidR="00F35DCD" w:rsidRPr="005764FC">
        <w:t xml:space="preserve">services must be </w:t>
      </w:r>
      <w:r w:rsidR="008264ED" w:rsidRPr="005764FC">
        <w:t xml:space="preserve">implemented </w:t>
      </w:r>
      <w:r w:rsidR="00B54984" w:rsidRPr="005764FC">
        <w:t xml:space="preserve">consistently </w:t>
      </w:r>
      <w:r w:rsidR="00BB3BFD" w:rsidRPr="005764FC">
        <w:t xml:space="preserve">between stakeholders (outlined in </w:t>
      </w:r>
      <w:r w:rsidR="00377DBD" w:rsidRPr="005764FC">
        <w:t xml:space="preserve">Section </w:t>
      </w:r>
      <w:r w:rsidR="00BB3BFD" w:rsidRPr="005764FC">
        <w:fldChar w:fldCharType="begin" w:fldLock="1"/>
      </w:r>
      <w:r w:rsidR="00BB3BFD" w:rsidRPr="005764FC">
        <w:instrText xml:space="preserve"> REF _Ref94080562 \r \h </w:instrText>
      </w:r>
      <w:r w:rsidR="006F4C52" w:rsidRPr="005764FC">
        <w:instrText xml:space="preserve"> \* MERGEFORMAT </w:instrText>
      </w:r>
      <w:r w:rsidR="00BB3BFD" w:rsidRPr="005764FC">
        <w:fldChar w:fldCharType="separate"/>
      </w:r>
      <w:r w:rsidR="00A34B27">
        <w:t>1.4</w:t>
      </w:r>
      <w:r w:rsidR="00BB3BFD" w:rsidRPr="005764FC">
        <w:fldChar w:fldCharType="end"/>
      </w:r>
      <w:r w:rsidR="00BB3BFD" w:rsidRPr="005764FC">
        <w:t>)</w:t>
      </w:r>
      <w:r w:rsidR="00860B5B" w:rsidRPr="005764FC">
        <w:t xml:space="preserve"> allowing road users access to </w:t>
      </w:r>
      <w:r w:rsidR="000248FB" w:rsidRPr="005764FC">
        <w:t xml:space="preserve">the </w:t>
      </w:r>
      <w:r w:rsidR="00035317" w:rsidRPr="005764FC">
        <w:t xml:space="preserve">C-ITS </w:t>
      </w:r>
      <w:r w:rsidR="000248FB" w:rsidRPr="005764FC">
        <w:t xml:space="preserve">benefits. </w:t>
      </w:r>
      <w:r w:rsidR="00602138" w:rsidRPr="005764FC">
        <w:t xml:space="preserve">For example, </w:t>
      </w:r>
      <w:r w:rsidR="008E6DD8" w:rsidRPr="005764FC">
        <w:t xml:space="preserve">desirable </w:t>
      </w:r>
      <w:r w:rsidR="00035317" w:rsidRPr="005764FC">
        <w:t xml:space="preserve">C-ITS </w:t>
      </w:r>
      <w:r w:rsidR="008E6DD8" w:rsidRPr="005764FC">
        <w:t xml:space="preserve">operation </w:t>
      </w:r>
      <w:r w:rsidR="00793BFA" w:rsidRPr="005764FC">
        <w:t>assumes</w:t>
      </w:r>
      <w:r w:rsidR="00116FFB" w:rsidRPr="005764FC">
        <w:t xml:space="preserve"> that</w:t>
      </w:r>
      <w:r w:rsidR="00877811" w:rsidRPr="005764FC">
        <w:t>:</w:t>
      </w:r>
    </w:p>
    <w:p w14:paraId="75B2F7B3" w14:textId="63FB350D" w:rsidR="00383D4D" w:rsidRPr="005764FC" w:rsidRDefault="00877811" w:rsidP="00A0293C">
      <w:pPr>
        <w:pStyle w:val="ListBullet"/>
        <w:ind w:left="357" w:hanging="357"/>
        <w:contextualSpacing/>
      </w:pPr>
      <w:r w:rsidRPr="005764FC">
        <w:t xml:space="preserve">As a road user, </w:t>
      </w:r>
      <w:r w:rsidR="00661B68" w:rsidRPr="005764FC">
        <w:t>it shouldn’t matter which brand</w:t>
      </w:r>
      <w:r w:rsidR="00CA707D" w:rsidRPr="005764FC">
        <w:t xml:space="preserve"> of vehicle I am driving to rece</w:t>
      </w:r>
      <w:r w:rsidR="00383D4D" w:rsidRPr="005764FC">
        <w:t>iv</w:t>
      </w:r>
      <w:r w:rsidR="00661B68" w:rsidRPr="005764FC">
        <w:t>e</w:t>
      </w:r>
      <w:r w:rsidR="00383D4D" w:rsidRPr="005764FC">
        <w:t xml:space="preserve"> </w:t>
      </w:r>
      <w:r w:rsidR="00661B68" w:rsidRPr="005764FC">
        <w:t>information about</w:t>
      </w:r>
      <w:r w:rsidR="000E1513" w:rsidRPr="005764FC">
        <w:t xml:space="preserve"> </w:t>
      </w:r>
      <w:r w:rsidR="00116FFB" w:rsidRPr="005764FC">
        <w:t xml:space="preserve">a </w:t>
      </w:r>
      <w:r w:rsidR="008E704B" w:rsidRPr="005764FC">
        <w:t>critical event</w:t>
      </w:r>
      <w:r w:rsidR="00A26AAC" w:rsidRPr="005764FC">
        <w:t xml:space="preserve">, such as a hazard on </w:t>
      </w:r>
      <w:r w:rsidR="000E1513" w:rsidRPr="005764FC">
        <w:t>the</w:t>
      </w:r>
      <w:r w:rsidR="00A26AAC" w:rsidRPr="005764FC">
        <w:t xml:space="preserve"> road</w:t>
      </w:r>
      <w:r w:rsidR="000E1513" w:rsidRPr="005764FC">
        <w:t xml:space="preserve"> ahead</w:t>
      </w:r>
      <w:r w:rsidR="00383D4D" w:rsidRPr="005764FC">
        <w:t>.</w:t>
      </w:r>
    </w:p>
    <w:p w14:paraId="0C27786C" w14:textId="1516BB41" w:rsidR="002D17C4" w:rsidRPr="005764FC" w:rsidRDefault="00383D4D" w:rsidP="00A0293C">
      <w:pPr>
        <w:pStyle w:val="ListBullet"/>
        <w:ind w:left="357" w:hanging="357"/>
        <w:contextualSpacing/>
      </w:pPr>
      <w:r w:rsidRPr="005764FC">
        <w:t>As a road user</w:t>
      </w:r>
      <w:r w:rsidR="00DD238D" w:rsidRPr="005764FC">
        <w:t>,</w:t>
      </w:r>
      <w:r w:rsidR="00057D03" w:rsidRPr="005764FC">
        <w:t xml:space="preserve"> </w:t>
      </w:r>
      <w:r w:rsidR="00160CB8" w:rsidRPr="005764FC">
        <w:t xml:space="preserve">I should </w:t>
      </w:r>
      <w:r w:rsidR="0004771F" w:rsidRPr="005764FC">
        <w:t>be able to receive details of critical events regard</w:t>
      </w:r>
      <w:r w:rsidR="00035317" w:rsidRPr="005764FC">
        <w:t>les</w:t>
      </w:r>
      <w:r w:rsidR="0004771F" w:rsidRPr="005764FC">
        <w:t xml:space="preserve">s of which state or territory I am in or whether the </w:t>
      </w:r>
      <w:r w:rsidR="00910907" w:rsidRPr="005764FC">
        <w:t>event has been identified by another vehicle</w:t>
      </w:r>
      <w:r w:rsidR="007F53A1" w:rsidRPr="005764FC">
        <w:t>, infrastructure</w:t>
      </w:r>
      <w:r w:rsidR="00035317" w:rsidRPr="005764FC">
        <w:t>,</w:t>
      </w:r>
      <w:r w:rsidR="007F53A1" w:rsidRPr="005764FC">
        <w:t xml:space="preserve"> or transport system. </w:t>
      </w:r>
    </w:p>
    <w:p w14:paraId="301087B0" w14:textId="61744F29" w:rsidR="00A0293C" w:rsidRPr="005764FC" w:rsidRDefault="00A6438D" w:rsidP="00816A9D">
      <w:pPr>
        <w:pStyle w:val="ListBullet"/>
        <w:ind w:left="357" w:hanging="357"/>
        <w:contextualSpacing/>
      </w:pPr>
      <w:r w:rsidRPr="005764FC">
        <w:t xml:space="preserve">As a </w:t>
      </w:r>
      <w:r w:rsidR="00542664" w:rsidRPr="005764FC">
        <w:t xml:space="preserve">transport agency, I want </w:t>
      </w:r>
      <w:r w:rsidR="006C2B59" w:rsidRPr="005764FC">
        <w:t xml:space="preserve">information from </w:t>
      </w:r>
      <w:r w:rsidR="00AE6A2D" w:rsidRPr="005764FC">
        <w:t xml:space="preserve">many sources </w:t>
      </w:r>
      <w:r w:rsidR="002D4A35" w:rsidRPr="005764FC">
        <w:t xml:space="preserve">so that </w:t>
      </w:r>
      <w:r w:rsidR="00EF61A1" w:rsidRPr="005764FC">
        <w:t xml:space="preserve">road </w:t>
      </w:r>
      <w:r w:rsidR="00666D21" w:rsidRPr="005764FC">
        <w:t>operations</w:t>
      </w:r>
      <w:r w:rsidR="002D4A35" w:rsidRPr="005764FC">
        <w:t xml:space="preserve"> are improved</w:t>
      </w:r>
      <w:r w:rsidR="00666D21" w:rsidRPr="005764FC">
        <w:t xml:space="preserve"> to benefit road users.</w:t>
      </w:r>
    </w:p>
    <w:tbl>
      <w:tblPr>
        <w:tblStyle w:val="PullOutBoxTable"/>
        <w:tblW w:w="5000" w:type="pct"/>
        <w:tblInd w:w="0" w:type="dxa"/>
        <w:tblLook w:val="0600" w:firstRow="0" w:lastRow="0" w:firstColumn="0" w:lastColumn="0" w:noHBand="1" w:noVBand="1"/>
      </w:tblPr>
      <w:tblGrid>
        <w:gridCol w:w="9743"/>
      </w:tblGrid>
      <w:tr w:rsidR="00A0293C" w:rsidRPr="005764FC" w14:paraId="4A7CD6A1" w14:textId="77777777" w:rsidTr="00816A9D">
        <w:tc>
          <w:tcPr>
            <w:tcW w:w="5000" w:type="pct"/>
            <w:shd w:val="clear" w:color="auto" w:fill="E4E8EC" w:themeFill="accent3" w:themeFillTint="1A"/>
          </w:tcPr>
          <w:p w14:paraId="42C5DEF8" w14:textId="77777777" w:rsidR="00A0293C" w:rsidRPr="005764FC" w:rsidRDefault="00A0293C" w:rsidP="00816A9D">
            <w:pPr>
              <w:pStyle w:val="PullOutBoxHeading"/>
            </w:pPr>
            <w:r w:rsidRPr="005764FC">
              <w:t>PROBLEM STATEMENT</w:t>
            </w:r>
          </w:p>
          <w:p w14:paraId="1A264DA1" w14:textId="0520D2ED" w:rsidR="00A0293C" w:rsidRPr="005764FC" w:rsidRDefault="00BB6C85" w:rsidP="00A0293C">
            <w:pPr>
              <w:pStyle w:val="PullOutBoxBodyText"/>
            </w:pPr>
            <w:r w:rsidRPr="005764FC">
              <w:t>There is currently no harmonised C-ITS ecosystem available to all vehicle manufacturers and governments to share information that can deliver all Australians the desired road safety, efficiency, sustainability, and accessibility benefits that these technologies have to offer.</w:t>
            </w:r>
          </w:p>
        </w:tc>
      </w:tr>
    </w:tbl>
    <w:p w14:paraId="103A0355" w14:textId="443043B6" w:rsidR="00FB553D" w:rsidRPr="005764FC" w:rsidRDefault="00757A62" w:rsidP="00004964">
      <w:pPr>
        <w:pStyle w:val="Heading2"/>
      </w:pPr>
      <w:bookmarkStart w:id="185" w:name="_Ref96289529"/>
      <w:bookmarkStart w:id="186" w:name="_Ref96289547"/>
      <w:bookmarkStart w:id="187" w:name="_Toc97807791"/>
      <w:bookmarkStart w:id="188" w:name="_Ref90909305"/>
      <w:bookmarkStart w:id="189" w:name="_Ref90909315"/>
      <w:bookmarkStart w:id="190" w:name="_Ref90909316"/>
      <w:r w:rsidRPr="005764FC">
        <w:t>Policy approaches</w:t>
      </w:r>
      <w:bookmarkEnd w:id="185"/>
      <w:bookmarkEnd w:id="186"/>
      <w:bookmarkEnd w:id="187"/>
    </w:p>
    <w:p w14:paraId="5E3EA9D9" w14:textId="45361F72" w:rsidR="00AD032F" w:rsidRPr="005764FC" w:rsidRDefault="00020AA2" w:rsidP="00A0293C">
      <w:pPr>
        <w:pStyle w:val="BodyText"/>
        <w:keepNext/>
        <w:rPr>
          <w:lang w:eastAsia="fr-CA"/>
        </w:rPr>
      </w:pPr>
      <w:r w:rsidRPr="005764FC">
        <w:rPr>
          <w:lang w:eastAsia="fr-CA"/>
        </w:rPr>
        <w:t>To address the problem, t</w:t>
      </w:r>
      <w:r w:rsidR="00AD032F" w:rsidRPr="005764FC">
        <w:rPr>
          <w:lang w:eastAsia="fr-CA"/>
        </w:rPr>
        <w:t xml:space="preserve">hree policy </w:t>
      </w:r>
      <w:r w:rsidR="001A6AE3" w:rsidRPr="005764FC">
        <w:rPr>
          <w:lang w:eastAsia="fr-CA"/>
        </w:rPr>
        <w:t xml:space="preserve">approaches </w:t>
      </w:r>
      <w:r w:rsidR="00D303FD" w:rsidRPr="005764FC">
        <w:rPr>
          <w:lang w:eastAsia="fr-CA"/>
        </w:rPr>
        <w:t xml:space="preserve">(PAs) </w:t>
      </w:r>
      <w:r w:rsidR="00AD032F" w:rsidRPr="005764FC">
        <w:rPr>
          <w:lang w:eastAsia="fr-CA"/>
        </w:rPr>
        <w:t>have been considered:</w:t>
      </w:r>
    </w:p>
    <w:p w14:paraId="0D1BB1AE" w14:textId="110A732D" w:rsidR="00DA5E49" w:rsidRPr="00F85D3F" w:rsidRDefault="00DA5E49" w:rsidP="00D60ADF">
      <w:pPr>
        <w:pStyle w:val="ListNumber"/>
        <w:keepNext/>
        <w:numPr>
          <w:ilvl w:val="0"/>
          <w:numId w:val="24"/>
        </w:numPr>
        <w:rPr>
          <w:lang w:eastAsia="fr-CA"/>
        </w:rPr>
      </w:pPr>
      <w:bookmarkStart w:id="191" w:name="_Toc94536699"/>
      <w:bookmarkStart w:id="192" w:name="_Toc94453152"/>
      <w:r w:rsidRPr="00F85D3F">
        <w:rPr>
          <w:b/>
          <w:bCs/>
          <w:color w:val="F9423A" w:themeColor="text2"/>
          <w:lang w:eastAsia="fr-CA"/>
        </w:rPr>
        <w:t>PA1</w:t>
      </w:r>
      <w:r w:rsidRPr="00F85D3F">
        <w:rPr>
          <w:color w:val="F9423A" w:themeColor="text2"/>
          <w:lang w:eastAsia="fr-CA"/>
        </w:rPr>
        <w:t xml:space="preserve"> </w:t>
      </w:r>
      <w:r w:rsidRPr="00F85D3F">
        <w:rPr>
          <w:b/>
          <w:lang w:eastAsia="fr-CA"/>
        </w:rPr>
        <w:t>Market-led</w:t>
      </w:r>
      <w:r w:rsidRPr="00F85D3F">
        <w:rPr>
          <w:lang w:eastAsia="fr-CA"/>
        </w:rPr>
        <w:t xml:space="preserve">, allowing market </w:t>
      </w:r>
      <w:r w:rsidRPr="00932E3D">
        <w:rPr>
          <w:lang w:eastAsia="fr-CA"/>
        </w:rPr>
        <w:t xml:space="preserve">participants </w:t>
      </w:r>
      <w:r w:rsidR="00F85D3F" w:rsidRPr="00932E3D">
        <w:rPr>
          <w:lang w:eastAsia="fr-CA"/>
        </w:rPr>
        <w:t>(</w:t>
      </w:r>
      <w:r w:rsidR="00CF67AF">
        <w:rPr>
          <w:lang w:eastAsia="fr-CA"/>
        </w:rPr>
        <w:t xml:space="preserve">vehicle manufacturer </w:t>
      </w:r>
      <w:r w:rsidR="00CF67AF" w:rsidRPr="00855A08">
        <w:rPr>
          <w:lang w:eastAsia="fr-CA"/>
        </w:rPr>
        <w:t>industry</w:t>
      </w:r>
      <w:r w:rsidR="00F85D3F" w:rsidRPr="00932E3D">
        <w:rPr>
          <w:lang w:eastAsia="fr-CA"/>
        </w:rPr>
        <w:t xml:space="preserve">) </w:t>
      </w:r>
      <w:r w:rsidRPr="00932E3D">
        <w:rPr>
          <w:lang w:eastAsia="fr-CA"/>
        </w:rPr>
        <w:t>to m</w:t>
      </w:r>
      <w:r w:rsidRPr="00F85D3F">
        <w:rPr>
          <w:lang w:eastAsia="fr-CA"/>
        </w:rPr>
        <w:t xml:space="preserve">ake </w:t>
      </w:r>
      <w:r w:rsidR="009F2134">
        <w:rPr>
          <w:lang w:eastAsia="fr-CA"/>
        </w:rPr>
        <w:t>their own</w:t>
      </w:r>
      <w:r w:rsidR="00932E3D">
        <w:rPr>
          <w:lang w:eastAsia="fr-CA"/>
        </w:rPr>
        <w:t xml:space="preserve"> </w:t>
      </w:r>
      <w:r w:rsidRPr="00F85D3F">
        <w:rPr>
          <w:lang w:eastAsia="fr-CA"/>
        </w:rPr>
        <w:t>choices on technologies and standards</w:t>
      </w:r>
      <w:r w:rsidR="00932E3D">
        <w:rPr>
          <w:lang w:eastAsia="fr-CA"/>
        </w:rPr>
        <w:t>.</w:t>
      </w:r>
    </w:p>
    <w:p w14:paraId="408952A2" w14:textId="4B1AA3BB" w:rsidR="002409AF" w:rsidRPr="005764FC" w:rsidRDefault="002409AF" w:rsidP="00CA4070">
      <w:pPr>
        <w:pStyle w:val="ListNumber"/>
        <w:keepNext/>
        <w:rPr>
          <w:lang w:eastAsia="fr-CA"/>
        </w:rPr>
      </w:pPr>
      <w:r w:rsidRPr="005764FC">
        <w:rPr>
          <w:b/>
          <w:bCs/>
          <w:color w:val="F9423A" w:themeColor="text2"/>
          <w:lang w:eastAsia="fr-CA"/>
        </w:rPr>
        <w:t xml:space="preserve">PA2 </w:t>
      </w:r>
      <w:r w:rsidRPr="005764FC">
        <w:rPr>
          <w:b/>
          <w:lang w:eastAsia="fr-CA"/>
        </w:rPr>
        <w:t xml:space="preserve">Government leadership and direction </w:t>
      </w:r>
      <w:r w:rsidRPr="005764FC">
        <w:rPr>
          <w:bCs/>
          <w:lang w:eastAsia="fr-CA"/>
        </w:rPr>
        <w:t xml:space="preserve">to support </w:t>
      </w:r>
      <w:r w:rsidRPr="005764FC">
        <w:rPr>
          <w:lang w:eastAsia="fr-CA"/>
        </w:rPr>
        <w:t>creat</w:t>
      </w:r>
      <w:r w:rsidRPr="005764FC">
        <w:rPr>
          <w:bCs/>
          <w:lang w:eastAsia="fr-CA"/>
        </w:rPr>
        <w:t>ion of</w:t>
      </w:r>
      <w:r w:rsidRPr="005764FC">
        <w:rPr>
          <w:lang w:eastAsia="fr-CA"/>
        </w:rPr>
        <w:t xml:space="preserve"> a national framework for the rollout of essential enabling technology</w:t>
      </w:r>
      <w:r w:rsidR="00932E3D">
        <w:rPr>
          <w:lang w:eastAsia="fr-CA"/>
        </w:rPr>
        <w:t>.</w:t>
      </w:r>
    </w:p>
    <w:p w14:paraId="6F33E67E" w14:textId="4DA7F8C6" w:rsidR="002409AF" w:rsidRPr="005764FC" w:rsidRDefault="002409AF" w:rsidP="002409AF">
      <w:pPr>
        <w:pStyle w:val="ListNumber"/>
        <w:rPr>
          <w:lang w:eastAsia="fr-CA"/>
        </w:rPr>
      </w:pPr>
      <w:r w:rsidRPr="005764FC">
        <w:rPr>
          <w:b/>
          <w:bCs/>
          <w:color w:val="F9423A" w:themeColor="text2"/>
          <w:lang w:eastAsia="fr-CA"/>
        </w:rPr>
        <w:t xml:space="preserve">PA3 </w:t>
      </w:r>
      <w:r w:rsidRPr="005764FC">
        <w:rPr>
          <w:b/>
          <w:lang w:eastAsia="fr-CA"/>
        </w:rPr>
        <w:t>Introducing obligations for C-ITS services and data to be required in new vehicles,</w:t>
      </w:r>
      <w:r w:rsidRPr="005764FC">
        <w:rPr>
          <w:lang w:eastAsia="fr-CA"/>
        </w:rPr>
        <w:t xml:space="preserve"> thereby ensuring </w:t>
      </w:r>
      <w:r w:rsidRPr="005764FC">
        <w:rPr>
          <w:lang w:eastAsia="fr-CA"/>
        </w:rPr>
        <w:br/>
        <w:t>C-ITS uptake</w:t>
      </w:r>
      <w:r w:rsidR="00377DBD">
        <w:rPr>
          <w:lang w:eastAsia="fr-CA"/>
        </w:rPr>
        <w:t>.</w:t>
      </w:r>
    </w:p>
    <w:p w14:paraId="25A5FE8D" w14:textId="5EA3A9C4" w:rsidR="00E15C3A" w:rsidRPr="005764FC" w:rsidRDefault="001C02BC" w:rsidP="00004964">
      <w:pPr>
        <w:pStyle w:val="Heading3"/>
      </w:pPr>
      <w:r w:rsidRPr="005764FC">
        <w:t>Market-Led</w:t>
      </w:r>
      <w:bookmarkEnd w:id="191"/>
      <w:bookmarkEnd w:id="192"/>
    </w:p>
    <w:p w14:paraId="21F1E919" w14:textId="452BEB5A" w:rsidR="008B5C1F" w:rsidRPr="005764FC" w:rsidRDefault="00522592" w:rsidP="00004964">
      <w:pPr>
        <w:pStyle w:val="BodyText"/>
        <w:rPr>
          <w:lang w:eastAsia="fr-CA"/>
        </w:rPr>
      </w:pPr>
      <w:r w:rsidRPr="005764FC">
        <w:t xml:space="preserve">The </w:t>
      </w:r>
      <w:r w:rsidR="001C02BC" w:rsidRPr="005764FC">
        <w:t xml:space="preserve">market-led </w:t>
      </w:r>
      <w:r w:rsidRPr="005764FC">
        <w:t>approach (</w:t>
      </w:r>
      <w:r w:rsidR="007F0C99" w:rsidRPr="005764FC">
        <w:t>PA1</w:t>
      </w:r>
      <w:r w:rsidRPr="005764FC">
        <w:t xml:space="preserve">) is viewed as the current state or baseline in Australia. In this option, minimal controls are in place (for example the ACMA </w:t>
      </w:r>
      <w:r w:rsidR="006604DD">
        <w:t xml:space="preserve">ITS </w:t>
      </w:r>
      <w:r w:rsidRPr="005764FC">
        <w:t>class licen</w:t>
      </w:r>
      <w:r w:rsidR="00CE29B0" w:rsidRPr="005764FC">
        <w:t>c</w:t>
      </w:r>
      <w:r w:rsidRPr="005764FC">
        <w:t>e</w:t>
      </w:r>
      <w:r w:rsidR="00065DE5">
        <w:t xml:space="preserve"> </w:t>
      </w:r>
      <w:r w:rsidR="001D5D1B">
        <w:t>remains</w:t>
      </w:r>
      <w:r w:rsidRPr="005764FC">
        <w:t xml:space="preserve">), research continues, and limited harmonisation exists between some stakeholders. </w:t>
      </w:r>
      <w:r w:rsidRPr="005764FC">
        <w:rPr>
          <w:lang w:eastAsia="fr-CA"/>
        </w:rPr>
        <w:t xml:space="preserve">As a result, </w:t>
      </w:r>
      <w:r w:rsidR="004B08DC">
        <w:rPr>
          <w:lang w:eastAsia="fr-CA"/>
        </w:rPr>
        <w:t xml:space="preserve">there is a risk that </w:t>
      </w:r>
      <w:r w:rsidRPr="005764FC">
        <w:rPr>
          <w:lang w:eastAsia="fr-CA"/>
        </w:rPr>
        <w:t xml:space="preserve">industry and government agencies could implement different </w:t>
      </w:r>
      <w:r w:rsidR="000D500A" w:rsidRPr="005764FC">
        <w:rPr>
          <w:lang w:eastAsia="fr-CA"/>
        </w:rPr>
        <w:t>standards</w:t>
      </w:r>
      <w:r w:rsidRPr="005764FC">
        <w:rPr>
          <w:lang w:eastAsia="fr-CA"/>
        </w:rPr>
        <w:t xml:space="preserve"> and parameters, resulting in limited, siloed </w:t>
      </w:r>
      <w:r w:rsidR="00624B58" w:rsidRPr="005764FC">
        <w:rPr>
          <w:lang w:eastAsia="fr-CA"/>
        </w:rPr>
        <w:t xml:space="preserve">information </w:t>
      </w:r>
      <w:r w:rsidRPr="005764FC">
        <w:rPr>
          <w:lang w:eastAsia="fr-CA"/>
        </w:rPr>
        <w:t xml:space="preserve">sharing between different vehicle manufacturers. </w:t>
      </w:r>
      <w:r w:rsidR="00F22864" w:rsidRPr="005764FC">
        <w:rPr>
          <w:lang w:eastAsia="fr-CA"/>
        </w:rPr>
        <w:t>Representatives such as FCAI w</w:t>
      </w:r>
      <w:r w:rsidR="00986B28" w:rsidRPr="005764FC">
        <w:rPr>
          <w:lang w:eastAsia="fr-CA"/>
        </w:rPr>
        <w:t xml:space="preserve">ould be </w:t>
      </w:r>
      <w:r w:rsidR="004B08DC">
        <w:rPr>
          <w:lang w:eastAsia="fr-CA"/>
        </w:rPr>
        <w:t xml:space="preserve">crucial </w:t>
      </w:r>
      <w:r w:rsidR="00986B28" w:rsidRPr="005764FC">
        <w:rPr>
          <w:lang w:eastAsia="fr-CA"/>
        </w:rPr>
        <w:t xml:space="preserve">in </w:t>
      </w:r>
      <w:r w:rsidR="00EE67F8" w:rsidRPr="005764FC">
        <w:rPr>
          <w:lang w:eastAsia="fr-CA"/>
        </w:rPr>
        <w:t xml:space="preserve">efforts to gain industry consensus. </w:t>
      </w:r>
      <w:r w:rsidR="004A0A64" w:rsidRPr="005764FC">
        <w:rPr>
          <w:lang w:eastAsia="fr-CA"/>
        </w:rPr>
        <w:t xml:space="preserve">Essential infrastructure such as </w:t>
      </w:r>
      <w:r w:rsidR="00881656" w:rsidRPr="005764FC">
        <w:rPr>
          <w:lang w:eastAsia="fr-CA"/>
        </w:rPr>
        <w:t xml:space="preserve">the Security Credential Management System (SCMS) would require </w:t>
      </w:r>
      <w:r w:rsidR="009D2D2A" w:rsidRPr="005764FC">
        <w:rPr>
          <w:lang w:eastAsia="fr-CA"/>
        </w:rPr>
        <w:t>an industry-based business case and governance model across manufacturers</w:t>
      </w:r>
      <w:r w:rsidR="006E4812" w:rsidRPr="005764FC">
        <w:rPr>
          <w:lang w:eastAsia="fr-CA"/>
        </w:rPr>
        <w:t xml:space="preserve">. </w:t>
      </w:r>
      <w:r w:rsidR="00745A82" w:rsidRPr="005764FC">
        <w:rPr>
          <w:lang w:eastAsia="fr-CA"/>
        </w:rPr>
        <w:t xml:space="preserve">Government infrastructure may be delivered </w:t>
      </w:r>
      <w:r w:rsidR="0004233E" w:rsidRPr="005764FC">
        <w:rPr>
          <w:lang w:eastAsia="fr-CA"/>
        </w:rPr>
        <w:t>only after market penetration of C-ITS technology was certain</w:t>
      </w:r>
      <w:r w:rsidR="00745A82" w:rsidRPr="005764FC">
        <w:rPr>
          <w:lang w:eastAsia="fr-CA"/>
        </w:rPr>
        <w:t xml:space="preserve"> </w:t>
      </w:r>
      <w:r w:rsidR="00684D46" w:rsidRPr="005764FC">
        <w:rPr>
          <w:lang w:eastAsia="fr-CA"/>
        </w:rPr>
        <w:t>and therefore V2I benefits are not assumed in the near-term</w:t>
      </w:r>
      <w:r w:rsidR="000B3024" w:rsidRPr="005764FC">
        <w:rPr>
          <w:lang w:eastAsia="fr-CA"/>
        </w:rPr>
        <w:t xml:space="preserve">. </w:t>
      </w:r>
    </w:p>
    <w:p w14:paraId="6F197A31" w14:textId="78DE378B" w:rsidR="00E15C3A" w:rsidRPr="005764FC" w:rsidRDefault="00BE2FD9" w:rsidP="00004964">
      <w:pPr>
        <w:pStyle w:val="Heading3"/>
      </w:pPr>
      <w:r>
        <w:t>Lead and Direct</w:t>
      </w:r>
    </w:p>
    <w:p w14:paraId="60933972" w14:textId="46F3691B" w:rsidR="00980854" w:rsidRPr="005764FC" w:rsidRDefault="00093DF8" w:rsidP="00004964">
      <w:pPr>
        <w:pStyle w:val="BodyText"/>
      </w:pPr>
      <w:r w:rsidRPr="005764FC">
        <w:t xml:space="preserve">To </w:t>
      </w:r>
      <w:r w:rsidR="00C5321E" w:rsidRPr="005764FC">
        <w:t xml:space="preserve">establish </w:t>
      </w:r>
      <w:r w:rsidRPr="005764FC">
        <w:t>g</w:t>
      </w:r>
      <w:r w:rsidR="00980854" w:rsidRPr="005764FC">
        <w:t xml:space="preserve">overnment </w:t>
      </w:r>
      <w:r w:rsidR="00A11019" w:rsidRPr="005764FC">
        <w:t>leadership</w:t>
      </w:r>
      <w:r w:rsidR="00980854" w:rsidRPr="005764FC">
        <w:t>, (</w:t>
      </w:r>
      <w:r w:rsidR="007F0C99" w:rsidRPr="005764FC">
        <w:t>PA2</w:t>
      </w:r>
      <w:r w:rsidR="00980854" w:rsidRPr="005764FC">
        <w:t xml:space="preserve">), </w:t>
      </w:r>
      <w:r w:rsidR="00A012AE" w:rsidRPr="005764FC">
        <w:t xml:space="preserve">a federated approach between </w:t>
      </w:r>
      <w:r w:rsidR="004A4E36" w:rsidRPr="005764FC">
        <w:t>federal</w:t>
      </w:r>
      <w:r w:rsidR="00A012AE" w:rsidRPr="005764FC">
        <w:t xml:space="preserve"> and</w:t>
      </w:r>
      <w:r w:rsidR="0016072F" w:rsidRPr="005764FC">
        <w:t xml:space="preserve"> </w:t>
      </w:r>
      <w:r w:rsidR="004A4E36" w:rsidRPr="005764FC">
        <w:t>s</w:t>
      </w:r>
      <w:r w:rsidR="0016072F" w:rsidRPr="005764FC">
        <w:t xml:space="preserve">tate </w:t>
      </w:r>
      <w:r w:rsidR="00980854" w:rsidRPr="005764FC">
        <w:t>government</w:t>
      </w:r>
      <w:r w:rsidR="0016072F" w:rsidRPr="005764FC">
        <w:t xml:space="preserve">s </w:t>
      </w:r>
      <w:r w:rsidR="004B08DC">
        <w:t>would</w:t>
      </w:r>
      <w:r w:rsidR="00664EF5" w:rsidRPr="005764FC">
        <w:t xml:space="preserve"> to develop </w:t>
      </w:r>
      <w:r w:rsidR="00980854" w:rsidRPr="005764FC">
        <w:t xml:space="preserve">clear statements about the path of C-ITS setting the policy direction for all stakeholders on how C-ITS will </w:t>
      </w:r>
      <w:r w:rsidR="00E01940" w:rsidRPr="005764FC">
        <w:t xml:space="preserve">take </w:t>
      </w:r>
      <w:r w:rsidR="00980854" w:rsidRPr="005764FC">
        <w:t xml:space="preserve">shape in Australia to realise the benefits targeted in </w:t>
      </w:r>
      <w:r w:rsidR="00A0293C" w:rsidRPr="005764FC">
        <w:t>Section </w:t>
      </w:r>
      <w:r w:rsidR="00980854" w:rsidRPr="005764FC">
        <w:fldChar w:fldCharType="begin" w:fldLock="1"/>
      </w:r>
      <w:r w:rsidR="00980854" w:rsidRPr="005764FC">
        <w:instrText xml:space="preserve"> REF _Ref92806356 \r \h </w:instrText>
      </w:r>
      <w:r w:rsidR="00415BA9" w:rsidRPr="005764FC">
        <w:instrText xml:space="preserve"> \* MERGEFORMAT </w:instrText>
      </w:r>
      <w:r w:rsidR="00980854" w:rsidRPr="005764FC">
        <w:fldChar w:fldCharType="separate"/>
      </w:r>
      <w:r w:rsidR="00A34B27">
        <w:t>2.1</w:t>
      </w:r>
      <w:r w:rsidR="00980854" w:rsidRPr="005764FC">
        <w:fldChar w:fldCharType="end"/>
      </w:r>
      <w:r w:rsidR="00980854" w:rsidRPr="005764FC">
        <w:t xml:space="preserve">. </w:t>
      </w:r>
      <w:r w:rsidR="00C356B3" w:rsidRPr="005764FC">
        <w:t>Guidance</w:t>
      </w:r>
      <w:r w:rsidR="003A2CC3" w:rsidRPr="005764FC">
        <w:t xml:space="preserve"> </w:t>
      </w:r>
      <w:r w:rsidR="00E01940" w:rsidRPr="005764FC">
        <w:t>for</w:t>
      </w:r>
      <w:r w:rsidR="00C356B3" w:rsidRPr="005764FC">
        <w:t xml:space="preserve"> a range of key elements </w:t>
      </w:r>
      <w:r w:rsidR="000C0BCA" w:rsidRPr="005764FC">
        <w:t xml:space="preserve">(like </w:t>
      </w:r>
      <w:r w:rsidR="006A345C" w:rsidRPr="005764FC">
        <w:t>standards harmonisation</w:t>
      </w:r>
      <w:r w:rsidR="00C356B3" w:rsidRPr="005764FC">
        <w:t xml:space="preserve"> </w:t>
      </w:r>
      <w:r w:rsidR="003A2CC3" w:rsidRPr="005764FC">
        <w:t xml:space="preserve">and </w:t>
      </w:r>
      <w:r w:rsidR="003B0B5B" w:rsidRPr="005764FC">
        <w:t>short-range</w:t>
      </w:r>
      <w:r w:rsidR="003A2CC3" w:rsidRPr="005764FC">
        <w:t xml:space="preserve"> communication</w:t>
      </w:r>
      <w:r w:rsidR="00C356B3" w:rsidRPr="005764FC">
        <w:t>s</w:t>
      </w:r>
      <w:r w:rsidR="000C0BCA" w:rsidRPr="005764FC">
        <w:t>)</w:t>
      </w:r>
      <w:r w:rsidR="003A2CC3" w:rsidRPr="005764FC">
        <w:t xml:space="preserve"> will </w:t>
      </w:r>
      <w:r w:rsidR="00A11019" w:rsidRPr="005764FC">
        <w:t xml:space="preserve">create </w:t>
      </w:r>
      <w:r w:rsidR="003B0B5B" w:rsidRPr="005764FC">
        <w:t xml:space="preserve">certainty </w:t>
      </w:r>
      <w:r w:rsidR="00653BFB" w:rsidRPr="005764FC">
        <w:t xml:space="preserve">that </w:t>
      </w:r>
      <w:r w:rsidR="003B0B5B" w:rsidRPr="005764FC">
        <w:t>allow</w:t>
      </w:r>
      <w:r w:rsidR="00653BFB" w:rsidRPr="005764FC">
        <w:t>s</w:t>
      </w:r>
      <w:r w:rsidR="003B0B5B" w:rsidRPr="005764FC">
        <w:t xml:space="preserve"> stakeholders to provi</w:t>
      </w:r>
      <w:r w:rsidR="00B911B2" w:rsidRPr="005764FC">
        <w:t>de</w:t>
      </w:r>
      <w:r w:rsidR="003B0B5B" w:rsidRPr="005764FC">
        <w:t xml:space="preserve"> their own products and systems</w:t>
      </w:r>
      <w:r w:rsidR="005F0454" w:rsidRPr="005764FC">
        <w:t xml:space="preserve"> within an ecosystem</w:t>
      </w:r>
      <w:r w:rsidR="003B0B5B" w:rsidRPr="005764FC">
        <w:t xml:space="preserve">. </w:t>
      </w:r>
      <w:r w:rsidR="00980854" w:rsidRPr="005764FC">
        <w:t xml:space="preserve">Further, national action plans will clarify support to stakeholders </w:t>
      </w:r>
      <w:r w:rsidR="00B911B2" w:rsidRPr="005764FC">
        <w:t>by</w:t>
      </w:r>
      <w:r w:rsidR="00980854" w:rsidRPr="005764FC">
        <w:t xml:space="preserve"> establish</w:t>
      </w:r>
      <w:r w:rsidR="00B911B2" w:rsidRPr="005764FC">
        <w:t>ing</w:t>
      </w:r>
      <w:r w:rsidR="00980854" w:rsidRPr="005764FC">
        <w:t xml:space="preserve"> processes </w:t>
      </w:r>
      <w:r w:rsidR="00F10BF3" w:rsidRPr="005764FC">
        <w:t xml:space="preserve">to </w:t>
      </w:r>
      <w:r w:rsidR="00980854" w:rsidRPr="005764FC">
        <w:t>govern</w:t>
      </w:r>
      <w:r w:rsidR="00F10BF3" w:rsidRPr="005764FC">
        <w:t xml:space="preserve"> the</w:t>
      </w:r>
      <w:r w:rsidR="00980854" w:rsidRPr="005764FC">
        <w:t xml:space="preserve"> evolution of technology and information</w:t>
      </w:r>
      <w:r w:rsidR="00F10BF3" w:rsidRPr="005764FC">
        <w:t xml:space="preserve"> as part of wider </w:t>
      </w:r>
      <w:r w:rsidR="00B911B2" w:rsidRPr="005764FC">
        <w:t xml:space="preserve">delivery of </w:t>
      </w:r>
      <w:r w:rsidR="00F10BF3" w:rsidRPr="005764FC">
        <w:t>critical infrastructure</w:t>
      </w:r>
      <w:r w:rsidR="00980854" w:rsidRPr="005764FC">
        <w:t>. Government</w:t>
      </w:r>
      <w:r w:rsidR="008C2CE3" w:rsidRPr="005764FC">
        <w:t>s</w:t>
      </w:r>
      <w:r w:rsidR="00980854" w:rsidRPr="005764FC">
        <w:t xml:space="preserve"> will act in delivering technology </w:t>
      </w:r>
      <w:r w:rsidR="005025A3" w:rsidRPr="005764FC">
        <w:t>drawing on</w:t>
      </w:r>
      <w:r w:rsidR="00980854" w:rsidRPr="005764FC">
        <w:t xml:space="preserve"> transport information </w:t>
      </w:r>
      <w:r w:rsidR="0034241C" w:rsidRPr="005764FC">
        <w:t>using</w:t>
      </w:r>
      <w:r w:rsidR="00980854" w:rsidRPr="005764FC">
        <w:t xml:space="preserve"> C-ITS standards. </w:t>
      </w:r>
      <w:r w:rsidR="00D806D4" w:rsidRPr="005764FC">
        <w:t xml:space="preserve">Progressive </w:t>
      </w:r>
      <w:r w:rsidR="005025A3" w:rsidRPr="005764FC">
        <w:t xml:space="preserve">infrastructure </w:t>
      </w:r>
      <w:r w:rsidR="00D806D4" w:rsidRPr="005764FC">
        <w:t xml:space="preserve">deployment </w:t>
      </w:r>
      <w:r w:rsidR="004B1A7A" w:rsidRPr="005764FC">
        <w:t xml:space="preserve">will need to be </w:t>
      </w:r>
      <w:r w:rsidR="00437F20" w:rsidRPr="005764FC">
        <w:t xml:space="preserve">driven </w:t>
      </w:r>
      <w:r w:rsidR="00D806D4" w:rsidRPr="005764FC">
        <w:t xml:space="preserve">to </w:t>
      </w:r>
      <w:r w:rsidR="00780D04" w:rsidRPr="005764FC">
        <w:t>scale</w:t>
      </w:r>
      <w:r w:rsidR="00D806D4" w:rsidRPr="005764FC">
        <w:t xml:space="preserve"> a hybrid ecosystem including roadside stations, security system (SCMS), central systems and national data exchange.</w:t>
      </w:r>
    </w:p>
    <w:p w14:paraId="73A2F7AE" w14:textId="4EDB2FBE" w:rsidR="00E15C3A" w:rsidRPr="005764FC" w:rsidRDefault="00E15C3A" w:rsidP="00004964">
      <w:pPr>
        <w:pStyle w:val="Heading3"/>
      </w:pPr>
      <w:bookmarkStart w:id="193" w:name="_Toc94536701"/>
      <w:bookmarkStart w:id="194" w:name="_Toc94453154"/>
      <w:r w:rsidRPr="005764FC">
        <w:t>Regulate</w:t>
      </w:r>
      <w:bookmarkEnd w:id="193"/>
      <w:bookmarkEnd w:id="194"/>
    </w:p>
    <w:p w14:paraId="7BA32D01" w14:textId="591DB367" w:rsidR="00C00F9C" w:rsidRPr="005764FC" w:rsidRDefault="00C00F9C" w:rsidP="00C00F9C">
      <w:pPr>
        <w:pStyle w:val="BodyText"/>
        <w:rPr>
          <w:lang w:eastAsia="fr-CA"/>
        </w:rPr>
      </w:pPr>
      <w:r w:rsidRPr="005764FC">
        <w:rPr>
          <w:lang w:eastAsia="fr-CA"/>
        </w:rPr>
        <w:t>For regulatory mandates (</w:t>
      </w:r>
      <w:r w:rsidR="007F0C99" w:rsidRPr="005764FC">
        <w:rPr>
          <w:lang w:eastAsia="fr-CA"/>
        </w:rPr>
        <w:t>PA3</w:t>
      </w:r>
      <w:r w:rsidRPr="005764FC">
        <w:rPr>
          <w:lang w:eastAsia="fr-CA"/>
        </w:rPr>
        <w:t xml:space="preserve">), an option </w:t>
      </w:r>
      <w:r w:rsidR="002B445F" w:rsidRPr="005764FC">
        <w:rPr>
          <w:lang w:eastAsia="fr-CA"/>
        </w:rPr>
        <w:t xml:space="preserve">assumes </w:t>
      </w:r>
      <w:r w:rsidR="002F34B7" w:rsidRPr="005764FC">
        <w:rPr>
          <w:lang w:eastAsia="fr-CA"/>
        </w:rPr>
        <w:t>align</w:t>
      </w:r>
      <w:r w:rsidR="002B445F" w:rsidRPr="005764FC">
        <w:rPr>
          <w:lang w:eastAsia="fr-CA"/>
        </w:rPr>
        <w:t xml:space="preserve">ment </w:t>
      </w:r>
      <w:r w:rsidR="002F34B7" w:rsidRPr="005764FC">
        <w:rPr>
          <w:lang w:eastAsia="fr-CA"/>
        </w:rPr>
        <w:t>to</w:t>
      </w:r>
      <w:r w:rsidRPr="005764FC">
        <w:rPr>
          <w:lang w:eastAsia="fr-CA"/>
        </w:rPr>
        <w:t xml:space="preserve"> the European Commission proposal</w:t>
      </w:r>
      <w:r w:rsidR="002B445F" w:rsidRPr="005764FC">
        <w:rPr>
          <w:lang w:eastAsia="fr-CA"/>
        </w:rPr>
        <w:t>, p</w:t>
      </w:r>
      <w:r w:rsidR="004A25C2" w:rsidRPr="005764FC">
        <w:rPr>
          <w:lang w:eastAsia="fr-CA"/>
        </w:rPr>
        <w:t>rimarily to</w:t>
      </w:r>
      <w:r w:rsidRPr="005764FC">
        <w:rPr>
          <w:lang w:eastAsia="fr-CA"/>
        </w:rPr>
        <w:t xml:space="preserve"> create </w:t>
      </w:r>
      <w:r w:rsidR="004A25C2" w:rsidRPr="005764FC">
        <w:rPr>
          <w:lang w:eastAsia="fr-CA"/>
        </w:rPr>
        <w:t>regulation</w:t>
      </w:r>
      <w:r w:rsidRPr="005764FC">
        <w:rPr>
          <w:lang w:eastAsia="fr-CA"/>
        </w:rPr>
        <w:t xml:space="preserve"> </w:t>
      </w:r>
      <w:r w:rsidR="002B445F" w:rsidRPr="005764FC">
        <w:rPr>
          <w:lang w:eastAsia="fr-CA"/>
        </w:rPr>
        <w:t>that</w:t>
      </w:r>
      <w:r w:rsidRPr="005764FC">
        <w:rPr>
          <w:lang w:eastAsia="fr-CA"/>
        </w:rPr>
        <w:t xml:space="preserve"> focus</w:t>
      </w:r>
      <w:r w:rsidR="002B445F" w:rsidRPr="005764FC">
        <w:rPr>
          <w:lang w:eastAsia="fr-CA"/>
        </w:rPr>
        <w:t>es</w:t>
      </w:r>
      <w:r w:rsidRPr="005764FC">
        <w:rPr>
          <w:lang w:eastAsia="fr-CA"/>
        </w:rPr>
        <w:t xml:space="preserve"> on the mandatory sharing of data and delivery of Day 1 C-ITS services in all new vehicle models after 2028. </w:t>
      </w:r>
      <w:r w:rsidR="00970C8B" w:rsidRPr="005764FC">
        <w:rPr>
          <w:lang w:eastAsia="fr-CA"/>
        </w:rPr>
        <w:t xml:space="preserve">Regulation would need to be supported with guidance and </w:t>
      </w:r>
      <w:r w:rsidR="000A6C75" w:rsidRPr="005764FC">
        <w:rPr>
          <w:lang w:eastAsia="fr-CA"/>
        </w:rPr>
        <w:t>investment</w:t>
      </w:r>
      <w:r w:rsidR="00970C8B" w:rsidRPr="005764FC">
        <w:rPr>
          <w:lang w:eastAsia="fr-CA"/>
        </w:rPr>
        <w:t xml:space="preserve"> </w:t>
      </w:r>
      <w:r w:rsidR="00282C6E" w:rsidRPr="005764FC">
        <w:rPr>
          <w:lang w:eastAsia="fr-CA"/>
        </w:rPr>
        <w:t xml:space="preserve">and </w:t>
      </w:r>
      <w:r w:rsidR="00740E77" w:rsidRPr="005764FC">
        <w:rPr>
          <w:lang w:eastAsia="fr-CA"/>
        </w:rPr>
        <w:t>as such is considered an extension of</w:t>
      </w:r>
      <w:r w:rsidR="007015C6" w:rsidRPr="005764FC">
        <w:rPr>
          <w:lang w:eastAsia="fr-CA"/>
        </w:rPr>
        <w:t xml:space="preserve"> leadership and</w:t>
      </w:r>
      <w:r w:rsidR="000A6C75" w:rsidRPr="005764FC">
        <w:rPr>
          <w:lang w:eastAsia="fr-CA"/>
        </w:rPr>
        <w:t xml:space="preserve"> </w:t>
      </w:r>
      <w:r w:rsidR="00DE6C40" w:rsidRPr="005764FC">
        <w:rPr>
          <w:lang w:eastAsia="fr-CA"/>
        </w:rPr>
        <w:t>direction</w:t>
      </w:r>
      <w:r w:rsidR="00C96C36" w:rsidRPr="005764FC">
        <w:rPr>
          <w:lang w:eastAsia="fr-CA"/>
        </w:rPr>
        <w:t xml:space="preserve"> </w:t>
      </w:r>
      <w:r w:rsidR="000A6C75" w:rsidRPr="005764FC">
        <w:rPr>
          <w:lang w:eastAsia="fr-CA"/>
        </w:rPr>
        <w:t>(</w:t>
      </w:r>
      <w:r w:rsidR="007F0C99" w:rsidRPr="005764FC">
        <w:rPr>
          <w:lang w:eastAsia="fr-CA"/>
        </w:rPr>
        <w:t>PA2</w:t>
      </w:r>
      <w:r w:rsidR="000A6C75" w:rsidRPr="005764FC">
        <w:rPr>
          <w:lang w:eastAsia="fr-CA"/>
        </w:rPr>
        <w:t>).</w:t>
      </w:r>
      <w:r w:rsidR="00386B74" w:rsidRPr="005764FC">
        <w:rPr>
          <w:lang w:eastAsia="fr-CA"/>
        </w:rPr>
        <w:t xml:space="preserve"> </w:t>
      </w:r>
    </w:p>
    <w:p w14:paraId="3980981D" w14:textId="0CD387B9" w:rsidR="000C04CB" w:rsidRPr="005764FC" w:rsidRDefault="000C04CB" w:rsidP="00C00F9C">
      <w:pPr>
        <w:pStyle w:val="BodyText"/>
        <w:rPr>
          <w:i/>
          <w:iCs/>
          <w:lang w:eastAsia="fr-CA"/>
        </w:rPr>
      </w:pPr>
      <w:r w:rsidRPr="005764FC">
        <w:rPr>
          <w:i/>
          <w:iCs/>
          <w:lang w:eastAsia="fr-CA"/>
        </w:rPr>
        <w:t xml:space="preserve">Note: </w:t>
      </w:r>
      <w:r w:rsidR="00E248BC" w:rsidRPr="005764FC">
        <w:rPr>
          <w:i/>
          <w:iCs/>
          <w:lang w:eastAsia="fr-CA"/>
        </w:rPr>
        <w:t>the regulation</w:t>
      </w:r>
      <w:r w:rsidRPr="005764FC">
        <w:rPr>
          <w:i/>
          <w:iCs/>
          <w:lang w:eastAsia="fr-CA"/>
        </w:rPr>
        <w:t xml:space="preserve"> option is focused on </w:t>
      </w:r>
      <w:r w:rsidR="00E27492" w:rsidRPr="005764FC">
        <w:rPr>
          <w:i/>
          <w:iCs/>
          <w:lang w:eastAsia="fr-CA"/>
        </w:rPr>
        <w:t xml:space="preserve">mandating C-ITS equipment in vehicles. </w:t>
      </w:r>
      <w:r w:rsidR="00DE26BD" w:rsidRPr="005764FC">
        <w:rPr>
          <w:i/>
          <w:iCs/>
          <w:lang w:eastAsia="fr-CA"/>
        </w:rPr>
        <w:t xml:space="preserve">This is separate to regulatory considerations </w:t>
      </w:r>
      <w:r w:rsidR="00746F06" w:rsidRPr="005764FC">
        <w:rPr>
          <w:i/>
          <w:iCs/>
          <w:lang w:eastAsia="fr-CA"/>
        </w:rPr>
        <w:t xml:space="preserve">such as </w:t>
      </w:r>
      <w:r w:rsidR="0009376B" w:rsidRPr="005764FC">
        <w:rPr>
          <w:i/>
          <w:iCs/>
          <w:lang w:eastAsia="fr-CA"/>
        </w:rPr>
        <w:t>enforcing data formats</w:t>
      </w:r>
      <w:r w:rsidR="00D45533" w:rsidRPr="005764FC">
        <w:rPr>
          <w:i/>
          <w:iCs/>
          <w:lang w:eastAsia="fr-CA"/>
        </w:rPr>
        <w:t>, communication channels</w:t>
      </w:r>
      <w:r w:rsidRPr="005764FC">
        <w:rPr>
          <w:i/>
          <w:iCs/>
          <w:lang w:eastAsia="fr-CA"/>
        </w:rPr>
        <w:t xml:space="preserve"> </w:t>
      </w:r>
      <w:r w:rsidR="00D45533" w:rsidRPr="005764FC">
        <w:rPr>
          <w:i/>
          <w:iCs/>
          <w:lang w:eastAsia="fr-CA"/>
        </w:rPr>
        <w:t xml:space="preserve">or </w:t>
      </w:r>
      <w:r w:rsidR="00FE1935" w:rsidRPr="005764FC">
        <w:rPr>
          <w:i/>
          <w:iCs/>
          <w:lang w:eastAsia="fr-CA"/>
        </w:rPr>
        <w:t xml:space="preserve">other specific aspects that impact C-ITS and should be considered across all options. </w:t>
      </w:r>
    </w:p>
    <w:p w14:paraId="05A1302B" w14:textId="0B31CAB4" w:rsidR="00F0556D" w:rsidRPr="005764FC" w:rsidRDefault="00E8223C" w:rsidP="00004964">
      <w:pPr>
        <w:pStyle w:val="Heading2"/>
      </w:pPr>
      <w:bookmarkStart w:id="195" w:name="_Toc94536702"/>
      <w:bookmarkStart w:id="196" w:name="_Toc94453155"/>
      <w:bookmarkStart w:id="197" w:name="_Toc97807792"/>
      <w:r w:rsidRPr="005764FC">
        <w:t xml:space="preserve">Policy </w:t>
      </w:r>
      <w:r w:rsidR="007F2EF2" w:rsidRPr="005764FC">
        <w:t>Impact Analysis</w:t>
      </w:r>
      <w:bookmarkEnd w:id="188"/>
      <w:bookmarkEnd w:id="189"/>
      <w:bookmarkEnd w:id="190"/>
      <w:bookmarkEnd w:id="195"/>
      <w:bookmarkEnd w:id="196"/>
      <w:bookmarkEnd w:id="197"/>
    </w:p>
    <w:p w14:paraId="4532AD53" w14:textId="547D9CBD" w:rsidR="002F6655" w:rsidRPr="005764FC" w:rsidRDefault="002F6655" w:rsidP="00A0293C">
      <w:pPr>
        <w:pStyle w:val="BodyText"/>
        <w:keepLines/>
        <w:rPr>
          <w:lang w:eastAsia="fr-CA"/>
        </w:rPr>
      </w:pPr>
      <w:r w:rsidRPr="005764FC">
        <w:rPr>
          <w:lang w:eastAsia="fr-CA"/>
        </w:rPr>
        <w:t>National strategies and action plans have identified C‑ITS as an emerging technology that can improve road transport in Australia</w:t>
      </w:r>
      <w:r w:rsidR="00AB3267" w:rsidRPr="005764FC">
        <w:rPr>
          <w:lang w:eastAsia="fr-CA"/>
        </w:rPr>
        <w:t>. But</w:t>
      </w:r>
      <w:r w:rsidR="002E24F7" w:rsidRPr="005764FC">
        <w:rPr>
          <w:lang w:eastAsia="fr-CA"/>
        </w:rPr>
        <w:t>,</w:t>
      </w:r>
      <w:r w:rsidRPr="005764FC">
        <w:rPr>
          <w:lang w:eastAsia="fr-CA"/>
        </w:rPr>
        <w:t xml:space="preserve"> </w:t>
      </w:r>
      <w:r w:rsidR="002E24F7" w:rsidRPr="005764FC">
        <w:rPr>
          <w:lang w:eastAsia="fr-CA"/>
        </w:rPr>
        <w:t xml:space="preserve">to date, </w:t>
      </w:r>
      <w:r w:rsidRPr="005764FC">
        <w:rPr>
          <w:lang w:eastAsia="fr-CA"/>
        </w:rPr>
        <w:t xml:space="preserve">limited policy consideration and direction has created a research-focused </w:t>
      </w:r>
      <w:r w:rsidR="00C061CD" w:rsidRPr="005764FC">
        <w:rPr>
          <w:lang w:eastAsia="fr-CA"/>
        </w:rPr>
        <w:t>wa</w:t>
      </w:r>
      <w:r w:rsidR="008D7494" w:rsidRPr="005764FC">
        <w:rPr>
          <w:lang w:eastAsia="fr-CA"/>
        </w:rPr>
        <w:t>it-and-see</w:t>
      </w:r>
      <w:r w:rsidRPr="005764FC">
        <w:rPr>
          <w:lang w:eastAsia="fr-CA"/>
        </w:rPr>
        <w:t xml:space="preserve"> approach. The </w:t>
      </w:r>
      <w:r w:rsidR="004B08DC">
        <w:rPr>
          <w:lang w:eastAsia="fr-CA"/>
        </w:rPr>
        <w:t>National L</w:t>
      </w:r>
      <w:r w:rsidRPr="005764FC">
        <w:rPr>
          <w:lang w:eastAsia="fr-CA"/>
        </w:rPr>
        <w:t xml:space="preserve">and </w:t>
      </w:r>
      <w:r w:rsidR="004B08DC">
        <w:rPr>
          <w:lang w:eastAsia="fr-CA"/>
        </w:rPr>
        <w:t>T</w:t>
      </w:r>
      <w:r w:rsidRPr="005764FC">
        <w:rPr>
          <w:lang w:eastAsia="fr-CA"/>
        </w:rPr>
        <w:t xml:space="preserve">ransport </w:t>
      </w:r>
      <w:r w:rsidR="004B08DC">
        <w:rPr>
          <w:lang w:eastAsia="fr-CA"/>
        </w:rPr>
        <w:t>T</w:t>
      </w:r>
      <w:r w:rsidRPr="005764FC">
        <w:rPr>
          <w:lang w:eastAsia="fr-CA"/>
        </w:rPr>
        <w:t xml:space="preserve">echnology </w:t>
      </w:r>
      <w:r w:rsidR="004B08DC">
        <w:rPr>
          <w:lang w:eastAsia="fr-CA"/>
        </w:rPr>
        <w:t>A</w:t>
      </w:r>
      <w:r w:rsidRPr="005764FC">
        <w:rPr>
          <w:lang w:eastAsia="fr-CA"/>
        </w:rPr>
        <w:t xml:space="preserve">ction </w:t>
      </w:r>
      <w:r w:rsidR="004B08DC">
        <w:rPr>
          <w:lang w:eastAsia="fr-CA"/>
        </w:rPr>
        <w:t>P</w:t>
      </w:r>
      <w:r w:rsidRPr="005764FC">
        <w:rPr>
          <w:lang w:eastAsia="fr-CA"/>
        </w:rPr>
        <w:t xml:space="preserve">lan </w:t>
      </w:r>
      <w:r w:rsidR="004B08DC">
        <w:rPr>
          <w:lang w:eastAsia="fr-CA"/>
        </w:rPr>
        <w:t>2016-</w:t>
      </w:r>
      <w:r w:rsidRPr="005764FC">
        <w:rPr>
          <w:lang w:eastAsia="fr-CA"/>
        </w:rPr>
        <w:t xml:space="preserve">2019 outlined two ongoing actions </w:t>
      </w:r>
      <w:r w:rsidR="000E600B" w:rsidRPr="005764FC">
        <w:rPr>
          <w:lang w:eastAsia="fr-CA"/>
        </w:rPr>
        <w:t xml:space="preserve">– </w:t>
      </w:r>
      <w:r w:rsidRPr="005764FC">
        <w:rPr>
          <w:lang w:eastAsia="fr-CA"/>
        </w:rPr>
        <w:t>the need to develop a roadmap, and the need for a statement of intent for standards and deployment</w:t>
      </w:r>
      <w:r w:rsidR="000E600B" w:rsidRPr="005764FC">
        <w:rPr>
          <w:lang w:eastAsia="fr-CA"/>
        </w:rPr>
        <w:t xml:space="preserve"> – </w:t>
      </w:r>
      <w:r w:rsidRPr="005764FC">
        <w:rPr>
          <w:lang w:eastAsia="fr-CA"/>
        </w:rPr>
        <w:t xml:space="preserve">and </w:t>
      </w:r>
      <w:r w:rsidR="004B08DC">
        <w:rPr>
          <w:lang w:eastAsia="fr-CA"/>
        </w:rPr>
        <w:t xml:space="preserve">the 2020-2023 Action Plan contains </w:t>
      </w:r>
      <w:r w:rsidRPr="005764FC">
        <w:rPr>
          <w:lang w:eastAsia="fr-CA"/>
        </w:rPr>
        <w:t>a new action</w:t>
      </w:r>
      <w:r w:rsidR="004B08DC">
        <w:rPr>
          <w:lang w:eastAsia="fr-CA"/>
        </w:rPr>
        <w:t xml:space="preserve"> </w:t>
      </w:r>
      <w:r w:rsidRPr="005764FC">
        <w:rPr>
          <w:lang w:eastAsia="fr-CA"/>
        </w:rPr>
        <w:t>to evaluate deployment models and C-ITS vehicle technologies’ costs and benefits</w:t>
      </w:r>
      <w:r w:rsidR="00F83995">
        <w:rPr>
          <w:lang w:eastAsia="fr-CA"/>
        </w:rPr>
        <w:t xml:space="preserve"> </w:t>
      </w:r>
      <w:sdt>
        <w:sdtPr>
          <w:rPr>
            <w:lang w:eastAsia="fr-CA"/>
          </w:rPr>
          <w:id w:val="931782203"/>
          <w:citation/>
        </w:sdtPr>
        <w:sdtContent>
          <w:r w:rsidR="00F83995">
            <w:rPr>
              <w:lang w:eastAsia="fr-CA"/>
            </w:rPr>
            <w:fldChar w:fldCharType="begin"/>
          </w:r>
          <w:r w:rsidR="00F83995">
            <w:rPr>
              <w:lang w:eastAsia="fr-CA"/>
            </w:rPr>
            <w:instrText xml:space="preserve"> CITATION DIT191 \l 3081 </w:instrText>
          </w:r>
          <w:r w:rsidR="00F83995">
            <w:rPr>
              <w:lang w:eastAsia="fr-CA"/>
            </w:rPr>
            <w:fldChar w:fldCharType="separate"/>
          </w:r>
          <w:r w:rsidR="001428F9">
            <w:rPr>
              <w:noProof/>
              <w:lang w:eastAsia="fr-CA"/>
            </w:rPr>
            <w:t>(Transport and Infrastructure Council, 2019)</w:t>
          </w:r>
          <w:r w:rsidR="00F83995">
            <w:rPr>
              <w:lang w:eastAsia="fr-CA"/>
            </w:rPr>
            <w:fldChar w:fldCharType="end"/>
          </w:r>
        </w:sdtContent>
      </w:sdt>
      <w:r w:rsidR="000E600B" w:rsidRPr="005764FC">
        <w:rPr>
          <w:lang w:eastAsia="fr-CA"/>
        </w:rPr>
        <w:t>.</w:t>
      </w:r>
      <w:r w:rsidRPr="005764FC">
        <w:rPr>
          <w:lang w:eastAsia="fr-CA"/>
        </w:rPr>
        <w:t xml:space="preserve"> </w:t>
      </w:r>
    </w:p>
    <w:p w14:paraId="443027B6" w14:textId="3488C7F4" w:rsidR="002F6655" w:rsidRPr="005764FC" w:rsidRDefault="002F6655" w:rsidP="002F6655">
      <w:pPr>
        <w:pStyle w:val="BodyText"/>
        <w:rPr>
          <w:lang w:eastAsia="fr-CA"/>
        </w:rPr>
      </w:pPr>
      <w:r w:rsidRPr="005764FC">
        <w:rPr>
          <w:lang w:eastAsia="fr-CA"/>
        </w:rPr>
        <w:t xml:space="preserve">The following </w:t>
      </w:r>
      <w:r w:rsidR="00790E1D" w:rsidRPr="005764FC">
        <w:rPr>
          <w:lang w:eastAsia="fr-CA"/>
        </w:rPr>
        <w:t>issues</w:t>
      </w:r>
      <w:r w:rsidRPr="005764FC">
        <w:rPr>
          <w:lang w:eastAsia="fr-CA"/>
        </w:rPr>
        <w:t xml:space="preserve"> are identified as critical </w:t>
      </w:r>
      <w:r w:rsidR="000E600B" w:rsidRPr="005764FC">
        <w:rPr>
          <w:lang w:eastAsia="fr-CA"/>
        </w:rPr>
        <w:t>for</w:t>
      </w:r>
      <w:r w:rsidRPr="005764FC">
        <w:rPr>
          <w:lang w:eastAsia="fr-CA"/>
        </w:rPr>
        <w:t xml:space="preserve"> assess</w:t>
      </w:r>
      <w:r w:rsidR="000E600B" w:rsidRPr="005764FC">
        <w:rPr>
          <w:lang w:eastAsia="fr-CA"/>
        </w:rPr>
        <w:t>ing</w:t>
      </w:r>
      <w:r w:rsidRPr="005764FC">
        <w:rPr>
          <w:lang w:eastAsia="fr-CA"/>
        </w:rPr>
        <w:t xml:space="preserve"> the problem statement and provid</w:t>
      </w:r>
      <w:r w:rsidR="000E600B" w:rsidRPr="005764FC">
        <w:rPr>
          <w:lang w:eastAsia="fr-CA"/>
        </w:rPr>
        <w:t>ing</w:t>
      </w:r>
      <w:r w:rsidRPr="005764FC">
        <w:rPr>
          <w:lang w:eastAsia="fr-CA"/>
        </w:rPr>
        <w:t xml:space="preserve"> guidance to the national strategies in relation to C‑ITS: </w:t>
      </w:r>
    </w:p>
    <w:p w14:paraId="7D4734FD" w14:textId="367CE687" w:rsidR="002409AF" w:rsidRPr="005764FC" w:rsidRDefault="002409AF" w:rsidP="00D60ADF">
      <w:pPr>
        <w:pStyle w:val="ListNumber"/>
        <w:numPr>
          <w:ilvl w:val="0"/>
          <w:numId w:val="22"/>
        </w:numPr>
      </w:pPr>
      <w:r w:rsidRPr="005764FC">
        <w:t>To what extent does C-ITS need government direction and intervention? What are the benefits</w:t>
      </w:r>
      <w:r w:rsidR="00D27A43">
        <w:t>/risks</w:t>
      </w:r>
      <w:r w:rsidRPr="005764FC">
        <w:t xml:space="preserve"> in maintaining the wait-and-see approach taken to date? </w:t>
      </w:r>
    </w:p>
    <w:p w14:paraId="2FC8BF0E" w14:textId="77777777" w:rsidR="002409AF" w:rsidRPr="005764FC" w:rsidRDefault="002409AF" w:rsidP="00D60ADF">
      <w:pPr>
        <w:pStyle w:val="ListNumber"/>
        <w:numPr>
          <w:ilvl w:val="0"/>
          <w:numId w:val="23"/>
        </w:numPr>
      </w:pPr>
      <w:r w:rsidRPr="005764FC">
        <w:t xml:space="preserve">How is progress with international standards relevant to Australia? What are the pros and cons of looking to align with a specific suite of these standards? </w:t>
      </w:r>
    </w:p>
    <w:p w14:paraId="43565148" w14:textId="77777777" w:rsidR="002409AF" w:rsidRPr="005764FC" w:rsidRDefault="002409AF" w:rsidP="00D60ADF">
      <w:pPr>
        <w:pStyle w:val="ListNumber"/>
        <w:numPr>
          <w:ilvl w:val="0"/>
          <w:numId w:val="23"/>
        </w:numPr>
      </w:pPr>
      <w:r w:rsidRPr="005764FC">
        <w:t>What kinds of decisions are needed in relation to the physical technology used for short-range communications?</w:t>
      </w:r>
    </w:p>
    <w:p w14:paraId="5F8225C4" w14:textId="7327B4E2" w:rsidR="00B21D10" w:rsidRPr="005764FC" w:rsidRDefault="00F77DB3" w:rsidP="002F6655">
      <w:pPr>
        <w:pStyle w:val="BodyText"/>
        <w:rPr>
          <w:lang w:eastAsia="fr-CA"/>
        </w:rPr>
      </w:pPr>
      <w:r w:rsidRPr="005764FC">
        <w:rPr>
          <w:lang w:eastAsia="fr-CA"/>
        </w:rPr>
        <w:t>T</w:t>
      </w:r>
      <w:r w:rsidR="00117AE0" w:rsidRPr="005764FC">
        <w:rPr>
          <w:lang w:eastAsia="fr-CA"/>
        </w:rPr>
        <w:t xml:space="preserve">hese questions </w:t>
      </w:r>
      <w:r w:rsidR="004D336A" w:rsidRPr="005764FC">
        <w:rPr>
          <w:lang w:eastAsia="fr-CA"/>
        </w:rPr>
        <w:t>and</w:t>
      </w:r>
      <w:r w:rsidR="00E71365" w:rsidRPr="005764FC">
        <w:rPr>
          <w:lang w:eastAsia="fr-CA"/>
        </w:rPr>
        <w:t xml:space="preserve"> </w:t>
      </w:r>
      <w:r w:rsidR="00027947" w:rsidRPr="005764FC">
        <w:rPr>
          <w:lang w:eastAsia="fr-CA"/>
        </w:rPr>
        <w:t xml:space="preserve">the potential impact of the policy options outlined in </w:t>
      </w:r>
      <w:r w:rsidR="00A95F4A" w:rsidRPr="005764FC">
        <w:rPr>
          <w:lang w:eastAsia="fr-CA"/>
        </w:rPr>
        <w:t xml:space="preserve">Section </w:t>
      </w:r>
      <w:r w:rsidR="00074F91" w:rsidRPr="005764FC">
        <w:rPr>
          <w:lang w:eastAsia="fr-CA"/>
        </w:rPr>
        <w:fldChar w:fldCharType="begin" w:fldLock="1"/>
      </w:r>
      <w:r w:rsidR="00074F91" w:rsidRPr="005764FC">
        <w:rPr>
          <w:lang w:eastAsia="fr-CA"/>
        </w:rPr>
        <w:instrText xml:space="preserve"> REF _Ref96289529 \r \h </w:instrText>
      </w:r>
      <w:r w:rsidR="00074F91" w:rsidRPr="005764FC">
        <w:rPr>
          <w:lang w:eastAsia="fr-CA"/>
        </w:rPr>
      </w:r>
      <w:r w:rsidR="00074F91" w:rsidRPr="005764FC">
        <w:rPr>
          <w:lang w:eastAsia="fr-CA"/>
        </w:rPr>
        <w:fldChar w:fldCharType="separate"/>
      </w:r>
      <w:r w:rsidR="00A34B27">
        <w:rPr>
          <w:lang w:eastAsia="fr-CA"/>
        </w:rPr>
        <w:t>2.2</w:t>
      </w:r>
      <w:r w:rsidR="00074F91" w:rsidRPr="005764FC">
        <w:rPr>
          <w:lang w:eastAsia="fr-CA"/>
        </w:rPr>
        <w:fldChar w:fldCharType="end"/>
      </w:r>
      <w:r w:rsidR="00074F91" w:rsidRPr="005764FC">
        <w:rPr>
          <w:lang w:eastAsia="fr-CA"/>
        </w:rPr>
        <w:t xml:space="preserve"> </w:t>
      </w:r>
      <w:r w:rsidR="004D336A" w:rsidRPr="005764FC">
        <w:rPr>
          <w:lang w:eastAsia="fr-CA"/>
        </w:rPr>
        <w:t>need to be considered</w:t>
      </w:r>
      <w:r w:rsidR="00D6229B" w:rsidRPr="005764FC">
        <w:rPr>
          <w:lang w:eastAsia="fr-CA"/>
        </w:rPr>
        <w:t xml:space="preserve">. </w:t>
      </w:r>
      <w:r w:rsidR="002F6655" w:rsidRPr="005764FC">
        <w:rPr>
          <w:lang w:eastAsia="fr-CA"/>
        </w:rPr>
        <w:t xml:space="preserve">The primary consideration: whether an ecosystem </w:t>
      </w:r>
      <w:r w:rsidR="00806531" w:rsidRPr="005764FC">
        <w:rPr>
          <w:lang w:eastAsia="fr-CA"/>
        </w:rPr>
        <w:t xml:space="preserve">exists </w:t>
      </w:r>
      <w:r w:rsidR="004A7BEE" w:rsidRPr="005764FC">
        <w:rPr>
          <w:lang w:eastAsia="fr-CA"/>
        </w:rPr>
        <w:t>for</w:t>
      </w:r>
      <w:r w:rsidR="002F6655" w:rsidRPr="005764FC">
        <w:rPr>
          <w:lang w:eastAsia="fr-CA"/>
        </w:rPr>
        <w:t xml:space="preserve"> C-ITS services and supporting technologies </w:t>
      </w:r>
      <w:r w:rsidR="004A7BEE" w:rsidRPr="005764FC">
        <w:rPr>
          <w:lang w:eastAsia="fr-CA"/>
        </w:rPr>
        <w:t>to</w:t>
      </w:r>
      <w:r w:rsidR="002F6655" w:rsidRPr="005764FC">
        <w:rPr>
          <w:lang w:eastAsia="fr-CA"/>
        </w:rPr>
        <w:t xml:space="preserve"> evolve into a sustainable market </w:t>
      </w:r>
      <w:r w:rsidR="00000BEC" w:rsidRPr="005764FC">
        <w:rPr>
          <w:lang w:eastAsia="fr-CA"/>
        </w:rPr>
        <w:t>(</w:t>
      </w:r>
      <w:r w:rsidR="007F0C99" w:rsidRPr="005764FC">
        <w:rPr>
          <w:lang w:eastAsia="fr-CA"/>
        </w:rPr>
        <w:t>PA1</w:t>
      </w:r>
      <w:r w:rsidR="00000BEC" w:rsidRPr="005764FC">
        <w:rPr>
          <w:lang w:eastAsia="fr-CA"/>
        </w:rPr>
        <w:t>)</w:t>
      </w:r>
      <w:r w:rsidR="000F2A45" w:rsidRPr="005764FC">
        <w:rPr>
          <w:lang w:eastAsia="fr-CA"/>
        </w:rPr>
        <w:t>.</w:t>
      </w:r>
      <w:r w:rsidR="00000BEC" w:rsidRPr="005764FC">
        <w:rPr>
          <w:lang w:eastAsia="fr-CA"/>
        </w:rPr>
        <w:t xml:space="preserve"> </w:t>
      </w:r>
      <w:r w:rsidR="000F2A45" w:rsidRPr="005764FC">
        <w:rPr>
          <w:lang w:eastAsia="fr-CA"/>
        </w:rPr>
        <w:t>O</w:t>
      </w:r>
      <w:r w:rsidR="00E230B7" w:rsidRPr="005764FC">
        <w:rPr>
          <w:lang w:eastAsia="fr-CA"/>
        </w:rPr>
        <w:t>r</w:t>
      </w:r>
      <w:r w:rsidR="002F6655" w:rsidRPr="005764FC">
        <w:rPr>
          <w:lang w:eastAsia="fr-CA"/>
        </w:rPr>
        <w:t xml:space="preserve"> whether </w:t>
      </w:r>
      <w:r w:rsidR="002936E1" w:rsidRPr="005764FC">
        <w:rPr>
          <w:lang w:eastAsia="fr-CA"/>
        </w:rPr>
        <w:t xml:space="preserve">action </w:t>
      </w:r>
      <w:r w:rsidR="002F6655" w:rsidRPr="005764FC">
        <w:rPr>
          <w:lang w:eastAsia="fr-CA"/>
        </w:rPr>
        <w:t xml:space="preserve">is needed </w:t>
      </w:r>
      <w:r w:rsidR="00455C0C" w:rsidRPr="005764FC">
        <w:rPr>
          <w:lang w:eastAsia="fr-CA"/>
        </w:rPr>
        <w:t xml:space="preserve">from </w:t>
      </w:r>
      <w:r w:rsidR="00541F5A" w:rsidRPr="005764FC">
        <w:rPr>
          <w:lang w:eastAsia="fr-CA"/>
        </w:rPr>
        <w:t>governments</w:t>
      </w:r>
      <w:r w:rsidR="00455C0C" w:rsidRPr="005764FC">
        <w:rPr>
          <w:lang w:eastAsia="fr-CA"/>
        </w:rPr>
        <w:t xml:space="preserve"> (</w:t>
      </w:r>
      <w:r w:rsidR="004A4E36" w:rsidRPr="005764FC">
        <w:rPr>
          <w:lang w:eastAsia="fr-CA"/>
        </w:rPr>
        <w:t>federal</w:t>
      </w:r>
      <w:r w:rsidR="00541F5A" w:rsidRPr="005764FC">
        <w:rPr>
          <w:lang w:eastAsia="fr-CA"/>
        </w:rPr>
        <w:t xml:space="preserve">, state, local) </w:t>
      </w:r>
      <w:r w:rsidR="002F6655" w:rsidRPr="005764FC">
        <w:rPr>
          <w:lang w:eastAsia="fr-CA"/>
        </w:rPr>
        <w:t>(</w:t>
      </w:r>
      <w:r w:rsidR="007F0C99" w:rsidRPr="005764FC">
        <w:rPr>
          <w:lang w:eastAsia="fr-CA"/>
        </w:rPr>
        <w:t>PA2</w:t>
      </w:r>
      <w:r w:rsidR="00000BEC" w:rsidRPr="005764FC">
        <w:rPr>
          <w:lang w:eastAsia="fr-CA"/>
        </w:rPr>
        <w:t xml:space="preserve"> or </w:t>
      </w:r>
      <w:r w:rsidR="007F0C99" w:rsidRPr="005764FC">
        <w:rPr>
          <w:lang w:eastAsia="fr-CA"/>
        </w:rPr>
        <w:t>PA3</w:t>
      </w:r>
      <w:r w:rsidR="00000BEC" w:rsidRPr="005764FC">
        <w:rPr>
          <w:lang w:eastAsia="fr-CA"/>
        </w:rPr>
        <w:t>)</w:t>
      </w:r>
      <w:r w:rsidR="00B21D10" w:rsidRPr="005764FC">
        <w:rPr>
          <w:lang w:eastAsia="fr-CA"/>
        </w:rPr>
        <w:t>,</w:t>
      </w:r>
      <w:r w:rsidR="00000BEC" w:rsidRPr="005764FC">
        <w:rPr>
          <w:lang w:eastAsia="fr-CA"/>
        </w:rPr>
        <w:t xml:space="preserve"> </w:t>
      </w:r>
      <w:r w:rsidR="00806531" w:rsidRPr="005764FC">
        <w:rPr>
          <w:lang w:eastAsia="fr-CA"/>
        </w:rPr>
        <w:t>a</w:t>
      </w:r>
      <w:r w:rsidR="00B21D10" w:rsidRPr="005764FC">
        <w:rPr>
          <w:lang w:eastAsia="fr-CA"/>
        </w:rPr>
        <w:t xml:space="preserve">s </w:t>
      </w:r>
      <w:r w:rsidR="002F6655" w:rsidRPr="005764FC">
        <w:rPr>
          <w:lang w:eastAsia="fr-CA"/>
        </w:rPr>
        <w:t xml:space="preserve">explored in more detail in Section </w:t>
      </w:r>
      <w:r w:rsidR="002F6655" w:rsidRPr="005764FC">
        <w:rPr>
          <w:lang w:eastAsia="fr-CA"/>
        </w:rPr>
        <w:fldChar w:fldCharType="begin" w:fldLock="1"/>
      </w:r>
      <w:r w:rsidR="002F6655" w:rsidRPr="005764FC">
        <w:rPr>
          <w:lang w:eastAsia="fr-CA"/>
        </w:rPr>
        <w:instrText xml:space="preserve"> REF _Ref92722479 \r \h  \* MERGEFORMAT </w:instrText>
      </w:r>
      <w:r w:rsidR="002F6655" w:rsidRPr="005764FC">
        <w:rPr>
          <w:lang w:eastAsia="fr-CA"/>
        </w:rPr>
      </w:r>
      <w:r w:rsidR="002F6655" w:rsidRPr="005764FC">
        <w:rPr>
          <w:lang w:eastAsia="fr-CA"/>
        </w:rPr>
        <w:fldChar w:fldCharType="separate"/>
      </w:r>
      <w:r w:rsidR="00A34B27">
        <w:rPr>
          <w:lang w:eastAsia="fr-CA"/>
        </w:rPr>
        <w:t>2.3.1</w:t>
      </w:r>
      <w:r w:rsidR="002F6655" w:rsidRPr="005764FC">
        <w:rPr>
          <w:lang w:eastAsia="fr-CA"/>
        </w:rPr>
        <w:fldChar w:fldCharType="end"/>
      </w:r>
      <w:r w:rsidR="00B21D10" w:rsidRPr="005764FC">
        <w:rPr>
          <w:lang w:eastAsia="fr-CA"/>
        </w:rPr>
        <w:t>,</w:t>
      </w:r>
      <w:r w:rsidR="002F6655" w:rsidRPr="005764FC">
        <w:rPr>
          <w:lang w:eastAsia="fr-CA"/>
        </w:rPr>
        <w:t xml:space="preserve"> to realise the </w:t>
      </w:r>
      <w:r w:rsidR="004A7BEE" w:rsidRPr="005764FC">
        <w:rPr>
          <w:lang w:eastAsia="fr-CA"/>
        </w:rPr>
        <w:t xml:space="preserve">CBA’s </w:t>
      </w:r>
      <w:r w:rsidR="002F6655" w:rsidRPr="005764FC">
        <w:rPr>
          <w:lang w:eastAsia="fr-CA"/>
        </w:rPr>
        <w:t xml:space="preserve">projected </w:t>
      </w:r>
      <w:r w:rsidR="004A7BEE" w:rsidRPr="005764FC">
        <w:rPr>
          <w:lang w:eastAsia="fr-CA"/>
        </w:rPr>
        <w:t xml:space="preserve">benefits </w:t>
      </w:r>
      <w:r w:rsidR="002F6655" w:rsidRPr="005764FC">
        <w:rPr>
          <w:lang w:eastAsia="fr-CA"/>
        </w:rPr>
        <w:t>(</w:t>
      </w:r>
      <w:r w:rsidR="00A0293C" w:rsidRPr="005764FC">
        <w:rPr>
          <w:lang w:eastAsia="fr-CA"/>
        </w:rPr>
        <w:t xml:space="preserve">Section </w:t>
      </w:r>
      <w:r w:rsidR="002F6655" w:rsidRPr="005764FC">
        <w:rPr>
          <w:lang w:eastAsia="fr-CA"/>
        </w:rPr>
        <w:fldChar w:fldCharType="begin" w:fldLock="1"/>
      </w:r>
      <w:r w:rsidR="002F6655" w:rsidRPr="005764FC">
        <w:rPr>
          <w:lang w:eastAsia="fr-CA"/>
        </w:rPr>
        <w:instrText xml:space="preserve"> REF _Ref93413238 \r \h </w:instrText>
      </w:r>
      <w:r w:rsidR="007C32A9" w:rsidRPr="005764FC">
        <w:rPr>
          <w:lang w:eastAsia="fr-CA"/>
        </w:rPr>
        <w:instrText xml:space="preserve"> \* MERGEFORMAT </w:instrText>
      </w:r>
      <w:r w:rsidR="002F6655" w:rsidRPr="005764FC">
        <w:rPr>
          <w:lang w:eastAsia="fr-CA"/>
        </w:rPr>
      </w:r>
      <w:r w:rsidR="002F6655" w:rsidRPr="005764FC">
        <w:rPr>
          <w:lang w:eastAsia="fr-CA"/>
        </w:rPr>
        <w:fldChar w:fldCharType="separate"/>
      </w:r>
      <w:r w:rsidR="00A34B27">
        <w:rPr>
          <w:lang w:eastAsia="fr-CA"/>
        </w:rPr>
        <w:t>1.5.3</w:t>
      </w:r>
      <w:r w:rsidR="002F6655" w:rsidRPr="005764FC">
        <w:rPr>
          <w:lang w:eastAsia="fr-CA"/>
        </w:rPr>
        <w:fldChar w:fldCharType="end"/>
      </w:r>
      <w:r w:rsidR="002F6655" w:rsidRPr="005764FC">
        <w:rPr>
          <w:lang w:eastAsia="fr-CA"/>
        </w:rPr>
        <w:t xml:space="preserve">). </w:t>
      </w:r>
    </w:p>
    <w:p w14:paraId="728DDC57" w14:textId="6A4CD122" w:rsidR="002F6655" w:rsidRPr="005764FC" w:rsidRDefault="002F6655" w:rsidP="002F6655">
      <w:pPr>
        <w:pStyle w:val="BodyText"/>
        <w:rPr>
          <w:lang w:eastAsia="fr-CA"/>
        </w:rPr>
      </w:pPr>
      <w:r w:rsidRPr="005764FC">
        <w:rPr>
          <w:lang w:eastAsia="fr-CA"/>
        </w:rPr>
        <w:t>The</w:t>
      </w:r>
      <w:r w:rsidR="00D27A43">
        <w:rPr>
          <w:lang w:eastAsia="fr-CA"/>
        </w:rPr>
        <w:t>re is also a</w:t>
      </w:r>
      <w:r w:rsidRPr="005764FC">
        <w:rPr>
          <w:lang w:eastAsia="fr-CA"/>
        </w:rPr>
        <w:t xml:space="preserve"> secondary consideration: </w:t>
      </w:r>
      <w:r w:rsidR="003F1BE7" w:rsidRPr="005764FC">
        <w:rPr>
          <w:lang w:eastAsia="fr-CA"/>
        </w:rPr>
        <w:t xml:space="preserve">should action be required, </w:t>
      </w:r>
      <w:r w:rsidRPr="005764FC">
        <w:rPr>
          <w:lang w:eastAsia="fr-CA"/>
        </w:rPr>
        <w:t>what action would be needed to kickstart this ecosystem</w:t>
      </w:r>
      <w:r w:rsidR="00806531" w:rsidRPr="005764FC">
        <w:rPr>
          <w:lang w:eastAsia="fr-CA"/>
        </w:rPr>
        <w:t xml:space="preserve">? </w:t>
      </w:r>
      <w:r w:rsidRPr="005764FC">
        <w:rPr>
          <w:lang w:eastAsia="fr-CA"/>
        </w:rPr>
        <w:t xml:space="preserve"> </w:t>
      </w:r>
      <w:r w:rsidR="00806531" w:rsidRPr="005764FC">
        <w:rPr>
          <w:lang w:eastAsia="fr-CA"/>
        </w:rPr>
        <w:t>This would i</w:t>
      </w:r>
      <w:r w:rsidRPr="005764FC">
        <w:rPr>
          <w:lang w:eastAsia="fr-CA"/>
        </w:rPr>
        <w:t>nclud</w:t>
      </w:r>
      <w:r w:rsidR="00806531" w:rsidRPr="005764FC">
        <w:rPr>
          <w:lang w:eastAsia="fr-CA"/>
        </w:rPr>
        <w:t>e</w:t>
      </w:r>
      <w:r w:rsidRPr="005764FC">
        <w:rPr>
          <w:lang w:eastAsia="fr-CA"/>
        </w:rPr>
        <w:t xml:space="preserve"> the key consideration of the need to align with international standards (</w:t>
      </w:r>
      <w:r w:rsidR="00A0293C" w:rsidRPr="005764FC">
        <w:rPr>
          <w:lang w:eastAsia="fr-CA"/>
        </w:rPr>
        <w:t xml:space="preserve">Section </w:t>
      </w:r>
      <w:r w:rsidRPr="005764FC">
        <w:rPr>
          <w:lang w:eastAsia="fr-CA"/>
        </w:rPr>
        <w:fldChar w:fldCharType="begin" w:fldLock="1"/>
      </w:r>
      <w:r w:rsidRPr="005764FC">
        <w:rPr>
          <w:lang w:eastAsia="fr-CA"/>
        </w:rPr>
        <w:instrText xml:space="preserve"> REF _Ref93906241 \r \h </w:instrText>
      </w:r>
      <w:r w:rsidR="005B50C6" w:rsidRPr="005764FC">
        <w:rPr>
          <w:lang w:eastAsia="fr-CA"/>
        </w:rPr>
        <w:instrText xml:space="preserve"> \* MERGEFORMAT </w:instrText>
      </w:r>
      <w:r w:rsidRPr="005764FC">
        <w:rPr>
          <w:lang w:eastAsia="fr-CA"/>
        </w:rPr>
      </w:r>
      <w:r w:rsidRPr="005764FC">
        <w:rPr>
          <w:lang w:eastAsia="fr-CA"/>
        </w:rPr>
        <w:fldChar w:fldCharType="separate"/>
      </w:r>
      <w:r w:rsidR="00A34B27">
        <w:rPr>
          <w:lang w:eastAsia="fr-CA"/>
        </w:rPr>
        <w:t>2.3.2</w:t>
      </w:r>
      <w:r w:rsidRPr="005764FC">
        <w:rPr>
          <w:lang w:eastAsia="fr-CA"/>
        </w:rPr>
        <w:fldChar w:fldCharType="end"/>
      </w:r>
      <w:r w:rsidRPr="005764FC">
        <w:rPr>
          <w:lang w:eastAsia="fr-CA"/>
        </w:rPr>
        <w:t>)</w:t>
      </w:r>
      <w:r w:rsidR="006629AA" w:rsidRPr="005764FC">
        <w:rPr>
          <w:lang w:eastAsia="fr-CA"/>
        </w:rPr>
        <w:t xml:space="preserve"> and</w:t>
      </w:r>
      <w:r w:rsidRPr="005764FC">
        <w:rPr>
          <w:lang w:eastAsia="fr-CA"/>
        </w:rPr>
        <w:t xml:space="preserve"> providing certainty for communication </w:t>
      </w:r>
      <w:r w:rsidR="000B597F" w:rsidRPr="005764FC">
        <w:rPr>
          <w:lang w:eastAsia="fr-CA"/>
        </w:rPr>
        <w:t>technology</w:t>
      </w:r>
      <w:r w:rsidRPr="005764FC">
        <w:rPr>
          <w:lang w:eastAsia="fr-CA"/>
        </w:rPr>
        <w:t xml:space="preserve"> (</w:t>
      </w:r>
      <w:r w:rsidR="00A0293C" w:rsidRPr="005764FC">
        <w:rPr>
          <w:lang w:eastAsia="fr-CA"/>
        </w:rPr>
        <w:t xml:space="preserve">Section </w:t>
      </w:r>
      <w:r w:rsidRPr="005764FC">
        <w:rPr>
          <w:lang w:eastAsia="fr-CA"/>
        </w:rPr>
        <w:fldChar w:fldCharType="begin" w:fldLock="1"/>
      </w:r>
      <w:r w:rsidRPr="005764FC">
        <w:rPr>
          <w:lang w:eastAsia="fr-CA"/>
        </w:rPr>
        <w:instrText xml:space="preserve"> REF _Ref93225942 \r \h </w:instrText>
      </w:r>
      <w:r w:rsidR="005B50C6" w:rsidRPr="005764FC">
        <w:rPr>
          <w:lang w:eastAsia="fr-CA"/>
        </w:rPr>
        <w:instrText xml:space="preserve"> \* MERGEFORMAT </w:instrText>
      </w:r>
      <w:r w:rsidRPr="005764FC">
        <w:rPr>
          <w:lang w:eastAsia="fr-CA"/>
        </w:rPr>
      </w:r>
      <w:r w:rsidRPr="005764FC">
        <w:rPr>
          <w:lang w:eastAsia="fr-CA"/>
        </w:rPr>
        <w:fldChar w:fldCharType="separate"/>
      </w:r>
      <w:r w:rsidR="00A34B27">
        <w:rPr>
          <w:lang w:eastAsia="fr-CA"/>
        </w:rPr>
        <w:t>2.3.3</w:t>
      </w:r>
      <w:r w:rsidRPr="005764FC">
        <w:rPr>
          <w:lang w:eastAsia="fr-CA"/>
        </w:rPr>
        <w:fldChar w:fldCharType="end"/>
      </w:r>
      <w:r w:rsidRPr="005764FC">
        <w:rPr>
          <w:lang w:eastAsia="fr-CA"/>
        </w:rPr>
        <w:t xml:space="preserve">). </w:t>
      </w:r>
    </w:p>
    <w:p w14:paraId="17E03858" w14:textId="36D7F96B" w:rsidR="001318FA" w:rsidRPr="005764FC" w:rsidRDefault="009915CB" w:rsidP="00004964">
      <w:pPr>
        <w:pStyle w:val="Heading3"/>
      </w:pPr>
      <w:bookmarkStart w:id="198" w:name="_Ref92722479"/>
      <w:bookmarkStart w:id="199" w:name="_Toc94536703"/>
      <w:bookmarkStart w:id="200" w:name="_Toc94453156"/>
      <w:r w:rsidRPr="005764FC">
        <w:t>What Level of</w:t>
      </w:r>
      <w:r w:rsidR="000A7A0F" w:rsidRPr="005764FC">
        <w:t xml:space="preserve"> </w:t>
      </w:r>
      <w:r w:rsidR="00BE7068" w:rsidRPr="005764FC">
        <w:t>Leadership</w:t>
      </w:r>
      <w:r w:rsidR="00125F67" w:rsidRPr="005764FC">
        <w:t xml:space="preserve"> and </w:t>
      </w:r>
      <w:r w:rsidR="000A7A0F" w:rsidRPr="005764FC">
        <w:t xml:space="preserve">Intervention </w:t>
      </w:r>
      <w:r w:rsidR="00E86E4C" w:rsidRPr="005764FC">
        <w:t>Is APPROPRIATE</w:t>
      </w:r>
      <w:r w:rsidR="005D64A2" w:rsidRPr="005764FC">
        <w:t>?</w:t>
      </w:r>
      <w:bookmarkEnd w:id="198"/>
      <w:bookmarkEnd w:id="199"/>
      <w:bookmarkEnd w:id="200"/>
    </w:p>
    <w:p w14:paraId="617EB6C6" w14:textId="7FC9A030" w:rsidR="0065127B" w:rsidRPr="005764FC" w:rsidRDefault="000A63A1" w:rsidP="00004964">
      <w:pPr>
        <w:pStyle w:val="BodyText"/>
        <w:rPr>
          <w:lang w:eastAsia="fr-CA"/>
        </w:rPr>
      </w:pPr>
      <w:r w:rsidRPr="005764FC">
        <w:rPr>
          <w:lang w:eastAsia="fr-CA"/>
        </w:rPr>
        <w:t xml:space="preserve">This analysis </w:t>
      </w:r>
      <w:r w:rsidR="00B47423" w:rsidRPr="005764FC">
        <w:rPr>
          <w:lang w:eastAsia="fr-CA"/>
        </w:rPr>
        <w:t>examines</w:t>
      </w:r>
      <w:r w:rsidRPr="005764FC">
        <w:rPr>
          <w:lang w:eastAsia="fr-CA"/>
        </w:rPr>
        <w:t xml:space="preserve"> the current land transport issues and current state of C-ITS </w:t>
      </w:r>
      <w:r w:rsidR="003457BA" w:rsidRPr="005764FC">
        <w:rPr>
          <w:lang w:eastAsia="fr-CA"/>
        </w:rPr>
        <w:t xml:space="preserve">to </w:t>
      </w:r>
      <w:r w:rsidR="00A50432" w:rsidRPr="005764FC">
        <w:rPr>
          <w:lang w:eastAsia="fr-CA"/>
        </w:rPr>
        <w:t xml:space="preserve">provide insight into whether government </w:t>
      </w:r>
      <w:r w:rsidR="00116B32" w:rsidRPr="005764FC">
        <w:rPr>
          <w:lang w:eastAsia="fr-CA"/>
        </w:rPr>
        <w:t xml:space="preserve">has a role </w:t>
      </w:r>
      <w:r w:rsidR="00B47423" w:rsidRPr="005764FC">
        <w:rPr>
          <w:lang w:eastAsia="fr-CA"/>
        </w:rPr>
        <w:t>in C-ITS</w:t>
      </w:r>
      <w:r w:rsidR="00116B32" w:rsidRPr="005764FC">
        <w:rPr>
          <w:lang w:eastAsia="fr-CA"/>
        </w:rPr>
        <w:t xml:space="preserve"> deployment</w:t>
      </w:r>
      <w:r w:rsidR="00B47423" w:rsidRPr="005764FC">
        <w:rPr>
          <w:lang w:eastAsia="fr-CA"/>
        </w:rPr>
        <w:t>,</w:t>
      </w:r>
      <w:r w:rsidR="00E028FA" w:rsidRPr="005764FC">
        <w:rPr>
          <w:lang w:eastAsia="fr-CA"/>
        </w:rPr>
        <w:t xml:space="preserve"> and what the impact of intervention would be. </w:t>
      </w:r>
    </w:p>
    <w:p w14:paraId="30068569" w14:textId="0CC79DD1" w:rsidR="009F7656" w:rsidRPr="005764FC" w:rsidRDefault="00B3282F" w:rsidP="00004964">
      <w:pPr>
        <w:pStyle w:val="Heading4"/>
        <w:rPr>
          <w:lang w:eastAsia="fr-CA"/>
        </w:rPr>
      </w:pPr>
      <w:r w:rsidRPr="005764FC">
        <w:rPr>
          <w:lang w:eastAsia="fr-CA"/>
        </w:rPr>
        <w:t>Drivers</w:t>
      </w:r>
    </w:p>
    <w:p w14:paraId="69519F67" w14:textId="19EFF692" w:rsidR="004D250A" w:rsidRPr="005764FC" w:rsidRDefault="00A7543F" w:rsidP="00004964">
      <w:pPr>
        <w:pStyle w:val="BodyText"/>
        <w:rPr>
          <w:lang w:eastAsia="fr-CA"/>
        </w:rPr>
      </w:pPr>
      <w:r w:rsidRPr="005764FC">
        <w:rPr>
          <w:i/>
          <w:lang w:eastAsia="fr-CA"/>
        </w:rPr>
        <w:t>Is</w:t>
      </w:r>
      <w:r w:rsidR="00640D6E" w:rsidRPr="005764FC">
        <w:rPr>
          <w:i/>
          <w:lang w:eastAsia="fr-CA"/>
        </w:rPr>
        <w:t xml:space="preserve"> there a need </w:t>
      </w:r>
      <w:r w:rsidRPr="005764FC">
        <w:rPr>
          <w:i/>
          <w:lang w:eastAsia="fr-CA"/>
        </w:rPr>
        <w:t xml:space="preserve">for government to intervene to develop </w:t>
      </w:r>
      <w:r w:rsidR="00FC5649" w:rsidRPr="005764FC">
        <w:rPr>
          <w:i/>
          <w:iCs/>
          <w:lang w:eastAsia="fr-CA"/>
        </w:rPr>
        <w:t>and deploy</w:t>
      </w:r>
      <w:r w:rsidRPr="005764FC">
        <w:rPr>
          <w:i/>
          <w:iCs/>
          <w:lang w:eastAsia="fr-CA"/>
        </w:rPr>
        <w:t xml:space="preserve"> </w:t>
      </w:r>
      <w:r w:rsidRPr="005764FC">
        <w:rPr>
          <w:i/>
          <w:lang w:eastAsia="fr-CA"/>
        </w:rPr>
        <w:t>C-ITS?</w:t>
      </w:r>
      <w:r w:rsidR="00640D6E" w:rsidRPr="005764FC">
        <w:rPr>
          <w:lang w:eastAsia="fr-CA"/>
        </w:rPr>
        <w:t xml:space="preserve"> </w:t>
      </w:r>
      <w:r w:rsidRPr="005764FC">
        <w:rPr>
          <w:lang w:eastAsia="fr-CA"/>
        </w:rPr>
        <w:t xml:space="preserve"> </w:t>
      </w:r>
    </w:p>
    <w:p w14:paraId="50C72F8D" w14:textId="02FEE5C2" w:rsidR="009F7656" w:rsidRPr="005764FC" w:rsidRDefault="00277D5F" w:rsidP="00004964">
      <w:pPr>
        <w:pStyle w:val="BodyText"/>
        <w:rPr>
          <w:lang w:eastAsia="fr-CA"/>
        </w:rPr>
      </w:pPr>
      <w:r w:rsidRPr="005764FC">
        <w:rPr>
          <w:lang w:eastAsia="fr-CA"/>
        </w:rPr>
        <w:t xml:space="preserve">The following drivers </w:t>
      </w:r>
      <w:r w:rsidR="00D31C70" w:rsidRPr="005764FC">
        <w:rPr>
          <w:lang w:eastAsia="fr-CA"/>
        </w:rPr>
        <w:t>influence</w:t>
      </w:r>
      <w:r w:rsidRPr="005764FC">
        <w:rPr>
          <w:lang w:eastAsia="fr-CA"/>
        </w:rPr>
        <w:t xml:space="preserve"> the </w:t>
      </w:r>
      <w:r w:rsidR="00FE7EF6" w:rsidRPr="005764FC">
        <w:rPr>
          <w:lang w:eastAsia="fr-CA"/>
        </w:rPr>
        <w:t>need for intervention:</w:t>
      </w:r>
    </w:p>
    <w:p w14:paraId="750B2DCD" w14:textId="15C1C833" w:rsidR="000E0160" w:rsidRPr="005764FC" w:rsidRDefault="004C7D77" w:rsidP="00A0293C">
      <w:pPr>
        <w:pStyle w:val="ListBullet"/>
        <w:ind w:left="357" w:hanging="357"/>
        <w:contextualSpacing/>
      </w:pPr>
      <w:r w:rsidRPr="005764FC">
        <w:t xml:space="preserve">State, territory and local </w:t>
      </w:r>
      <w:r w:rsidR="00C74C8D" w:rsidRPr="005764FC">
        <w:t xml:space="preserve">governments </w:t>
      </w:r>
      <w:r w:rsidR="000E0160" w:rsidRPr="005764FC">
        <w:t xml:space="preserve">are </w:t>
      </w:r>
      <w:r w:rsidR="00B47423" w:rsidRPr="005764FC">
        <w:t xml:space="preserve">road network </w:t>
      </w:r>
      <w:r w:rsidR="000E0160" w:rsidRPr="005764FC">
        <w:t xml:space="preserve">custodians </w:t>
      </w:r>
      <w:r w:rsidR="00B47423" w:rsidRPr="005764FC">
        <w:t>with</w:t>
      </w:r>
      <w:r w:rsidR="000E0160" w:rsidRPr="005764FC">
        <w:t xml:space="preserve"> responsibility to encourage technology that benefit</w:t>
      </w:r>
      <w:r w:rsidR="00B47423" w:rsidRPr="005764FC">
        <w:t>s</w:t>
      </w:r>
      <w:r w:rsidR="000E0160" w:rsidRPr="005764FC">
        <w:t xml:space="preserve"> road safety and efficiency.</w:t>
      </w:r>
    </w:p>
    <w:p w14:paraId="06F6CEC7" w14:textId="214DF3CE" w:rsidR="009B01DF" w:rsidRPr="005764FC" w:rsidRDefault="005A7B4F" w:rsidP="00A0293C">
      <w:pPr>
        <w:pStyle w:val="ListBullet"/>
        <w:ind w:left="357" w:hanging="357"/>
        <w:contextualSpacing/>
      </w:pPr>
      <w:r w:rsidRPr="005764FC">
        <w:t xml:space="preserve">The Cost Benefit Analysis </w:t>
      </w:r>
      <w:r w:rsidR="003832E4" w:rsidRPr="005764FC">
        <w:t>demonstrated</w:t>
      </w:r>
      <w:r w:rsidR="00513DA9" w:rsidRPr="005764FC">
        <w:t xml:space="preserve"> that </w:t>
      </w:r>
      <w:r w:rsidR="00830856" w:rsidRPr="005764FC">
        <w:t>government</w:t>
      </w:r>
      <w:r w:rsidR="0055493A">
        <w:t>-provided</w:t>
      </w:r>
      <w:r w:rsidR="00830856" w:rsidRPr="005764FC">
        <w:t xml:space="preserve"> </w:t>
      </w:r>
      <w:r w:rsidR="00513DA9" w:rsidRPr="005764FC">
        <w:t xml:space="preserve">infrastructure is </w:t>
      </w:r>
      <w:r w:rsidR="00B47423" w:rsidRPr="005764FC">
        <w:t>needed</w:t>
      </w:r>
      <w:r w:rsidR="00513DA9" w:rsidRPr="005764FC">
        <w:t xml:space="preserve"> to </w:t>
      </w:r>
      <w:r w:rsidR="009B01DF" w:rsidRPr="005764FC">
        <w:t>return a positive BCR</w:t>
      </w:r>
      <w:r w:rsidR="000B3024" w:rsidRPr="005764FC">
        <w:t xml:space="preserve">. </w:t>
      </w:r>
    </w:p>
    <w:p w14:paraId="1ACF17C7" w14:textId="1CA256DD" w:rsidR="009207BE" w:rsidRPr="005764FC" w:rsidRDefault="009207BE" w:rsidP="00A0293C">
      <w:pPr>
        <w:pStyle w:val="ListBullet"/>
        <w:ind w:left="357" w:hanging="357"/>
        <w:contextualSpacing/>
      </w:pPr>
      <w:r w:rsidRPr="005764FC">
        <w:t xml:space="preserve">Nationally and internationally, C-ITS has needed a high </w:t>
      </w:r>
      <w:r w:rsidR="00B47423" w:rsidRPr="005764FC">
        <w:t>degree</w:t>
      </w:r>
      <w:r w:rsidRPr="005764FC">
        <w:t xml:space="preserve"> of coordination to establish services.</w:t>
      </w:r>
    </w:p>
    <w:p w14:paraId="71DBB13E" w14:textId="046916E2" w:rsidR="00B61778" w:rsidRPr="005764FC" w:rsidRDefault="00B61778" w:rsidP="00B61778">
      <w:pPr>
        <w:pStyle w:val="ListBullet"/>
        <w:ind w:left="357" w:hanging="357"/>
        <w:contextualSpacing/>
      </w:pPr>
      <w:r w:rsidRPr="005764FC">
        <w:t>Mass vehicle manufacturing no longer exists in Australia and therefore most vehicles are imported from international markets</w:t>
      </w:r>
      <w:r w:rsidR="00AA1306" w:rsidRPr="005764FC">
        <w:t>.</w:t>
      </w:r>
    </w:p>
    <w:p w14:paraId="3F0A798F" w14:textId="36B64C02" w:rsidR="007A374C" w:rsidRPr="005764FC" w:rsidRDefault="007A374C" w:rsidP="00A0293C">
      <w:pPr>
        <w:pStyle w:val="ListBullet"/>
        <w:ind w:left="357" w:hanging="357"/>
        <w:contextualSpacing/>
      </w:pPr>
      <w:r w:rsidRPr="005764FC">
        <w:t>19 manufacturers supply 95</w:t>
      </w:r>
      <w:r w:rsidR="006B4DBA" w:rsidRPr="005764FC">
        <w:t xml:space="preserve"> per cent</w:t>
      </w:r>
      <w:r w:rsidRPr="005764FC">
        <w:t xml:space="preserve"> of vehicles registered in Australia</w:t>
      </w:r>
      <w:r w:rsidR="00D626E6" w:rsidRPr="005764FC">
        <w:t xml:space="preserve"> </w:t>
      </w:r>
      <w:r w:rsidR="008E3016" w:rsidRPr="005764FC">
        <w:t xml:space="preserve">leading to a </w:t>
      </w:r>
      <w:r w:rsidR="00EE013F" w:rsidRPr="005764FC">
        <w:t xml:space="preserve">complex </w:t>
      </w:r>
      <w:r w:rsidR="00B47423" w:rsidRPr="005764FC">
        <w:t xml:space="preserve">industry </w:t>
      </w:r>
      <w:r w:rsidR="00385C9C" w:rsidRPr="005764FC">
        <w:t>arrangement</w:t>
      </w:r>
      <w:r w:rsidRPr="005764FC">
        <w:t>.</w:t>
      </w:r>
    </w:p>
    <w:p w14:paraId="03971492" w14:textId="7D9136E5" w:rsidR="00F3531E" w:rsidRPr="005764FC" w:rsidRDefault="00161E36" w:rsidP="00A0293C">
      <w:pPr>
        <w:pStyle w:val="ListBullet"/>
        <w:ind w:left="357" w:hanging="357"/>
        <w:contextualSpacing/>
      </w:pPr>
      <w:r w:rsidRPr="005764FC">
        <w:t>Technology innovation can be influenced (encouraged</w:t>
      </w:r>
      <w:r w:rsidR="00B47423" w:rsidRPr="005764FC">
        <w:t>/</w:t>
      </w:r>
      <w:r w:rsidR="00F3531E" w:rsidRPr="005764FC">
        <w:t>inhibited</w:t>
      </w:r>
      <w:r w:rsidR="00041E66" w:rsidRPr="005764FC">
        <w:t xml:space="preserve">) by </w:t>
      </w:r>
      <w:r w:rsidR="007040BF" w:rsidRPr="005764FC">
        <w:t>guidelines,</w:t>
      </w:r>
      <w:r w:rsidR="00041E66" w:rsidRPr="005764FC">
        <w:t xml:space="preserve"> </w:t>
      </w:r>
      <w:r w:rsidR="00F3531E" w:rsidRPr="005764FC">
        <w:t xml:space="preserve">rules and regulation. </w:t>
      </w:r>
    </w:p>
    <w:p w14:paraId="1D15AF56" w14:textId="24259815" w:rsidR="00497384" w:rsidRPr="005764FC" w:rsidRDefault="00497384" w:rsidP="008E03A7">
      <w:pPr>
        <w:pStyle w:val="Heading4"/>
      </w:pPr>
      <w:bookmarkStart w:id="201" w:name="_Ref93524784"/>
      <w:bookmarkStart w:id="202" w:name="_Ref94182559"/>
      <w:r w:rsidRPr="005764FC">
        <w:t xml:space="preserve">Coherence </w:t>
      </w:r>
      <w:r w:rsidR="00401698" w:rsidRPr="005764FC">
        <w:t>With</w:t>
      </w:r>
      <w:r w:rsidRPr="005764FC">
        <w:t xml:space="preserve"> strategic plans</w:t>
      </w:r>
      <w:bookmarkEnd w:id="201"/>
      <w:bookmarkEnd w:id="202"/>
    </w:p>
    <w:p w14:paraId="6077FEA3" w14:textId="74230412" w:rsidR="00EA5E51" w:rsidRPr="005764FC" w:rsidRDefault="00457C66" w:rsidP="006E68A3">
      <w:pPr>
        <w:pStyle w:val="ListBullet"/>
        <w:keepLines/>
        <w:numPr>
          <w:ilvl w:val="0"/>
          <w:numId w:val="0"/>
        </w:numPr>
      </w:pPr>
      <w:r w:rsidRPr="005764FC">
        <w:rPr>
          <w:lang w:eastAsia="fr-CA"/>
        </w:rPr>
        <w:t>A market-led approach (</w:t>
      </w:r>
      <w:r w:rsidR="007F0C99" w:rsidRPr="005764FC">
        <w:rPr>
          <w:lang w:eastAsia="fr-CA"/>
        </w:rPr>
        <w:t>PA1</w:t>
      </w:r>
      <w:r w:rsidRPr="005764FC">
        <w:rPr>
          <w:lang w:eastAsia="fr-CA"/>
        </w:rPr>
        <w:t xml:space="preserve">) will likely have </w:t>
      </w:r>
      <w:r w:rsidR="00410D01" w:rsidRPr="005764FC">
        <w:rPr>
          <w:lang w:eastAsia="fr-CA"/>
        </w:rPr>
        <w:t>reduced</w:t>
      </w:r>
      <w:r w:rsidRPr="005764FC">
        <w:rPr>
          <w:lang w:eastAsia="fr-CA"/>
        </w:rPr>
        <w:t xml:space="preserve"> impact on </w:t>
      </w:r>
      <w:r w:rsidR="006E7982" w:rsidRPr="005764FC">
        <w:rPr>
          <w:lang w:eastAsia="fr-CA"/>
        </w:rPr>
        <w:t xml:space="preserve">land transport issues and </w:t>
      </w:r>
      <w:r w:rsidR="00FD7DAF" w:rsidRPr="005764FC">
        <w:rPr>
          <w:lang w:eastAsia="fr-CA"/>
        </w:rPr>
        <w:t>reduced ability to</w:t>
      </w:r>
      <w:r w:rsidR="00B47423" w:rsidRPr="005764FC">
        <w:rPr>
          <w:lang w:eastAsia="fr-CA"/>
        </w:rPr>
        <w:t xml:space="preserve"> </w:t>
      </w:r>
      <w:r w:rsidRPr="005764FC">
        <w:rPr>
          <w:lang w:eastAsia="fr-CA"/>
        </w:rPr>
        <w:t>achiev</w:t>
      </w:r>
      <w:r w:rsidR="00FD7DAF" w:rsidRPr="005764FC">
        <w:rPr>
          <w:lang w:eastAsia="fr-CA"/>
        </w:rPr>
        <w:t>e</w:t>
      </w:r>
      <w:r w:rsidRPr="005764FC">
        <w:rPr>
          <w:lang w:eastAsia="fr-CA"/>
        </w:rPr>
        <w:t xml:space="preserve"> the strategic goals outlined in </w:t>
      </w:r>
      <w:r w:rsidR="00377DBD" w:rsidRPr="005764FC">
        <w:rPr>
          <w:lang w:eastAsia="fr-CA"/>
        </w:rPr>
        <w:t xml:space="preserve">Sections </w:t>
      </w:r>
      <w:r w:rsidR="001152D1" w:rsidRPr="005764FC">
        <w:rPr>
          <w:lang w:eastAsia="fr-CA"/>
        </w:rPr>
        <w:fldChar w:fldCharType="begin" w:fldLock="1"/>
      </w:r>
      <w:r w:rsidR="001152D1" w:rsidRPr="005764FC">
        <w:rPr>
          <w:lang w:eastAsia="fr-CA"/>
        </w:rPr>
        <w:instrText xml:space="preserve"> REF _Ref90834843 \r \h </w:instrText>
      </w:r>
      <w:r w:rsidR="00823A4C" w:rsidRPr="005764FC">
        <w:rPr>
          <w:lang w:eastAsia="fr-CA"/>
        </w:rPr>
        <w:instrText xml:space="preserve"> \* MERGEFORMAT </w:instrText>
      </w:r>
      <w:r w:rsidR="001152D1" w:rsidRPr="005764FC">
        <w:rPr>
          <w:lang w:eastAsia="fr-CA"/>
        </w:rPr>
      </w:r>
      <w:r w:rsidR="001152D1" w:rsidRPr="005764FC">
        <w:rPr>
          <w:lang w:eastAsia="fr-CA"/>
        </w:rPr>
        <w:fldChar w:fldCharType="separate"/>
      </w:r>
      <w:r w:rsidR="00A34B27">
        <w:rPr>
          <w:lang w:eastAsia="fr-CA"/>
        </w:rPr>
        <w:t>1.2</w:t>
      </w:r>
      <w:r w:rsidR="001152D1" w:rsidRPr="005764FC">
        <w:rPr>
          <w:lang w:eastAsia="fr-CA"/>
        </w:rPr>
        <w:fldChar w:fldCharType="end"/>
      </w:r>
      <w:r w:rsidR="001152D1" w:rsidRPr="005764FC">
        <w:rPr>
          <w:lang w:eastAsia="fr-CA"/>
        </w:rPr>
        <w:t xml:space="preserve"> and </w:t>
      </w:r>
      <w:r w:rsidR="001152D1" w:rsidRPr="005764FC">
        <w:rPr>
          <w:lang w:eastAsia="fr-CA"/>
        </w:rPr>
        <w:fldChar w:fldCharType="begin" w:fldLock="1"/>
      </w:r>
      <w:r w:rsidR="001152D1" w:rsidRPr="005764FC">
        <w:rPr>
          <w:lang w:eastAsia="fr-CA"/>
        </w:rPr>
        <w:instrText xml:space="preserve"> REF _Ref92795162 \r \h </w:instrText>
      </w:r>
      <w:r w:rsidR="00823A4C" w:rsidRPr="005764FC">
        <w:rPr>
          <w:lang w:eastAsia="fr-CA"/>
        </w:rPr>
        <w:instrText xml:space="preserve"> \* MERGEFORMAT </w:instrText>
      </w:r>
      <w:r w:rsidR="001152D1" w:rsidRPr="005764FC">
        <w:rPr>
          <w:lang w:eastAsia="fr-CA"/>
        </w:rPr>
      </w:r>
      <w:r w:rsidR="001152D1" w:rsidRPr="005764FC">
        <w:rPr>
          <w:lang w:eastAsia="fr-CA"/>
        </w:rPr>
        <w:fldChar w:fldCharType="separate"/>
      </w:r>
      <w:r w:rsidR="00A34B27">
        <w:rPr>
          <w:lang w:eastAsia="fr-CA"/>
        </w:rPr>
        <w:t>1.3</w:t>
      </w:r>
      <w:r w:rsidR="001152D1" w:rsidRPr="005764FC">
        <w:rPr>
          <w:lang w:eastAsia="fr-CA"/>
        </w:rPr>
        <w:fldChar w:fldCharType="end"/>
      </w:r>
      <w:r w:rsidRPr="005764FC">
        <w:rPr>
          <w:lang w:eastAsia="fr-CA"/>
        </w:rPr>
        <w:t xml:space="preserve">. </w:t>
      </w:r>
      <w:r w:rsidR="00EA5E51" w:rsidRPr="005764FC">
        <w:t xml:space="preserve">The short-term implication would be </w:t>
      </w:r>
      <w:r w:rsidR="00630660" w:rsidRPr="005764FC">
        <w:t xml:space="preserve">a very limited and siloed set of available C-ITS services </w:t>
      </w:r>
      <w:r w:rsidR="000F6AA0" w:rsidRPr="005764FC">
        <w:t>realis</w:t>
      </w:r>
      <w:r w:rsidR="00630660" w:rsidRPr="005764FC">
        <w:t>ed</w:t>
      </w:r>
      <w:r w:rsidR="00991CD1" w:rsidRPr="005764FC">
        <w:t xml:space="preserve">, </w:t>
      </w:r>
      <w:r w:rsidR="00071E79" w:rsidRPr="005764FC">
        <w:t xml:space="preserve">without </w:t>
      </w:r>
      <w:r w:rsidR="00991CD1" w:rsidRPr="005764FC">
        <w:t xml:space="preserve">the </w:t>
      </w:r>
      <w:r w:rsidR="00CE00E2" w:rsidRPr="005764FC">
        <w:t>certainty</w:t>
      </w:r>
      <w:r w:rsidR="00071E79" w:rsidRPr="005764FC">
        <w:t xml:space="preserve"> </w:t>
      </w:r>
      <w:r w:rsidR="00795A1A" w:rsidRPr="005764FC">
        <w:t>of deliver</w:t>
      </w:r>
      <w:r w:rsidR="00991CD1" w:rsidRPr="005764FC">
        <w:t>ing</w:t>
      </w:r>
      <w:r w:rsidR="00CE00E2" w:rsidRPr="005764FC">
        <w:t xml:space="preserve"> key</w:t>
      </w:r>
      <w:r w:rsidR="00E9680D" w:rsidRPr="005764FC">
        <w:t xml:space="preserve"> </w:t>
      </w:r>
      <w:r w:rsidR="00991CD1" w:rsidRPr="005764FC">
        <w:t xml:space="preserve">national transport </w:t>
      </w:r>
      <w:r w:rsidR="00E9680D" w:rsidRPr="005764FC">
        <w:t>objective</w:t>
      </w:r>
      <w:r w:rsidR="00712BE6" w:rsidRPr="005764FC">
        <w:t>s</w:t>
      </w:r>
      <w:r w:rsidR="00EA5E51" w:rsidRPr="005764FC">
        <w:t xml:space="preserve">. The long-term </w:t>
      </w:r>
      <w:r w:rsidR="00A74B30" w:rsidRPr="005764FC">
        <w:t>risk</w:t>
      </w:r>
      <w:r w:rsidR="00EA5E51" w:rsidRPr="005764FC">
        <w:t xml:space="preserve"> </w:t>
      </w:r>
      <w:r w:rsidR="007C3440" w:rsidRPr="005764FC">
        <w:t>is</w:t>
      </w:r>
      <w:r w:rsidR="00EA5E51" w:rsidRPr="005764FC">
        <w:t xml:space="preserve"> </w:t>
      </w:r>
      <w:r w:rsidR="0098225F">
        <w:t xml:space="preserve">that </w:t>
      </w:r>
      <w:r w:rsidR="00EA5E51" w:rsidRPr="005764FC">
        <w:t xml:space="preserve">C-ITS </w:t>
      </w:r>
      <w:r w:rsidR="0055493A">
        <w:t xml:space="preserve">will </w:t>
      </w:r>
      <w:r w:rsidR="00BC6ED0" w:rsidRPr="005764FC">
        <w:t xml:space="preserve">not </w:t>
      </w:r>
      <w:r w:rsidR="00F00BF3" w:rsidRPr="005764FC">
        <w:t xml:space="preserve">meet the </w:t>
      </w:r>
      <w:r w:rsidR="001316BC" w:rsidRPr="005764FC">
        <w:t xml:space="preserve">necessary </w:t>
      </w:r>
      <w:r w:rsidR="00EA5E51" w:rsidRPr="005764FC">
        <w:t xml:space="preserve">safety assurance </w:t>
      </w:r>
      <w:r w:rsidR="0055493A">
        <w:t xml:space="preserve">level </w:t>
      </w:r>
      <w:r w:rsidR="001316BC" w:rsidRPr="005764FC">
        <w:t>needed for</w:t>
      </w:r>
      <w:r w:rsidR="00253EF1" w:rsidRPr="005764FC">
        <w:t xml:space="preserve"> </w:t>
      </w:r>
      <w:r w:rsidR="0055493A">
        <w:t>integration</w:t>
      </w:r>
      <w:r w:rsidR="006D009C" w:rsidRPr="005764FC">
        <w:t xml:space="preserve"> </w:t>
      </w:r>
      <w:r w:rsidR="004A25F3" w:rsidRPr="005764FC">
        <w:t>into</w:t>
      </w:r>
      <w:r w:rsidR="0055493A">
        <w:t xml:space="preserve"> vehicles with</w:t>
      </w:r>
      <w:r w:rsidR="006D009C" w:rsidRPr="005764FC">
        <w:t xml:space="preserve"> higher levels of automation</w:t>
      </w:r>
      <w:r w:rsidR="000B3024" w:rsidRPr="005764FC">
        <w:t xml:space="preserve">. </w:t>
      </w:r>
      <w:r w:rsidR="00256491" w:rsidRPr="005764FC">
        <w:t xml:space="preserve"> </w:t>
      </w:r>
    </w:p>
    <w:p w14:paraId="6B0B5F11" w14:textId="65B9B2FA" w:rsidR="007021FC" w:rsidRPr="005764FC" w:rsidRDefault="007021FC" w:rsidP="007021FC">
      <w:pPr>
        <w:pStyle w:val="BodyText"/>
        <w:keepNext/>
      </w:pPr>
      <w:r w:rsidRPr="005764FC">
        <w:rPr>
          <w:lang w:eastAsia="fr-CA"/>
        </w:rPr>
        <w:t>C</w:t>
      </w:r>
      <w:r w:rsidRPr="005764FC">
        <w:t xml:space="preserve">reating C‑ITS safety and </w:t>
      </w:r>
      <w:r w:rsidR="00391353" w:rsidRPr="005764FC">
        <w:t>efficiency</w:t>
      </w:r>
      <w:r w:rsidR="00253EF1" w:rsidRPr="005764FC">
        <w:t>-</w:t>
      </w:r>
      <w:r w:rsidR="005F31CE" w:rsidRPr="005764FC">
        <w:t xml:space="preserve">focused </w:t>
      </w:r>
      <w:r w:rsidR="009461FC" w:rsidRPr="005764FC">
        <w:t xml:space="preserve">leadership </w:t>
      </w:r>
      <w:r w:rsidR="00391353" w:rsidRPr="005764FC">
        <w:t>(</w:t>
      </w:r>
      <w:r w:rsidR="007F0C99" w:rsidRPr="005764FC">
        <w:t>PA2</w:t>
      </w:r>
      <w:r w:rsidR="00391353" w:rsidRPr="005764FC">
        <w:t>)</w:t>
      </w:r>
      <w:r w:rsidRPr="005764FC">
        <w:t xml:space="preserve"> will influence national strategies by:</w:t>
      </w:r>
    </w:p>
    <w:p w14:paraId="1EF3ACA8" w14:textId="3D2D0CE8" w:rsidR="00056A1F" w:rsidRPr="005764FC" w:rsidRDefault="00056A1F" w:rsidP="00A0293C">
      <w:pPr>
        <w:pStyle w:val="ListBullet"/>
        <w:ind w:left="357" w:hanging="357"/>
        <w:contextualSpacing/>
      </w:pPr>
      <w:r w:rsidRPr="005764FC">
        <w:t xml:space="preserve">Targeting societal benefits </w:t>
      </w:r>
      <w:r w:rsidR="00253EF1" w:rsidRPr="005764FC">
        <w:t>of</w:t>
      </w:r>
      <w:r w:rsidRPr="005764FC">
        <w:t xml:space="preserve"> decrease</w:t>
      </w:r>
      <w:r w:rsidR="00253EF1" w:rsidRPr="005764FC">
        <w:t>d</w:t>
      </w:r>
      <w:r w:rsidRPr="005764FC">
        <w:t xml:space="preserve"> harm </w:t>
      </w:r>
      <w:r w:rsidR="006F7DCC" w:rsidRPr="005764FC">
        <w:t>(safety)</w:t>
      </w:r>
      <w:r w:rsidR="00F23CDC" w:rsidRPr="005764FC">
        <w:t xml:space="preserve"> </w:t>
      </w:r>
      <w:r w:rsidRPr="005764FC">
        <w:t>and improved road conditions (network efficiency and sustainability)</w:t>
      </w:r>
      <w:r w:rsidR="009461FC" w:rsidRPr="005764FC" w:rsidDel="009461FC">
        <w:t xml:space="preserve"> </w:t>
      </w:r>
    </w:p>
    <w:p w14:paraId="2E4B0813" w14:textId="34BD527A" w:rsidR="007021FC" w:rsidRPr="005764FC" w:rsidRDefault="00217587" w:rsidP="00A0293C">
      <w:pPr>
        <w:pStyle w:val="ListBullet"/>
        <w:ind w:left="357" w:hanging="357"/>
        <w:contextualSpacing/>
      </w:pPr>
      <w:r w:rsidRPr="005764FC">
        <w:t xml:space="preserve">Providing </w:t>
      </w:r>
      <w:r w:rsidR="00B815FE" w:rsidRPr="005764FC">
        <w:t>an openly available framework for deliver</w:t>
      </w:r>
      <w:r w:rsidR="00357856" w:rsidRPr="005764FC">
        <w:t>ing</w:t>
      </w:r>
      <w:r w:rsidR="00B815FE" w:rsidRPr="005764FC">
        <w:t xml:space="preserve"> </w:t>
      </w:r>
      <w:r w:rsidR="006E2B77" w:rsidRPr="005764FC">
        <w:t xml:space="preserve">hybrid </w:t>
      </w:r>
      <w:r w:rsidR="00F91CB1" w:rsidRPr="005764FC">
        <w:t xml:space="preserve">C-ITS </w:t>
      </w:r>
      <w:r w:rsidR="00141F02" w:rsidRPr="005764FC">
        <w:t xml:space="preserve">solutions </w:t>
      </w:r>
      <w:r w:rsidR="00357856" w:rsidRPr="005764FC">
        <w:t xml:space="preserve">and </w:t>
      </w:r>
      <w:r w:rsidR="007021FC" w:rsidRPr="005764FC">
        <w:t xml:space="preserve">encouraging </w:t>
      </w:r>
      <w:r w:rsidR="00357856" w:rsidRPr="005764FC">
        <w:t xml:space="preserve">C‑ITS technology </w:t>
      </w:r>
      <w:r w:rsidR="007021FC" w:rsidRPr="005764FC">
        <w:t xml:space="preserve">penetration </w:t>
      </w:r>
      <w:r w:rsidR="005026F8" w:rsidRPr="005764FC">
        <w:t xml:space="preserve">by any </w:t>
      </w:r>
      <w:r w:rsidR="007021FC" w:rsidRPr="005764FC">
        <w:t>industry</w:t>
      </w:r>
      <w:r w:rsidR="006E2B77" w:rsidRPr="005764FC">
        <w:t xml:space="preserve"> Australia</w:t>
      </w:r>
      <w:r w:rsidR="003078EC" w:rsidRPr="005764FC">
        <w:t>-wide</w:t>
      </w:r>
    </w:p>
    <w:p w14:paraId="0F818A8F" w14:textId="7412E9EE" w:rsidR="007021FC" w:rsidRPr="005764FC" w:rsidRDefault="00330517" w:rsidP="00A0293C">
      <w:pPr>
        <w:pStyle w:val="ListBullet"/>
        <w:ind w:left="357" w:hanging="357"/>
        <w:contextualSpacing/>
      </w:pPr>
      <w:r w:rsidRPr="005764FC">
        <w:t>E</w:t>
      </w:r>
      <w:r w:rsidR="007021FC" w:rsidRPr="005764FC">
        <w:t>ncourag</w:t>
      </w:r>
      <w:r w:rsidR="00C74C8D" w:rsidRPr="005764FC">
        <w:t>ing</w:t>
      </w:r>
      <w:r w:rsidR="007021FC" w:rsidRPr="005764FC">
        <w:t xml:space="preserve"> road user</w:t>
      </w:r>
      <w:r w:rsidR="00C74C8D" w:rsidRPr="005764FC">
        <w:t>s’</w:t>
      </w:r>
      <w:r w:rsidR="007021FC" w:rsidRPr="005764FC">
        <w:t xml:space="preserve"> uptake of C‑ITS services</w:t>
      </w:r>
    </w:p>
    <w:p w14:paraId="77AD58A0" w14:textId="31A9EAA1" w:rsidR="007021FC" w:rsidRPr="005764FC" w:rsidRDefault="00330517" w:rsidP="00A0293C">
      <w:pPr>
        <w:pStyle w:val="ListBullet"/>
        <w:ind w:left="357" w:hanging="357"/>
        <w:contextualSpacing/>
      </w:pPr>
      <w:r w:rsidRPr="005764FC">
        <w:t>G</w:t>
      </w:r>
      <w:r w:rsidR="007021FC" w:rsidRPr="005764FC">
        <w:t>uid</w:t>
      </w:r>
      <w:r w:rsidR="00C74C8D" w:rsidRPr="005764FC">
        <w:t>ing</w:t>
      </w:r>
      <w:r w:rsidR="007021FC" w:rsidRPr="005764FC">
        <w:t xml:space="preserve"> government </w:t>
      </w:r>
      <w:r w:rsidR="003078EC" w:rsidRPr="005764FC">
        <w:t xml:space="preserve">C‑ITS </w:t>
      </w:r>
      <w:r w:rsidR="007021FC" w:rsidRPr="005764FC">
        <w:t>investment</w:t>
      </w:r>
    </w:p>
    <w:p w14:paraId="502DF9AB" w14:textId="5C3937E1" w:rsidR="007021FC" w:rsidRPr="005764FC" w:rsidRDefault="00330517" w:rsidP="00A0293C">
      <w:pPr>
        <w:pStyle w:val="ListBullet"/>
        <w:ind w:left="357" w:hanging="357"/>
        <w:contextualSpacing/>
      </w:pPr>
      <w:r w:rsidRPr="005764FC">
        <w:rPr>
          <w:lang w:eastAsia="fr-CA"/>
        </w:rPr>
        <w:t>H</w:t>
      </w:r>
      <w:r w:rsidR="007021FC" w:rsidRPr="005764FC">
        <w:rPr>
          <w:lang w:eastAsia="fr-CA"/>
        </w:rPr>
        <w:t>elp</w:t>
      </w:r>
      <w:r w:rsidR="00C74C8D" w:rsidRPr="005764FC">
        <w:rPr>
          <w:lang w:eastAsia="fr-CA"/>
        </w:rPr>
        <w:t>ing</w:t>
      </w:r>
      <w:r w:rsidR="007021FC" w:rsidRPr="005764FC">
        <w:rPr>
          <w:lang w:eastAsia="fr-CA"/>
        </w:rPr>
        <w:t xml:space="preserve"> </w:t>
      </w:r>
      <w:r w:rsidR="00420A52" w:rsidRPr="005764FC">
        <w:rPr>
          <w:lang w:eastAsia="fr-CA"/>
        </w:rPr>
        <w:t xml:space="preserve">use technology to </w:t>
      </w:r>
      <w:r w:rsidR="007021FC" w:rsidRPr="005764FC">
        <w:rPr>
          <w:lang w:eastAsia="fr-CA"/>
        </w:rPr>
        <w:t>address road issues, outlining pathways to successful</w:t>
      </w:r>
      <w:r w:rsidR="00420A52" w:rsidRPr="005764FC">
        <w:rPr>
          <w:lang w:eastAsia="fr-CA"/>
        </w:rPr>
        <w:t>ly</w:t>
      </w:r>
      <w:r w:rsidR="007021FC" w:rsidRPr="005764FC">
        <w:rPr>
          <w:lang w:eastAsia="fr-CA"/>
        </w:rPr>
        <w:t xml:space="preserve"> deploy</w:t>
      </w:r>
      <w:r w:rsidR="00420A52" w:rsidRPr="005764FC">
        <w:rPr>
          <w:lang w:eastAsia="fr-CA"/>
        </w:rPr>
        <w:t>ing</w:t>
      </w:r>
      <w:r w:rsidR="00115735" w:rsidRPr="005764FC">
        <w:rPr>
          <w:lang w:eastAsia="fr-CA"/>
        </w:rPr>
        <w:t xml:space="preserve"> </w:t>
      </w:r>
      <w:r w:rsidR="00420A52" w:rsidRPr="005764FC">
        <w:rPr>
          <w:lang w:eastAsia="fr-CA"/>
        </w:rPr>
        <w:t>new</w:t>
      </w:r>
      <w:r w:rsidR="00115735" w:rsidRPr="005764FC">
        <w:rPr>
          <w:lang w:eastAsia="fr-CA"/>
        </w:rPr>
        <w:t xml:space="preserve"> </w:t>
      </w:r>
      <w:r w:rsidR="004D2523" w:rsidRPr="005764FC">
        <w:rPr>
          <w:lang w:eastAsia="fr-CA"/>
        </w:rPr>
        <w:t>technolog</w:t>
      </w:r>
      <w:r w:rsidR="00420A52" w:rsidRPr="005764FC">
        <w:rPr>
          <w:lang w:eastAsia="fr-CA"/>
        </w:rPr>
        <w:t>ies (</w:t>
      </w:r>
      <w:r w:rsidR="004D2523" w:rsidRPr="005764FC">
        <w:rPr>
          <w:lang w:eastAsia="fr-CA"/>
        </w:rPr>
        <w:t>such as CAVs</w:t>
      </w:r>
      <w:r w:rsidR="00420A52" w:rsidRPr="005764FC">
        <w:rPr>
          <w:lang w:eastAsia="fr-CA"/>
        </w:rPr>
        <w:t>)</w:t>
      </w:r>
    </w:p>
    <w:p w14:paraId="0ED00597" w14:textId="789B8157" w:rsidR="007021FC" w:rsidRPr="005764FC" w:rsidRDefault="00330517" w:rsidP="00A0293C">
      <w:pPr>
        <w:pStyle w:val="ListBullet"/>
        <w:ind w:left="357" w:hanging="357"/>
        <w:contextualSpacing/>
      </w:pPr>
      <w:r w:rsidRPr="005764FC">
        <w:rPr>
          <w:lang w:eastAsia="fr-CA"/>
        </w:rPr>
        <w:t>I</w:t>
      </w:r>
      <w:r w:rsidR="007021FC" w:rsidRPr="005764FC">
        <w:rPr>
          <w:lang w:eastAsia="fr-CA"/>
        </w:rPr>
        <w:t>mprov</w:t>
      </w:r>
      <w:r w:rsidR="00C74C8D" w:rsidRPr="005764FC">
        <w:rPr>
          <w:lang w:eastAsia="fr-CA"/>
        </w:rPr>
        <w:t>ing</w:t>
      </w:r>
      <w:r w:rsidR="007021FC" w:rsidRPr="005764FC">
        <w:rPr>
          <w:lang w:eastAsia="fr-CA"/>
        </w:rPr>
        <w:t xml:space="preserve"> government digital capability</w:t>
      </w:r>
      <w:r w:rsidR="006E68A3">
        <w:rPr>
          <w:lang w:eastAsia="fr-CA"/>
        </w:rPr>
        <w:t>.</w:t>
      </w:r>
    </w:p>
    <w:p w14:paraId="39C020B4" w14:textId="609E68DE" w:rsidR="00212F03" w:rsidRPr="005764FC" w:rsidRDefault="007F0C99" w:rsidP="006E4EAB">
      <w:pPr>
        <w:pStyle w:val="BodyText"/>
        <w:rPr>
          <w:lang w:eastAsia="fr-CA"/>
        </w:rPr>
      </w:pPr>
      <w:r w:rsidRPr="005764FC">
        <w:rPr>
          <w:lang w:eastAsia="fr-CA"/>
        </w:rPr>
        <w:t>PA2</w:t>
      </w:r>
      <w:r w:rsidR="002D5B6F" w:rsidRPr="005764FC">
        <w:rPr>
          <w:lang w:eastAsia="fr-CA"/>
        </w:rPr>
        <w:t xml:space="preserve"> </w:t>
      </w:r>
      <w:r w:rsidR="00B7270B" w:rsidRPr="005764FC">
        <w:rPr>
          <w:lang w:eastAsia="fr-CA"/>
        </w:rPr>
        <w:t xml:space="preserve">aligns </w:t>
      </w:r>
      <w:r w:rsidR="002D5B6F" w:rsidRPr="005764FC">
        <w:rPr>
          <w:lang w:eastAsia="fr-CA"/>
        </w:rPr>
        <w:t xml:space="preserve">with the </w:t>
      </w:r>
      <w:r w:rsidR="00DB0D94" w:rsidRPr="005764FC">
        <w:rPr>
          <w:lang w:eastAsia="fr-CA"/>
        </w:rPr>
        <w:t>national</w:t>
      </w:r>
      <w:r w:rsidR="00872AE5" w:rsidRPr="005764FC">
        <w:rPr>
          <w:lang w:eastAsia="fr-CA"/>
        </w:rPr>
        <w:t xml:space="preserve"> land transport policy framework </w:t>
      </w:r>
      <w:r w:rsidR="0029252C" w:rsidRPr="005764FC">
        <w:rPr>
          <w:lang w:eastAsia="fr-CA"/>
        </w:rPr>
        <w:t xml:space="preserve">which aims to </w:t>
      </w:r>
      <w:r w:rsidR="0039103E" w:rsidRPr="005764FC">
        <w:rPr>
          <w:lang w:eastAsia="fr-CA"/>
        </w:rPr>
        <w:t>‘</w:t>
      </w:r>
      <w:r w:rsidR="0029252C" w:rsidRPr="005764FC">
        <w:rPr>
          <w:lang w:eastAsia="fr-CA"/>
        </w:rPr>
        <w:t xml:space="preserve">eliminate barriers to deployment, encourage innovation and </w:t>
      </w:r>
      <w:r w:rsidR="0056559E" w:rsidRPr="005764FC">
        <w:rPr>
          <w:lang w:eastAsia="fr-CA"/>
        </w:rPr>
        <w:t>support technology uptake</w:t>
      </w:r>
      <w:r w:rsidR="0039103E" w:rsidRPr="005764FC">
        <w:rPr>
          <w:lang w:eastAsia="fr-CA"/>
        </w:rPr>
        <w:t>’</w:t>
      </w:r>
      <w:r w:rsidR="00E21062" w:rsidRPr="005764FC">
        <w:rPr>
          <w:lang w:eastAsia="fr-CA"/>
        </w:rPr>
        <w:t xml:space="preserve">. </w:t>
      </w:r>
      <w:r w:rsidR="00FB53C9" w:rsidRPr="005764FC">
        <w:rPr>
          <w:lang w:eastAsia="fr-CA"/>
        </w:rPr>
        <w:t>Similarly</w:t>
      </w:r>
      <w:r w:rsidR="00420A52" w:rsidRPr="005764FC">
        <w:rPr>
          <w:lang w:eastAsia="fr-CA"/>
        </w:rPr>
        <w:t>,</w:t>
      </w:r>
      <w:r w:rsidR="00FB53C9" w:rsidRPr="005764FC">
        <w:rPr>
          <w:lang w:eastAsia="fr-CA"/>
        </w:rPr>
        <w:t xml:space="preserve"> </w:t>
      </w:r>
      <w:r w:rsidRPr="005764FC">
        <w:rPr>
          <w:lang w:eastAsia="fr-CA"/>
        </w:rPr>
        <w:t>PA2</w:t>
      </w:r>
      <w:r w:rsidR="000F51AD" w:rsidRPr="005764FC">
        <w:rPr>
          <w:lang w:eastAsia="fr-CA"/>
        </w:rPr>
        <w:t xml:space="preserve"> can </w:t>
      </w:r>
      <w:r w:rsidR="008022CB" w:rsidRPr="005764FC">
        <w:rPr>
          <w:lang w:eastAsia="fr-CA"/>
        </w:rPr>
        <w:t>support</w:t>
      </w:r>
      <w:r w:rsidR="00B32206" w:rsidRPr="005764FC">
        <w:rPr>
          <w:lang w:eastAsia="fr-CA"/>
        </w:rPr>
        <w:t xml:space="preserve"> national road safety strategy directions </w:t>
      </w:r>
      <w:r w:rsidR="00420A52" w:rsidRPr="005764FC">
        <w:rPr>
          <w:lang w:eastAsia="fr-CA"/>
        </w:rPr>
        <w:t>that</w:t>
      </w:r>
      <w:r w:rsidR="006E4EAB" w:rsidRPr="005764FC">
        <w:rPr>
          <w:lang w:eastAsia="fr-CA"/>
        </w:rPr>
        <w:t xml:space="preserve"> </w:t>
      </w:r>
      <w:r w:rsidR="003309D4" w:rsidRPr="005764FC">
        <w:rPr>
          <w:lang w:eastAsia="fr-CA"/>
        </w:rPr>
        <w:t xml:space="preserve">aim to </w:t>
      </w:r>
      <w:r w:rsidR="003309D4" w:rsidRPr="005764FC">
        <w:rPr>
          <w:b/>
          <w:lang w:eastAsia="fr-CA"/>
        </w:rPr>
        <w:t>m</w:t>
      </w:r>
      <w:r w:rsidR="006E4EAB" w:rsidRPr="005764FC">
        <w:rPr>
          <w:b/>
        </w:rPr>
        <w:t>easure transformation of the transport system</w:t>
      </w:r>
      <w:r w:rsidR="006E4EAB" w:rsidRPr="005764FC">
        <w:t xml:space="preserve"> by improving digital capability to understand the road</w:t>
      </w:r>
      <w:r w:rsidR="0039103E" w:rsidRPr="005764FC">
        <w:t xml:space="preserve"> </w:t>
      </w:r>
      <w:r w:rsidR="006E4EAB" w:rsidRPr="005764FC">
        <w:t>environment</w:t>
      </w:r>
      <w:r w:rsidR="00F03EC6" w:rsidRPr="005764FC">
        <w:t xml:space="preserve">. </w:t>
      </w:r>
      <w:r w:rsidRPr="005764FC">
        <w:t>PA2</w:t>
      </w:r>
      <w:r w:rsidR="00F03EC6" w:rsidRPr="005764FC">
        <w:t xml:space="preserve"> can</w:t>
      </w:r>
      <w:r w:rsidR="001347C3" w:rsidRPr="005764FC">
        <w:t xml:space="preserve"> </w:t>
      </w:r>
      <w:r w:rsidR="0039103E" w:rsidRPr="005764FC">
        <w:rPr>
          <w:b/>
        </w:rPr>
        <w:t>help</w:t>
      </w:r>
      <w:r w:rsidR="00DE2159" w:rsidRPr="005764FC">
        <w:rPr>
          <w:b/>
        </w:rPr>
        <w:t xml:space="preserve"> local government</w:t>
      </w:r>
      <w:r w:rsidR="00AA1306" w:rsidRPr="005764FC">
        <w:rPr>
          <w:b/>
        </w:rPr>
        <w:t>s</w:t>
      </w:r>
      <w:r w:rsidR="00DE2159" w:rsidRPr="005764FC">
        <w:rPr>
          <w:b/>
        </w:rPr>
        <w:t xml:space="preserve"> </w:t>
      </w:r>
      <w:r w:rsidR="006E4EAB" w:rsidRPr="005764FC">
        <w:rPr>
          <w:b/>
        </w:rPr>
        <w:t>embed road safety in business</w:t>
      </w:r>
      <w:r w:rsidR="00744C50" w:rsidRPr="005764FC">
        <w:rPr>
          <w:b/>
        </w:rPr>
        <w:t xml:space="preserve"> </w:t>
      </w:r>
      <w:r w:rsidR="006E4EAB" w:rsidRPr="005764FC">
        <w:rPr>
          <w:b/>
        </w:rPr>
        <w:t>as usual</w:t>
      </w:r>
      <w:r w:rsidR="006E4EAB" w:rsidRPr="005764FC">
        <w:t xml:space="preserve"> by </w:t>
      </w:r>
      <w:r w:rsidR="00744C50" w:rsidRPr="005764FC">
        <w:t>enhancing</w:t>
      </w:r>
      <w:r w:rsidR="006E4EAB" w:rsidRPr="005764FC">
        <w:t xml:space="preserve"> </w:t>
      </w:r>
      <w:r w:rsidR="00744C50" w:rsidRPr="005764FC">
        <w:t xml:space="preserve">deployment </w:t>
      </w:r>
      <w:r w:rsidR="006E4EAB" w:rsidRPr="005764FC">
        <w:t>efficiencies through a nationally consistent approach</w:t>
      </w:r>
      <w:r w:rsidR="00F03EC6" w:rsidRPr="005764FC">
        <w:t>. Finally</w:t>
      </w:r>
      <w:r w:rsidR="00744C50" w:rsidRPr="005764FC">
        <w:t>,</w:t>
      </w:r>
      <w:r w:rsidR="00F03EC6" w:rsidRPr="005764FC">
        <w:t xml:space="preserve"> this approach can</w:t>
      </w:r>
      <w:r w:rsidR="003309D4" w:rsidRPr="005764FC">
        <w:t xml:space="preserve"> </w:t>
      </w:r>
      <w:r w:rsidR="00DE2159" w:rsidRPr="005764FC">
        <w:rPr>
          <w:b/>
        </w:rPr>
        <w:t>r</w:t>
      </w:r>
      <w:r w:rsidR="006E4EAB" w:rsidRPr="005764FC">
        <w:rPr>
          <w:b/>
        </w:rPr>
        <w:t xml:space="preserve">educe the age of the fleet and ensure modern safety features in all vehicles </w:t>
      </w:r>
      <w:r w:rsidR="006E4EAB" w:rsidRPr="005764FC">
        <w:t xml:space="preserve">by encouraging vehicle manufacturers to provide </w:t>
      </w:r>
      <w:r w:rsidR="0039103E" w:rsidRPr="005764FC">
        <w:t xml:space="preserve">Australia with </w:t>
      </w:r>
      <w:r w:rsidR="006E4EAB" w:rsidRPr="005764FC">
        <w:t>the latest globally available technolog</w:t>
      </w:r>
      <w:r w:rsidR="0039103E" w:rsidRPr="005764FC">
        <w:t>y</w:t>
      </w:r>
      <w:r w:rsidR="006E4EAB" w:rsidRPr="005764FC">
        <w:t>.</w:t>
      </w:r>
    </w:p>
    <w:p w14:paraId="20C69958" w14:textId="400F3B09" w:rsidR="006F2AEC" w:rsidRPr="005764FC" w:rsidRDefault="0039103E" w:rsidP="00004964">
      <w:pPr>
        <w:pStyle w:val="BodyText"/>
        <w:rPr>
          <w:lang w:eastAsia="fr-CA"/>
        </w:rPr>
      </w:pPr>
      <w:r w:rsidRPr="005764FC">
        <w:rPr>
          <w:lang w:eastAsia="fr-CA"/>
        </w:rPr>
        <w:t>In</w:t>
      </w:r>
      <w:r w:rsidR="002C3F9B" w:rsidRPr="005764FC">
        <w:rPr>
          <w:lang w:eastAsia="fr-CA"/>
        </w:rPr>
        <w:t xml:space="preserve"> the </w:t>
      </w:r>
      <w:r w:rsidRPr="005764FC">
        <w:rPr>
          <w:lang w:eastAsia="fr-CA"/>
        </w:rPr>
        <w:t xml:space="preserve">Australian </w:t>
      </w:r>
      <w:r w:rsidR="002C3F9B" w:rsidRPr="005764FC">
        <w:rPr>
          <w:lang w:eastAsia="fr-CA"/>
        </w:rPr>
        <w:t>context, a regulatory approach</w:t>
      </w:r>
      <w:r w:rsidR="00E064DE" w:rsidRPr="005764FC">
        <w:rPr>
          <w:lang w:eastAsia="fr-CA"/>
        </w:rPr>
        <w:t xml:space="preserve"> (</w:t>
      </w:r>
      <w:r w:rsidR="007F0C99" w:rsidRPr="005764FC">
        <w:rPr>
          <w:lang w:eastAsia="fr-CA"/>
        </w:rPr>
        <w:t>PA3</w:t>
      </w:r>
      <w:r w:rsidR="00E064DE" w:rsidRPr="005764FC">
        <w:rPr>
          <w:lang w:eastAsia="fr-CA"/>
        </w:rPr>
        <w:t>)</w:t>
      </w:r>
      <w:r w:rsidR="002C3F9B" w:rsidRPr="005764FC">
        <w:rPr>
          <w:lang w:eastAsia="fr-CA"/>
        </w:rPr>
        <w:t xml:space="preserve"> </w:t>
      </w:r>
      <w:r w:rsidR="009732D6" w:rsidRPr="005764FC">
        <w:rPr>
          <w:lang w:eastAsia="fr-CA"/>
        </w:rPr>
        <w:t>could be</w:t>
      </w:r>
      <w:r w:rsidR="002C3F9B" w:rsidRPr="005764FC">
        <w:rPr>
          <w:lang w:eastAsia="fr-CA"/>
        </w:rPr>
        <w:t xml:space="preserve"> viewed as a mechanism to achieve these strategies</w:t>
      </w:r>
      <w:r w:rsidR="00AC2C4F" w:rsidRPr="005764FC">
        <w:rPr>
          <w:lang w:eastAsia="fr-CA"/>
        </w:rPr>
        <w:t>. B</w:t>
      </w:r>
      <w:r w:rsidR="00A45928" w:rsidRPr="005764FC">
        <w:rPr>
          <w:lang w:eastAsia="fr-CA"/>
        </w:rPr>
        <w:t xml:space="preserve">ut </w:t>
      </w:r>
      <w:r w:rsidR="00AC2C4F" w:rsidRPr="005764FC">
        <w:rPr>
          <w:lang w:eastAsia="fr-CA"/>
        </w:rPr>
        <w:t xml:space="preserve">it </w:t>
      </w:r>
      <w:r w:rsidR="00C53401" w:rsidRPr="005764FC">
        <w:rPr>
          <w:lang w:eastAsia="fr-CA"/>
        </w:rPr>
        <w:t xml:space="preserve">appears </w:t>
      </w:r>
      <w:r w:rsidR="00B27A69" w:rsidRPr="005764FC">
        <w:rPr>
          <w:lang w:eastAsia="fr-CA"/>
        </w:rPr>
        <w:t xml:space="preserve">premature without </w:t>
      </w:r>
      <w:r w:rsidR="00232009" w:rsidRPr="005764FC">
        <w:rPr>
          <w:lang w:eastAsia="fr-CA"/>
        </w:rPr>
        <w:t>a</w:t>
      </w:r>
      <w:r w:rsidR="00B27A69" w:rsidRPr="005764FC">
        <w:rPr>
          <w:lang w:eastAsia="fr-CA"/>
        </w:rPr>
        <w:t xml:space="preserve"> long-term national framework </w:t>
      </w:r>
      <w:r w:rsidR="002976A9" w:rsidRPr="005764FC">
        <w:rPr>
          <w:lang w:eastAsia="fr-CA"/>
        </w:rPr>
        <w:t xml:space="preserve">and deployment </w:t>
      </w:r>
      <w:r w:rsidR="006D47F4" w:rsidRPr="005764FC">
        <w:rPr>
          <w:lang w:eastAsia="fr-CA"/>
        </w:rPr>
        <w:t>already</w:t>
      </w:r>
      <w:r w:rsidR="00232009" w:rsidRPr="005764FC">
        <w:rPr>
          <w:lang w:eastAsia="fr-CA"/>
        </w:rPr>
        <w:t xml:space="preserve"> in place</w:t>
      </w:r>
      <w:r w:rsidR="00333975" w:rsidRPr="005764FC">
        <w:rPr>
          <w:lang w:eastAsia="fr-CA"/>
        </w:rPr>
        <w:t xml:space="preserve"> </w:t>
      </w:r>
      <w:r w:rsidR="00AC2C4F" w:rsidRPr="005764FC">
        <w:rPr>
          <w:lang w:eastAsia="fr-CA"/>
        </w:rPr>
        <w:t>(</w:t>
      </w:r>
      <w:r w:rsidR="00333975" w:rsidRPr="005764FC">
        <w:rPr>
          <w:lang w:eastAsia="fr-CA"/>
        </w:rPr>
        <w:t>such as</w:t>
      </w:r>
      <w:r w:rsidR="002976A9" w:rsidRPr="005764FC">
        <w:rPr>
          <w:lang w:eastAsia="fr-CA"/>
        </w:rPr>
        <w:t xml:space="preserve"> demonstrated in Europe as </w:t>
      </w:r>
      <w:r w:rsidR="00AC2C4F" w:rsidRPr="005764FC">
        <w:rPr>
          <w:lang w:eastAsia="fr-CA"/>
        </w:rPr>
        <w:t>it</w:t>
      </w:r>
      <w:r w:rsidR="002976A9" w:rsidRPr="005764FC">
        <w:rPr>
          <w:lang w:eastAsia="fr-CA"/>
        </w:rPr>
        <w:t xml:space="preserve"> move</w:t>
      </w:r>
      <w:r w:rsidR="00AC2C4F" w:rsidRPr="005764FC">
        <w:rPr>
          <w:lang w:eastAsia="fr-CA"/>
        </w:rPr>
        <w:t>s</w:t>
      </w:r>
      <w:r w:rsidR="002976A9" w:rsidRPr="005764FC">
        <w:rPr>
          <w:lang w:eastAsia="fr-CA"/>
        </w:rPr>
        <w:t xml:space="preserve"> </w:t>
      </w:r>
      <w:r w:rsidR="00E064DE" w:rsidRPr="005764FC">
        <w:rPr>
          <w:lang w:eastAsia="fr-CA"/>
        </w:rPr>
        <w:t>on regulatory proposals</w:t>
      </w:r>
      <w:r w:rsidR="00AC2C4F" w:rsidRPr="005764FC">
        <w:rPr>
          <w:lang w:eastAsia="fr-CA"/>
        </w:rPr>
        <w:t>)</w:t>
      </w:r>
      <w:r w:rsidR="00E064DE" w:rsidRPr="005764FC">
        <w:rPr>
          <w:lang w:eastAsia="fr-CA"/>
        </w:rPr>
        <w:t xml:space="preserve">. </w:t>
      </w:r>
      <w:r w:rsidR="008C3E07" w:rsidRPr="005764FC">
        <w:rPr>
          <w:lang w:eastAsia="fr-CA"/>
        </w:rPr>
        <w:t xml:space="preserve">Australian government </w:t>
      </w:r>
      <w:r w:rsidR="009F6FFE" w:rsidRPr="005764FC">
        <w:rPr>
          <w:lang w:eastAsia="fr-CA"/>
        </w:rPr>
        <w:t>technology principles preference collaborative agreements or self-regulation before pursuing formal regulation</w:t>
      </w:r>
      <w:r w:rsidR="00AD0556">
        <w:rPr>
          <w:lang w:eastAsia="fr-CA"/>
        </w:rPr>
        <w:t xml:space="preserve"> </w:t>
      </w:r>
      <w:sdt>
        <w:sdtPr>
          <w:rPr>
            <w:lang w:eastAsia="fr-CA"/>
          </w:rPr>
          <w:id w:val="-705637303"/>
          <w:citation/>
        </w:sdtPr>
        <w:sdtContent>
          <w:r w:rsidR="00AD0556">
            <w:rPr>
              <w:lang w:eastAsia="fr-CA"/>
            </w:rPr>
            <w:fldChar w:fldCharType="begin"/>
          </w:r>
          <w:r w:rsidR="00AD0556">
            <w:rPr>
              <w:lang w:eastAsia="fr-CA"/>
            </w:rPr>
            <w:instrText xml:space="preserve"> CITATION DIT191 \l 3081 </w:instrText>
          </w:r>
          <w:r w:rsidR="00AD0556">
            <w:rPr>
              <w:lang w:eastAsia="fr-CA"/>
            </w:rPr>
            <w:fldChar w:fldCharType="separate"/>
          </w:r>
          <w:r w:rsidR="001428F9">
            <w:rPr>
              <w:noProof/>
              <w:lang w:eastAsia="fr-CA"/>
            </w:rPr>
            <w:t>(Transport and Infrastructure Council, 2019)</w:t>
          </w:r>
          <w:r w:rsidR="00AD0556">
            <w:rPr>
              <w:lang w:eastAsia="fr-CA"/>
            </w:rPr>
            <w:fldChar w:fldCharType="end"/>
          </w:r>
        </w:sdtContent>
      </w:sdt>
      <w:r w:rsidR="00AC2C4F" w:rsidRPr="005764FC">
        <w:rPr>
          <w:lang w:eastAsia="fr-CA"/>
        </w:rPr>
        <w:t>.</w:t>
      </w:r>
      <w:r w:rsidR="00B44E57" w:rsidRPr="005764FC">
        <w:rPr>
          <w:lang w:eastAsia="fr-CA"/>
        </w:rPr>
        <w:t xml:space="preserve"> </w:t>
      </w:r>
      <w:r w:rsidR="00EE0315" w:rsidRPr="005764FC">
        <w:rPr>
          <w:lang w:eastAsia="fr-CA"/>
        </w:rPr>
        <w:t xml:space="preserve">The proposed amendment to </w:t>
      </w:r>
      <w:r w:rsidR="00AC2C4F" w:rsidRPr="005764FC">
        <w:rPr>
          <w:lang w:eastAsia="fr-CA"/>
        </w:rPr>
        <w:t>Europe’s</w:t>
      </w:r>
      <w:r w:rsidR="00EE0315" w:rsidRPr="005764FC">
        <w:rPr>
          <w:lang w:eastAsia="fr-CA"/>
        </w:rPr>
        <w:t xml:space="preserve"> ITS directive opened for comment in December 2021</w:t>
      </w:r>
      <w:r w:rsidR="00AC2C4F" w:rsidRPr="005764FC">
        <w:rPr>
          <w:lang w:eastAsia="fr-CA"/>
        </w:rPr>
        <w:t>,</w:t>
      </w:r>
      <w:r w:rsidR="00EE0315" w:rsidRPr="005764FC">
        <w:rPr>
          <w:lang w:eastAsia="fr-CA"/>
        </w:rPr>
        <w:t xml:space="preserve"> and </w:t>
      </w:r>
      <w:r w:rsidR="00AC2C4F" w:rsidRPr="005764FC">
        <w:rPr>
          <w:lang w:eastAsia="fr-CA"/>
        </w:rPr>
        <w:t xml:space="preserve">its outcome </w:t>
      </w:r>
      <w:r w:rsidR="00EE0315" w:rsidRPr="005764FC">
        <w:rPr>
          <w:lang w:eastAsia="fr-CA"/>
        </w:rPr>
        <w:t>should be monitored.</w:t>
      </w:r>
      <w:r w:rsidR="00CD3DE5" w:rsidRPr="005764FC">
        <w:rPr>
          <w:lang w:eastAsia="fr-CA"/>
        </w:rPr>
        <w:t xml:space="preserve"> If </w:t>
      </w:r>
      <w:r w:rsidR="007F0C99" w:rsidRPr="005764FC">
        <w:rPr>
          <w:lang w:eastAsia="fr-CA"/>
        </w:rPr>
        <w:t>PA3</w:t>
      </w:r>
      <w:r w:rsidR="00CD3DE5" w:rsidRPr="005764FC">
        <w:rPr>
          <w:lang w:eastAsia="fr-CA"/>
        </w:rPr>
        <w:t xml:space="preserve"> were to be </w:t>
      </w:r>
      <w:r w:rsidR="00673223" w:rsidRPr="005764FC">
        <w:rPr>
          <w:lang w:eastAsia="fr-CA"/>
        </w:rPr>
        <w:t xml:space="preserve">pursued </w:t>
      </w:r>
      <w:r w:rsidR="00CD3DE5" w:rsidRPr="005764FC">
        <w:rPr>
          <w:lang w:eastAsia="fr-CA"/>
        </w:rPr>
        <w:t xml:space="preserve">it would </w:t>
      </w:r>
      <w:r w:rsidR="001D5799" w:rsidRPr="005764FC">
        <w:rPr>
          <w:lang w:eastAsia="fr-CA"/>
        </w:rPr>
        <w:t>take a</w:t>
      </w:r>
      <w:r w:rsidR="00AC2C4F" w:rsidRPr="005764FC">
        <w:rPr>
          <w:lang w:eastAsia="fr-CA"/>
        </w:rPr>
        <w:t>n</w:t>
      </w:r>
      <w:r w:rsidR="001D5799" w:rsidRPr="005764FC">
        <w:rPr>
          <w:lang w:eastAsia="fr-CA"/>
        </w:rPr>
        <w:t xml:space="preserve"> extensive period </w:t>
      </w:r>
      <w:r w:rsidR="00AC2C4F" w:rsidRPr="005764FC">
        <w:rPr>
          <w:lang w:eastAsia="fr-CA"/>
        </w:rPr>
        <w:t>to</w:t>
      </w:r>
      <w:r w:rsidR="001D5799" w:rsidRPr="005764FC">
        <w:rPr>
          <w:lang w:eastAsia="fr-CA"/>
        </w:rPr>
        <w:t xml:space="preserve"> </w:t>
      </w:r>
      <w:r w:rsidR="000C141F" w:rsidRPr="005764FC">
        <w:rPr>
          <w:lang w:eastAsia="fr-CA"/>
        </w:rPr>
        <w:t>implement</w:t>
      </w:r>
      <w:r w:rsidR="008A0F42" w:rsidRPr="005764FC">
        <w:rPr>
          <w:lang w:eastAsia="fr-CA"/>
        </w:rPr>
        <w:t xml:space="preserve"> the regulation</w:t>
      </w:r>
      <w:r w:rsidR="00AC2C4F" w:rsidRPr="005764FC">
        <w:rPr>
          <w:lang w:eastAsia="fr-CA"/>
        </w:rPr>
        <w:t xml:space="preserve"> process.</w:t>
      </w:r>
      <w:r w:rsidR="004647FD" w:rsidRPr="005764FC">
        <w:rPr>
          <w:lang w:eastAsia="fr-CA"/>
        </w:rPr>
        <w:t xml:space="preserve"> S</w:t>
      </w:r>
      <w:r w:rsidR="008A0F42" w:rsidRPr="005764FC">
        <w:rPr>
          <w:lang w:eastAsia="fr-CA"/>
        </w:rPr>
        <w:t xml:space="preserve">ignificant changes to Australian Design Rules could </w:t>
      </w:r>
      <w:r w:rsidR="004647FD" w:rsidRPr="005764FC">
        <w:rPr>
          <w:lang w:eastAsia="fr-CA"/>
        </w:rPr>
        <w:t xml:space="preserve">also </w:t>
      </w:r>
      <w:r w:rsidR="008A0F42" w:rsidRPr="005764FC">
        <w:rPr>
          <w:lang w:eastAsia="fr-CA"/>
        </w:rPr>
        <w:t>take a long time, potentially 5 year</w:t>
      </w:r>
      <w:r w:rsidR="000C141F" w:rsidRPr="005764FC">
        <w:rPr>
          <w:lang w:eastAsia="fr-CA"/>
        </w:rPr>
        <w:t>s or more</w:t>
      </w:r>
      <w:r w:rsidR="004647FD" w:rsidRPr="005764FC">
        <w:rPr>
          <w:lang w:eastAsia="fr-CA"/>
        </w:rPr>
        <w:t>.</w:t>
      </w:r>
      <w:r w:rsidR="000C141F" w:rsidRPr="005764FC">
        <w:rPr>
          <w:lang w:eastAsia="fr-CA"/>
        </w:rPr>
        <w:t xml:space="preserve"> </w:t>
      </w:r>
    </w:p>
    <w:p w14:paraId="1F2D71EF" w14:textId="24E38AC4" w:rsidR="005036C0" w:rsidRPr="005764FC" w:rsidRDefault="001128B2" w:rsidP="008E03A7">
      <w:pPr>
        <w:pStyle w:val="Heading4"/>
      </w:pPr>
      <w:bookmarkStart w:id="203" w:name="_Ref93524789"/>
      <w:r w:rsidRPr="005764FC">
        <w:t>Socioecon</w:t>
      </w:r>
      <w:r w:rsidR="00DE37E8" w:rsidRPr="005764FC">
        <w:t>omic Benefit</w:t>
      </w:r>
      <w:bookmarkEnd w:id="203"/>
    </w:p>
    <w:p w14:paraId="50FC1B8E" w14:textId="48E94249" w:rsidR="006A3325" w:rsidRPr="005764FC" w:rsidRDefault="007643CA" w:rsidP="00004964">
      <w:pPr>
        <w:pStyle w:val="BodyText"/>
        <w:rPr>
          <w:lang w:eastAsia="fr-CA"/>
        </w:rPr>
      </w:pPr>
      <w:r w:rsidRPr="005764FC">
        <w:t>N</w:t>
      </w:r>
      <w:r w:rsidR="00C418A2" w:rsidRPr="005764FC">
        <w:t xml:space="preserve">ew transport technologies </w:t>
      </w:r>
      <w:r w:rsidRPr="005764FC">
        <w:t xml:space="preserve">such as C-ITS </w:t>
      </w:r>
      <w:r w:rsidR="009D7E52" w:rsidRPr="005764FC">
        <w:t>provide the potential</w:t>
      </w:r>
      <w:r w:rsidR="00C418A2" w:rsidRPr="005764FC">
        <w:t xml:space="preserve"> to </w:t>
      </w:r>
      <w:r w:rsidR="000A5155" w:rsidRPr="005764FC">
        <w:t xml:space="preserve">disrupt the </w:t>
      </w:r>
      <w:r w:rsidR="004647FD" w:rsidRPr="005764FC">
        <w:rPr>
          <w:lang w:eastAsia="fr-CA"/>
        </w:rPr>
        <w:t xml:space="preserve">current transport environment </w:t>
      </w:r>
      <w:r w:rsidR="000A5155" w:rsidRPr="005764FC">
        <w:t>trend</w:t>
      </w:r>
      <w:r w:rsidR="004647FD" w:rsidRPr="005764FC">
        <w:t>s</w:t>
      </w:r>
      <w:r w:rsidR="00F02D06" w:rsidRPr="005764FC">
        <w:t xml:space="preserve"> where</w:t>
      </w:r>
      <w:r w:rsidR="004647FD" w:rsidRPr="005764FC">
        <w:t xml:space="preserve"> </w:t>
      </w:r>
      <w:r w:rsidR="00F02D06" w:rsidRPr="00223C8D">
        <w:rPr>
          <w:lang w:eastAsia="fr-CA"/>
        </w:rPr>
        <w:t>worsening road network efficiency</w:t>
      </w:r>
      <w:r w:rsidR="00F02D06" w:rsidRPr="00223C8D">
        <w:t xml:space="preserve"> does not</w:t>
      </w:r>
      <w:r w:rsidR="000A5155" w:rsidRPr="00223C8D">
        <w:rPr>
          <w:lang w:eastAsia="fr-CA"/>
        </w:rPr>
        <w:t xml:space="preserve"> sufficiently meet strategic priorities </w:t>
      </w:r>
      <w:r w:rsidR="00F02D06" w:rsidRPr="00223C8D">
        <w:rPr>
          <w:lang w:eastAsia="fr-CA"/>
        </w:rPr>
        <w:t>or</w:t>
      </w:r>
      <w:r w:rsidR="000A5155" w:rsidRPr="00223C8D">
        <w:rPr>
          <w:lang w:eastAsia="fr-CA"/>
        </w:rPr>
        <w:t xml:space="preserve"> Vision Zero road safety targets</w:t>
      </w:r>
      <w:r w:rsidR="00641A71" w:rsidRPr="00223C8D">
        <w:rPr>
          <w:lang w:eastAsia="fr-CA"/>
        </w:rPr>
        <w:t xml:space="preserve">. </w:t>
      </w:r>
      <w:r w:rsidR="00B56532" w:rsidRPr="00223C8D">
        <w:t>The CBA</w:t>
      </w:r>
      <w:r w:rsidR="00DF606D" w:rsidRPr="00223C8D">
        <w:t>,</w:t>
      </w:r>
      <w:r w:rsidR="00B56532" w:rsidRPr="00223C8D">
        <w:t xml:space="preserve"> outlined in Section </w:t>
      </w:r>
      <w:r w:rsidR="00B56532" w:rsidRPr="00223C8D">
        <w:fldChar w:fldCharType="begin" w:fldLock="1"/>
      </w:r>
      <w:r w:rsidR="00B56532" w:rsidRPr="00223C8D">
        <w:instrText xml:space="preserve"> REF _Ref90971055 \r \h </w:instrText>
      </w:r>
      <w:r w:rsidR="00D51F5F" w:rsidRPr="00223C8D">
        <w:instrText xml:space="preserve"> \* MERGEFORMAT </w:instrText>
      </w:r>
      <w:r w:rsidR="00B56532" w:rsidRPr="00223C8D">
        <w:fldChar w:fldCharType="separate"/>
      </w:r>
      <w:r w:rsidR="00A34B27">
        <w:t>1.5.3</w:t>
      </w:r>
      <w:r w:rsidR="00B56532" w:rsidRPr="00223C8D">
        <w:fldChar w:fldCharType="end"/>
      </w:r>
      <w:r w:rsidR="00DF606D" w:rsidRPr="00223C8D">
        <w:t xml:space="preserve">, </w:t>
      </w:r>
      <w:r w:rsidR="002D035A" w:rsidRPr="00223C8D">
        <w:t xml:space="preserve">analysed the socioeconomic </w:t>
      </w:r>
      <w:r w:rsidR="000E1D05" w:rsidRPr="00223C8D">
        <w:t>benefits</w:t>
      </w:r>
      <w:r w:rsidR="002D035A" w:rsidRPr="00223C8D">
        <w:t xml:space="preserve"> of safety and efficiency </w:t>
      </w:r>
      <w:r w:rsidR="007878AC" w:rsidRPr="00223C8D">
        <w:t xml:space="preserve">where the base case or </w:t>
      </w:r>
      <w:r w:rsidR="000D03BB" w:rsidRPr="00223C8D">
        <w:t xml:space="preserve">limited infrastructure (V2V only) scenarios </w:t>
      </w:r>
      <w:r w:rsidR="00C5274E" w:rsidRPr="00223C8D">
        <w:t>represented similarities to a market-led (PA1) approach</w:t>
      </w:r>
      <w:r w:rsidR="00CD77F6" w:rsidRPr="00223C8D">
        <w:t xml:space="preserve"> and </w:t>
      </w:r>
      <w:r w:rsidR="009A15A0" w:rsidRPr="00223C8D">
        <w:t xml:space="preserve">all other CBA options </w:t>
      </w:r>
      <w:r w:rsidR="001A4FC1" w:rsidRPr="00223C8D">
        <w:t>that</w:t>
      </w:r>
      <w:r w:rsidR="00C26390" w:rsidRPr="00223C8D">
        <w:t xml:space="preserve"> include infrastructure </w:t>
      </w:r>
      <w:r w:rsidR="00C74746" w:rsidRPr="00223C8D">
        <w:t>align to a</w:t>
      </w:r>
      <w:r w:rsidR="00C26390" w:rsidRPr="00223C8D">
        <w:t xml:space="preserve"> government leadership (PA2)</w:t>
      </w:r>
      <w:r w:rsidR="00C74746" w:rsidRPr="00223C8D">
        <w:t xml:space="preserve"> approach</w:t>
      </w:r>
      <w:r w:rsidR="00C5274E" w:rsidRPr="00223C8D">
        <w:t xml:space="preserve">. </w:t>
      </w:r>
      <w:r w:rsidR="00F459C7" w:rsidRPr="00223C8D">
        <w:t xml:space="preserve">The BCRs at a national level found that the market-led (PA1) would not suffice for realising 10-year return-on-investment societal benefits in safety and efficiency. </w:t>
      </w:r>
      <w:r w:rsidR="00982196" w:rsidRPr="00223C8D">
        <w:t>While a</w:t>
      </w:r>
      <w:r w:rsidR="00F459C7" w:rsidRPr="00223C8D">
        <w:t xml:space="preserve">ll </w:t>
      </w:r>
      <w:r w:rsidR="00982196" w:rsidRPr="00223C8D">
        <w:t>infrastructure options</w:t>
      </w:r>
      <w:r w:rsidR="00F459C7" w:rsidRPr="00223C8D">
        <w:t xml:space="preserve"> driven by government leadership (PA2), </w:t>
      </w:r>
      <w:r w:rsidR="0032713B" w:rsidRPr="00223C8D">
        <w:t>resulted in</w:t>
      </w:r>
      <w:r w:rsidR="00F459C7" w:rsidRPr="00223C8D">
        <w:t xml:space="preserve"> a positive return on investment.</w:t>
      </w:r>
    </w:p>
    <w:p w14:paraId="45C07145" w14:textId="137A1838" w:rsidR="001765F7" w:rsidRPr="005764FC" w:rsidRDefault="00615BD7" w:rsidP="0034671B">
      <w:pPr>
        <w:pStyle w:val="BodyText"/>
        <w:rPr>
          <w:lang w:eastAsia="fr-CA"/>
        </w:rPr>
      </w:pPr>
      <w:r w:rsidRPr="005764FC">
        <w:rPr>
          <w:lang w:eastAsia="fr-CA"/>
        </w:rPr>
        <w:t xml:space="preserve">Four economically viable options </w:t>
      </w:r>
      <w:r w:rsidR="00974519" w:rsidRPr="005764FC">
        <w:rPr>
          <w:lang w:eastAsia="fr-CA"/>
        </w:rPr>
        <w:t xml:space="preserve">tested </w:t>
      </w:r>
      <w:r w:rsidRPr="005764FC">
        <w:rPr>
          <w:lang w:eastAsia="fr-CA"/>
        </w:rPr>
        <w:t xml:space="preserve">for national </w:t>
      </w:r>
      <w:r w:rsidR="00974519" w:rsidRPr="005764FC">
        <w:rPr>
          <w:lang w:eastAsia="fr-CA"/>
        </w:rPr>
        <w:t xml:space="preserve">C‑ITS </w:t>
      </w:r>
      <w:r w:rsidRPr="005764FC">
        <w:rPr>
          <w:lang w:eastAsia="fr-CA"/>
        </w:rPr>
        <w:t xml:space="preserve">deployment </w:t>
      </w:r>
      <w:r w:rsidR="002A23DC" w:rsidRPr="005764FC">
        <w:rPr>
          <w:lang w:eastAsia="fr-CA"/>
        </w:rPr>
        <w:t>have</w:t>
      </w:r>
      <w:r w:rsidRPr="005764FC">
        <w:rPr>
          <w:lang w:eastAsia="fr-CA"/>
        </w:rPr>
        <w:t xml:space="preserve"> BCRs ranging between 1.4 and 2.9. In all cases, </w:t>
      </w:r>
      <w:r w:rsidR="005753BE" w:rsidRPr="005764FC">
        <w:t>as much as 93</w:t>
      </w:r>
      <w:r w:rsidR="006B4DBA" w:rsidRPr="005764FC">
        <w:t>–</w:t>
      </w:r>
      <w:r w:rsidR="005753BE" w:rsidRPr="005764FC">
        <w:t>99</w:t>
      </w:r>
      <w:r w:rsidR="006B4DBA" w:rsidRPr="005764FC">
        <w:t xml:space="preserve"> per cent</w:t>
      </w:r>
      <w:r w:rsidR="005753BE" w:rsidRPr="005764FC">
        <w:t xml:space="preserve"> </w:t>
      </w:r>
      <w:r w:rsidR="00D6438C" w:rsidRPr="005764FC">
        <w:t>of</w:t>
      </w:r>
      <w:r w:rsidRPr="005764FC">
        <w:rPr>
          <w:lang w:eastAsia="fr-CA"/>
        </w:rPr>
        <w:t xml:space="preserve"> the costs </w:t>
      </w:r>
      <w:r w:rsidR="005753BE" w:rsidRPr="005764FC">
        <w:t xml:space="preserve">(over time) </w:t>
      </w:r>
      <w:r w:rsidRPr="005764FC">
        <w:rPr>
          <w:lang w:eastAsia="fr-CA"/>
        </w:rPr>
        <w:t xml:space="preserve">are borne by vehicle manufacturer investment (and end users). </w:t>
      </w:r>
      <w:r w:rsidR="00505256" w:rsidRPr="005764FC">
        <w:t>This is positive as the costs are more directly linked to the vehicle manufacturer or technology provider sell</w:t>
      </w:r>
      <w:r w:rsidR="005753BE" w:rsidRPr="005764FC">
        <w:t>ing</w:t>
      </w:r>
      <w:r w:rsidR="00505256" w:rsidRPr="005764FC">
        <w:t xml:space="preserve"> more attractive, useful products and services</w:t>
      </w:r>
      <w:r w:rsidR="009C6167" w:rsidRPr="005764FC">
        <w:t xml:space="preserve"> over time</w:t>
      </w:r>
      <w:r w:rsidR="00505256" w:rsidRPr="005764FC">
        <w:t>.</w:t>
      </w:r>
      <w:r w:rsidR="0034671B" w:rsidRPr="005764FC">
        <w:t xml:space="preserve"> </w:t>
      </w:r>
      <w:r w:rsidR="00505256" w:rsidRPr="005764FC">
        <w:t xml:space="preserve">However, V2Vs’ </w:t>
      </w:r>
      <w:r w:rsidR="00221B25" w:rsidRPr="005764FC">
        <w:t>(</w:t>
      </w:r>
      <w:r w:rsidR="007F0C99" w:rsidRPr="005764FC">
        <w:t>PA1</w:t>
      </w:r>
      <w:r w:rsidR="00221B25" w:rsidRPr="005764FC">
        <w:t xml:space="preserve">) </w:t>
      </w:r>
      <w:r w:rsidR="00505256" w:rsidRPr="005764FC">
        <w:t xml:space="preserve">benefits are insufficient and cannot be immediately achieved. Government investment </w:t>
      </w:r>
      <w:r w:rsidR="00031601" w:rsidRPr="005764FC">
        <w:t>(</w:t>
      </w:r>
      <w:r w:rsidR="007F0C99" w:rsidRPr="005764FC">
        <w:t>PA2</w:t>
      </w:r>
      <w:r w:rsidR="00031601" w:rsidRPr="005764FC">
        <w:t xml:space="preserve"> minimum) </w:t>
      </w:r>
      <w:r w:rsidR="00505256" w:rsidRPr="005764FC">
        <w:t>is needed to support in-vehicle equipment investments underway, by providing data and infrastructure that gives end users information and encourages take up of equipped vehicles.</w:t>
      </w:r>
      <w:r w:rsidR="00505256" w:rsidRPr="005764FC">
        <w:rPr>
          <w:lang w:eastAsia="fr-CA"/>
        </w:rPr>
        <w:t xml:space="preserve"> </w:t>
      </w:r>
      <w:r w:rsidRPr="005764FC">
        <w:rPr>
          <w:lang w:eastAsia="fr-CA"/>
        </w:rPr>
        <w:t xml:space="preserve">From a government perspective, investment </w:t>
      </w:r>
      <w:r w:rsidR="008E2456" w:rsidRPr="005764FC">
        <w:rPr>
          <w:lang w:eastAsia="fr-CA"/>
        </w:rPr>
        <w:t xml:space="preserve">is </w:t>
      </w:r>
      <w:r w:rsidR="00443AB6" w:rsidRPr="005764FC">
        <w:rPr>
          <w:lang w:eastAsia="fr-CA"/>
        </w:rPr>
        <w:t>a</w:t>
      </w:r>
      <w:r w:rsidR="006418DC" w:rsidRPr="005764FC">
        <w:rPr>
          <w:lang w:eastAsia="fr-CA"/>
        </w:rPr>
        <w:t xml:space="preserve">ttractive </w:t>
      </w:r>
      <w:r w:rsidR="00CD4E1B">
        <w:rPr>
          <w:lang w:eastAsia="fr-CA"/>
        </w:rPr>
        <w:t>as</w:t>
      </w:r>
      <w:r w:rsidR="00CD4E1B" w:rsidRPr="005764FC">
        <w:rPr>
          <w:lang w:eastAsia="fr-CA"/>
        </w:rPr>
        <w:t xml:space="preserve"> </w:t>
      </w:r>
      <w:r w:rsidR="00C43AF7" w:rsidRPr="005764FC">
        <w:rPr>
          <w:lang w:eastAsia="fr-CA"/>
        </w:rPr>
        <w:t xml:space="preserve">societal </w:t>
      </w:r>
      <w:r w:rsidR="004F387C" w:rsidRPr="005764FC">
        <w:rPr>
          <w:lang w:eastAsia="fr-CA"/>
        </w:rPr>
        <w:t xml:space="preserve">benefits </w:t>
      </w:r>
      <w:r w:rsidR="00704049">
        <w:rPr>
          <w:lang w:eastAsia="fr-CA"/>
        </w:rPr>
        <w:t xml:space="preserve">can </w:t>
      </w:r>
      <w:r w:rsidR="006E6DF7" w:rsidRPr="005764FC">
        <w:rPr>
          <w:lang w:eastAsia="fr-CA"/>
        </w:rPr>
        <w:t>realise</w:t>
      </w:r>
      <w:r w:rsidR="00584B49" w:rsidRPr="005764FC">
        <w:rPr>
          <w:lang w:eastAsia="fr-CA"/>
        </w:rPr>
        <w:t xml:space="preserve"> </w:t>
      </w:r>
      <w:r w:rsidRPr="005764FC">
        <w:rPr>
          <w:lang w:eastAsia="fr-CA"/>
        </w:rPr>
        <w:t xml:space="preserve">yields </w:t>
      </w:r>
      <w:r w:rsidR="008D2F41" w:rsidRPr="005764FC">
        <w:rPr>
          <w:lang w:eastAsia="fr-CA"/>
        </w:rPr>
        <w:t>of</w:t>
      </w:r>
      <w:r w:rsidRPr="005764FC">
        <w:rPr>
          <w:lang w:eastAsia="fr-CA"/>
        </w:rPr>
        <w:t xml:space="preserve"> x25 fold return on </w:t>
      </w:r>
      <w:r w:rsidR="0038044F" w:rsidRPr="005764FC">
        <w:rPr>
          <w:lang w:eastAsia="fr-CA"/>
        </w:rPr>
        <w:t>th</w:t>
      </w:r>
      <w:r w:rsidR="00704049">
        <w:rPr>
          <w:lang w:eastAsia="fr-CA"/>
        </w:rPr>
        <w:t>at</w:t>
      </w:r>
      <w:r w:rsidR="0038044F" w:rsidRPr="005764FC">
        <w:rPr>
          <w:lang w:eastAsia="fr-CA"/>
        </w:rPr>
        <w:t xml:space="preserve"> </w:t>
      </w:r>
      <w:r w:rsidRPr="005764FC">
        <w:rPr>
          <w:lang w:eastAsia="fr-CA"/>
        </w:rPr>
        <w:t>investment</w:t>
      </w:r>
      <w:r w:rsidR="00084DFC" w:rsidRPr="005764FC">
        <w:rPr>
          <w:lang w:eastAsia="fr-CA"/>
        </w:rPr>
        <w:t xml:space="preserve">. </w:t>
      </w:r>
      <w:r w:rsidR="000B7C55" w:rsidRPr="005764FC">
        <w:rPr>
          <w:lang w:eastAsia="fr-CA"/>
        </w:rPr>
        <w:t>This means</w:t>
      </w:r>
      <w:r w:rsidR="000B4F66" w:rsidRPr="005764FC">
        <w:rPr>
          <w:lang w:eastAsia="fr-CA"/>
        </w:rPr>
        <w:t xml:space="preserve"> </w:t>
      </w:r>
      <w:r w:rsidR="001774B5" w:rsidRPr="005764FC">
        <w:rPr>
          <w:lang w:eastAsia="fr-CA"/>
        </w:rPr>
        <w:t xml:space="preserve">all benefits </w:t>
      </w:r>
      <w:r w:rsidR="00492A85" w:rsidRPr="005764FC">
        <w:rPr>
          <w:lang w:eastAsia="fr-CA"/>
        </w:rPr>
        <w:t xml:space="preserve">considered in the CBA are relevant to </w:t>
      </w:r>
      <w:r w:rsidR="00FD2D3D" w:rsidRPr="005764FC">
        <w:rPr>
          <w:lang w:eastAsia="fr-CA"/>
        </w:rPr>
        <w:t>government</w:t>
      </w:r>
      <w:r w:rsidR="00CD4E1B">
        <w:rPr>
          <w:lang w:eastAsia="fr-CA"/>
        </w:rPr>
        <w:t>s</w:t>
      </w:r>
      <w:r w:rsidR="00A952C1">
        <w:rPr>
          <w:lang w:eastAsia="fr-CA"/>
        </w:rPr>
        <w:t>’</w:t>
      </w:r>
      <w:r w:rsidR="00FD2D3D" w:rsidRPr="005764FC">
        <w:rPr>
          <w:lang w:eastAsia="fr-CA"/>
        </w:rPr>
        <w:t xml:space="preserve"> strate</w:t>
      </w:r>
      <w:r w:rsidR="00490FF3" w:rsidRPr="005764FC">
        <w:rPr>
          <w:lang w:eastAsia="fr-CA"/>
        </w:rPr>
        <w:t>gic objectives</w:t>
      </w:r>
      <w:r w:rsidR="00D62E79" w:rsidRPr="005764FC">
        <w:rPr>
          <w:lang w:eastAsia="fr-CA"/>
        </w:rPr>
        <w:t>,</w:t>
      </w:r>
      <w:r w:rsidR="00490FF3" w:rsidRPr="005764FC">
        <w:rPr>
          <w:lang w:eastAsia="fr-CA"/>
        </w:rPr>
        <w:t xml:space="preserve"> </w:t>
      </w:r>
      <w:r w:rsidR="00704049">
        <w:rPr>
          <w:lang w:eastAsia="fr-CA"/>
        </w:rPr>
        <w:t>as</w:t>
      </w:r>
      <w:r w:rsidR="00704049" w:rsidRPr="005764FC">
        <w:rPr>
          <w:lang w:eastAsia="fr-CA"/>
        </w:rPr>
        <w:t xml:space="preserve"> </w:t>
      </w:r>
      <w:r w:rsidR="003F58FF" w:rsidRPr="005764FC">
        <w:rPr>
          <w:lang w:eastAsia="fr-CA"/>
        </w:rPr>
        <w:t>government</w:t>
      </w:r>
      <w:r w:rsidR="00704049">
        <w:rPr>
          <w:lang w:eastAsia="fr-CA"/>
        </w:rPr>
        <w:t xml:space="preserve"> </w:t>
      </w:r>
      <w:r w:rsidR="00D70A2B">
        <w:rPr>
          <w:lang w:eastAsia="fr-CA"/>
        </w:rPr>
        <w:t xml:space="preserve">contribution </w:t>
      </w:r>
      <w:r w:rsidR="00704049">
        <w:rPr>
          <w:lang w:eastAsia="fr-CA"/>
        </w:rPr>
        <w:t xml:space="preserve">would </w:t>
      </w:r>
      <w:r w:rsidR="00D70A2B">
        <w:rPr>
          <w:lang w:eastAsia="fr-CA"/>
        </w:rPr>
        <w:t>be in the order of</w:t>
      </w:r>
      <w:r w:rsidR="00704049" w:rsidRPr="005764FC">
        <w:rPr>
          <w:lang w:eastAsia="fr-CA"/>
        </w:rPr>
        <w:t xml:space="preserve"> </w:t>
      </w:r>
      <w:r w:rsidR="002C66CC" w:rsidRPr="005764FC">
        <w:rPr>
          <w:lang w:eastAsia="fr-CA"/>
        </w:rPr>
        <w:t>1</w:t>
      </w:r>
      <w:r w:rsidR="006B4DBA" w:rsidRPr="005764FC">
        <w:rPr>
          <w:lang w:eastAsia="fr-CA"/>
        </w:rPr>
        <w:t>–</w:t>
      </w:r>
      <w:r w:rsidR="002C66CC" w:rsidRPr="005764FC">
        <w:rPr>
          <w:lang w:eastAsia="fr-CA"/>
        </w:rPr>
        <w:t>7</w:t>
      </w:r>
      <w:r w:rsidR="006B4DBA" w:rsidRPr="005764FC">
        <w:rPr>
          <w:lang w:eastAsia="fr-CA"/>
        </w:rPr>
        <w:t xml:space="preserve"> per cent</w:t>
      </w:r>
      <w:r w:rsidR="002C66CC" w:rsidRPr="005764FC">
        <w:rPr>
          <w:lang w:eastAsia="fr-CA"/>
        </w:rPr>
        <w:t xml:space="preserve"> of the total costs. </w:t>
      </w:r>
    </w:p>
    <w:p w14:paraId="74FEAD64" w14:textId="2EB9422A" w:rsidR="008E2456" w:rsidRPr="005764FC" w:rsidRDefault="008E2456" w:rsidP="001010CB">
      <w:pPr>
        <w:pStyle w:val="ListBullet"/>
        <w:numPr>
          <w:ilvl w:val="0"/>
          <w:numId w:val="0"/>
        </w:numPr>
      </w:pPr>
      <w:r w:rsidRPr="005764FC">
        <w:t>The CBA did not consider an uptake beyond the fast trend</w:t>
      </w:r>
      <w:r w:rsidR="008D2F41" w:rsidRPr="005764FC">
        <w:t>,</w:t>
      </w:r>
      <w:r w:rsidRPr="005764FC">
        <w:t xml:space="preserve"> which would be assumed if a regulation (</w:t>
      </w:r>
      <w:r w:rsidR="007F0C99" w:rsidRPr="005764FC">
        <w:t>PA3</w:t>
      </w:r>
      <w:r w:rsidRPr="005764FC">
        <w:t xml:space="preserve">) was in place. This was due to the processes </w:t>
      </w:r>
      <w:r w:rsidR="008D2F41" w:rsidRPr="005764FC">
        <w:t>needed</w:t>
      </w:r>
      <w:r w:rsidRPr="005764FC">
        <w:t xml:space="preserve"> to develop and deliver approved regulation</w:t>
      </w:r>
      <w:r w:rsidR="008D2F41" w:rsidRPr="005764FC">
        <w:t>,</w:t>
      </w:r>
      <w:r w:rsidRPr="005764FC">
        <w:t xml:space="preserve"> which would likely not see benefits realised within a near-term (10-year) view. </w:t>
      </w:r>
      <w:r w:rsidR="003678AF" w:rsidRPr="005764FC">
        <w:t xml:space="preserve">It was assumed </w:t>
      </w:r>
      <w:r w:rsidR="002D4BA4" w:rsidRPr="005764FC">
        <w:t xml:space="preserve">from historical </w:t>
      </w:r>
      <w:r w:rsidR="006E6D43" w:rsidRPr="005764FC">
        <w:t>viewpoints</w:t>
      </w:r>
      <w:r w:rsidR="002D4BA4" w:rsidRPr="005764FC">
        <w:t xml:space="preserve"> that a regulatory process for C-ITS mandates in vehicles would take</w:t>
      </w:r>
      <w:r w:rsidR="003678AF" w:rsidRPr="005764FC">
        <w:t xml:space="preserve"> </w:t>
      </w:r>
      <w:r w:rsidR="0079321A" w:rsidRPr="005764FC">
        <w:t xml:space="preserve">at least </w:t>
      </w:r>
      <w:r w:rsidR="003678AF" w:rsidRPr="005764FC">
        <w:t>five years</w:t>
      </w:r>
      <w:r w:rsidR="0079321A" w:rsidRPr="005764FC">
        <w:t xml:space="preserve"> from this position</w:t>
      </w:r>
      <w:r w:rsidR="003678AF" w:rsidRPr="005764FC">
        <w:t xml:space="preserve">. </w:t>
      </w:r>
      <w:r w:rsidR="0079321A" w:rsidRPr="005764FC">
        <w:t xml:space="preserve">As stated in </w:t>
      </w:r>
      <w:r w:rsidR="006E68A3" w:rsidRPr="005764FC">
        <w:t xml:space="preserve">Section </w:t>
      </w:r>
      <w:r w:rsidR="00C918A0" w:rsidRPr="005764FC">
        <w:fldChar w:fldCharType="begin" w:fldLock="1"/>
      </w:r>
      <w:r w:rsidR="00C918A0" w:rsidRPr="005764FC">
        <w:instrText xml:space="preserve"> REF _Ref96289547 \r \h </w:instrText>
      </w:r>
      <w:r w:rsidR="00C918A0" w:rsidRPr="005764FC">
        <w:fldChar w:fldCharType="separate"/>
      </w:r>
      <w:r w:rsidR="00A34B27">
        <w:t>2.2</w:t>
      </w:r>
      <w:r w:rsidR="00C918A0" w:rsidRPr="005764FC">
        <w:fldChar w:fldCharType="end"/>
      </w:r>
      <w:r w:rsidR="00107400" w:rsidRPr="005764FC">
        <w:t xml:space="preserve">, </w:t>
      </w:r>
      <w:r w:rsidR="0028148F" w:rsidRPr="005764FC">
        <w:t>government leadership</w:t>
      </w:r>
      <w:r w:rsidR="00146025" w:rsidRPr="005764FC">
        <w:t xml:space="preserve"> </w:t>
      </w:r>
      <w:r w:rsidR="008A7A55">
        <w:t xml:space="preserve">and national coordination </w:t>
      </w:r>
      <w:r w:rsidR="00146025" w:rsidRPr="005764FC">
        <w:t>(</w:t>
      </w:r>
      <w:r w:rsidR="007F0C99" w:rsidRPr="005764FC">
        <w:t>PA2</w:t>
      </w:r>
      <w:r w:rsidR="00146025" w:rsidRPr="005764FC">
        <w:t xml:space="preserve">) </w:t>
      </w:r>
      <w:r w:rsidR="002F701E" w:rsidRPr="005764FC">
        <w:t xml:space="preserve">would create a path that </w:t>
      </w:r>
      <w:r w:rsidR="00451B6A" w:rsidRPr="005764FC">
        <w:t>reduces</w:t>
      </w:r>
      <w:r w:rsidR="002F701E" w:rsidRPr="005764FC">
        <w:t xml:space="preserve"> </w:t>
      </w:r>
      <w:r w:rsidR="00345881" w:rsidRPr="005764FC">
        <w:t>the</w:t>
      </w:r>
      <w:r w:rsidR="002F701E" w:rsidRPr="005764FC">
        <w:t xml:space="preserve"> </w:t>
      </w:r>
      <w:r w:rsidR="00C04178" w:rsidRPr="005764FC">
        <w:t>challenges should a regulatory framework for mandating new vehicles be desired</w:t>
      </w:r>
      <w:r w:rsidR="000B3024" w:rsidRPr="005764FC">
        <w:t xml:space="preserve">. </w:t>
      </w:r>
    </w:p>
    <w:p w14:paraId="16929FF7" w14:textId="6C7D2C14" w:rsidR="00196017" w:rsidRPr="005764FC" w:rsidRDefault="00445743" w:rsidP="008E03A7">
      <w:pPr>
        <w:pStyle w:val="Heading4"/>
      </w:pPr>
      <w:bookmarkStart w:id="204" w:name="_Ref94190376"/>
      <w:bookmarkStart w:id="205" w:name="_Ref93524793"/>
      <w:r w:rsidRPr="005764FC">
        <w:t>E</w:t>
      </w:r>
      <w:r w:rsidR="00196017" w:rsidRPr="005764FC">
        <w:t>fficient Benefits Realisation</w:t>
      </w:r>
      <w:bookmarkEnd w:id="204"/>
    </w:p>
    <w:p w14:paraId="7B8862A5" w14:textId="775C45AC" w:rsidR="004E2F3D" w:rsidRPr="005764FC" w:rsidRDefault="0099372E" w:rsidP="00196017">
      <w:pPr>
        <w:pStyle w:val="BodyText"/>
      </w:pPr>
      <w:r w:rsidRPr="005764FC">
        <w:t>The basis of C-ITS</w:t>
      </w:r>
      <w:r w:rsidR="00955157" w:rsidRPr="005764FC">
        <w:t xml:space="preserve"> </w:t>
      </w:r>
      <w:r w:rsidR="00F05E81" w:rsidRPr="005764FC">
        <w:t>long-term</w:t>
      </w:r>
      <w:r w:rsidR="00955157" w:rsidRPr="005764FC">
        <w:t xml:space="preserve"> benefits</w:t>
      </w:r>
      <w:r w:rsidR="00E32619" w:rsidRPr="005764FC">
        <w:t xml:space="preserve"> compared to any other technology </w:t>
      </w:r>
      <w:r w:rsidR="00CE3345" w:rsidRPr="005764FC">
        <w:t>deployed</w:t>
      </w:r>
      <w:r w:rsidR="000C44A1" w:rsidRPr="005764FC">
        <w:t>,</w:t>
      </w:r>
      <w:r w:rsidRPr="005764FC">
        <w:t xml:space="preserve"> </w:t>
      </w:r>
      <w:r w:rsidR="00C44BE2" w:rsidRPr="005764FC">
        <w:t xml:space="preserve">as </w:t>
      </w:r>
      <w:r w:rsidRPr="005764FC">
        <w:t xml:space="preserve">identified through the </w:t>
      </w:r>
      <w:r w:rsidR="002D4B30" w:rsidRPr="005764FC">
        <w:t xml:space="preserve">project assessment </w:t>
      </w:r>
      <w:r w:rsidR="00951365" w:rsidRPr="005764FC">
        <w:t>(</w:t>
      </w:r>
      <w:r w:rsidR="006E68A3" w:rsidRPr="005764FC">
        <w:t xml:space="preserve">Section </w:t>
      </w:r>
      <w:r w:rsidR="00951365" w:rsidRPr="005764FC">
        <w:fldChar w:fldCharType="begin" w:fldLock="1"/>
      </w:r>
      <w:r w:rsidR="00951365" w:rsidRPr="005764FC">
        <w:instrText xml:space="preserve"> REF _Ref94079694 \r \h </w:instrText>
      </w:r>
      <w:r w:rsidR="00951365" w:rsidRPr="005764FC">
        <w:fldChar w:fldCharType="separate"/>
      </w:r>
      <w:r w:rsidR="00A34B27">
        <w:t>1.5</w:t>
      </w:r>
      <w:r w:rsidR="00951365" w:rsidRPr="005764FC">
        <w:fldChar w:fldCharType="end"/>
      </w:r>
      <w:r w:rsidR="00951365" w:rsidRPr="005764FC">
        <w:t>)</w:t>
      </w:r>
      <w:r w:rsidR="000C44A1" w:rsidRPr="005764FC">
        <w:t xml:space="preserve">, is to </w:t>
      </w:r>
      <w:r w:rsidR="00E32619" w:rsidRPr="005764FC">
        <w:t>ge</w:t>
      </w:r>
      <w:r w:rsidR="00C44BE2" w:rsidRPr="005764FC">
        <w:t>nerate economies o</w:t>
      </w:r>
      <w:r w:rsidR="00BC3C3D" w:rsidRPr="005764FC">
        <w:t xml:space="preserve">f scale by utilising the </w:t>
      </w:r>
      <w:r w:rsidR="00A17A79" w:rsidRPr="005764FC">
        <w:t xml:space="preserve">same </w:t>
      </w:r>
      <w:r w:rsidR="00A61F3C" w:rsidRPr="005764FC">
        <w:t xml:space="preserve">ecosystem to deliver many </w:t>
      </w:r>
      <w:r w:rsidR="00AD454E" w:rsidRPr="005764FC">
        <w:t xml:space="preserve">use cases across many locations. </w:t>
      </w:r>
      <w:r w:rsidR="00263DB5" w:rsidRPr="005764FC">
        <w:t xml:space="preserve">For example, the </w:t>
      </w:r>
      <w:r w:rsidR="009D2F09" w:rsidRPr="005764FC">
        <w:t xml:space="preserve">same </w:t>
      </w:r>
      <w:r w:rsidR="007919D0" w:rsidRPr="005764FC">
        <w:t xml:space="preserve">vehicle </w:t>
      </w:r>
      <w:r w:rsidR="00721961" w:rsidRPr="005764FC">
        <w:t xml:space="preserve">equipment is used </w:t>
      </w:r>
      <w:r w:rsidR="00C63DE6" w:rsidRPr="005764FC">
        <w:t xml:space="preserve">(and therefore same cost required) </w:t>
      </w:r>
      <w:r w:rsidR="00721961" w:rsidRPr="005764FC">
        <w:t xml:space="preserve">to </w:t>
      </w:r>
      <w:r w:rsidR="00424A54" w:rsidRPr="005764FC">
        <w:t xml:space="preserve">identify a slow vehicle on a motorway, </w:t>
      </w:r>
      <w:r w:rsidR="000359FE" w:rsidRPr="005764FC">
        <w:t xml:space="preserve">a potential </w:t>
      </w:r>
      <w:r w:rsidR="003909DA" w:rsidRPr="005764FC">
        <w:t>red-light</w:t>
      </w:r>
      <w:r w:rsidR="000359FE" w:rsidRPr="005764FC">
        <w:t xml:space="preserve"> </w:t>
      </w:r>
      <w:r w:rsidR="000571AE" w:rsidRPr="005764FC">
        <w:t xml:space="preserve">violation at an intersection and </w:t>
      </w:r>
      <w:r w:rsidR="00056CFB" w:rsidRPr="005764FC">
        <w:t xml:space="preserve">share </w:t>
      </w:r>
      <w:r w:rsidR="00986FE6" w:rsidRPr="005764FC">
        <w:t xml:space="preserve">its own vehicle information </w:t>
      </w:r>
      <w:r w:rsidR="006479F1" w:rsidRPr="005764FC">
        <w:t xml:space="preserve">with nearby equipment. </w:t>
      </w:r>
    </w:p>
    <w:p w14:paraId="2CE25423" w14:textId="144AA44C" w:rsidR="00212ED9" w:rsidRPr="005764FC" w:rsidRDefault="00E61CBC" w:rsidP="00196017">
      <w:pPr>
        <w:pStyle w:val="BodyText"/>
      </w:pPr>
      <w:r w:rsidRPr="005764FC">
        <w:t>There are additional, secondary objectives and benefits that can also be delivered through a carefully considered policy framework including the vehicle manufacturers delivering greater benefits and utility to drivers, and the wider technology industry supporting these services’ development and deployment.</w:t>
      </w:r>
      <w:r w:rsidR="00A0293C" w:rsidRPr="005764FC">
        <w:t xml:space="preserve"> </w:t>
      </w:r>
      <w:r w:rsidR="00212ED9" w:rsidRPr="005764FC">
        <w:t xml:space="preserve">Government direction </w:t>
      </w:r>
      <w:r w:rsidR="00C93094" w:rsidRPr="005764FC">
        <w:t xml:space="preserve">of the ecosystem </w:t>
      </w:r>
      <w:r w:rsidR="000F6AA9" w:rsidRPr="005764FC">
        <w:t>(</w:t>
      </w:r>
      <w:r w:rsidR="007F0C99" w:rsidRPr="005764FC">
        <w:t>PA2</w:t>
      </w:r>
      <w:r w:rsidR="000F6AA9" w:rsidRPr="005764FC">
        <w:t xml:space="preserve">) appears the most likely to align </w:t>
      </w:r>
      <w:r w:rsidR="00853CAB" w:rsidRPr="005764FC">
        <w:t xml:space="preserve">to </w:t>
      </w:r>
      <w:r w:rsidR="00E57033" w:rsidRPr="005764FC">
        <w:t xml:space="preserve">realising </w:t>
      </w:r>
      <w:r w:rsidR="00853CAB" w:rsidRPr="005764FC">
        <w:t>long-term benefits</w:t>
      </w:r>
      <w:r w:rsidR="009403A0" w:rsidRPr="005764FC">
        <w:t xml:space="preserve">. </w:t>
      </w:r>
      <w:r w:rsidR="00946301" w:rsidRPr="005764FC">
        <w:t>The</w:t>
      </w:r>
      <w:r w:rsidR="009403A0" w:rsidRPr="005764FC">
        <w:t xml:space="preserve"> </w:t>
      </w:r>
      <w:r w:rsidR="002C4303" w:rsidRPr="005764FC">
        <w:t>market-led (</w:t>
      </w:r>
      <w:r w:rsidR="007F0C99" w:rsidRPr="005764FC">
        <w:t>PA1</w:t>
      </w:r>
      <w:r w:rsidR="002C4303" w:rsidRPr="005764FC">
        <w:t>)</w:t>
      </w:r>
      <w:r w:rsidR="009403A0" w:rsidRPr="005764FC">
        <w:t xml:space="preserve"> </w:t>
      </w:r>
      <w:r w:rsidR="007D273C" w:rsidRPr="005764FC">
        <w:t xml:space="preserve">will likely lead to </w:t>
      </w:r>
      <w:r w:rsidR="00212ED9" w:rsidRPr="005764FC">
        <w:t>limit</w:t>
      </w:r>
      <w:r w:rsidR="00B275EA" w:rsidRPr="005764FC">
        <w:t>ed benefits by</w:t>
      </w:r>
      <w:r w:rsidR="00212ED9" w:rsidRPr="005764FC">
        <w:t xml:space="preserve"> siloed solutions</w:t>
      </w:r>
      <w:r w:rsidR="00B275EA" w:rsidRPr="005764FC">
        <w:t xml:space="preserve"> and regulation </w:t>
      </w:r>
      <w:r w:rsidR="004A72B6" w:rsidRPr="005764FC">
        <w:t>(</w:t>
      </w:r>
      <w:r w:rsidR="007F0C99" w:rsidRPr="005764FC">
        <w:t>PA3</w:t>
      </w:r>
      <w:r w:rsidR="004A72B6" w:rsidRPr="005764FC">
        <w:t xml:space="preserve">) </w:t>
      </w:r>
      <w:r w:rsidR="00CC38D5" w:rsidRPr="005764FC">
        <w:t>at this time</w:t>
      </w:r>
      <w:r w:rsidR="004A72B6" w:rsidRPr="005764FC">
        <w:t xml:space="preserve"> </w:t>
      </w:r>
      <w:r w:rsidR="00B275EA" w:rsidRPr="005764FC">
        <w:t xml:space="preserve">may </w:t>
      </w:r>
      <w:r w:rsidR="004A72B6" w:rsidRPr="005764FC">
        <w:t xml:space="preserve">hamper the </w:t>
      </w:r>
      <w:r w:rsidR="001C4C93" w:rsidRPr="005764FC">
        <w:t xml:space="preserve">ability </w:t>
      </w:r>
      <w:r w:rsidR="00EA2C53" w:rsidRPr="005764FC">
        <w:t xml:space="preserve">to </w:t>
      </w:r>
      <w:r w:rsidR="002C4303" w:rsidRPr="005764FC">
        <w:t>encourage evolution</w:t>
      </w:r>
      <w:r w:rsidR="00212ED9" w:rsidRPr="005764FC">
        <w:t xml:space="preserve">. </w:t>
      </w:r>
    </w:p>
    <w:p w14:paraId="110B4F38" w14:textId="3BDCD1C3" w:rsidR="008A3152" w:rsidRPr="005764FC" w:rsidRDefault="008A3152" w:rsidP="008E03A7">
      <w:pPr>
        <w:pStyle w:val="Heading4"/>
      </w:pPr>
      <w:bookmarkStart w:id="206" w:name="_Ref94188338"/>
      <w:r w:rsidRPr="005764FC">
        <w:t xml:space="preserve">The </w:t>
      </w:r>
      <w:r w:rsidR="0032033E" w:rsidRPr="005764FC">
        <w:t>Chicken-and-egg</w:t>
      </w:r>
      <w:r w:rsidRPr="005764FC">
        <w:t xml:space="preserve"> Dilemma</w:t>
      </w:r>
      <w:bookmarkEnd w:id="205"/>
      <w:bookmarkEnd w:id="206"/>
      <w:r w:rsidRPr="005764FC">
        <w:t xml:space="preserve"> </w:t>
      </w:r>
    </w:p>
    <w:p w14:paraId="6D6293EB" w14:textId="192EB680" w:rsidR="00C8219B" w:rsidRPr="005764FC" w:rsidRDefault="00C8219B" w:rsidP="005D571C">
      <w:pPr>
        <w:pStyle w:val="BodyText"/>
      </w:pPr>
      <w:r w:rsidRPr="005764FC">
        <w:t xml:space="preserve">Timelines for manufacturers </w:t>
      </w:r>
      <w:r w:rsidR="00A7363F" w:rsidRPr="005764FC">
        <w:t>to</w:t>
      </w:r>
      <w:r w:rsidRPr="005764FC">
        <w:t xml:space="preserve"> release vehicles equipped with C-ITS technology </w:t>
      </w:r>
      <w:r w:rsidR="00A7363F" w:rsidRPr="005764FC">
        <w:t>are still</w:t>
      </w:r>
      <w:r w:rsidRPr="005764FC">
        <w:t xml:space="preserve"> unknown. The Austroads Future Vehicles 2031 update report </w:t>
      </w:r>
      <w:r w:rsidR="00B514DC" w:rsidRPr="005764FC">
        <w:t>offer</w:t>
      </w:r>
      <w:r w:rsidRPr="005764FC">
        <w:t>ed some additional insight and provides the main basis for predicting market trends</w:t>
      </w:r>
      <w:r w:rsidR="00817D9D" w:rsidRPr="005764FC">
        <w:t xml:space="preserve"> (</w:t>
      </w:r>
      <w:r w:rsidR="006E68A3" w:rsidRPr="005764FC">
        <w:t xml:space="preserve">Section </w:t>
      </w:r>
      <w:r w:rsidR="00817D9D" w:rsidRPr="005764FC">
        <w:fldChar w:fldCharType="begin" w:fldLock="1"/>
      </w:r>
      <w:r w:rsidR="00817D9D" w:rsidRPr="005764FC">
        <w:instrText xml:space="preserve"> REF _Ref94079694 \r \h </w:instrText>
      </w:r>
      <w:r w:rsidR="00817D9D" w:rsidRPr="005764FC">
        <w:fldChar w:fldCharType="separate"/>
      </w:r>
      <w:r w:rsidR="00A34B27">
        <w:t>1.5</w:t>
      </w:r>
      <w:r w:rsidR="00817D9D" w:rsidRPr="005764FC">
        <w:fldChar w:fldCharType="end"/>
      </w:r>
      <w:r w:rsidR="00817D9D" w:rsidRPr="005764FC">
        <w:t>)</w:t>
      </w:r>
      <w:r w:rsidRPr="005764FC">
        <w:t xml:space="preserve">. </w:t>
      </w:r>
      <w:r w:rsidR="00CA747D" w:rsidRPr="005764FC">
        <w:t>Vehicle manufacturer</w:t>
      </w:r>
      <w:r w:rsidRPr="005764FC">
        <w:t xml:space="preserve">s note that government and wider ecosystem directions </w:t>
      </w:r>
      <w:r w:rsidR="005402D0" w:rsidRPr="005764FC">
        <w:t>in each</w:t>
      </w:r>
      <w:r w:rsidRPr="005764FC">
        <w:t xml:space="preserve"> geography will impact rollout</w:t>
      </w:r>
      <w:r w:rsidR="00AB685F" w:rsidRPr="005764FC">
        <w:t>, w</w:t>
      </w:r>
      <w:r w:rsidR="00E44330" w:rsidRPr="005764FC">
        <w:t xml:space="preserve">hile </w:t>
      </w:r>
      <w:r w:rsidR="006A4558" w:rsidRPr="005764FC">
        <w:t xml:space="preserve">government </w:t>
      </w:r>
      <w:r w:rsidR="008B7360" w:rsidRPr="005764FC">
        <w:t>do</w:t>
      </w:r>
      <w:r w:rsidR="00AB685F" w:rsidRPr="005764FC">
        <w:t>es</w:t>
      </w:r>
      <w:r w:rsidR="008B7360" w:rsidRPr="005764FC">
        <w:t xml:space="preserve"> not want to over-invest in infrastructure that </w:t>
      </w:r>
      <w:r w:rsidR="00AB685F" w:rsidRPr="005764FC">
        <w:t xml:space="preserve">industry </w:t>
      </w:r>
      <w:r w:rsidR="008B7360" w:rsidRPr="005764FC">
        <w:t xml:space="preserve">will not </w:t>
      </w:r>
      <w:r w:rsidR="00AB685F" w:rsidRPr="005764FC">
        <w:t>use.</w:t>
      </w:r>
      <w:r w:rsidR="00317AB8" w:rsidRPr="005764FC">
        <w:t xml:space="preserve"> </w:t>
      </w:r>
      <w:r w:rsidRPr="005764FC">
        <w:t xml:space="preserve">This </w:t>
      </w:r>
      <w:r w:rsidR="00AB685F" w:rsidRPr="005764FC">
        <w:t>forms</w:t>
      </w:r>
      <w:r w:rsidRPr="005764FC">
        <w:t xml:space="preserve"> part of the chicken</w:t>
      </w:r>
      <w:r w:rsidR="00246A45" w:rsidRPr="005764FC">
        <w:t>-</w:t>
      </w:r>
      <w:r w:rsidRPr="005764FC">
        <w:t>and</w:t>
      </w:r>
      <w:r w:rsidR="00246A45" w:rsidRPr="005764FC">
        <w:t>-</w:t>
      </w:r>
      <w:r w:rsidRPr="005764FC">
        <w:t xml:space="preserve">egg challenge for </w:t>
      </w:r>
      <w:r w:rsidR="00425495" w:rsidRPr="005764FC">
        <w:t xml:space="preserve">the C-ITS </w:t>
      </w:r>
      <w:r w:rsidR="009A4218" w:rsidRPr="005764FC">
        <w:t xml:space="preserve">ecosystem interactions </w:t>
      </w:r>
      <w:r w:rsidR="00355907" w:rsidRPr="005764FC">
        <w:t xml:space="preserve">modelled in </w:t>
      </w:r>
      <w:r w:rsidR="007E6DB3" w:rsidRPr="005764FC">
        <w:fldChar w:fldCharType="begin" w:fldLock="1"/>
      </w:r>
      <w:r w:rsidR="007E6DB3" w:rsidRPr="005764FC">
        <w:instrText xml:space="preserve"> REF _Ref90458320 \h </w:instrText>
      </w:r>
      <w:r w:rsidR="007E6DB3" w:rsidRPr="005764FC">
        <w:fldChar w:fldCharType="separate"/>
      </w:r>
      <w:r w:rsidR="00A34B27" w:rsidRPr="005764FC">
        <w:t xml:space="preserve">Figure </w:t>
      </w:r>
      <w:r w:rsidR="00A34B27">
        <w:rPr>
          <w:noProof/>
        </w:rPr>
        <w:t>1</w:t>
      </w:r>
      <w:r w:rsidR="00A34B27" w:rsidRPr="005764FC">
        <w:t>.</w:t>
      </w:r>
      <w:r w:rsidR="00A34B27">
        <w:rPr>
          <w:noProof/>
        </w:rPr>
        <w:t>13</w:t>
      </w:r>
      <w:r w:rsidR="007E6DB3" w:rsidRPr="005764FC">
        <w:fldChar w:fldCharType="end"/>
      </w:r>
      <w:r w:rsidRPr="005764FC">
        <w:t>.</w:t>
      </w:r>
      <w:r w:rsidR="00E44330" w:rsidRPr="005764FC">
        <w:t xml:space="preserve"> </w:t>
      </w:r>
    </w:p>
    <w:p w14:paraId="79A21FBF" w14:textId="1EAC9755" w:rsidR="005B3A68" w:rsidRPr="005764FC" w:rsidRDefault="0027566D" w:rsidP="005D571C">
      <w:pPr>
        <w:pStyle w:val="BodyText"/>
      </w:pPr>
      <w:r w:rsidRPr="005764FC">
        <w:t xml:space="preserve">The level of government investment </w:t>
      </w:r>
      <w:r w:rsidR="0061267C" w:rsidRPr="005764FC">
        <w:t xml:space="preserve">required </w:t>
      </w:r>
      <w:r w:rsidRPr="005764FC">
        <w:t xml:space="preserve">is comparatively low compared to that of industry and users. </w:t>
      </w:r>
      <w:r w:rsidR="00AB685F" w:rsidRPr="005764FC">
        <w:t>Considerable</w:t>
      </w:r>
      <w:r w:rsidR="007D4925" w:rsidRPr="005764FC">
        <w:t xml:space="preserve"> economic benefit can be gained by enabling</w:t>
      </w:r>
      <w:r w:rsidR="00B90026" w:rsidRPr="005764FC">
        <w:t xml:space="preserve"> infrastructure </w:t>
      </w:r>
      <w:r w:rsidR="00853958" w:rsidRPr="005764FC">
        <w:t>(</w:t>
      </w:r>
      <w:r w:rsidR="007F0C99" w:rsidRPr="005764FC">
        <w:t>PA2</w:t>
      </w:r>
      <w:r w:rsidR="00853958" w:rsidRPr="005764FC">
        <w:t xml:space="preserve">) </w:t>
      </w:r>
      <w:r w:rsidR="00B90026" w:rsidRPr="005764FC">
        <w:t xml:space="preserve">and </w:t>
      </w:r>
      <w:r w:rsidR="00952005" w:rsidRPr="005764FC">
        <w:t>encouraging</w:t>
      </w:r>
      <w:r w:rsidR="007D4925" w:rsidRPr="005764FC">
        <w:t xml:space="preserve"> early adopters</w:t>
      </w:r>
      <w:r w:rsidR="008C734C" w:rsidRPr="005764FC">
        <w:t xml:space="preserve">, in turn </w:t>
      </w:r>
      <w:r w:rsidR="007D4925" w:rsidRPr="005764FC">
        <w:t>fuelling the system’s growth and capability.</w:t>
      </w:r>
      <w:r w:rsidR="00B3246E" w:rsidRPr="005764FC">
        <w:t xml:space="preserve"> </w:t>
      </w:r>
      <w:r w:rsidR="007F0C99" w:rsidRPr="005764FC">
        <w:t>PA2</w:t>
      </w:r>
      <w:r w:rsidR="002332E1" w:rsidRPr="005764FC">
        <w:t xml:space="preserve"> is </w:t>
      </w:r>
      <w:r w:rsidR="00174F74" w:rsidRPr="005764FC">
        <w:t xml:space="preserve">not </w:t>
      </w:r>
      <w:r w:rsidR="002332E1" w:rsidRPr="005764FC">
        <w:t xml:space="preserve">intended to </w:t>
      </w:r>
      <w:r w:rsidR="00174F74" w:rsidRPr="005764FC">
        <w:t xml:space="preserve">place the burden on government, </w:t>
      </w:r>
      <w:r w:rsidR="00AB685F" w:rsidRPr="005764FC">
        <w:t>but to</w:t>
      </w:r>
      <w:r w:rsidR="00174F74" w:rsidRPr="005764FC">
        <w:t xml:space="preserve"> establish </w:t>
      </w:r>
      <w:r w:rsidR="00DD6CE6" w:rsidRPr="005764FC">
        <w:t xml:space="preserve">a </w:t>
      </w:r>
      <w:r w:rsidR="00174F74" w:rsidRPr="005764FC">
        <w:t xml:space="preserve">positive </w:t>
      </w:r>
      <w:r w:rsidR="00DD6CE6" w:rsidRPr="005764FC">
        <w:t xml:space="preserve">cyclical development </w:t>
      </w:r>
      <w:r w:rsidR="00AB685F" w:rsidRPr="005764FC">
        <w:t xml:space="preserve">that </w:t>
      </w:r>
      <w:r w:rsidR="00914BC4" w:rsidRPr="005764FC">
        <w:t>driv</w:t>
      </w:r>
      <w:r w:rsidR="00AB685F" w:rsidRPr="005764FC">
        <w:t>es</w:t>
      </w:r>
      <w:r w:rsidR="00914BC4" w:rsidRPr="005764FC">
        <w:t xml:space="preserve"> benefits realisation. </w:t>
      </w:r>
      <w:r w:rsidR="00A32776" w:rsidRPr="005764FC">
        <w:t xml:space="preserve">As such, </w:t>
      </w:r>
      <w:r w:rsidR="00AB685F" w:rsidRPr="005764FC">
        <w:t>it</w:t>
      </w:r>
      <w:r w:rsidR="00B7096F" w:rsidRPr="005764FC">
        <w:t xml:space="preserve"> does not </w:t>
      </w:r>
      <w:r w:rsidR="00AB685F" w:rsidRPr="005764FC">
        <w:t>suggest</w:t>
      </w:r>
      <w:r w:rsidR="00B7096F" w:rsidRPr="005764FC">
        <w:t xml:space="preserve"> </w:t>
      </w:r>
      <w:r w:rsidR="00422A73" w:rsidRPr="005764FC">
        <w:t>that</w:t>
      </w:r>
      <w:r w:rsidR="00B7096F" w:rsidRPr="005764FC">
        <w:t xml:space="preserve"> </w:t>
      </w:r>
      <w:r w:rsidR="00166AE5" w:rsidRPr="005764FC">
        <w:t xml:space="preserve">all costs </w:t>
      </w:r>
      <w:r w:rsidR="00915F69" w:rsidRPr="005764FC">
        <w:t>in the CBA</w:t>
      </w:r>
      <w:r w:rsidR="00AB685F" w:rsidRPr="005764FC">
        <w:t xml:space="preserve"> </w:t>
      </w:r>
      <w:r w:rsidR="00915F69" w:rsidRPr="005764FC">
        <w:t xml:space="preserve">estimate would be </w:t>
      </w:r>
      <w:r w:rsidR="00BE2DF2" w:rsidRPr="005764FC">
        <w:t>incurred</w:t>
      </w:r>
      <w:r w:rsidR="007A3EC1" w:rsidRPr="005764FC">
        <w:t xml:space="preserve"> before vehicle </w:t>
      </w:r>
      <w:r w:rsidR="00BE2DF2" w:rsidRPr="005764FC">
        <w:t xml:space="preserve">manufacturers </w:t>
      </w:r>
      <w:r w:rsidR="00DD65BF" w:rsidRPr="005764FC">
        <w:t>provide</w:t>
      </w:r>
      <w:r w:rsidR="003D4F2D" w:rsidRPr="005764FC">
        <w:t xml:space="preserve">d </w:t>
      </w:r>
      <w:r w:rsidR="0097466E" w:rsidRPr="005764FC">
        <w:t xml:space="preserve">equipped vehicles. </w:t>
      </w:r>
      <w:r w:rsidR="00FC256E" w:rsidRPr="005764FC">
        <w:t>Instead</w:t>
      </w:r>
      <w:r w:rsidR="00B54124" w:rsidRPr="005764FC">
        <w:t>, in relation t</w:t>
      </w:r>
      <w:r w:rsidR="00D4109F" w:rsidRPr="005764FC">
        <w:t>o the chick</w:t>
      </w:r>
      <w:r w:rsidR="00667C01" w:rsidRPr="005764FC">
        <w:t>en</w:t>
      </w:r>
      <w:r w:rsidR="001327B0" w:rsidRPr="005764FC">
        <w:t>-</w:t>
      </w:r>
      <w:r w:rsidR="00D4109F" w:rsidRPr="005764FC">
        <w:t>and</w:t>
      </w:r>
      <w:r w:rsidR="001327B0" w:rsidRPr="005764FC">
        <w:t>-</w:t>
      </w:r>
      <w:r w:rsidR="00D4109F" w:rsidRPr="005764FC">
        <w:t xml:space="preserve">egg dilemma, </w:t>
      </w:r>
      <w:r w:rsidR="00245340" w:rsidRPr="005764FC">
        <w:t xml:space="preserve">government </w:t>
      </w:r>
      <w:r w:rsidR="0091053E" w:rsidRPr="005764FC">
        <w:t>would</w:t>
      </w:r>
      <w:r w:rsidR="00411CEA" w:rsidRPr="005764FC">
        <w:t xml:space="preserve"> be proactive in ecosystem definition </w:t>
      </w:r>
      <w:r w:rsidR="009C253B" w:rsidRPr="005764FC">
        <w:t xml:space="preserve">and initial investment for </w:t>
      </w:r>
      <w:r w:rsidR="00DE6FC2" w:rsidRPr="005764FC">
        <w:t xml:space="preserve">a </w:t>
      </w:r>
      <w:r w:rsidR="00DB74E0" w:rsidRPr="005764FC">
        <w:t>minimal viable market</w:t>
      </w:r>
      <w:r w:rsidR="000B3024" w:rsidRPr="005764FC">
        <w:t xml:space="preserve">. </w:t>
      </w:r>
      <w:r w:rsidR="001732BC" w:rsidRPr="005764FC">
        <w:t xml:space="preserve">The potential order of actions and interventions </w:t>
      </w:r>
      <w:r w:rsidR="004F6C8D" w:rsidRPr="005764FC">
        <w:t xml:space="preserve">is discussed further in Section 5 and outlined in </w:t>
      </w:r>
      <w:r w:rsidR="00442E7E" w:rsidRPr="005764FC">
        <w:fldChar w:fldCharType="begin" w:fldLock="1"/>
      </w:r>
      <w:r w:rsidR="00442E7E" w:rsidRPr="005764FC">
        <w:instrText xml:space="preserve"> REF _Ref86689356 \h  \* MERGEFORMAT </w:instrText>
      </w:r>
      <w:r w:rsidR="00442E7E" w:rsidRPr="005764FC">
        <w:fldChar w:fldCharType="separate"/>
      </w:r>
      <w:r w:rsidR="00A34B27" w:rsidRPr="005764FC">
        <w:t xml:space="preserve">Figure </w:t>
      </w:r>
      <w:r w:rsidR="00A34B27">
        <w:t>5</w:t>
      </w:r>
      <w:r w:rsidR="00A34B27" w:rsidRPr="005764FC">
        <w:t>.</w:t>
      </w:r>
      <w:r w:rsidR="00A34B27">
        <w:t>3</w:t>
      </w:r>
      <w:r w:rsidR="00442E7E" w:rsidRPr="005764FC">
        <w:fldChar w:fldCharType="end"/>
      </w:r>
      <w:r w:rsidR="00442E7E" w:rsidRPr="005764FC">
        <w:t>.</w:t>
      </w:r>
    </w:p>
    <w:p w14:paraId="150CADB7" w14:textId="7D6077D6" w:rsidR="007D4925" w:rsidRPr="005764FC" w:rsidRDefault="00B3246E" w:rsidP="005D571C">
      <w:pPr>
        <w:pStyle w:val="BodyText"/>
      </w:pPr>
      <w:r w:rsidRPr="005764FC">
        <w:t xml:space="preserve">In the near term, this appears more beneficial than a regulatory approach </w:t>
      </w:r>
      <w:r w:rsidR="00A93622" w:rsidRPr="005764FC">
        <w:t>(</w:t>
      </w:r>
      <w:r w:rsidR="007F0C99" w:rsidRPr="005764FC">
        <w:t>PA3</w:t>
      </w:r>
      <w:r w:rsidR="00A93622" w:rsidRPr="005764FC">
        <w:t xml:space="preserve">) </w:t>
      </w:r>
      <w:r w:rsidRPr="005764FC">
        <w:t>to services</w:t>
      </w:r>
      <w:r w:rsidR="001068E2" w:rsidRPr="005764FC">
        <w:t xml:space="preserve"> which may follow in the future</w:t>
      </w:r>
      <w:r w:rsidR="0045325A" w:rsidRPr="005764FC">
        <w:t xml:space="preserve"> </w:t>
      </w:r>
      <w:r w:rsidR="00422A73" w:rsidRPr="005764FC">
        <w:t>after</w:t>
      </w:r>
      <w:r w:rsidR="0045325A" w:rsidRPr="005764FC">
        <w:t xml:space="preserve"> the </w:t>
      </w:r>
      <w:r w:rsidR="00B75CD5" w:rsidRPr="005764FC">
        <w:t>initial uptake</w:t>
      </w:r>
      <w:r w:rsidRPr="005764FC">
        <w:t xml:space="preserve">. </w:t>
      </w:r>
      <w:r w:rsidR="000854A8" w:rsidRPr="005764FC">
        <w:t xml:space="preserve">As noted in </w:t>
      </w:r>
      <w:r w:rsidR="00410623" w:rsidRPr="005764FC">
        <w:t>earlier analysis, market-led (</w:t>
      </w:r>
      <w:r w:rsidR="007F0C99" w:rsidRPr="005764FC">
        <w:t>PA1</w:t>
      </w:r>
      <w:r w:rsidR="00410623" w:rsidRPr="005764FC">
        <w:t>) has a high</w:t>
      </w:r>
      <w:r w:rsidR="00435E2E" w:rsidRPr="005764FC">
        <w:t xml:space="preserve"> risk of </w:t>
      </w:r>
      <w:r w:rsidR="00427236" w:rsidRPr="005764FC">
        <w:t>failure to market without infrastructure</w:t>
      </w:r>
      <w:r w:rsidR="00EB638C" w:rsidRPr="005764FC">
        <w:t>.</w:t>
      </w:r>
    </w:p>
    <w:p w14:paraId="691F1EF8" w14:textId="6423B1A9" w:rsidR="00957915" w:rsidRPr="005764FC" w:rsidRDefault="00957915" w:rsidP="005D571C">
      <w:pPr>
        <w:pStyle w:val="BodyText"/>
      </w:pPr>
      <w:r w:rsidRPr="005764FC">
        <w:t xml:space="preserve">Internationally, </w:t>
      </w:r>
      <w:r w:rsidR="00C33841" w:rsidRPr="005764FC">
        <w:t xml:space="preserve">all regions </w:t>
      </w:r>
      <w:r w:rsidR="006944E1" w:rsidRPr="005764FC">
        <w:t xml:space="preserve">have had heavy government involvement to </w:t>
      </w:r>
      <w:r w:rsidR="008845B3" w:rsidRPr="005764FC">
        <w:t xml:space="preserve">develop </w:t>
      </w:r>
      <w:r w:rsidR="00C67E15" w:rsidRPr="005764FC">
        <w:t xml:space="preserve">implementation frameworks </w:t>
      </w:r>
      <w:r w:rsidR="008845B3" w:rsidRPr="005764FC">
        <w:t>and deliver C-ITS</w:t>
      </w:r>
      <w:r w:rsidR="00C67E15" w:rsidRPr="005764FC">
        <w:t xml:space="preserve"> infrastructure</w:t>
      </w:r>
      <w:r w:rsidR="007533BC" w:rsidRPr="005764FC">
        <w:t xml:space="preserve"> aligned to </w:t>
      </w:r>
      <w:r w:rsidR="007F0C99" w:rsidRPr="005764FC">
        <w:t>PA2</w:t>
      </w:r>
      <w:r w:rsidR="007533BC" w:rsidRPr="005764FC">
        <w:t xml:space="preserve"> (see </w:t>
      </w:r>
      <w:r w:rsidR="006E68A3" w:rsidRPr="005764FC">
        <w:t xml:space="preserve">Section </w:t>
      </w:r>
      <w:r w:rsidR="007533BC" w:rsidRPr="005764FC">
        <w:fldChar w:fldCharType="begin" w:fldLock="1"/>
      </w:r>
      <w:r w:rsidR="007533BC" w:rsidRPr="005764FC">
        <w:instrText xml:space="preserve"> REF _Ref94187445 \r \h </w:instrText>
      </w:r>
      <w:r w:rsidR="00AB59C6" w:rsidRPr="005764FC">
        <w:instrText xml:space="preserve"> \* MERGEFORMAT </w:instrText>
      </w:r>
      <w:r w:rsidR="007533BC" w:rsidRPr="005764FC">
        <w:fldChar w:fldCharType="separate"/>
      </w:r>
      <w:r w:rsidR="00A34B27">
        <w:t>1.6.2</w:t>
      </w:r>
      <w:r w:rsidR="007533BC" w:rsidRPr="005764FC">
        <w:fldChar w:fldCharType="end"/>
      </w:r>
      <w:r w:rsidR="007533BC" w:rsidRPr="005764FC">
        <w:t xml:space="preserve">). </w:t>
      </w:r>
      <w:r w:rsidR="00EB5D21" w:rsidRPr="005764FC">
        <w:t xml:space="preserve">While most have </w:t>
      </w:r>
      <w:r w:rsidR="00A403AE" w:rsidRPr="005764FC">
        <w:t xml:space="preserve">regulated </w:t>
      </w:r>
      <w:r w:rsidR="006A0B21" w:rsidRPr="005764FC">
        <w:t>radio</w:t>
      </w:r>
      <w:r w:rsidR="00A403AE" w:rsidRPr="005764FC">
        <w:t xml:space="preserve">communication </w:t>
      </w:r>
      <w:r w:rsidR="000969E0" w:rsidRPr="005764FC">
        <w:t xml:space="preserve">requirements </w:t>
      </w:r>
      <w:r w:rsidR="007416A5" w:rsidRPr="005764FC">
        <w:t xml:space="preserve">for short-range communication, </w:t>
      </w:r>
      <w:r w:rsidR="007533BC" w:rsidRPr="005764FC">
        <w:t xml:space="preserve">Europe </w:t>
      </w:r>
      <w:r w:rsidR="00CD1AD8" w:rsidRPr="005764FC">
        <w:t>is</w:t>
      </w:r>
      <w:r w:rsidR="007533BC" w:rsidRPr="005764FC">
        <w:t xml:space="preserve"> the </w:t>
      </w:r>
      <w:r w:rsidR="00EB5D21" w:rsidRPr="005764FC">
        <w:t>first major region</w:t>
      </w:r>
      <w:r w:rsidR="007416A5" w:rsidRPr="005764FC">
        <w:t xml:space="preserve"> to propose regulatory requirements on </w:t>
      </w:r>
      <w:r w:rsidR="00F9066E" w:rsidRPr="005764FC">
        <w:t>vehicle</w:t>
      </w:r>
      <w:r w:rsidR="00B3616C" w:rsidRPr="005764FC">
        <w:t>s to</w:t>
      </w:r>
      <w:r w:rsidR="00F9066E" w:rsidRPr="005764FC">
        <w:t xml:space="preserve"> </w:t>
      </w:r>
      <w:r w:rsidR="00EE7CC0" w:rsidRPr="005764FC">
        <w:t>adopt C</w:t>
      </w:r>
      <w:r w:rsidR="00CC70EB">
        <w:noBreakHyphen/>
      </w:r>
      <w:r w:rsidR="00EE7CC0" w:rsidRPr="005764FC">
        <w:t>ITS</w:t>
      </w:r>
      <w:r w:rsidR="004841A1" w:rsidRPr="005764FC">
        <w:t xml:space="preserve"> (</w:t>
      </w:r>
      <w:r w:rsidR="004B0B89" w:rsidRPr="005764FC">
        <w:t xml:space="preserve">equivalent to </w:t>
      </w:r>
      <w:r w:rsidR="007F0C99" w:rsidRPr="005764FC">
        <w:t>PA3</w:t>
      </w:r>
      <w:r w:rsidR="004841A1" w:rsidRPr="005764FC">
        <w:t>)</w:t>
      </w:r>
      <w:r w:rsidR="00EE7CC0" w:rsidRPr="005764FC">
        <w:t xml:space="preserve">. </w:t>
      </w:r>
    </w:p>
    <w:p w14:paraId="5B02462C" w14:textId="230FCEB4" w:rsidR="002C2793" w:rsidRPr="005764FC" w:rsidRDefault="002C2793" w:rsidP="008E03A7">
      <w:pPr>
        <w:pStyle w:val="Heading4"/>
      </w:pPr>
      <w:bookmarkStart w:id="207" w:name="_Ref94190396"/>
      <w:bookmarkStart w:id="208" w:name="_Ref93524799"/>
      <w:r w:rsidRPr="005764FC">
        <w:t>Accessibility</w:t>
      </w:r>
      <w:bookmarkEnd w:id="207"/>
      <w:r w:rsidRPr="005764FC">
        <w:t xml:space="preserve"> </w:t>
      </w:r>
    </w:p>
    <w:p w14:paraId="18329D2F" w14:textId="54FD73DF" w:rsidR="00E1019C" w:rsidRPr="005764FC" w:rsidRDefault="00C11461" w:rsidP="005D571C">
      <w:pPr>
        <w:pStyle w:val="BodyText"/>
        <w:rPr>
          <w:lang w:eastAsia="fr-CA"/>
        </w:rPr>
      </w:pPr>
      <w:r w:rsidRPr="005764FC">
        <w:t>Public a</w:t>
      </w:r>
      <w:r w:rsidR="00C16256" w:rsidRPr="005764FC">
        <w:t xml:space="preserve">ccessibility </w:t>
      </w:r>
      <w:r w:rsidR="002D4437" w:rsidRPr="005764FC">
        <w:t xml:space="preserve">to emerging technology is </w:t>
      </w:r>
      <w:r w:rsidR="00E1019C" w:rsidRPr="005764FC">
        <w:t>a priority government</w:t>
      </w:r>
      <w:r w:rsidR="00CD1AD8" w:rsidRPr="005764FC">
        <w:t xml:space="preserve"> </w:t>
      </w:r>
      <w:r w:rsidR="00E1019C" w:rsidRPr="005764FC">
        <w:t xml:space="preserve">objective. </w:t>
      </w:r>
      <w:r w:rsidR="006C74AD" w:rsidRPr="005764FC">
        <w:rPr>
          <w:lang w:eastAsia="fr-CA"/>
        </w:rPr>
        <w:t xml:space="preserve">Safety systems such as C-ITS should be available to all. </w:t>
      </w:r>
      <w:r w:rsidR="00156C0A" w:rsidRPr="005764FC">
        <w:rPr>
          <w:lang w:eastAsia="fr-CA"/>
        </w:rPr>
        <w:t xml:space="preserve">The strategic </w:t>
      </w:r>
      <w:r w:rsidR="00CF0DFD" w:rsidRPr="005764FC">
        <w:rPr>
          <w:lang w:eastAsia="fr-CA"/>
        </w:rPr>
        <w:t xml:space="preserve">deployment </w:t>
      </w:r>
      <w:r w:rsidR="00156C0A" w:rsidRPr="005764FC">
        <w:rPr>
          <w:lang w:eastAsia="fr-CA"/>
        </w:rPr>
        <w:t xml:space="preserve">assessment and CBA </w:t>
      </w:r>
      <w:r w:rsidR="00F955F3" w:rsidRPr="005764FC">
        <w:rPr>
          <w:lang w:eastAsia="fr-CA"/>
        </w:rPr>
        <w:t xml:space="preserve">analysed C-ITS </w:t>
      </w:r>
      <w:r w:rsidR="00592F9F" w:rsidRPr="005764FC">
        <w:rPr>
          <w:lang w:eastAsia="fr-CA"/>
        </w:rPr>
        <w:t xml:space="preserve">with </w:t>
      </w:r>
      <w:r w:rsidR="00A024D6" w:rsidRPr="005764FC">
        <w:rPr>
          <w:lang w:eastAsia="fr-CA"/>
        </w:rPr>
        <w:t xml:space="preserve">respect to the following </w:t>
      </w:r>
      <w:r w:rsidR="004A7352" w:rsidRPr="005764FC">
        <w:rPr>
          <w:lang w:eastAsia="fr-CA"/>
        </w:rPr>
        <w:t>geographies</w:t>
      </w:r>
      <w:r w:rsidR="00C11802" w:rsidRPr="005764FC">
        <w:rPr>
          <w:lang w:eastAsia="fr-CA"/>
        </w:rPr>
        <w:t xml:space="preserve"> and user groups: </w:t>
      </w:r>
    </w:p>
    <w:p w14:paraId="409FBC2A" w14:textId="23BCF28A" w:rsidR="00F42A04" w:rsidRPr="005764FC" w:rsidRDefault="004965F6" w:rsidP="00917B7D">
      <w:pPr>
        <w:pStyle w:val="ListNumber"/>
        <w:numPr>
          <w:ilvl w:val="0"/>
          <w:numId w:val="17"/>
        </w:numPr>
        <w:spacing w:line="264" w:lineRule="auto"/>
        <w:contextualSpacing/>
      </w:pPr>
      <w:r w:rsidRPr="005764FC">
        <w:t>All</w:t>
      </w:r>
      <w:r w:rsidR="006C74AD" w:rsidRPr="005764FC">
        <w:t xml:space="preserve"> </w:t>
      </w:r>
      <w:r w:rsidR="002C5C90" w:rsidRPr="005764FC">
        <w:t>v</w:t>
      </w:r>
      <w:r w:rsidR="006C74AD" w:rsidRPr="005764FC">
        <w:t>ehicles</w:t>
      </w:r>
      <w:r w:rsidR="003421DF" w:rsidRPr="005764FC">
        <w:t xml:space="preserve">, representing the </w:t>
      </w:r>
      <w:r w:rsidR="00791E72" w:rsidRPr="005764FC">
        <w:t xml:space="preserve">ability for C-ITS to be fitted </w:t>
      </w:r>
      <w:r w:rsidR="002E2951" w:rsidRPr="005764FC">
        <w:t>to any consumer</w:t>
      </w:r>
      <w:r w:rsidR="002A182A" w:rsidRPr="005764FC">
        <w:t xml:space="preserve"> or commercial</w:t>
      </w:r>
      <w:r w:rsidR="002E2951" w:rsidRPr="005764FC">
        <w:t xml:space="preserve"> vehicle</w:t>
      </w:r>
    </w:p>
    <w:p w14:paraId="7BDADA7F" w14:textId="26ECC340" w:rsidR="00F42A04" w:rsidRPr="005764FC" w:rsidRDefault="00EF7B7D" w:rsidP="00D60ADF">
      <w:pPr>
        <w:pStyle w:val="ListNumber"/>
        <w:numPr>
          <w:ilvl w:val="0"/>
          <w:numId w:val="23"/>
        </w:numPr>
        <w:spacing w:line="264" w:lineRule="auto"/>
        <w:contextualSpacing/>
      </w:pPr>
      <w:r w:rsidRPr="005764FC">
        <w:t>Rural vs Urban, representing the different users based on location and driving environment</w:t>
      </w:r>
    </w:p>
    <w:p w14:paraId="374B2A69" w14:textId="7519ACF6" w:rsidR="00F42A04" w:rsidRPr="005764FC" w:rsidRDefault="006C74AD" w:rsidP="00D60ADF">
      <w:pPr>
        <w:pStyle w:val="ListNumber"/>
        <w:numPr>
          <w:ilvl w:val="0"/>
          <w:numId w:val="23"/>
        </w:numPr>
        <w:spacing w:line="264" w:lineRule="auto"/>
        <w:contextualSpacing/>
      </w:pPr>
      <w:r w:rsidRPr="005764FC">
        <w:t>Heavy Vehicle</w:t>
      </w:r>
      <w:r w:rsidR="00B13612" w:rsidRPr="005764FC">
        <w:t>s</w:t>
      </w:r>
      <w:r w:rsidR="002E2951" w:rsidRPr="005764FC">
        <w:t xml:space="preserve">, representing the </w:t>
      </w:r>
      <w:r w:rsidR="00C4795F" w:rsidRPr="005764FC">
        <w:t xml:space="preserve">focus on freight </w:t>
      </w:r>
      <w:r w:rsidR="00D82A1E" w:rsidRPr="005764FC">
        <w:t>movement</w:t>
      </w:r>
    </w:p>
    <w:p w14:paraId="48D10E8C" w14:textId="702CEFED" w:rsidR="006C74AD" w:rsidRPr="005764FC" w:rsidRDefault="006C74AD" w:rsidP="00D60ADF">
      <w:pPr>
        <w:pStyle w:val="ListNumber"/>
        <w:numPr>
          <w:ilvl w:val="0"/>
          <w:numId w:val="23"/>
        </w:numPr>
        <w:spacing w:line="264" w:lineRule="auto"/>
        <w:contextualSpacing/>
      </w:pPr>
      <w:r w:rsidRPr="005764FC">
        <w:t>Vulnerable Road Users</w:t>
      </w:r>
      <w:r w:rsidR="009B2B57">
        <w:t xml:space="preserve"> (VRUs)</w:t>
      </w:r>
      <w:r w:rsidR="000D40C0" w:rsidRPr="005764FC">
        <w:t xml:space="preserve">, representing the movement of </w:t>
      </w:r>
      <w:r w:rsidR="00C737E7" w:rsidRPr="005764FC">
        <w:t xml:space="preserve">road users </w:t>
      </w:r>
      <w:r w:rsidR="008B1D29" w:rsidRPr="005764FC">
        <w:t>unable to drive or preferring green travel options</w:t>
      </w:r>
    </w:p>
    <w:p w14:paraId="528F1794" w14:textId="2CE1CFA0" w:rsidR="005713D2" w:rsidRPr="005764FC" w:rsidRDefault="008B36A4" w:rsidP="005D571C">
      <w:pPr>
        <w:pStyle w:val="BodyText"/>
        <w:keepLines/>
      </w:pPr>
      <w:r w:rsidRPr="005764FC">
        <w:rPr>
          <w:lang w:eastAsia="fr-CA"/>
        </w:rPr>
        <w:t>D</w:t>
      </w:r>
      <w:r w:rsidR="00E414DC" w:rsidRPr="005764FC">
        <w:rPr>
          <w:lang w:eastAsia="fr-CA"/>
        </w:rPr>
        <w:t>eployment of C-ITS</w:t>
      </w:r>
      <w:r w:rsidRPr="005764FC">
        <w:rPr>
          <w:lang w:eastAsia="fr-CA"/>
        </w:rPr>
        <w:t xml:space="preserve"> to all vehicles</w:t>
      </w:r>
      <w:r w:rsidR="00E414DC" w:rsidRPr="005764FC">
        <w:rPr>
          <w:lang w:eastAsia="fr-CA"/>
        </w:rPr>
        <w:t xml:space="preserve"> has been the broad </w:t>
      </w:r>
      <w:r w:rsidR="008A487C" w:rsidRPr="005764FC">
        <w:rPr>
          <w:lang w:eastAsia="fr-CA"/>
        </w:rPr>
        <w:t xml:space="preserve">C-ITS </w:t>
      </w:r>
      <w:r w:rsidR="00E414DC" w:rsidRPr="005764FC">
        <w:rPr>
          <w:lang w:eastAsia="fr-CA"/>
        </w:rPr>
        <w:t xml:space="preserve">objective such that anyone can benefit from its use. </w:t>
      </w:r>
      <w:r w:rsidR="00F94CC5" w:rsidRPr="005764FC">
        <w:rPr>
          <w:lang w:eastAsia="fr-CA"/>
        </w:rPr>
        <w:t>However, i</w:t>
      </w:r>
      <w:r w:rsidR="00F233DF" w:rsidRPr="005764FC">
        <w:t xml:space="preserve">t is important to also consider how </w:t>
      </w:r>
      <w:r w:rsidR="00F233DF" w:rsidRPr="005764FC" w:rsidDel="008A3437">
        <w:t>C</w:t>
      </w:r>
      <w:r w:rsidR="00F233DF" w:rsidRPr="005764FC">
        <w:t xml:space="preserve">‑ITS implementation can be targeted to achieve benefits in rural environments as well as urban. </w:t>
      </w:r>
      <w:r w:rsidR="001E1E04" w:rsidRPr="005764FC">
        <w:t>Road crashes</w:t>
      </w:r>
      <w:r w:rsidR="00F233DF" w:rsidRPr="005764FC">
        <w:t xml:space="preserve"> in rural </w:t>
      </w:r>
      <w:r w:rsidR="00BC23C0" w:rsidRPr="005764FC">
        <w:t xml:space="preserve">(regional and remote) </w:t>
      </w:r>
      <w:r w:rsidR="00F233DF" w:rsidRPr="005764FC">
        <w:t xml:space="preserve">environments cause relatively greater harm. Given </w:t>
      </w:r>
      <w:r w:rsidR="006A53B0" w:rsidRPr="005764FC">
        <w:t>regional</w:t>
      </w:r>
      <w:r w:rsidR="00F233DF" w:rsidRPr="005764FC">
        <w:t xml:space="preserve"> and </w:t>
      </w:r>
      <w:r w:rsidR="006A53B0" w:rsidRPr="005764FC">
        <w:t>remote</w:t>
      </w:r>
      <w:r w:rsidR="00F233DF" w:rsidRPr="005764FC">
        <w:t xml:space="preserve"> traffic’s dispersed nature, having truly whole-of-network solutions can benefit these environments with minimal additional costs. </w:t>
      </w:r>
      <w:r w:rsidR="002A26BD" w:rsidRPr="005764FC">
        <w:rPr>
          <w:lang w:eastAsia="fr-CA"/>
        </w:rPr>
        <w:t xml:space="preserve">Compared to urban environments, </w:t>
      </w:r>
      <w:r w:rsidR="006A53B0" w:rsidRPr="005764FC">
        <w:rPr>
          <w:lang w:eastAsia="fr-CA"/>
        </w:rPr>
        <w:t>regional</w:t>
      </w:r>
      <w:r w:rsidR="006573B9" w:rsidRPr="005764FC">
        <w:rPr>
          <w:lang w:eastAsia="fr-CA"/>
        </w:rPr>
        <w:t xml:space="preserve"> and </w:t>
      </w:r>
      <w:r w:rsidR="006A53B0" w:rsidRPr="005764FC">
        <w:rPr>
          <w:lang w:eastAsia="fr-CA"/>
        </w:rPr>
        <w:t>remote</w:t>
      </w:r>
      <w:r w:rsidR="004A14DF" w:rsidRPr="005764FC">
        <w:rPr>
          <w:lang w:eastAsia="fr-CA"/>
        </w:rPr>
        <w:t>,</w:t>
      </w:r>
      <w:r w:rsidR="006573B9" w:rsidRPr="005764FC">
        <w:rPr>
          <w:lang w:eastAsia="fr-CA"/>
        </w:rPr>
        <w:t xml:space="preserve"> as stated in </w:t>
      </w:r>
      <w:r w:rsidR="006E68A3" w:rsidRPr="005764FC">
        <w:rPr>
          <w:lang w:eastAsia="fr-CA"/>
        </w:rPr>
        <w:t>Section </w:t>
      </w:r>
      <w:r w:rsidR="006573B9" w:rsidRPr="005764FC">
        <w:rPr>
          <w:lang w:eastAsia="fr-CA"/>
        </w:rPr>
        <w:fldChar w:fldCharType="begin" w:fldLock="1"/>
      </w:r>
      <w:r w:rsidR="006573B9" w:rsidRPr="005764FC">
        <w:rPr>
          <w:lang w:eastAsia="fr-CA"/>
        </w:rPr>
        <w:instrText xml:space="preserve"> REF _Ref92795162 \r \h </w:instrText>
      </w:r>
      <w:r w:rsidR="00AB59C6" w:rsidRPr="005764FC">
        <w:rPr>
          <w:lang w:eastAsia="fr-CA"/>
        </w:rPr>
        <w:instrText xml:space="preserve"> \* MERGEFORMAT </w:instrText>
      </w:r>
      <w:r w:rsidR="006573B9" w:rsidRPr="005764FC">
        <w:rPr>
          <w:lang w:eastAsia="fr-CA"/>
        </w:rPr>
      </w:r>
      <w:r w:rsidR="006573B9" w:rsidRPr="005764FC">
        <w:rPr>
          <w:lang w:eastAsia="fr-CA"/>
        </w:rPr>
        <w:fldChar w:fldCharType="separate"/>
      </w:r>
      <w:r w:rsidR="00A34B27">
        <w:rPr>
          <w:lang w:eastAsia="fr-CA"/>
        </w:rPr>
        <w:t>1.3</w:t>
      </w:r>
      <w:r w:rsidR="006573B9" w:rsidRPr="005764FC">
        <w:rPr>
          <w:lang w:eastAsia="fr-CA"/>
        </w:rPr>
        <w:fldChar w:fldCharType="end"/>
      </w:r>
      <w:r w:rsidR="006573B9" w:rsidRPr="005764FC">
        <w:rPr>
          <w:lang w:eastAsia="fr-CA"/>
        </w:rPr>
        <w:t>, ha</w:t>
      </w:r>
      <w:r w:rsidR="004A14DF" w:rsidRPr="005764FC">
        <w:rPr>
          <w:lang w:eastAsia="fr-CA"/>
        </w:rPr>
        <w:t>ve</w:t>
      </w:r>
      <w:r w:rsidR="006573B9" w:rsidRPr="005764FC">
        <w:rPr>
          <w:lang w:eastAsia="fr-CA"/>
        </w:rPr>
        <w:t xml:space="preserve"> 5x and 10x the number of deaths per capita respectively.</w:t>
      </w:r>
      <w:r w:rsidR="00287F7F" w:rsidRPr="005764FC">
        <w:rPr>
          <w:lang w:eastAsia="fr-CA"/>
        </w:rPr>
        <w:t xml:space="preserve"> </w:t>
      </w:r>
      <w:r w:rsidR="009B0B6E" w:rsidRPr="005764FC">
        <w:rPr>
          <w:lang w:eastAsia="fr-CA"/>
        </w:rPr>
        <w:t>W</w:t>
      </w:r>
      <w:r w:rsidR="00EF7B7D" w:rsidRPr="005764FC">
        <w:rPr>
          <w:lang w:eastAsia="fr-CA"/>
        </w:rPr>
        <w:t>hile</w:t>
      </w:r>
      <w:r w:rsidR="006B3C8C" w:rsidRPr="005764FC">
        <w:rPr>
          <w:lang w:eastAsia="fr-CA"/>
        </w:rPr>
        <w:t xml:space="preserve"> i</w:t>
      </w:r>
      <w:r w:rsidR="005713D2" w:rsidRPr="005764FC">
        <w:t>n 2019–20, the road freight industry moved 224.1 billion tonne-kilometres of goods</w:t>
      </w:r>
      <w:r w:rsidR="00A12667">
        <w:t xml:space="preserve"> </w:t>
      </w:r>
      <w:sdt>
        <w:sdtPr>
          <w:id w:val="2143607752"/>
          <w:citation/>
        </w:sdtPr>
        <w:sdtContent>
          <w:r w:rsidR="00A12667">
            <w:fldChar w:fldCharType="begin"/>
          </w:r>
          <w:r w:rsidR="00A12667">
            <w:instrText xml:space="preserve"> CITATION BIT20 \l 3081 </w:instrText>
          </w:r>
          <w:r w:rsidR="00A12667">
            <w:fldChar w:fldCharType="separate"/>
          </w:r>
          <w:r w:rsidR="001428F9">
            <w:rPr>
              <w:noProof/>
            </w:rPr>
            <w:t>(BITRE, 2020)</w:t>
          </w:r>
          <w:r w:rsidR="00A12667">
            <w:fldChar w:fldCharType="end"/>
          </w:r>
        </w:sdtContent>
      </w:sdt>
      <w:r w:rsidR="00642801">
        <w:t>;</w:t>
      </w:r>
      <w:r w:rsidR="006B3C8C" w:rsidRPr="005764FC">
        <w:t xml:space="preserve"> </w:t>
      </w:r>
      <w:r w:rsidR="00497CCA" w:rsidRPr="005764FC">
        <w:t xml:space="preserve">this </w:t>
      </w:r>
      <w:r w:rsidR="006B3C8C" w:rsidRPr="005764FC">
        <w:t xml:space="preserve">is </w:t>
      </w:r>
      <w:r w:rsidR="002534C9" w:rsidRPr="005764FC">
        <w:t xml:space="preserve">expected to increase </w:t>
      </w:r>
      <w:r w:rsidR="000D3006" w:rsidRPr="005764FC">
        <w:t>over the next decade</w:t>
      </w:r>
      <w:r w:rsidR="000B3024" w:rsidRPr="005764FC">
        <w:t xml:space="preserve">. </w:t>
      </w:r>
    </w:p>
    <w:p w14:paraId="4EB6641D" w14:textId="2C607F59" w:rsidR="00740768" w:rsidRPr="005764FC" w:rsidRDefault="00E27367" w:rsidP="000C746E">
      <w:pPr>
        <w:pStyle w:val="BodyText"/>
        <w:rPr>
          <w:lang w:eastAsia="fr-CA"/>
        </w:rPr>
      </w:pPr>
      <w:r w:rsidRPr="005764FC">
        <w:t>M</w:t>
      </w:r>
      <w:r w:rsidR="005713D2" w:rsidRPr="005764FC">
        <w:t>any Australian states have strong strategic policies to encourage key active modes like walking and cycling</w:t>
      </w:r>
      <w:r w:rsidR="00497CCA" w:rsidRPr="005764FC">
        <w:t>.</w:t>
      </w:r>
      <w:r w:rsidR="005713D2" w:rsidRPr="005764FC">
        <w:t xml:space="preserve"> </w:t>
      </w:r>
      <w:r w:rsidR="00497CCA" w:rsidRPr="005764FC">
        <w:t>Such VRUs generally experience greater safety risks than vehicle occupants. I</w:t>
      </w:r>
      <w:r w:rsidR="005713D2" w:rsidRPr="005764FC">
        <w:t>t is important that any improvement being delivered through new systems and services</w:t>
      </w:r>
      <w:r w:rsidR="00497CCA" w:rsidRPr="005764FC">
        <w:t>,</w:t>
      </w:r>
      <w:r w:rsidR="005713D2" w:rsidRPr="005764FC">
        <w:t xml:space="preserve"> provides at least as much benefit to VRUs as to vehicle occupants</w:t>
      </w:r>
      <w:r w:rsidR="000A18D3" w:rsidRPr="005764FC">
        <w:t xml:space="preserve">. </w:t>
      </w:r>
      <w:r w:rsidR="00FE7472" w:rsidRPr="005764FC">
        <w:t xml:space="preserve">This is </w:t>
      </w:r>
      <w:r w:rsidR="00FB5864" w:rsidRPr="005764FC">
        <w:t>unlikely to eventuate with a market-led approac</w:t>
      </w:r>
      <w:r w:rsidR="002B1CA4" w:rsidRPr="005764FC">
        <w:t xml:space="preserve">h. </w:t>
      </w:r>
      <w:r w:rsidR="00740768" w:rsidRPr="005764FC">
        <w:rPr>
          <w:lang w:eastAsia="fr-CA"/>
        </w:rPr>
        <w:t>Market-led (</w:t>
      </w:r>
      <w:r w:rsidR="007F0C99" w:rsidRPr="005764FC">
        <w:rPr>
          <w:lang w:eastAsia="fr-CA"/>
        </w:rPr>
        <w:t>PA1</w:t>
      </w:r>
      <w:r w:rsidR="00740768" w:rsidRPr="005764FC">
        <w:rPr>
          <w:lang w:eastAsia="fr-CA"/>
        </w:rPr>
        <w:t>) will likely prioritise supply based on highest volume demand</w:t>
      </w:r>
      <w:r w:rsidR="004A14DF" w:rsidRPr="005764FC">
        <w:rPr>
          <w:lang w:eastAsia="fr-CA"/>
        </w:rPr>
        <w:t>,</w:t>
      </w:r>
      <w:r w:rsidR="00740768" w:rsidRPr="005764FC">
        <w:rPr>
          <w:lang w:eastAsia="fr-CA"/>
        </w:rPr>
        <w:t xml:space="preserve"> such as cities</w:t>
      </w:r>
      <w:r w:rsidR="003354F5" w:rsidRPr="005764FC">
        <w:rPr>
          <w:lang w:eastAsia="fr-CA"/>
        </w:rPr>
        <w:t>.</w:t>
      </w:r>
      <w:r w:rsidR="00DF01EE" w:rsidRPr="005764FC">
        <w:rPr>
          <w:lang w:eastAsia="fr-CA"/>
        </w:rPr>
        <w:t xml:space="preserve"> </w:t>
      </w:r>
      <w:r w:rsidR="004633E4" w:rsidRPr="005764FC">
        <w:t>Regional and remote</w:t>
      </w:r>
      <w:r w:rsidR="00740768" w:rsidRPr="005764FC">
        <w:t xml:space="preserve"> environments will recognise minimal benefits suffer</w:t>
      </w:r>
      <w:r w:rsidR="000C746E" w:rsidRPr="005764FC">
        <w:t>ing</w:t>
      </w:r>
      <w:r w:rsidR="00740768" w:rsidRPr="005764FC">
        <w:t xml:space="preserve"> greater inequity of potential compared </w:t>
      </w:r>
      <w:r w:rsidR="00896964" w:rsidRPr="005764FC">
        <w:t>to</w:t>
      </w:r>
      <w:r w:rsidR="00740768" w:rsidRPr="005764FC">
        <w:t xml:space="preserve"> urban environments.</w:t>
      </w:r>
    </w:p>
    <w:p w14:paraId="5F810E47" w14:textId="4E34BAC1" w:rsidR="00AE6B7A" w:rsidRPr="005764FC" w:rsidRDefault="00DA1336" w:rsidP="00A348BE">
      <w:pPr>
        <w:pStyle w:val="BodyText"/>
        <w:rPr>
          <w:b/>
        </w:rPr>
      </w:pPr>
      <w:r w:rsidRPr="005764FC">
        <w:rPr>
          <w:lang w:eastAsia="fr-CA"/>
        </w:rPr>
        <w:t>Focusing on</w:t>
      </w:r>
      <w:r w:rsidR="00D9750B" w:rsidRPr="005764FC">
        <w:rPr>
          <w:lang w:eastAsia="fr-CA"/>
        </w:rPr>
        <w:t xml:space="preserve"> government</w:t>
      </w:r>
      <w:r w:rsidRPr="005764FC">
        <w:rPr>
          <w:lang w:eastAsia="fr-CA"/>
        </w:rPr>
        <w:t xml:space="preserve"> </w:t>
      </w:r>
      <w:r w:rsidR="00B3616C" w:rsidRPr="005764FC">
        <w:rPr>
          <w:lang w:eastAsia="fr-CA"/>
        </w:rPr>
        <w:t xml:space="preserve">leadership and </w:t>
      </w:r>
      <w:r w:rsidR="0055746B" w:rsidRPr="005764FC">
        <w:rPr>
          <w:lang w:eastAsia="fr-CA"/>
        </w:rPr>
        <w:t>direction</w:t>
      </w:r>
      <w:r w:rsidR="00B3616C" w:rsidRPr="005764FC">
        <w:rPr>
          <w:lang w:eastAsia="fr-CA"/>
        </w:rPr>
        <w:t xml:space="preserve"> </w:t>
      </w:r>
      <w:r w:rsidR="002105AE" w:rsidRPr="005764FC">
        <w:rPr>
          <w:lang w:eastAsia="fr-CA"/>
        </w:rPr>
        <w:t>(</w:t>
      </w:r>
      <w:r w:rsidR="007F0C99" w:rsidRPr="005764FC">
        <w:rPr>
          <w:lang w:eastAsia="fr-CA"/>
        </w:rPr>
        <w:t>PA2</w:t>
      </w:r>
      <w:r w:rsidR="002105AE" w:rsidRPr="005764FC">
        <w:rPr>
          <w:lang w:eastAsia="fr-CA"/>
        </w:rPr>
        <w:t>)</w:t>
      </w:r>
      <w:r w:rsidRPr="005764FC">
        <w:rPr>
          <w:lang w:eastAsia="fr-CA"/>
        </w:rPr>
        <w:t xml:space="preserve"> through </w:t>
      </w:r>
      <w:r w:rsidR="00D9750B" w:rsidRPr="005764FC">
        <w:rPr>
          <w:lang w:eastAsia="fr-CA"/>
        </w:rPr>
        <w:t>priority areas</w:t>
      </w:r>
      <w:r w:rsidR="00E4038F" w:rsidRPr="005764FC">
        <w:rPr>
          <w:lang w:eastAsia="fr-CA"/>
        </w:rPr>
        <w:t xml:space="preserve"> (such as </w:t>
      </w:r>
      <w:r w:rsidR="00933A42" w:rsidRPr="005764FC">
        <w:rPr>
          <w:lang w:eastAsia="fr-CA"/>
        </w:rPr>
        <w:t xml:space="preserve">heavy vehicles and </w:t>
      </w:r>
      <w:r w:rsidR="0006183A" w:rsidRPr="005764FC">
        <w:rPr>
          <w:lang w:eastAsia="fr-CA"/>
        </w:rPr>
        <w:t>rural)</w:t>
      </w:r>
      <w:r w:rsidR="00541F7C" w:rsidRPr="005764FC">
        <w:rPr>
          <w:lang w:eastAsia="fr-CA"/>
        </w:rPr>
        <w:t xml:space="preserve">, </w:t>
      </w:r>
      <w:r w:rsidR="00BB7EB5" w:rsidRPr="005764FC">
        <w:rPr>
          <w:lang w:eastAsia="fr-CA"/>
        </w:rPr>
        <w:t xml:space="preserve">helps </w:t>
      </w:r>
      <w:r w:rsidR="00E06139" w:rsidRPr="005764FC">
        <w:rPr>
          <w:lang w:eastAsia="fr-CA"/>
        </w:rPr>
        <w:t>resolve</w:t>
      </w:r>
      <w:r w:rsidR="00BB7EB5" w:rsidRPr="005764FC">
        <w:rPr>
          <w:lang w:eastAsia="fr-CA"/>
        </w:rPr>
        <w:t xml:space="preserve"> the chicken</w:t>
      </w:r>
      <w:r w:rsidR="00B3616C" w:rsidRPr="005764FC">
        <w:rPr>
          <w:lang w:eastAsia="fr-CA"/>
        </w:rPr>
        <w:t>-</w:t>
      </w:r>
      <w:r w:rsidR="00BB7EB5" w:rsidRPr="005764FC">
        <w:rPr>
          <w:lang w:eastAsia="fr-CA"/>
        </w:rPr>
        <w:t>and</w:t>
      </w:r>
      <w:r w:rsidR="00B3616C" w:rsidRPr="005764FC">
        <w:rPr>
          <w:lang w:eastAsia="fr-CA"/>
        </w:rPr>
        <w:t>-</w:t>
      </w:r>
      <w:r w:rsidR="00BB7EB5" w:rsidRPr="005764FC">
        <w:rPr>
          <w:lang w:eastAsia="fr-CA"/>
        </w:rPr>
        <w:t xml:space="preserve">egg dilemma </w:t>
      </w:r>
      <w:r w:rsidR="00847EDF" w:rsidRPr="005764FC">
        <w:rPr>
          <w:lang w:eastAsia="fr-CA"/>
        </w:rPr>
        <w:t>discussed in S</w:t>
      </w:r>
      <w:r w:rsidR="008551DA" w:rsidRPr="005764FC">
        <w:rPr>
          <w:lang w:eastAsia="fr-CA"/>
        </w:rPr>
        <w:t xml:space="preserve">ection </w:t>
      </w:r>
      <w:r w:rsidR="008551DA" w:rsidRPr="005764FC">
        <w:rPr>
          <w:lang w:eastAsia="fr-CA"/>
        </w:rPr>
        <w:fldChar w:fldCharType="begin" w:fldLock="1"/>
      </w:r>
      <w:r w:rsidR="008551DA" w:rsidRPr="005764FC">
        <w:rPr>
          <w:lang w:eastAsia="fr-CA"/>
        </w:rPr>
        <w:instrText xml:space="preserve"> REF _Ref94188338 \r \h </w:instrText>
      </w:r>
      <w:r w:rsidR="004B55AD" w:rsidRPr="005764FC">
        <w:rPr>
          <w:lang w:eastAsia="fr-CA"/>
        </w:rPr>
        <w:instrText xml:space="preserve"> \* MERGEFORMAT </w:instrText>
      </w:r>
      <w:r w:rsidR="008551DA" w:rsidRPr="005764FC">
        <w:rPr>
          <w:lang w:eastAsia="fr-CA"/>
        </w:rPr>
      </w:r>
      <w:r w:rsidR="008551DA" w:rsidRPr="005764FC">
        <w:rPr>
          <w:lang w:eastAsia="fr-CA"/>
        </w:rPr>
        <w:fldChar w:fldCharType="separate"/>
      </w:r>
      <w:r w:rsidR="00A34B27">
        <w:rPr>
          <w:lang w:eastAsia="fr-CA"/>
        </w:rPr>
        <w:t>2.3.1.5</w:t>
      </w:r>
      <w:r w:rsidR="008551DA" w:rsidRPr="005764FC">
        <w:rPr>
          <w:lang w:eastAsia="fr-CA"/>
        </w:rPr>
        <w:fldChar w:fldCharType="end"/>
      </w:r>
      <w:r w:rsidR="00896964" w:rsidRPr="005764FC">
        <w:rPr>
          <w:lang w:eastAsia="fr-CA"/>
        </w:rPr>
        <w:t>,</w:t>
      </w:r>
      <w:r w:rsidR="008551DA" w:rsidRPr="005764FC">
        <w:rPr>
          <w:lang w:eastAsia="fr-CA"/>
        </w:rPr>
        <w:t xml:space="preserve"> while </w:t>
      </w:r>
      <w:r w:rsidR="00896964" w:rsidRPr="005764FC">
        <w:rPr>
          <w:lang w:eastAsia="fr-CA"/>
        </w:rPr>
        <w:t xml:space="preserve">it </w:t>
      </w:r>
      <w:r w:rsidR="007F6901" w:rsidRPr="005764FC">
        <w:rPr>
          <w:lang w:eastAsia="fr-CA"/>
        </w:rPr>
        <w:t>progress</w:t>
      </w:r>
      <w:r w:rsidR="00896964" w:rsidRPr="005764FC">
        <w:rPr>
          <w:lang w:eastAsia="fr-CA"/>
        </w:rPr>
        <w:t>es</w:t>
      </w:r>
      <w:r w:rsidR="007F6901" w:rsidRPr="005764FC">
        <w:rPr>
          <w:lang w:eastAsia="fr-CA"/>
        </w:rPr>
        <w:t xml:space="preserve"> </w:t>
      </w:r>
      <w:r w:rsidR="00896964" w:rsidRPr="005764FC">
        <w:rPr>
          <w:lang w:eastAsia="fr-CA"/>
        </w:rPr>
        <w:t>government’s</w:t>
      </w:r>
      <w:r w:rsidR="007F6901" w:rsidRPr="005764FC">
        <w:rPr>
          <w:lang w:eastAsia="fr-CA"/>
        </w:rPr>
        <w:t xml:space="preserve"> accessibility objectives. </w:t>
      </w:r>
      <w:r w:rsidR="00AE6B7A" w:rsidRPr="005764FC">
        <w:t xml:space="preserve">Some deployment options tested were focused on urban areas, but relatively little deployment or testing </w:t>
      </w:r>
      <w:r w:rsidR="00896964" w:rsidRPr="005764FC">
        <w:t xml:space="preserve">has occurred </w:t>
      </w:r>
      <w:r w:rsidR="00AE6B7A" w:rsidRPr="005764FC">
        <w:t xml:space="preserve">in </w:t>
      </w:r>
      <w:r w:rsidR="00896964" w:rsidRPr="005764FC">
        <w:t xml:space="preserve">Australian </w:t>
      </w:r>
      <w:r w:rsidR="00AE6B7A" w:rsidRPr="005764FC">
        <w:t>rural environments.</w:t>
      </w:r>
      <w:r w:rsidR="001F0C85" w:rsidRPr="005764FC">
        <w:t xml:space="preserve"> </w:t>
      </w:r>
      <w:r w:rsidR="00864DFD" w:rsidRPr="005764FC">
        <w:t>I</w:t>
      </w:r>
      <w:r w:rsidR="001F0C85" w:rsidRPr="005764FC">
        <w:t>nterven</w:t>
      </w:r>
      <w:r w:rsidR="0055746B" w:rsidRPr="005764FC">
        <w:t>ing</w:t>
      </w:r>
      <w:r w:rsidR="001F0C85" w:rsidRPr="005764FC">
        <w:t xml:space="preserve"> </w:t>
      </w:r>
      <w:r w:rsidR="00896964" w:rsidRPr="005764FC">
        <w:t>on behalf of</w:t>
      </w:r>
      <w:r w:rsidR="00C530A5" w:rsidRPr="005764FC">
        <w:t xml:space="preserve"> VRUs</w:t>
      </w:r>
      <w:r w:rsidR="00864DFD" w:rsidRPr="005764FC">
        <w:t>,</w:t>
      </w:r>
      <w:r w:rsidR="00C530A5" w:rsidRPr="005764FC">
        <w:t xml:space="preserve"> </w:t>
      </w:r>
      <w:r w:rsidR="00004F44" w:rsidRPr="005764FC">
        <w:t>where the technology need</w:t>
      </w:r>
      <w:r w:rsidR="00052913" w:rsidRPr="005764FC">
        <w:t>s</w:t>
      </w:r>
      <w:r w:rsidR="00004F44" w:rsidRPr="005764FC">
        <w:t xml:space="preserve"> </w:t>
      </w:r>
      <w:r w:rsidR="00864DFD" w:rsidRPr="005764FC">
        <w:t xml:space="preserve">further maturity, </w:t>
      </w:r>
      <w:r w:rsidR="00052913" w:rsidRPr="005764FC">
        <w:t xml:space="preserve">will </w:t>
      </w:r>
      <w:r w:rsidR="00896964" w:rsidRPr="005764FC">
        <w:t>help</w:t>
      </w:r>
      <w:r w:rsidR="00052913" w:rsidRPr="005764FC">
        <w:t xml:space="preserve"> benefits reach this </w:t>
      </w:r>
      <w:r w:rsidR="00896964" w:rsidRPr="005764FC">
        <w:t xml:space="preserve">important </w:t>
      </w:r>
      <w:r w:rsidR="00052913" w:rsidRPr="005764FC">
        <w:t xml:space="preserve">market sooner. </w:t>
      </w:r>
      <w:r w:rsidR="00C04B41" w:rsidRPr="005764FC">
        <w:t xml:space="preserve">Regulation </w:t>
      </w:r>
      <w:r w:rsidR="00153AA8" w:rsidRPr="005764FC">
        <w:t>(</w:t>
      </w:r>
      <w:r w:rsidR="007F0C99" w:rsidRPr="005764FC">
        <w:t>PA3</w:t>
      </w:r>
      <w:r w:rsidR="00153AA8" w:rsidRPr="005764FC">
        <w:t>)</w:t>
      </w:r>
      <w:r w:rsidR="00147617" w:rsidRPr="005764FC">
        <w:t xml:space="preserve"> is an option available to government </w:t>
      </w:r>
      <w:r w:rsidR="00976BE5" w:rsidRPr="005764FC">
        <w:t xml:space="preserve">which </w:t>
      </w:r>
      <w:r w:rsidR="005F53F7" w:rsidRPr="005764FC">
        <w:t xml:space="preserve">could enforce </w:t>
      </w:r>
      <w:r w:rsidR="001732DA" w:rsidRPr="005764FC">
        <w:t xml:space="preserve">technology availability in </w:t>
      </w:r>
      <w:r w:rsidR="00A61716" w:rsidRPr="005764FC">
        <w:t>particular environments (such as rural, heavy vehicle</w:t>
      </w:r>
      <w:r w:rsidR="00A348BE" w:rsidRPr="005764FC">
        <w:t xml:space="preserve"> and VRU</w:t>
      </w:r>
      <w:r w:rsidR="00896964" w:rsidRPr="005764FC">
        <w:t>-</w:t>
      </w:r>
      <w:r w:rsidR="00A348BE" w:rsidRPr="005764FC">
        <w:t xml:space="preserve">centric areas) triggering rapid uptake. </w:t>
      </w:r>
      <w:r w:rsidR="00E77AB8" w:rsidRPr="005764FC">
        <w:t>As flagged in other analys</w:t>
      </w:r>
      <w:r w:rsidR="00896964" w:rsidRPr="005764FC">
        <w:t>e</w:t>
      </w:r>
      <w:r w:rsidR="00E77AB8" w:rsidRPr="005764FC">
        <w:t>s</w:t>
      </w:r>
      <w:r w:rsidR="00896964" w:rsidRPr="005764FC">
        <w:t>,</w:t>
      </w:r>
      <w:r w:rsidR="00E77AB8" w:rsidRPr="005764FC">
        <w:t xml:space="preserve"> the potential for </w:t>
      </w:r>
      <w:r w:rsidR="00812DE1" w:rsidRPr="005764FC">
        <w:t>regulation</w:t>
      </w:r>
      <w:r w:rsidR="00E77AB8" w:rsidRPr="005764FC">
        <w:t xml:space="preserve"> is likely to la</w:t>
      </w:r>
      <w:r w:rsidR="009A6A06" w:rsidRPr="005764FC">
        <w:t>g actual implementation</w:t>
      </w:r>
      <w:r w:rsidR="00896964" w:rsidRPr="005764FC">
        <w:t xml:space="preserve">. </w:t>
      </w:r>
    </w:p>
    <w:bookmarkEnd w:id="208"/>
    <w:p w14:paraId="58E6ECA2" w14:textId="05504EFD" w:rsidR="005D2DD7" w:rsidRPr="005764FC" w:rsidRDefault="00D226B7" w:rsidP="00004964">
      <w:pPr>
        <w:pStyle w:val="Heading4"/>
        <w:rPr>
          <w:lang w:eastAsia="fr-CA"/>
        </w:rPr>
      </w:pPr>
      <w:r w:rsidRPr="005764FC">
        <w:rPr>
          <w:lang w:eastAsia="fr-CA"/>
        </w:rPr>
        <w:t>Summary</w:t>
      </w:r>
    </w:p>
    <w:p w14:paraId="4EC79E0E" w14:textId="3AF46D18" w:rsidR="00A348BE" w:rsidRPr="005764FC" w:rsidRDefault="007B62DE" w:rsidP="00004964">
      <w:pPr>
        <w:pStyle w:val="BodyText"/>
        <w:rPr>
          <w:lang w:eastAsia="fr-CA"/>
        </w:rPr>
      </w:pPr>
      <w:r w:rsidRPr="005764FC">
        <w:rPr>
          <w:lang w:eastAsia="fr-CA"/>
        </w:rPr>
        <w:t>The l</w:t>
      </w:r>
      <w:r w:rsidR="00914557" w:rsidRPr="005764FC">
        <w:rPr>
          <w:lang w:eastAsia="fr-CA"/>
        </w:rPr>
        <w:t xml:space="preserve">evel of </w:t>
      </w:r>
      <w:r w:rsidR="005027EF" w:rsidRPr="005764FC">
        <w:rPr>
          <w:lang w:eastAsia="fr-CA"/>
        </w:rPr>
        <w:t xml:space="preserve">input </w:t>
      </w:r>
      <w:r w:rsidR="008840D2" w:rsidRPr="005764FC">
        <w:rPr>
          <w:lang w:eastAsia="fr-CA"/>
        </w:rPr>
        <w:t>(</w:t>
      </w:r>
      <w:r w:rsidR="007F0C99" w:rsidRPr="005764FC">
        <w:rPr>
          <w:lang w:eastAsia="fr-CA"/>
        </w:rPr>
        <w:t>PA1</w:t>
      </w:r>
      <w:r w:rsidR="008840D2" w:rsidRPr="005764FC">
        <w:rPr>
          <w:lang w:eastAsia="fr-CA"/>
        </w:rPr>
        <w:t xml:space="preserve"> market-led</w:t>
      </w:r>
      <w:r w:rsidR="00896964" w:rsidRPr="005764FC">
        <w:rPr>
          <w:lang w:eastAsia="fr-CA"/>
        </w:rPr>
        <w:t>;</w:t>
      </w:r>
      <w:r w:rsidR="008840D2" w:rsidRPr="005764FC">
        <w:rPr>
          <w:lang w:eastAsia="fr-CA"/>
        </w:rPr>
        <w:t xml:space="preserve"> </w:t>
      </w:r>
      <w:r w:rsidR="007F0C99" w:rsidRPr="005764FC">
        <w:rPr>
          <w:lang w:eastAsia="fr-CA"/>
        </w:rPr>
        <w:t>PA2</w:t>
      </w:r>
      <w:r w:rsidR="008840D2" w:rsidRPr="005764FC">
        <w:rPr>
          <w:lang w:eastAsia="fr-CA"/>
        </w:rPr>
        <w:t xml:space="preserve"> </w:t>
      </w:r>
      <w:r w:rsidR="005027EF" w:rsidRPr="005764FC">
        <w:rPr>
          <w:lang w:eastAsia="fr-CA"/>
        </w:rPr>
        <w:t xml:space="preserve">lead and </w:t>
      </w:r>
      <w:r w:rsidR="0055746B" w:rsidRPr="005764FC">
        <w:rPr>
          <w:lang w:eastAsia="fr-CA"/>
        </w:rPr>
        <w:t>direct</w:t>
      </w:r>
      <w:r w:rsidR="00896964" w:rsidRPr="005764FC">
        <w:rPr>
          <w:lang w:eastAsia="fr-CA"/>
        </w:rPr>
        <w:t>;</w:t>
      </w:r>
      <w:r w:rsidR="00B3096A" w:rsidRPr="005764FC">
        <w:rPr>
          <w:lang w:eastAsia="fr-CA"/>
        </w:rPr>
        <w:t xml:space="preserve"> </w:t>
      </w:r>
      <w:r w:rsidR="007F0C99" w:rsidRPr="005764FC">
        <w:rPr>
          <w:lang w:eastAsia="fr-CA"/>
        </w:rPr>
        <w:t>PA3</w:t>
      </w:r>
      <w:r w:rsidR="00B3096A" w:rsidRPr="005764FC">
        <w:rPr>
          <w:lang w:eastAsia="fr-CA"/>
        </w:rPr>
        <w:t xml:space="preserve"> regulate) </w:t>
      </w:r>
      <w:r w:rsidR="00914557" w:rsidRPr="005764FC">
        <w:rPr>
          <w:lang w:eastAsia="fr-CA"/>
        </w:rPr>
        <w:t>h</w:t>
      </w:r>
      <w:r w:rsidR="00B3096A" w:rsidRPr="005764FC">
        <w:rPr>
          <w:lang w:eastAsia="fr-CA"/>
        </w:rPr>
        <w:t>a</w:t>
      </w:r>
      <w:r w:rsidR="00896964" w:rsidRPr="005764FC">
        <w:rPr>
          <w:lang w:eastAsia="fr-CA"/>
        </w:rPr>
        <w:t>s</w:t>
      </w:r>
      <w:r w:rsidR="00914557" w:rsidRPr="005764FC">
        <w:rPr>
          <w:lang w:eastAsia="fr-CA"/>
        </w:rPr>
        <w:t xml:space="preserve"> been assessed</w:t>
      </w:r>
      <w:r w:rsidR="00B3096A" w:rsidRPr="005764FC">
        <w:rPr>
          <w:lang w:eastAsia="fr-CA"/>
        </w:rPr>
        <w:t xml:space="preserve"> in relation to coherence </w:t>
      </w:r>
      <w:r w:rsidR="00497E8D" w:rsidRPr="005764FC">
        <w:rPr>
          <w:lang w:eastAsia="fr-CA"/>
        </w:rPr>
        <w:t xml:space="preserve">with </w:t>
      </w:r>
      <w:r w:rsidR="00B3096A" w:rsidRPr="005764FC">
        <w:rPr>
          <w:lang w:eastAsia="fr-CA"/>
        </w:rPr>
        <w:t>strategic plans, socio</w:t>
      </w:r>
      <w:r w:rsidR="005324F2" w:rsidRPr="005764FC">
        <w:rPr>
          <w:lang w:eastAsia="fr-CA"/>
        </w:rPr>
        <w:t xml:space="preserve">economic benefit, </w:t>
      </w:r>
      <w:r w:rsidR="001D752A" w:rsidRPr="005764FC">
        <w:rPr>
          <w:lang w:eastAsia="fr-CA"/>
        </w:rPr>
        <w:t xml:space="preserve">efficient </w:t>
      </w:r>
      <w:r w:rsidR="005324F2" w:rsidRPr="005764FC">
        <w:rPr>
          <w:lang w:eastAsia="fr-CA"/>
        </w:rPr>
        <w:t>benefits realisation, breaking the chicken</w:t>
      </w:r>
      <w:r w:rsidR="00497E8D" w:rsidRPr="005764FC">
        <w:rPr>
          <w:lang w:eastAsia="fr-CA"/>
        </w:rPr>
        <w:t>-</w:t>
      </w:r>
      <w:r w:rsidR="005324F2" w:rsidRPr="005764FC">
        <w:rPr>
          <w:lang w:eastAsia="fr-CA"/>
        </w:rPr>
        <w:t>and</w:t>
      </w:r>
      <w:r w:rsidR="00497E8D" w:rsidRPr="005764FC">
        <w:rPr>
          <w:lang w:eastAsia="fr-CA"/>
        </w:rPr>
        <w:t>-</w:t>
      </w:r>
      <w:r w:rsidR="005324F2" w:rsidRPr="005764FC">
        <w:rPr>
          <w:lang w:eastAsia="fr-CA"/>
        </w:rPr>
        <w:t>egg dilemma</w:t>
      </w:r>
      <w:r w:rsidR="00896964" w:rsidRPr="005764FC">
        <w:rPr>
          <w:lang w:eastAsia="fr-CA"/>
        </w:rPr>
        <w:t>,</w:t>
      </w:r>
      <w:r w:rsidR="005324F2" w:rsidRPr="005764FC">
        <w:rPr>
          <w:lang w:eastAsia="fr-CA"/>
        </w:rPr>
        <w:t xml:space="preserve"> and accessibility. </w:t>
      </w:r>
      <w:r w:rsidR="00903BAE" w:rsidRPr="005764FC">
        <w:rPr>
          <w:lang w:eastAsia="fr-CA"/>
        </w:rPr>
        <w:t xml:space="preserve">The estimated relative impact of each option is shown in </w:t>
      </w:r>
      <w:r w:rsidR="00F05581" w:rsidRPr="005764FC">
        <w:rPr>
          <w:lang w:eastAsia="fr-CA"/>
        </w:rPr>
        <w:fldChar w:fldCharType="begin" w:fldLock="1"/>
      </w:r>
      <w:r w:rsidR="00F05581" w:rsidRPr="005764FC">
        <w:rPr>
          <w:lang w:eastAsia="fr-CA"/>
        </w:rPr>
        <w:instrText xml:space="preserve"> REF _Ref94192347 \h </w:instrText>
      </w:r>
      <w:r w:rsidR="00F05581" w:rsidRPr="005764FC">
        <w:rPr>
          <w:lang w:eastAsia="fr-CA"/>
        </w:rPr>
      </w:r>
      <w:r w:rsidR="00F05581" w:rsidRPr="005764FC">
        <w:rPr>
          <w:lang w:eastAsia="fr-CA"/>
        </w:rPr>
        <w:fldChar w:fldCharType="separate"/>
      </w:r>
      <w:r w:rsidR="00A34B27" w:rsidRPr="005764FC">
        <w:t xml:space="preserve">Table </w:t>
      </w:r>
      <w:r w:rsidR="00A34B27">
        <w:rPr>
          <w:noProof/>
        </w:rPr>
        <w:t>2</w:t>
      </w:r>
      <w:r w:rsidR="00A34B27" w:rsidRPr="005764FC">
        <w:t>.</w:t>
      </w:r>
      <w:r w:rsidR="00A34B27">
        <w:rPr>
          <w:noProof/>
        </w:rPr>
        <w:t>1</w:t>
      </w:r>
      <w:r w:rsidR="00F05581" w:rsidRPr="005764FC">
        <w:rPr>
          <w:lang w:eastAsia="fr-CA"/>
        </w:rPr>
        <w:fldChar w:fldCharType="end"/>
      </w:r>
      <w:r w:rsidR="00415D90" w:rsidRPr="005764FC">
        <w:rPr>
          <w:lang w:eastAsia="fr-CA"/>
        </w:rPr>
        <w:t xml:space="preserve">. </w:t>
      </w:r>
    </w:p>
    <w:p w14:paraId="78CA9092" w14:textId="46216364" w:rsidR="00D53AA9" w:rsidRPr="005764FC" w:rsidRDefault="00D53AA9" w:rsidP="00004964">
      <w:pPr>
        <w:pStyle w:val="Caption"/>
      </w:pPr>
      <w:bookmarkStart w:id="209" w:name="_Ref94192347"/>
      <w:bookmarkStart w:id="210" w:name="_Toc97807814"/>
      <w:r w:rsidRPr="005764FC">
        <w:t xml:space="preserve">Table </w:t>
      </w:r>
      <w:r w:rsidR="009359A9" w:rsidRPr="005764FC">
        <w:fldChar w:fldCharType="begin"/>
      </w:r>
      <w:r w:rsidR="009359A9" w:rsidRPr="005764FC">
        <w:instrText xml:space="preserve"> STYLEREF 1 \s </w:instrText>
      </w:r>
      <w:r w:rsidR="009359A9" w:rsidRPr="005764FC">
        <w:fldChar w:fldCharType="separate"/>
      </w:r>
      <w:r w:rsidR="00A34B27">
        <w:rPr>
          <w:noProof/>
        </w:rPr>
        <w:t>2</w:t>
      </w:r>
      <w:r w:rsidR="009359A9" w:rsidRPr="005764FC">
        <w:fldChar w:fldCharType="end"/>
      </w:r>
      <w:r w:rsidR="009359A9" w:rsidRPr="005764FC">
        <w:t>.</w:t>
      </w:r>
      <w:r w:rsidR="009359A9" w:rsidRPr="005764FC">
        <w:fldChar w:fldCharType="begin"/>
      </w:r>
      <w:r w:rsidR="009359A9" w:rsidRPr="005764FC">
        <w:instrText xml:space="preserve"> SEQ Table \* ARABIC \s 1 </w:instrText>
      </w:r>
      <w:r w:rsidR="009359A9" w:rsidRPr="005764FC">
        <w:fldChar w:fldCharType="separate"/>
      </w:r>
      <w:r w:rsidR="00A34B27">
        <w:rPr>
          <w:noProof/>
        </w:rPr>
        <w:t>1</w:t>
      </w:r>
      <w:r w:rsidR="009359A9" w:rsidRPr="005764FC">
        <w:fldChar w:fldCharType="end"/>
      </w:r>
      <w:bookmarkEnd w:id="209"/>
      <w:r w:rsidRPr="005764FC">
        <w:tab/>
      </w:r>
      <w:r w:rsidR="00641226" w:rsidRPr="005764FC">
        <w:t xml:space="preserve">Options </w:t>
      </w:r>
      <w:r w:rsidR="00A0293C" w:rsidRPr="005764FC">
        <w:t>comparison</w:t>
      </w:r>
      <w:bookmarkEnd w:id="210"/>
      <w:r w:rsidR="00A0293C" w:rsidRPr="005764FC">
        <w:t xml:space="preserve"> </w:t>
      </w:r>
    </w:p>
    <w:tbl>
      <w:tblPr>
        <w:tblStyle w:val="Table1"/>
        <w:tblW w:w="5000" w:type="pct"/>
        <w:tblLayout w:type="fixed"/>
        <w:tblLook w:val="0620" w:firstRow="1" w:lastRow="0" w:firstColumn="0" w:lastColumn="0" w:noHBand="1" w:noVBand="1"/>
      </w:tblPr>
      <w:tblGrid>
        <w:gridCol w:w="3681"/>
        <w:gridCol w:w="2022"/>
        <w:gridCol w:w="2022"/>
        <w:gridCol w:w="2022"/>
      </w:tblGrid>
      <w:tr w:rsidR="00D97397" w:rsidRPr="005764FC" w14:paraId="3033337E" w14:textId="77777777" w:rsidTr="008864B6">
        <w:trPr>
          <w:cnfStyle w:val="100000000000" w:firstRow="1" w:lastRow="0" w:firstColumn="0" w:lastColumn="0" w:oddVBand="0" w:evenVBand="0" w:oddHBand="0" w:evenHBand="0" w:firstRowFirstColumn="0" w:firstRowLastColumn="0" w:lastRowFirstColumn="0" w:lastRowLastColumn="0"/>
        </w:trPr>
        <w:tc>
          <w:tcPr>
            <w:tcW w:w="1888" w:type="pct"/>
          </w:tcPr>
          <w:p w14:paraId="0E193AD6" w14:textId="77777777" w:rsidR="00D53AA9" w:rsidRPr="005764FC" w:rsidRDefault="00D53AA9" w:rsidP="006E68A3">
            <w:pPr>
              <w:pStyle w:val="TableHeading"/>
              <w:spacing w:before="60" w:line="264" w:lineRule="auto"/>
              <w:rPr>
                <w:lang w:eastAsia="fr-CA"/>
              </w:rPr>
            </w:pPr>
          </w:p>
        </w:tc>
        <w:tc>
          <w:tcPr>
            <w:tcW w:w="1037" w:type="pct"/>
          </w:tcPr>
          <w:p w14:paraId="78F2D8B7" w14:textId="184F100D" w:rsidR="00D53AA9" w:rsidRPr="005764FC" w:rsidRDefault="007F0C99" w:rsidP="006E68A3">
            <w:pPr>
              <w:pStyle w:val="TableHeading"/>
              <w:spacing w:before="60" w:line="264" w:lineRule="auto"/>
              <w:jc w:val="center"/>
              <w:rPr>
                <w:lang w:eastAsia="fr-CA"/>
              </w:rPr>
            </w:pPr>
            <w:r w:rsidRPr="005764FC">
              <w:rPr>
                <w:lang w:eastAsia="fr-CA"/>
              </w:rPr>
              <w:t>PA1</w:t>
            </w:r>
            <w:r w:rsidR="00301D44" w:rsidRPr="005764FC">
              <w:rPr>
                <w:lang w:eastAsia="fr-CA"/>
              </w:rPr>
              <w:t xml:space="preserve"> Market-Led</w:t>
            </w:r>
          </w:p>
        </w:tc>
        <w:tc>
          <w:tcPr>
            <w:tcW w:w="1037" w:type="pct"/>
          </w:tcPr>
          <w:p w14:paraId="1770CE6F" w14:textId="04A8A944" w:rsidR="00D53AA9" w:rsidRPr="005764FC" w:rsidRDefault="007F0C99" w:rsidP="006E68A3">
            <w:pPr>
              <w:pStyle w:val="TableHeading"/>
              <w:spacing w:before="60" w:line="264" w:lineRule="auto"/>
              <w:jc w:val="center"/>
              <w:rPr>
                <w:lang w:eastAsia="fr-CA"/>
              </w:rPr>
            </w:pPr>
            <w:r w:rsidRPr="005764FC">
              <w:rPr>
                <w:lang w:eastAsia="fr-CA"/>
              </w:rPr>
              <w:t>PA2</w:t>
            </w:r>
            <w:r w:rsidR="00301D44" w:rsidRPr="005764FC">
              <w:rPr>
                <w:lang w:eastAsia="fr-CA"/>
              </w:rPr>
              <w:t xml:space="preserve"> </w:t>
            </w:r>
            <w:r w:rsidR="000D54EA" w:rsidRPr="005764FC">
              <w:rPr>
                <w:lang w:eastAsia="fr-CA"/>
              </w:rPr>
              <w:t>LEAD</w:t>
            </w:r>
            <w:r w:rsidR="0055746B" w:rsidRPr="005764FC">
              <w:rPr>
                <w:lang w:eastAsia="fr-CA"/>
              </w:rPr>
              <w:t xml:space="preserve"> &amp; DIRECT</w:t>
            </w:r>
          </w:p>
        </w:tc>
        <w:tc>
          <w:tcPr>
            <w:tcW w:w="1037" w:type="pct"/>
          </w:tcPr>
          <w:p w14:paraId="5DAC25CE" w14:textId="5572559E" w:rsidR="00D53AA9" w:rsidRPr="005764FC" w:rsidRDefault="007F0C99" w:rsidP="006E68A3">
            <w:pPr>
              <w:pStyle w:val="TableHeading"/>
              <w:spacing w:before="60" w:line="264" w:lineRule="auto"/>
              <w:jc w:val="center"/>
              <w:rPr>
                <w:lang w:eastAsia="fr-CA"/>
              </w:rPr>
            </w:pPr>
            <w:r w:rsidRPr="005764FC">
              <w:rPr>
                <w:lang w:eastAsia="fr-CA"/>
              </w:rPr>
              <w:t>PA3</w:t>
            </w:r>
            <w:r w:rsidR="00301D44" w:rsidRPr="005764FC">
              <w:rPr>
                <w:lang w:eastAsia="fr-CA"/>
              </w:rPr>
              <w:t xml:space="preserve"> Regulation</w:t>
            </w:r>
          </w:p>
        </w:tc>
      </w:tr>
      <w:tr w:rsidR="00D53AA9" w:rsidRPr="005764FC" w14:paraId="5C3ED2E8" w14:textId="77777777" w:rsidTr="005D474A">
        <w:tc>
          <w:tcPr>
            <w:tcW w:w="1888" w:type="pct"/>
            <w:shd w:val="clear" w:color="auto" w:fill="auto"/>
          </w:tcPr>
          <w:p w14:paraId="374B3294" w14:textId="3F96EB00" w:rsidR="0055476A" w:rsidRPr="005764FC" w:rsidRDefault="003006BA" w:rsidP="006E68A3">
            <w:pPr>
              <w:pStyle w:val="TableText"/>
              <w:spacing w:before="60" w:line="264" w:lineRule="auto"/>
            </w:pPr>
            <w:r w:rsidRPr="005764FC">
              <w:fldChar w:fldCharType="begin" w:fldLock="1"/>
            </w:r>
            <w:r w:rsidRPr="005764FC">
              <w:instrText xml:space="preserve"> REF _Ref93524784 \h </w:instrText>
            </w:r>
            <w:r w:rsidR="00BB7D71" w:rsidRPr="005764FC">
              <w:instrText xml:space="preserve"> \* MERGEFORMAT </w:instrText>
            </w:r>
            <w:r w:rsidRPr="005764FC">
              <w:fldChar w:fldCharType="separate"/>
            </w:r>
            <w:r w:rsidR="00A34B27" w:rsidRPr="005764FC">
              <w:t>Coherence With strategic plans</w:t>
            </w:r>
            <w:r w:rsidRPr="005764FC">
              <w:fldChar w:fldCharType="end"/>
            </w:r>
          </w:p>
        </w:tc>
        <w:tc>
          <w:tcPr>
            <w:tcW w:w="1037" w:type="pct"/>
          </w:tcPr>
          <w:p w14:paraId="5AE02E62" w14:textId="2E756FE7" w:rsidR="00D53AA9" w:rsidRPr="005764FC" w:rsidRDefault="00B31ECB" w:rsidP="006E68A3">
            <w:pPr>
              <w:pStyle w:val="TableText"/>
              <w:spacing w:before="60" w:line="264" w:lineRule="auto"/>
              <w:jc w:val="center"/>
              <w:rPr>
                <w:lang w:eastAsia="fr-CA"/>
              </w:rPr>
            </w:pPr>
            <w:r w:rsidRPr="005764FC">
              <w:rPr>
                <w:lang w:eastAsia="fr-CA"/>
              </w:rPr>
              <w:t>+/-</w:t>
            </w:r>
          </w:p>
        </w:tc>
        <w:tc>
          <w:tcPr>
            <w:tcW w:w="1037" w:type="pct"/>
          </w:tcPr>
          <w:p w14:paraId="65603E8A" w14:textId="6DEC063C" w:rsidR="00D53AA9" w:rsidRPr="005764FC" w:rsidRDefault="00871CD6" w:rsidP="006E68A3">
            <w:pPr>
              <w:pStyle w:val="TableText"/>
              <w:spacing w:before="60" w:line="264" w:lineRule="auto"/>
              <w:jc w:val="center"/>
              <w:rPr>
                <w:lang w:eastAsia="fr-CA"/>
              </w:rPr>
            </w:pPr>
            <w:r w:rsidRPr="005764FC">
              <w:rPr>
                <w:lang w:eastAsia="fr-CA"/>
              </w:rPr>
              <w:t>++</w:t>
            </w:r>
          </w:p>
        </w:tc>
        <w:tc>
          <w:tcPr>
            <w:tcW w:w="1037" w:type="pct"/>
          </w:tcPr>
          <w:p w14:paraId="384C2546" w14:textId="739780D4" w:rsidR="00D53AA9" w:rsidRPr="005764FC" w:rsidRDefault="00871CD6" w:rsidP="006E68A3">
            <w:pPr>
              <w:pStyle w:val="TableText"/>
              <w:spacing w:before="60" w:line="264" w:lineRule="auto"/>
              <w:jc w:val="center"/>
              <w:rPr>
                <w:lang w:eastAsia="fr-CA"/>
              </w:rPr>
            </w:pPr>
            <w:r w:rsidRPr="005764FC">
              <w:rPr>
                <w:lang w:eastAsia="fr-CA"/>
              </w:rPr>
              <w:t>+</w:t>
            </w:r>
          </w:p>
        </w:tc>
      </w:tr>
      <w:tr w:rsidR="00D53AA9" w:rsidRPr="005764FC" w14:paraId="19738F7E" w14:textId="77777777" w:rsidTr="005D474A">
        <w:tc>
          <w:tcPr>
            <w:tcW w:w="1888" w:type="pct"/>
            <w:shd w:val="clear" w:color="auto" w:fill="auto"/>
          </w:tcPr>
          <w:p w14:paraId="712DFE5F" w14:textId="370C4395" w:rsidR="00D53AA9" w:rsidRPr="005764FC" w:rsidRDefault="003006BA" w:rsidP="006E68A3">
            <w:pPr>
              <w:pStyle w:val="TableText"/>
              <w:spacing w:before="60" w:line="264" w:lineRule="auto"/>
            </w:pPr>
            <w:r w:rsidRPr="005764FC">
              <w:fldChar w:fldCharType="begin" w:fldLock="1"/>
            </w:r>
            <w:r w:rsidRPr="005764FC">
              <w:instrText xml:space="preserve"> REF _Ref93524789 \h </w:instrText>
            </w:r>
            <w:r w:rsidR="00BB7D71" w:rsidRPr="005764FC">
              <w:instrText xml:space="preserve"> \* MERGEFORMAT </w:instrText>
            </w:r>
            <w:r w:rsidRPr="005764FC">
              <w:fldChar w:fldCharType="separate"/>
            </w:r>
            <w:r w:rsidR="00A34B27" w:rsidRPr="005764FC">
              <w:t>Socioeconomic Benefit</w:t>
            </w:r>
            <w:r w:rsidRPr="005764FC">
              <w:fldChar w:fldCharType="end"/>
            </w:r>
          </w:p>
        </w:tc>
        <w:tc>
          <w:tcPr>
            <w:tcW w:w="1037" w:type="pct"/>
          </w:tcPr>
          <w:p w14:paraId="0C847887" w14:textId="32F22412" w:rsidR="00D53AA9" w:rsidRPr="005764FC" w:rsidRDefault="00C01C12" w:rsidP="006E68A3">
            <w:pPr>
              <w:pStyle w:val="TableText"/>
              <w:spacing w:before="60" w:line="264" w:lineRule="auto"/>
              <w:jc w:val="center"/>
              <w:rPr>
                <w:lang w:eastAsia="fr-CA"/>
              </w:rPr>
            </w:pPr>
            <w:r w:rsidRPr="005764FC">
              <w:rPr>
                <w:lang w:eastAsia="fr-CA"/>
              </w:rPr>
              <w:t>+/</w:t>
            </w:r>
            <w:r w:rsidR="00871CD6" w:rsidRPr="005764FC">
              <w:rPr>
                <w:lang w:eastAsia="fr-CA"/>
              </w:rPr>
              <w:t>-</w:t>
            </w:r>
          </w:p>
        </w:tc>
        <w:tc>
          <w:tcPr>
            <w:tcW w:w="1037" w:type="pct"/>
          </w:tcPr>
          <w:p w14:paraId="511089D1" w14:textId="1BE61544" w:rsidR="00D53AA9" w:rsidRPr="005764FC" w:rsidRDefault="00871CD6" w:rsidP="006E68A3">
            <w:pPr>
              <w:pStyle w:val="TableText"/>
              <w:spacing w:before="60" w:line="264" w:lineRule="auto"/>
              <w:jc w:val="center"/>
              <w:rPr>
                <w:lang w:eastAsia="fr-CA"/>
              </w:rPr>
            </w:pPr>
            <w:r w:rsidRPr="005764FC">
              <w:rPr>
                <w:lang w:eastAsia="fr-CA"/>
              </w:rPr>
              <w:t>++</w:t>
            </w:r>
          </w:p>
        </w:tc>
        <w:tc>
          <w:tcPr>
            <w:tcW w:w="1037" w:type="pct"/>
          </w:tcPr>
          <w:p w14:paraId="0283E84D" w14:textId="60059FA9" w:rsidR="00D53AA9" w:rsidRPr="005764FC" w:rsidRDefault="00944550" w:rsidP="006E68A3">
            <w:pPr>
              <w:pStyle w:val="TableText"/>
              <w:spacing w:before="60" w:line="264" w:lineRule="auto"/>
              <w:jc w:val="center"/>
              <w:rPr>
                <w:lang w:eastAsia="fr-CA"/>
              </w:rPr>
            </w:pPr>
            <w:r w:rsidRPr="005764FC">
              <w:rPr>
                <w:lang w:eastAsia="fr-CA"/>
              </w:rPr>
              <w:t>+/-</w:t>
            </w:r>
          </w:p>
        </w:tc>
      </w:tr>
      <w:tr w:rsidR="00D53AA9" w:rsidRPr="005764FC" w14:paraId="063D6456" w14:textId="77777777" w:rsidTr="005D474A">
        <w:tc>
          <w:tcPr>
            <w:tcW w:w="1888" w:type="pct"/>
            <w:shd w:val="clear" w:color="auto" w:fill="auto"/>
          </w:tcPr>
          <w:p w14:paraId="01548D20" w14:textId="4A3DC034" w:rsidR="0055476A" w:rsidRPr="005764FC" w:rsidRDefault="003F458A" w:rsidP="006E68A3">
            <w:pPr>
              <w:pStyle w:val="TableText"/>
              <w:spacing w:before="60" w:line="264" w:lineRule="auto"/>
            </w:pPr>
            <w:r w:rsidRPr="005764FC">
              <w:fldChar w:fldCharType="begin" w:fldLock="1"/>
            </w:r>
            <w:r w:rsidRPr="005764FC">
              <w:instrText xml:space="preserve"> REF _Ref94190376 \h  \* MERGEFORMAT </w:instrText>
            </w:r>
            <w:r w:rsidRPr="005764FC">
              <w:fldChar w:fldCharType="separate"/>
            </w:r>
            <w:r w:rsidR="00A34B27" w:rsidRPr="005764FC">
              <w:t>Efficient Benefits Realisation</w:t>
            </w:r>
            <w:r w:rsidRPr="005764FC">
              <w:fldChar w:fldCharType="end"/>
            </w:r>
          </w:p>
        </w:tc>
        <w:tc>
          <w:tcPr>
            <w:tcW w:w="1037" w:type="pct"/>
          </w:tcPr>
          <w:p w14:paraId="23B6BF85" w14:textId="2F57F4A4" w:rsidR="00D53AA9" w:rsidRPr="005764FC" w:rsidRDefault="00C01C12" w:rsidP="006E68A3">
            <w:pPr>
              <w:pStyle w:val="TableText"/>
              <w:spacing w:before="60" w:line="264" w:lineRule="auto"/>
              <w:jc w:val="center"/>
              <w:rPr>
                <w:lang w:eastAsia="fr-CA"/>
              </w:rPr>
            </w:pPr>
            <w:r w:rsidRPr="005764FC">
              <w:rPr>
                <w:lang w:eastAsia="fr-CA"/>
              </w:rPr>
              <w:t>+/</w:t>
            </w:r>
            <w:r w:rsidR="003006BA" w:rsidRPr="005764FC">
              <w:rPr>
                <w:lang w:eastAsia="fr-CA"/>
              </w:rPr>
              <w:t>-</w:t>
            </w:r>
          </w:p>
        </w:tc>
        <w:tc>
          <w:tcPr>
            <w:tcW w:w="1037" w:type="pct"/>
          </w:tcPr>
          <w:p w14:paraId="34DE2251" w14:textId="3F64DA9E" w:rsidR="00D53AA9" w:rsidRPr="005764FC" w:rsidRDefault="003006BA" w:rsidP="006E68A3">
            <w:pPr>
              <w:pStyle w:val="TableText"/>
              <w:spacing w:before="60" w:line="264" w:lineRule="auto"/>
              <w:jc w:val="center"/>
              <w:rPr>
                <w:lang w:eastAsia="fr-CA"/>
              </w:rPr>
            </w:pPr>
            <w:r w:rsidRPr="005764FC">
              <w:rPr>
                <w:lang w:eastAsia="fr-CA"/>
              </w:rPr>
              <w:t>++</w:t>
            </w:r>
          </w:p>
        </w:tc>
        <w:tc>
          <w:tcPr>
            <w:tcW w:w="1037" w:type="pct"/>
          </w:tcPr>
          <w:p w14:paraId="48D749F7" w14:textId="44653CCD" w:rsidR="00D53AA9" w:rsidRPr="005764FC" w:rsidRDefault="00944550" w:rsidP="006E68A3">
            <w:pPr>
              <w:pStyle w:val="TableText"/>
              <w:spacing w:before="60" w:line="264" w:lineRule="auto"/>
              <w:jc w:val="center"/>
              <w:rPr>
                <w:lang w:eastAsia="fr-CA"/>
              </w:rPr>
            </w:pPr>
            <w:r w:rsidRPr="005764FC">
              <w:rPr>
                <w:lang w:eastAsia="fr-CA"/>
              </w:rPr>
              <w:t>+/-</w:t>
            </w:r>
          </w:p>
        </w:tc>
      </w:tr>
      <w:tr w:rsidR="0008778C" w:rsidRPr="005764FC" w14:paraId="76ED3AA6" w14:textId="77777777" w:rsidTr="005D474A">
        <w:tc>
          <w:tcPr>
            <w:tcW w:w="1888" w:type="pct"/>
            <w:shd w:val="clear" w:color="auto" w:fill="auto"/>
          </w:tcPr>
          <w:p w14:paraId="5FFEE9E4" w14:textId="49617F29" w:rsidR="0008778C" w:rsidRPr="005764FC" w:rsidRDefault="003F458A" w:rsidP="006E68A3">
            <w:pPr>
              <w:pStyle w:val="TableText"/>
              <w:spacing w:before="60" w:line="264" w:lineRule="auto"/>
            </w:pPr>
            <w:r w:rsidRPr="005764FC">
              <w:fldChar w:fldCharType="begin" w:fldLock="1"/>
            </w:r>
            <w:r w:rsidRPr="005764FC">
              <w:instrText xml:space="preserve"> REF _Ref94188338 \h  \* MERGEFORMAT </w:instrText>
            </w:r>
            <w:r w:rsidRPr="005764FC">
              <w:fldChar w:fldCharType="separate"/>
            </w:r>
            <w:r w:rsidR="00A34B27" w:rsidRPr="005764FC">
              <w:t>The Chicken-and-egg Dilemma</w:t>
            </w:r>
            <w:r w:rsidRPr="005764FC">
              <w:fldChar w:fldCharType="end"/>
            </w:r>
          </w:p>
        </w:tc>
        <w:tc>
          <w:tcPr>
            <w:tcW w:w="1037" w:type="pct"/>
          </w:tcPr>
          <w:p w14:paraId="515FB20F" w14:textId="47A4DF77" w:rsidR="0008778C" w:rsidRPr="005764FC" w:rsidRDefault="00E12229" w:rsidP="006E68A3">
            <w:pPr>
              <w:pStyle w:val="TableText"/>
              <w:spacing w:before="60" w:line="264" w:lineRule="auto"/>
              <w:jc w:val="center"/>
              <w:rPr>
                <w:lang w:eastAsia="fr-CA"/>
              </w:rPr>
            </w:pPr>
            <w:r w:rsidRPr="005764FC">
              <w:rPr>
                <w:lang w:eastAsia="fr-CA"/>
              </w:rPr>
              <w:t>-</w:t>
            </w:r>
          </w:p>
        </w:tc>
        <w:tc>
          <w:tcPr>
            <w:tcW w:w="1037" w:type="pct"/>
          </w:tcPr>
          <w:p w14:paraId="5F3EC84F" w14:textId="6AFA26A3" w:rsidR="0008778C" w:rsidRPr="005764FC" w:rsidRDefault="001263C5" w:rsidP="006E68A3">
            <w:pPr>
              <w:pStyle w:val="TableText"/>
              <w:spacing w:before="60" w:line="264" w:lineRule="auto"/>
              <w:jc w:val="center"/>
              <w:rPr>
                <w:lang w:eastAsia="fr-CA"/>
              </w:rPr>
            </w:pPr>
            <w:r w:rsidRPr="005764FC">
              <w:rPr>
                <w:lang w:eastAsia="fr-CA"/>
              </w:rPr>
              <w:t>++</w:t>
            </w:r>
          </w:p>
        </w:tc>
        <w:tc>
          <w:tcPr>
            <w:tcW w:w="1037" w:type="pct"/>
          </w:tcPr>
          <w:p w14:paraId="069756E5" w14:textId="635BB466" w:rsidR="0008778C" w:rsidRPr="005764FC" w:rsidRDefault="00D90A17" w:rsidP="006E68A3">
            <w:pPr>
              <w:pStyle w:val="TableText"/>
              <w:spacing w:before="60" w:line="264" w:lineRule="auto"/>
              <w:jc w:val="center"/>
              <w:rPr>
                <w:lang w:eastAsia="fr-CA"/>
              </w:rPr>
            </w:pPr>
            <w:r w:rsidRPr="005764FC">
              <w:rPr>
                <w:lang w:eastAsia="fr-CA"/>
              </w:rPr>
              <w:t>++</w:t>
            </w:r>
          </w:p>
        </w:tc>
      </w:tr>
      <w:tr w:rsidR="00D53AA9" w:rsidRPr="005764FC" w14:paraId="60C9680B" w14:textId="77777777" w:rsidTr="005D474A">
        <w:tc>
          <w:tcPr>
            <w:tcW w:w="1888" w:type="pct"/>
            <w:shd w:val="clear" w:color="auto" w:fill="auto"/>
          </w:tcPr>
          <w:p w14:paraId="7C3ED9B5" w14:textId="5C7A120F" w:rsidR="00D53AA9" w:rsidRPr="005764FC" w:rsidRDefault="003F458A" w:rsidP="006E68A3">
            <w:pPr>
              <w:pStyle w:val="TableText"/>
              <w:spacing w:before="60" w:line="264" w:lineRule="auto"/>
            </w:pPr>
            <w:r w:rsidRPr="005764FC">
              <w:fldChar w:fldCharType="begin" w:fldLock="1"/>
            </w:r>
            <w:r w:rsidRPr="005764FC">
              <w:instrText xml:space="preserve"> REF _Ref94190396 \h  \* MERGEFORMAT </w:instrText>
            </w:r>
            <w:r w:rsidRPr="005764FC">
              <w:fldChar w:fldCharType="separate"/>
            </w:r>
            <w:r w:rsidR="00A34B27" w:rsidRPr="005764FC">
              <w:t>Accessibility</w:t>
            </w:r>
            <w:r w:rsidRPr="005764FC">
              <w:fldChar w:fldCharType="end"/>
            </w:r>
          </w:p>
        </w:tc>
        <w:tc>
          <w:tcPr>
            <w:tcW w:w="1037" w:type="pct"/>
          </w:tcPr>
          <w:p w14:paraId="1232E3E0" w14:textId="630E9EEE" w:rsidR="00D53AA9" w:rsidRPr="005764FC" w:rsidRDefault="001263C5" w:rsidP="006E68A3">
            <w:pPr>
              <w:pStyle w:val="TableText"/>
              <w:spacing w:before="60" w:line="264" w:lineRule="auto"/>
              <w:jc w:val="center"/>
              <w:rPr>
                <w:lang w:eastAsia="fr-CA"/>
              </w:rPr>
            </w:pPr>
            <w:r w:rsidRPr="005764FC">
              <w:rPr>
                <w:lang w:eastAsia="fr-CA"/>
              </w:rPr>
              <w:t>-</w:t>
            </w:r>
          </w:p>
        </w:tc>
        <w:tc>
          <w:tcPr>
            <w:tcW w:w="1037" w:type="pct"/>
          </w:tcPr>
          <w:p w14:paraId="455CCA3D" w14:textId="09D9DFF3" w:rsidR="00D53AA9" w:rsidRPr="005764FC" w:rsidRDefault="003006BA" w:rsidP="006E68A3">
            <w:pPr>
              <w:pStyle w:val="TableText"/>
              <w:spacing w:before="60" w:line="264" w:lineRule="auto"/>
              <w:jc w:val="center"/>
              <w:rPr>
                <w:lang w:eastAsia="fr-CA"/>
              </w:rPr>
            </w:pPr>
            <w:r w:rsidRPr="005764FC">
              <w:rPr>
                <w:lang w:eastAsia="fr-CA"/>
              </w:rPr>
              <w:t>++</w:t>
            </w:r>
          </w:p>
        </w:tc>
        <w:tc>
          <w:tcPr>
            <w:tcW w:w="1037" w:type="pct"/>
          </w:tcPr>
          <w:p w14:paraId="13C7530A" w14:textId="2EB4B9B5" w:rsidR="00D53AA9" w:rsidRPr="005764FC" w:rsidRDefault="003006BA" w:rsidP="006E68A3">
            <w:pPr>
              <w:pStyle w:val="TableText"/>
              <w:spacing w:before="60" w:line="264" w:lineRule="auto"/>
              <w:jc w:val="center"/>
              <w:rPr>
                <w:lang w:eastAsia="fr-CA"/>
              </w:rPr>
            </w:pPr>
            <w:r w:rsidRPr="005764FC">
              <w:rPr>
                <w:lang w:eastAsia="fr-CA"/>
              </w:rPr>
              <w:t>+</w:t>
            </w:r>
          </w:p>
        </w:tc>
      </w:tr>
    </w:tbl>
    <w:p w14:paraId="29A95DCA" w14:textId="65C41396" w:rsidR="00D53AA9" w:rsidRPr="005764FC" w:rsidRDefault="00C03A92" w:rsidP="00A0293C">
      <w:pPr>
        <w:pStyle w:val="Notes"/>
      </w:pPr>
      <w:r w:rsidRPr="005764FC">
        <w:t xml:space="preserve">Legend: - </w:t>
      </w:r>
      <w:r w:rsidR="002334BF" w:rsidRPr="005764FC">
        <w:t>(n</w:t>
      </w:r>
      <w:r w:rsidRPr="005764FC">
        <w:t xml:space="preserve">egative </w:t>
      </w:r>
      <w:r w:rsidR="00144244" w:rsidRPr="005764FC">
        <w:t>impact</w:t>
      </w:r>
      <w:r w:rsidR="002334BF" w:rsidRPr="005764FC">
        <w:t>)</w:t>
      </w:r>
      <w:r w:rsidR="00144244" w:rsidRPr="005764FC">
        <w:t xml:space="preserve">, + </w:t>
      </w:r>
      <w:r w:rsidR="002334BF" w:rsidRPr="005764FC">
        <w:t>(</w:t>
      </w:r>
      <w:r w:rsidR="007D552F" w:rsidRPr="005764FC">
        <w:t>positive impact</w:t>
      </w:r>
      <w:r w:rsidR="002334BF" w:rsidRPr="005764FC">
        <w:t>)</w:t>
      </w:r>
      <w:r w:rsidR="007D552F" w:rsidRPr="005764FC">
        <w:t>, ++</w:t>
      </w:r>
      <w:r w:rsidR="009C71A1">
        <w:t xml:space="preserve"> </w:t>
      </w:r>
      <w:r w:rsidR="002334BF" w:rsidRPr="005764FC">
        <w:t>(</w:t>
      </w:r>
      <w:r w:rsidR="007D552F" w:rsidRPr="005764FC">
        <w:t>strong positive impact</w:t>
      </w:r>
      <w:r w:rsidR="002334BF" w:rsidRPr="005764FC">
        <w:t>)</w:t>
      </w:r>
      <w:r w:rsidR="005A3CB3" w:rsidRPr="005764FC">
        <w:t>, +/- (neutral)</w:t>
      </w:r>
    </w:p>
    <w:p w14:paraId="5C4E1130" w14:textId="2D257E9A" w:rsidR="0053714D" w:rsidRPr="005764FC" w:rsidRDefault="001D13F9" w:rsidP="00611236">
      <w:pPr>
        <w:pStyle w:val="BodyText"/>
        <w:rPr>
          <w:lang w:eastAsia="fr-CA"/>
        </w:rPr>
      </w:pPr>
      <w:r w:rsidRPr="005764FC">
        <w:rPr>
          <w:lang w:eastAsia="fr-CA"/>
        </w:rPr>
        <w:t xml:space="preserve">Overarching </w:t>
      </w:r>
      <w:r w:rsidR="00896964" w:rsidRPr="005764FC">
        <w:rPr>
          <w:lang w:eastAsia="fr-CA"/>
        </w:rPr>
        <w:t xml:space="preserve">C-ITS </w:t>
      </w:r>
      <w:r w:rsidRPr="005764FC">
        <w:rPr>
          <w:lang w:eastAsia="fr-CA"/>
        </w:rPr>
        <w:t xml:space="preserve">policy analysis has shown </w:t>
      </w:r>
      <w:r w:rsidR="00896964" w:rsidRPr="005764FC">
        <w:rPr>
          <w:lang w:eastAsia="fr-CA"/>
        </w:rPr>
        <w:t>a</w:t>
      </w:r>
      <w:r w:rsidRPr="005764FC">
        <w:rPr>
          <w:lang w:eastAsia="fr-CA"/>
        </w:rPr>
        <w:t xml:space="preserve"> strong alignment with Australia’s national strategies. </w:t>
      </w:r>
      <w:r w:rsidR="00896964" w:rsidRPr="005764FC">
        <w:rPr>
          <w:lang w:eastAsia="fr-CA"/>
        </w:rPr>
        <w:t>C-ITS can address t</w:t>
      </w:r>
      <w:r w:rsidRPr="005764FC">
        <w:rPr>
          <w:lang w:eastAsia="fr-CA"/>
        </w:rPr>
        <w:t>he four land transport technology measures where safety, efficiency and sustainability (inferred through efficiency) are demonstrated through the positive benefit-cost ratios when infrastructure is available</w:t>
      </w:r>
      <w:r w:rsidR="005303FB" w:rsidRPr="005764FC">
        <w:rPr>
          <w:lang w:eastAsia="fr-CA"/>
        </w:rPr>
        <w:t>,</w:t>
      </w:r>
      <w:r w:rsidRPr="005764FC">
        <w:rPr>
          <w:lang w:eastAsia="fr-CA"/>
        </w:rPr>
        <w:t xml:space="preserve"> and accessibility </w:t>
      </w:r>
      <w:r w:rsidR="00896964" w:rsidRPr="005764FC">
        <w:rPr>
          <w:lang w:eastAsia="fr-CA"/>
        </w:rPr>
        <w:t xml:space="preserve">made </w:t>
      </w:r>
      <w:r w:rsidRPr="005764FC">
        <w:rPr>
          <w:lang w:eastAsia="fr-CA"/>
        </w:rPr>
        <w:t xml:space="preserve">possible through targeted intervention. </w:t>
      </w:r>
    </w:p>
    <w:p w14:paraId="6F94CED1" w14:textId="2141ED2D" w:rsidR="00611236" w:rsidRPr="005764FC" w:rsidRDefault="002120A1" w:rsidP="00611236">
      <w:pPr>
        <w:pStyle w:val="BodyText"/>
      </w:pPr>
      <w:r w:rsidRPr="005764FC">
        <w:rPr>
          <w:lang w:eastAsia="fr-CA"/>
        </w:rPr>
        <w:t>A m</w:t>
      </w:r>
      <w:r w:rsidR="0053714D" w:rsidRPr="005764FC">
        <w:rPr>
          <w:lang w:eastAsia="fr-CA"/>
        </w:rPr>
        <w:t>arket-led (</w:t>
      </w:r>
      <w:r w:rsidR="007F0C99" w:rsidRPr="005764FC">
        <w:rPr>
          <w:lang w:eastAsia="fr-CA"/>
        </w:rPr>
        <w:t>PA1</w:t>
      </w:r>
      <w:r w:rsidR="0053714D" w:rsidRPr="005764FC">
        <w:rPr>
          <w:lang w:eastAsia="fr-CA"/>
        </w:rPr>
        <w:t xml:space="preserve">) </w:t>
      </w:r>
      <w:r w:rsidRPr="005764FC">
        <w:rPr>
          <w:lang w:eastAsia="fr-CA"/>
        </w:rPr>
        <w:t xml:space="preserve">option has the highest risk of not being able to </w:t>
      </w:r>
      <w:r w:rsidR="0048694E" w:rsidRPr="005764FC">
        <w:rPr>
          <w:lang w:eastAsia="fr-CA"/>
        </w:rPr>
        <w:t xml:space="preserve">establish sufficiently to gain </w:t>
      </w:r>
      <w:r w:rsidR="003836F3" w:rsidRPr="005764FC">
        <w:rPr>
          <w:lang w:eastAsia="fr-CA"/>
        </w:rPr>
        <w:t>w</w:t>
      </w:r>
      <w:r w:rsidR="00611236" w:rsidRPr="005764FC">
        <w:t xml:space="preserve">idespread </w:t>
      </w:r>
      <w:r w:rsidR="005303FB" w:rsidRPr="005764FC">
        <w:t xml:space="preserve">C-ITS </w:t>
      </w:r>
      <w:r w:rsidR="00E567FB" w:rsidRPr="005764FC">
        <w:t xml:space="preserve">adoption </w:t>
      </w:r>
      <w:r w:rsidR="00BB32E8" w:rsidRPr="005764FC">
        <w:t xml:space="preserve">(referred to </w:t>
      </w:r>
      <w:r w:rsidR="005303FB" w:rsidRPr="005764FC">
        <w:t>in</w:t>
      </w:r>
      <w:r w:rsidR="00BB32E8" w:rsidRPr="005764FC">
        <w:t xml:space="preserve"> the chicken</w:t>
      </w:r>
      <w:r w:rsidR="0032033E" w:rsidRPr="005764FC">
        <w:t>-</w:t>
      </w:r>
      <w:r w:rsidR="00BB32E8" w:rsidRPr="005764FC">
        <w:t>and</w:t>
      </w:r>
      <w:r w:rsidR="0032033E" w:rsidRPr="005764FC">
        <w:t>-</w:t>
      </w:r>
      <w:r w:rsidR="00BB32E8" w:rsidRPr="005764FC">
        <w:t xml:space="preserve">egg dilemma). </w:t>
      </w:r>
      <w:r w:rsidR="00A33045" w:rsidRPr="005764FC">
        <w:t xml:space="preserve">This is likely to translate </w:t>
      </w:r>
      <w:r w:rsidR="005303FB" w:rsidRPr="005764FC">
        <w:t>in</w:t>
      </w:r>
      <w:r w:rsidR="00A33045" w:rsidRPr="005764FC">
        <w:t xml:space="preserve">to reduced impact on </w:t>
      </w:r>
      <w:r w:rsidR="00B31ECB" w:rsidRPr="005764FC">
        <w:t>national strate</w:t>
      </w:r>
      <w:r w:rsidR="00471CA8" w:rsidRPr="005764FC">
        <w:t xml:space="preserve">gies, </w:t>
      </w:r>
      <w:r w:rsidR="00216870" w:rsidRPr="005764FC">
        <w:t xml:space="preserve">fewer </w:t>
      </w:r>
      <w:r w:rsidR="00471CA8" w:rsidRPr="005764FC">
        <w:t xml:space="preserve">socioeconomic benefits and </w:t>
      </w:r>
      <w:r w:rsidR="00216870" w:rsidRPr="005764FC">
        <w:t xml:space="preserve">less </w:t>
      </w:r>
      <w:r w:rsidR="00471CA8" w:rsidRPr="005764FC">
        <w:t xml:space="preserve">efficient benefits </w:t>
      </w:r>
      <w:r w:rsidR="00611236" w:rsidRPr="005764FC">
        <w:t xml:space="preserve">realisation. </w:t>
      </w:r>
      <w:r w:rsidR="00E7014E" w:rsidRPr="005764FC">
        <w:t xml:space="preserve">Further, </w:t>
      </w:r>
      <w:r w:rsidR="00712628" w:rsidRPr="005764FC">
        <w:t xml:space="preserve">any implementation of C-ITS under a market-led approach will likely need to follow high-volume </w:t>
      </w:r>
      <w:r w:rsidR="00D76BC7" w:rsidRPr="005764FC">
        <w:t xml:space="preserve">sales rather than the needs of the wider </w:t>
      </w:r>
      <w:r w:rsidR="00C661AD" w:rsidRPr="005764FC">
        <w:t xml:space="preserve">community. </w:t>
      </w:r>
    </w:p>
    <w:p w14:paraId="2D797121" w14:textId="4AB9434A" w:rsidR="00CA0925" w:rsidRPr="005764FC" w:rsidRDefault="00CA0925" w:rsidP="001D13F9">
      <w:pPr>
        <w:pStyle w:val="BodyText"/>
        <w:rPr>
          <w:bCs/>
          <w:lang w:eastAsia="fr-CA"/>
        </w:rPr>
      </w:pPr>
      <w:r w:rsidRPr="005764FC">
        <w:rPr>
          <w:bCs/>
          <w:lang w:eastAsia="fr-CA"/>
        </w:rPr>
        <w:t>Regulation (</w:t>
      </w:r>
      <w:r w:rsidR="007F0C99" w:rsidRPr="005764FC">
        <w:rPr>
          <w:bCs/>
          <w:lang w:eastAsia="fr-CA"/>
        </w:rPr>
        <w:t>PA3</w:t>
      </w:r>
      <w:r w:rsidRPr="005764FC">
        <w:rPr>
          <w:bCs/>
          <w:lang w:eastAsia="fr-CA"/>
        </w:rPr>
        <w:t xml:space="preserve">) was </w:t>
      </w:r>
      <w:r w:rsidR="00196C92" w:rsidRPr="005764FC">
        <w:rPr>
          <w:bCs/>
          <w:lang w:eastAsia="fr-CA"/>
        </w:rPr>
        <w:t xml:space="preserve">analysed as a </w:t>
      </w:r>
      <w:r w:rsidR="00F34CC4" w:rsidRPr="005764FC">
        <w:rPr>
          <w:bCs/>
          <w:lang w:eastAsia="fr-CA"/>
        </w:rPr>
        <w:t>mechanism to enforce C-ITS adoption</w:t>
      </w:r>
      <w:r w:rsidR="00216870" w:rsidRPr="005764FC">
        <w:rPr>
          <w:bCs/>
          <w:lang w:eastAsia="fr-CA"/>
        </w:rPr>
        <w:t>,</w:t>
      </w:r>
      <w:r w:rsidR="00F34CC4" w:rsidRPr="005764FC">
        <w:rPr>
          <w:bCs/>
          <w:lang w:eastAsia="fr-CA"/>
        </w:rPr>
        <w:t xml:space="preserve"> which would </w:t>
      </w:r>
      <w:r w:rsidR="00A54E45" w:rsidRPr="005764FC">
        <w:rPr>
          <w:bCs/>
          <w:lang w:eastAsia="fr-CA"/>
        </w:rPr>
        <w:t xml:space="preserve">allow government to direct </w:t>
      </w:r>
      <w:r w:rsidR="00623D0D" w:rsidRPr="005764FC">
        <w:rPr>
          <w:bCs/>
          <w:lang w:eastAsia="fr-CA"/>
        </w:rPr>
        <w:t xml:space="preserve">deployment </w:t>
      </w:r>
      <w:r w:rsidR="008813BA" w:rsidRPr="005764FC">
        <w:rPr>
          <w:bCs/>
          <w:lang w:eastAsia="fr-CA"/>
        </w:rPr>
        <w:t xml:space="preserve">from industry </w:t>
      </w:r>
      <w:r w:rsidR="0082646C" w:rsidRPr="005764FC">
        <w:rPr>
          <w:bCs/>
          <w:lang w:eastAsia="fr-CA"/>
        </w:rPr>
        <w:t xml:space="preserve">and towards </w:t>
      </w:r>
      <w:r w:rsidR="00982CF3" w:rsidRPr="005764FC">
        <w:rPr>
          <w:bCs/>
          <w:lang w:eastAsia="fr-CA"/>
        </w:rPr>
        <w:t xml:space="preserve">strategic and accessibility </w:t>
      </w:r>
      <w:r w:rsidR="00F82061" w:rsidRPr="005764FC">
        <w:rPr>
          <w:bCs/>
          <w:lang w:eastAsia="fr-CA"/>
        </w:rPr>
        <w:t>objectives</w:t>
      </w:r>
      <w:r w:rsidR="00B823BF" w:rsidRPr="005764FC">
        <w:rPr>
          <w:bCs/>
          <w:lang w:eastAsia="fr-CA"/>
        </w:rPr>
        <w:t xml:space="preserve">. </w:t>
      </w:r>
      <w:r w:rsidR="001E652A" w:rsidRPr="005764FC">
        <w:rPr>
          <w:bCs/>
          <w:lang w:eastAsia="fr-CA"/>
        </w:rPr>
        <w:t>However, at this stage it</w:t>
      </w:r>
      <w:r w:rsidR="00015FA0" w:rsidRPr="005764FC">
        <w:rPr>
          <w:bCs/>
          <w:lang w:eastAsia="fr-CA"/>
        </w:rPr>
        <w:t xml:space="preserve"> was viewed as </w:t>
      </w:r>
      <w:r w:rsidR="00D66180" w:rsidRPr="005764FC">
        <w:rPr>
          <w:bCs/>
          <w:lang w:eastAsia="fr-CA"/>
        </w:rPr>
        <w:t xml:space="preserve">generating a long timeline </w:t>
      </w:r>
      <w:r w:rsidR="00216870" w:rsidRPr="005764FC">
        <w:rPr>
          <w:bCs/>
          <w:lang w:eastAsia="fr-CA"/>
        </w:rPr>
        <w:t>that</w:t>
      </w:r>
      <w:r w:rsidR="00D66180" w:rsidRPr="005764FC">
        <w:rPr>
          <w:bCs/>
          <w:lang w:eastAsia="fr-CA"/>
        </w:rPr>
        <w:t xml:space="preserve"> may </w:t>
      </w:r>
      <w:r w:rsidR="00B31E45" w:rsidRPr="005764FC">
        <w:rPr>
          <w:bCs/>
          <w:lang w:eastAsia="fr-CA"/>
        </w:rPr>
        <w:t>delay early deployme</w:t>
      </w:r>
      <w:r w:rsidR="00600416" w:rsidRPr="005764FC">
        <w:rPr>
          <w:bCs/>
          <w:lang w:eastAsia="fr-CA"/>
        </w:rPr>
        <w:t>nt</w:t>
      </w:r>
      <w:r w:rsidR="00047284" w:rsidRPr="005764FC">
        <w:rPr>
          <w:bCs/>
          <w:lang w:eastAsia="fr-CA"/>
        </w:rPr>
        <w:t xml:space="preserve"> </w:t>
      </w:r>
      <w:r w:rsidR="00216870" w:rsidRPr="005764FC">
        <w:rPr>
          <w:bCs/>
          <w:lang w:eastAsia="fr-CA"/>
        </w:rPr>
        <w:t xml:space="preserve">and </w:t>
      </w:r>
      <w:r w:rsidR="00047284" w:rsidRPr="005764FC">
        <w:rPr>
          <w:bCs/>
          <w:lang w:eastAsia="fr-CA"/>
        </w:rPr>
        <w:t xml:space="preserve">impact socioeconomic </w:t>
      </w:r>
      <w:r w:rsidR="0081409B" w:rsidRPr="005764FC">
        <w:rPr>
          <w:bCs/>
          <w:lang w:eastAsia="fr-CA"/>
        </w:rPr>
        <w:t xml:space="preserve">benefits and efficient benefits realisation. </w:t>
      </w:r>
      <w:r w:rsidR="008E3395" w:rsidRPr="005764FC">
        <w:rPr>
          <w:bCs/>
          <w:lang w:eastAsia="fr-CA"/>
        </w:rPr>
        <w:t>Further, it detract</w:t>
      </w:r>
      <w:r w:rsidR="00216870" w:rsidRPr="005764FC">
        <w:rPr>
          <w:bCs/>
          <w:lang w:eastAsia="fr-CA"/>
        </w:rPr>
        <w:t>s</w:t>
      </w:r>
      <w:r w:rsidR="008E3395" w:rsidRPr="005764FC">
        <w:rPr>
          <w:bCs/>
          <w:lang w:eastAsia="fr-CA"/>
        </w:rPr>
        <w:t xml:space="preserve"> from the strategic principle to </w:t>
      </w:r>
      <w:r w:rsidR="009F1F6C" w:rsidRPr="005764FC">
        <w:rPr>
          <w:bCs/>
          <w:lang w:eastAsia="fr-CA"/>
        </w:rPr>
        <w:t xml:space="preserve">preference </w:t>
      </w:r>
      <w:r w:rsidR="008E3395" w:rsidRPr="005764FC">
        <w:rPr>
          <w:lang w:eastAsia="fr-CA"/>
        </w:rPr>
        <w:t>collaborative agreements or self-regulation before pursuing formal regulatio</w:t>
      </w:r>
      <w:r w:rsidR="009F1F6C" w:rsidRPr="005764FC">
        <w:rPr>
          <w:lang w:eastAsia="fr-CA"/>
        </w:rPr>
        <w:t xml:space="preserve">n. </w:t>
      </w:r>
    </w:p>
    <w:p w14:paraId="0AEBEC87" w14:textId="7D7444AD" w:rsidR="00E34CF2" w:rsidRPr="005764FC" w:rsidRDefault="00A70F2C" w:rsidP="00E34CF2">
      <w:pPr>
        <w:pStyle w:val="BodyText"/>
        <w:rPr>
          <w:lang w:eastAsia="fr-CA"/>
        </w:rPr>
      </w:pPr>
      <w:r w:rsidRPr="005764FC">
        <w:rPr>
          <w:lang w:eastAsia="fr-CA"/>
        </w:rPr>
        <w:t>The</w:t>
      </w:r>
      <w:r w:rsidR="007714C8" w:rsidRPr="005764FC">
        <w:rPr>
          <w:lang w:eastAsia="fr-CA"/>
        </w:rPr>
        <w:t xml:space="preserve"> </w:t>
      </w:r>
      <w:r w:rsidR="00E34CF2" w:rsidRPr="005764FC">
        <w:rPr>
          <w:lang w:eastAsia="fr-CA"/>
        </w:rPr>
        <w:t>analysis</w:t>
      </w:r>
      <w:r w:rsidR="007714C8" w:rsidRPr="005764FC">
        <w:rPr>
          <w:lang w:eastAsia="fr-CA"/>
        </w:rPr>
        <w:t xml:space="preserve"> suggest</w:t>
      </w:r>
      <w:r w:rsidR="00E34CF2" w:rsidRPr="005764FC">
        <w:rPr>
          <w:lang w:eastAsia="fr-CA"/>
        </w:rPr>
        <w:t>s</w:t>
      </w:r>
      <w:r w:rsidR="007714C8" w:rsidRPr="005764FC">
        <w:rPr>
          <w:lang w:eastAsia="fr-CA"/>
        </w:rPr>
        <w:t xml:space="preserve"> </w:t>
      </w:r>
      <w:r w:rsidR="007F0C99" w:rsidRPr="005764FC">
        <w:rPr>
          <w:b/>
          <w:bCs/>
          <w:color w:val="FF0000"/>
          <w:lang w:eastAsia="fr-CA"/>
        </w:rPr>
        <w:t>PA2</w:t>
      </w:r>
      <w:r w:rsidR="007714C8" w:rsidRPr="005764FC">
        <w:rPr>
          <w:b/>
          <w:bCs/>
          <w:color w:val="FF0000"/>
          <w:lang w:eastAsia="fr-CA"/>
        </w:rPr>
        <w:t xml:space="preserve"> </w:t>
      </w:r>
      <w:r w:rsidR="00681B74" w:rsidRPr="005764FC">
        <w:rPr>
          <w:b/>
          <w:bCs/>
          <w:lang w:eastAsia="fr-CA"/>
        </w:rPr>
        <w:t>–</w:t>
      </w:r>
      <w:r w:rsidR="007714C8" w:rsidRPr="005764FC">
        <w:rPr>
          <w:lang w:eastAsia="fr-CA"/>
        </w:rPr>
        <w:t xml:space="preserve"> </w:t>
      </w:r>
      <w:r w:rsidR="007714C8" w:rsidRPr="005764FC">
        <w:rPr>
          <w:b/>
          <w:lang w:eastAsia="fr-CA"/>
        </w:rPr>
        <w:t>government leadership</w:t>
      </w:r>
      <w:r w:rsidR="000D54EA" w:rsidRPr="005764FC">
        <w:rPr>
          <w:b/>
          <w:lang w:eastAsia="fr-CA"/>
        </w:rPr>
        <w:t xml:space="preserve"> and </w:t>
      </w:r>
      <w:r w:rsidR="0055746B" w:rsidRPr="005764FC">
        <w:rPr>
          <w:b/>
          <w:lang w:eastAsia="fr-CA"/>
        </w:rPr>
        <w:t>direction</w:t>
      </w:r>
      <w:r w:rsidR="007714C8" w:rsidRPr="005764FC">
        <w:rPr>
          <w:b/>
          <w:lang w:eastAsia="fr-CA"/>
        </w:rPr>
        <w:t xml:space="preserve"> to encourage deployment</w:t>
      </w:r>
      <w:r w:rsidR="007714C8" w:rsidRPr="005764FC">
        <w:rPr>
          <w:bCs/>
          <w:lang w:eastAsia="fr-CA"/>
        </w:rPr>
        <w:t xml:space="preserve"> is the best option. This </w:t>
      </w:r>
      <w:r w:rsidR="007F2F64" w:rsidRPr="005764FC">
        <w:rPr>
          <w:bCs/>
          <w:lang w:eastAsia="fr-CA"/>
        </w:rPr>
        <w:t xml:space="preserve">initially </w:t>
      </w:r>
      <w:r w:rsidR="007714C8" w:rsidRPr="005764FC">
        <w:rPr>
          <w:bCs/>
          <w:lang w:eastAsia="fr-CA"/>
        </w:rPr>
        <w:t xml:space="preserve">creates a proactive ecosystem where the chicken-and-egg dilemma is </w:t>
      </w:r>
      <w:r w:rsidR="005D7B50" w:rsidRPr="005764FC">
        <w:rPr>
          <w:bCs/>
          <w:lang w:eastAsia="fr-CA"/>
        </w:rPr>
        <w:t>r</w:t>
      </w:r>
      <w:r w:rsidR="005D7B50" w:rsidRPr="005764FC">
        <w:rPr>
          <w:lang w:eastAsia="fr-CA"/>
        </w:rPr>
        <w:t>esolve</w:t>
      </w:r>
      <w:r w:rsidR="005D7B50" w:rsidRPr="005764FC">
        <w:rPr>
          <w:bCs/>
          <w:lang w:eastAsia="fr-CA"/>
        </w:rPr>
        <w:t>d</w:t>
      </w:r>
      <w:r w:rsidR="007714C8" w:rsidRPr="005764FC">
        <w:rPr>
          <w:bCs/>
          <w:lang w:eastAsia="fr-CA"/>
        </w:rPr>
        <w:t xml:space="preserve"> by government, encouraging vehicle manufacturers and other suppliers to deliver innovative solutions that align to improving land transport issues.</w:t>
      </w:r>
      <w:r w:rsidR="00CF04D1" w:rsidRPr="005764FC">
        <w:rPr>
          <w:bCs/>
          <w:lang w:eastAsia="fr-CA"/>
        </w:rPr>
        <w:t xml:space="preserve"> It provides higher confidence </w:t>
      </w:r>
      <w:r w:rsidR="00216870" w:rsidRPr="005764FC">
        <w:rPr>
          <w:bCs/>
          <w:lang w:eastAsia="fr-CA"/>
        </w:rPr>
        <w:t>in</w:t>
      </w:r>
      <w:r w:rsidR="00CF04D1" w:rsidRPr="005764FC">
        <w:rPr>
          <w:bCs/>
          <w:lang w:eastAsia="fr-CA"/>
        </w:rPr>
        <w:t xml:space="preserve"> </w:t>
      </w:r>
      <w:r w:rsidR="00C736EC" w:rsidRPr="005764FC">
        <w:rPr>
          <w:bCs/>
          <w:lang w:eastAsia="fr-CA"/>
        </w:rPr>
        <w:t>targeting national transport strategies,</w:t>
      </w:r>
      <w:r w:rsidR="00C957DD" w:rsidRPr="005764FC">
        <w:rPr>
          <w:bCs/>
          <w:lang w:eastAsia="fr-CA"/>
        </w:rPr>
        <w:t xml:space="preserve"> </w:t>
      </w:r>
      <w:r w:rsidR="00AC3F0B" w:rsidRPr="005764FC">
        <w:rPr>
          <w:bCs/>
          <w:lang w:eastAsia="fr-CA"/>
        </w:rPr>
        <w:t xml:space="preserve">is </w:t>
      </w:r>
      <w:r w:rsidR="00C957DD" w:rsidRPr="005764FC">
        <w:rPr>
          <w:bCs/>
          <w:lang w:eastAsia="fr-CA"/>
        </w:rPr>
        <w:t>accessible to the community,</w:t>
      </w:r>
      <w:r w:rsidR="00C736EC" w:rsidRPr="005764FC">
        <w:rPr>
          <w:bCs/>
          <w:lang w:eastAsia="fr-CA"/>
        </w:rPr>
        <w:t xml:space="preserve"> </w:t>
      </w:r>
      <w:r w:rsidR="00730CFB" w:rsidRPr="005764FC">
        <w:rPr>
          <w:bCs/>
          <w:lang w:eastAsia="fr-CA"/>
        </w:rPr>
        <w:t>meet</w:t>
      </w:r>
      <w:r w:rsidR="00AC3F0B" w:rsidRPr="005764FC">
        <w:rPr>
          <w:bCs/>
          <w:lang w:eastAsia="fr-CA"/>
        </w:rPr>
        <w:t>s</w:t>
      </w:r>
      <w:r w:rsidR="00730CFB" w:rsidRPr="005764FC">
        <w:rPr>
          <w:bCs/>
          <w:lang w:eastAsia="fr-CA"/>
        </w:rPr>
        <w:t xml:space="preserve"> estimated </w:t>
      </w:r>
      <w:r w:rsidR="002C2EA9" w:rsidRPr="005764FC">
        <w:rPr>
          <w:bCs/>
          <w:lang w:eastAsia="fr-CA"/>
        </w:rPr>
        <w:t xml:space="preserve">socioeconomic </w:t>
      </w:r>
      <w:r w:rsidR="00514C2F" w:rsidRPr="005764FC">
        <w:rPr>
          <w:bCs/>
          <w:lang w:eastAsia="fr-CA"/>
        </w:rPr>
        <w:t>benefits</w:t>
      </w:r>
      <w:r w:rsidR="00AC3F0B" w:rsidRPr="005764FC">
        <w:rPr>
          <w:bCs/>
          <w:lang w:eastAsia="fr-CA"/>
        </w:rPr>
        <w:t>,</w:t>
      </w:r>
      <w:r w:rsidR="00514C2F" w:rsidRPr="005764FC">
        <w:rPr>
          <w:bCs/>
          <w:lang w:eastAsia="fr-CA"/>
        </w:rPr>
        <w:t xml:space="preserve"> and efficiently </w:t>
      </w:r>
      <w:r w:rsidR="00DD4F2C" w:rsidRPr="005764FC">
        <w:rPr>
          <w:bCs/>
          <w:lang w:eastAsia="fr-CA"/>
        </w:rPr>
        <w:t>deliver</w:t>
      </w:r>
      <w:r w:rsidR="00AC3F0B" w:rsidRPr="005764FC">
        <w:rPr>
          <w:bCs/>
          <w:lang w:eastAsia="fr-CA"/>
        </w:rPr>
        <w:t>s realised</w:t>
      </w:r>
      <w:r w:rsidR="00DD4F2C" w:rsidRPr="005764FC">
        <w:rPr>
          <w:bCs/>
          <w:lang w:eastAsia="fr-CA"/>
        </w:rPr>
        <w:t xml:space="preserve"> benefits.</w:t>
      </w:r>
      <w:r w:rsidR="00026AB5" w:rsidRPr="005764FC">
        <w:rPr>
          <w:bCs/>
          <w:lang w:eastAsia="fr-CA"/>
        </w:rPr>
        <w:t xml:space="preserve"> It also </w:t>
      </w:r>
      <w:r w:rsidR="0059020B" w:rsidRPr="005764FC">
        <w:rPr>
          <w:bCs/>
          <w:lang w:eastAsia="fr-CA"/>
        </w:rPr>
        <w:t xml:space="preserve">positions government to be able to </w:t>
      </w:r>
      <w:r w:rsidR="00B62C6D" w:rsidRPr="005764FC">
        <w:rPr>
          <w:bCs/>
          <w:lang w:eastAsia="fr-CA"/>
        </w:rPr>
        <w:t xml:space="preserve">make decisions </w:t>
      </w:r>
      <w:r w:rsidR="0072637C" w:rsidRPr="005764FC">
        <w:rPr>
          <w:bCs/>
          <w:lang w:eastAsia="fr-CA"/>
        </w:rPr>
        <w:t xml:space="preserve">to leave aspects to market or regulate </w:t>
      </w:r>
      <w:r w:rsidR="0010135C" w:rsidRPr="005764FC">
        <w:rPr>
          <w:bCs/>
          <w:lang w:eastAsia="fr-CA"/>
        </w:rPr>
        <w:t>based on the function</w:t>
      </w:r>
      <w:r w:rsidR="00F63194" w:rsidRPr="005764FC">
        <w:rPr>
          <w:bCs/>
          <w:lang w:eastAsia="fr-CA"/>
        </w:rPr>
        <w:t>ality</w:t>
      </w:r>
      <w:r w:rsidR="0010135C" w:rsidRPr="005764FC">
        <w:rPr>
          <w:bCs/>
          <w:lang w:eastAsia="fr-CA"/>
        </w:rPr>
        <w:t xml:space="preserve"> or issue </w:t>
      </w:r>
      <w:r w:rsidR="00FD2028" w:rsidRPr="005764FC">
        <w:rPr>
          <w:bCs/>
          <w:lang w:eastAsia="fr-CA"/>
        </w:rPr>
        <w:t xml:space="preserve">raised. </w:t>
      </w:r>
    </w:p>
    <w:p w14:paraId="3D8A9FDE" w14:textId="76252AF7" w:rsidR="00E81AC0" w:rsidRPr="005764FC" w:rsidRDefault="00E81AC0" w:rsidP="00004964">
      <w:pPr>
        <w:pStyle w:val="BodyText"/>
        <w:rPr>
          <w:lang w:eastAsia="fr-CA"/>
        </w:rPr>
      </w:pPr>
      <w:r w:rsidRPr="005764FC">
        <w:rPr>
          <w:lang w:eastAsia="fr-CA"/>
        </w:rPr>
        <w:t xml:space="preserve">Based on the </w:t>
      </w:r>
      <w:r w:rsidR="00A770C0" w:rsidRPr="005764FC">
        <w:rPr>
          <w:lang w:eastAsia="fr-CA"/>
        </w:rPr>
        <w:t xml:space="preserve">preferred </w:t>
      </w:r>
      <w:r w:rsidR="00190BD3" w:rsidRPr="005764FC">
        <w:rPr>
          <w:lang w:eastAsia="fr-CA"/>
        </w:rPr>
        <w:t xml:space="preserve">option, the findings </w:t>
      </w:r>
      <w:r w:rsidR="00781424" w:rsidRPr="005764FC">
        <w:rPr>
          <w:lang w:eastAsia="fr-CA"/>
        </w:rPr>
        <w:t xml:space="preserve">in </w:t>
      </w:r>
      <w:r w:rsidR="00781424" w:rsidRPr="005764FC">
        <w:rPr>
          <w:lang w:eastAsia="fr-CA"/>
        </w:rPr>
        <w:fldChar w:fldCharType="begin" w:fldLock="1"/>
      </w:r>
      <w:r w:rsidR="00781424" w:rsidRPr="005764FC">
        <w:rPr>
          <w:lang w:eastAsia="fr-CA"/>
        </w:rPr>
        <w:instrText xml:space="preserve"> REF _Ref93481024 \h </w:instrText>
      </w:r>
      <w:r w:rsidR="00781424" w:rsidRPr="005764FC">
        <w:rPr>
          <w:lang w:eastAsia="fr-CA"/>
        </w:rPr>
      </w:r>
      <w:r w:rsidR="00781424" w:rsidRPr="005764FC">
        <w:rPr>
          <w:lang w:eastAsia="fr-CA"/>
        </w:rPr>
        <w:fldChar w:fldCharType="separate"/>
      </w:r>
      <w:r w:rsidR="00A34B27" w:rsidRPr="005764FC">
        <w:t xml:space="preserve">Table </w:t>
      </w:r>
      <w:r w:rsidR="00A34B27">
        <w:rPr>
          <w:noProof/>
        </w:rPr>
        <w:t>2</w:t>
      </w:r>
      <w:r w:rsidR="00A34B27" w:rsidRPr="005764FC">
        <w:t>.</w:t>
      </w:r>
      <w:r w:rsidR="00A34B27">
        <w:rPr>
          <w:noProof/>
        </w:rPr>
        <w:t>2</w:t>
      </w:r>
      <w:r w:rsidR="00781424" w:rsidRPr="005764FC">
        <w:rPr>
          <w:lang w:eastAsia="fr-CA"/>
        </w:rPr>
        <w:fldChar w:fldCharType="end"/>
      </w:r>
      <w:r w:rsidR="00781424" w:rsidRPr="005764FC">
        <w:rPr>
          <w:lang w:eastAsia="fr-CA"/>
        </w:rPr>
        <w:t xml:space="preserve"> </w:t>
      </w:r>
      <w:r w:rsidR="00190BD3" w:rsidRPr="005764FC">
        <w:rPr>
          <w:lang w:eastAsia="fr-CA"/>
        </w:rPr>
        <w:t>are relevant for policy consideration</w:t>
      </w:r>
      <w:r w:rsidR="00781424" w:rsidRPr="005764FC">
        <w:rPr>
          <w:lang w:eastAsia="fr-CA"/>
        </w:rPr>
        <w:t xml:space="preserve">. </w:t>
      </w:r>
    </w:p>
    <w:p w14:paraId="19FC275F" w14:textId="1BA4BDCE" w:rsidR="00E81AC0" w:rsidRPr="005764FC" w:rsidRDefault="00E81AC0" w:rsidP="00004964">
      <w:pPr>
        <w:pStyle w:val="Caption"/>
      </w:pPr>
      <w:bookmarkStart w:id="211" w:name="_Ref93481024"/>
      <w:bookmarkStart w:id="212" w:name="_Toc97807815"/>
      <w:r w:rsidRPr="005764FC">
        <w:t xml:space="preserve">Table </w:t>
      </w:r>
      <w:r w:rsidR="009359A9" w:rsidRPr="005764FC">
        <w:fldChar w:fldCharType="begin"/>
      </w:r>
      <w:r w:rsidR="009359A9" w:rsidRPr="005764FC">
        <w:instrText xml:space="preserve"> STYLEREF 1 \s </w:instrText>
      </w:r>
      <w:r w:rsidR="009359A9" w:rsidRPr="005764FC">
        <w:fldChar w:fldCharType="separate"/>
      </w:r>
      <w:r w:rsidR="00A34B27">
        <w:rPr>
          <w:noProof/>
        </w:rPr>
        <w:t>2</w:t>
      </w:r>
      <w:r w:rsidR="009359A9" w:rsidRPr="005764FC">
        <w:fldChar w:fldCharType="end"/>
      </w:r>
      <w:r w:rsidR="009359A9" w:rsidRPr="005764FC">
        <w:t>.</w:t>
      </w:r>
      <w:r w:rsidR="009359A9" w:rsidRPr="005764FC">
        <w:fldChar w:fldCharType="begin"/>
      </w:r>
      <w:r w:rsidR="009359A9" w:rsidRPr="005764FC">
        <w:instrText xml:space="preserve"> SEQ Table \* ARABIC \s 1 </w:instrText>
      </w:r>
      <w:r w:rsidR="009359A9" w:rsidRPr="005764FC">
        <w:fldChar w:fldCharType="separate"/>
      </w:r>
      <w:r w:rsidR="00A34B27">
        <w:rPr>
          <w:noProof/>
        </w:rPr>
        <w:t>2</w:t>
      </w:r>
      <w:r w:rsidR="009359A9" w:rsidRPr="005764FC">
        <w:fldChar w:fldCharType="end"/>
      </w:r>
      <w:bookmarkEnd w:id="211"/>
      <w:r w:rsidRPr="005764FC">
        <w:tab/>
      </w:r>
      <w:r w:rsidR="00E83B63" w:rsidRPr="005764FC">
        <w:t>Intervention</w:t>
      </w:r>
      <w:r w:rsidR="003D11E7" w:rsidRPr="005764FC">
        <w:t xml:space="preserve"> </w:t>
      </w:r>
      <w:r w:rsidR="008C35D9" w:rsidRPr="005764FC">
        <w:t>f</w:t>
      </w:r>
      <w:r w:rsidR="003D11E7" w:rsidRPr="005764FC">
        <w:t>indings</w:t>
      </w:r>
      <w:bookmarkEnd w:id="212"/>
      <w:r w:rsidR="003D11E7" w:rsidRPr="005764FC">
        <w:t xml:space="preserve"> </w:t>
      </w:r>
    </w:p>
    <w:tbl>
      <w:tblPr>
        <w:tblStyle w:val="Table1"/>
        <w:tblW w:w="5000" w:type="pct"/>
        <w:tblLook w:val="0620" w:firstRow="1" w:lastRow="0" w:firstColumn="0" w:lastColumn="0" w:noHBand="1" w:noVBand="1"/>
      </w:tblPr>
      <w:tblGrid>
        <w:gridCol w:w="990"/>
        <w:gridCol w:w="8757"/>
      </w:tblGrid>
      <w:tr w:rsidR="00732BE8" w:rsidRPr="005764FC" w14:paraId="6AD77CF8" w14:textId="77777777" w:rsidTr="00A0293C">
        <w:trPr>
          <w:cnfStyle w:val="100000000000" w:firstRow="1" w:lastRow="0" w:firstColumn="0" w:lastColumn="0" w:oddVBand="0" w:evenVBand="0" w:oddHBand="0" w:evenHBand="0" w:firstRowFirstColumn="0" w:firstRowLastColumn="0" w:lastRowFirstColumn="0" w:lastRowLastColumn="0"/>
          <w:cantSplit/>
        </w:trPr>
        <w:tc>
          <w:tcPr>
            <w:tcW w:w="508" w:type="pct"/>
          </w:tcPr>
          <w:p w14:paraId="7CFE0FD0" w14:textId="77777777" w:rsidR="00732BE8" w:rsidRPr="005764FC" w:rsidRDefault="00732BE8" w:rsidP="00A0293C">
            <w:pPr>
              <w:pStyle w:val="TableHeading"/>
              <w:jc w:val="center"/>
              <w:rPr>
                <w:lang w:eastAsia="fr-CA"/>
              </w:rPr>
            </w:pPr>
            <w:r w:rsidRPr="005764FC">
              <w:rPr>
                <w:lang w:eastAsia="fr-CA"/>
              </w:rPr>
              <w:t>Number</w:t>
            </w:r>
          </w:p>
        </w:tc>
        <w:tc>
          <w:tcPr>
            <w:tcW w:w="4492" w:type="pct"/>
          </w:tcPr>
          <w:p w14:paraId="39B188BD" w14:textId="77777777" w:rsidR="00732BE8" w:rsidRPr="005764FC" w:rsidRDefault="00732BE8" w:rsidP="00A0293C">
            <w:pPr>
              <w:pStyle w:val="TableHeading"/>
              <w:rPr>
                <w:lang w:eastAsia="fr-CA"/>
              </w:rPr>
            </w:pPr>
            <w:r w:rsidRPr="005764FC">
              <w:rPr>
                <w:lang w:eastAsia="fr-CA"/>
              </w:rPr>
              <w:t>Finding</w:t>
            </w:r>
          </w:p>
        </w:tc>
      </w:tr>
      <w:tr w:rsidR="00DF3C30" w:rsidRPr="005764FC" w14:paraId="324CC26F" w14:textId="77777777" w:rsidTr="00A0293C">
        <w:trPr>
          <w:cantSplit/>
        </w:trPr>
        <w:tc>
          <w:tcPr>
            <w:tcW w:w="508" w:type="pct"/>
          </w:tcPr>
          <w:p w14:paraId="67E22CC7" w14:textId="245A1535" w:rsidR="00DF3C30" w:rsidRPr="005764FC" w:rsidRDefault="00DF3C30" w:rsidP="00DF3C30">
            <w:pPr>
              <w:pStyle w:val="TableText"/>
              <w:jc w:val="center"/>
              <w:rPr>
                <w:lang w:eastAsia="fr-CA"/>
              </w:rPr>
            </w:pPr>
            <w:r w:rsidRPr="005764FC">
              <w:rPr>
                <w:lang w:eastAsia="fr-CA"/>
              </w:rPr>
              <w:t>1</w:t>
            </w:r>
          </w:p>
        </w:tc>
        <w:tc>
          <w:tcPr>
            <w:tcW w:w="4492" w:type="pct"/>
          </w:tcPr>
          <w:p w14:paraId="6ADCC3B4" w14:textId="3B1ED2E1" w:rsidR="00DF3C30" w:rsidRPr="005764FC" w:rsidRDefault="00DF3C30" w:rsidP="00DF3C30">
            <w:pPr>
              <w:pStyle w:val="TableText"/>
              <w:rPr>
                <w:lang w:eastAsia="fr-CA"/>
              </w:rPr>
            </w:pPr>
            <w:r w:rsidRPr="005764FC">
              <w:rPr>
                <w:lang w:eastAsia="fr-CA"/>
              </w:rPr>
              <w:t>The benefits that can be delivered by C‑ITS have been shown to target strategic priorities of the National Land Transport Technology Action Plan – safety, efficiency, sustainability and accessibility.</w:t>
            </w:r>
          </w:p>
        </w:tc>
      </w:tr>
      <w:tr w:rsidR="00DF3C30" w:rsidRPr="005764FC" w14:paraId="1808828B" w14:textId="77777777" w:rsidTr="00A0293C">
        <w:trPr>
          <w:cantSplit/>
        </w:trPr>
        <w:tc>
          <w:tcPr>
            <w:tcW w:w="508" w:type="pct"/>
          </w:tcPr>
          <w:p w14:paraId="5FCAA167" w14:textId="3E7A5251" w:rsidR="00DF3C30" w:rsidRPr="005764FC" w:rsidRDefault="00DF3C30" w:rsidP="00DF3C30">
            <w:pPr>
              <w:pStyle w:val="TableText"/>
              <w:jc w:val="center"/>
              <w:rPr>
                <w:lang w:eastAsia="fr-CA"/>
              </w:rPr>
            </w:pPr>
            <w:r w:rsidRPr="005764FC">
              <w:rPr>
                <w:lang w:eastAsia="fr-CA"/>
              </w:rPr>
              <w:t>2</w:t>
            </w:r>
          </w:p>
        </w:tc>
        <w:tc>
          <w:tcPr>
            <w:tcW w:w="4492" w:type="pct"/>
          </w:tcPr>
          <w:p w14:paraId="7B9ED96F" w14:textId="3483BF69" w:rsidR="00DF3C30" w:rsidRPr="005764FC" w:rsidRDefault="00DF3C30" w:rsidP="00DF3C30">
            <w:pPr>
              <w:pStyle w:val="TableText"/>
              <w:rPr>
                <w:lang w:eastAsia="fr-CA"/>
              </w:rPr>
            </w:pPr>
            <w:r w:rsidRPr="005764FC">
              <w:rPr>
                <w:lang w:eastAsia="fr-CA"/>
              </w:rPr>
              <w:t>Deployment supported by government-led</w:t>
            </w:r>
            <w:r w:rsidRPr="005764FC" w:rsidDel="002C0AE1">
              <w:rPr>
                <w:lang w:eastAsia="fr-CA"/>
              </w:rPr>
              <w:t xml:space="preserve"> </w:t>
            </w:r>
            <w:r w:rsidRPr="005764FC">
              <w:rPr>
                <w:lang w:eastAsia="fr-CA"/>
              </w:rPr>
              <w:t>infrastructure (central or roadside or both) presented economically sustainable options with BCRs ranging between 1.4 and 2.9 while a vehicle-to-vehicle only deployment was unsustainable (BCR 0.57) within a 10-year period.</w:t>
            </w:r>
          </w:p>
        </w:tc>
      </w:tr>
      <w:tr w:rsidR="00DF3C30" w:rsidRPr="005764FC" w14:paraId="11BA0610" w14:textId="77777777" w:rsidTr="00A0293C">
        <w:trPr>
          <w:cantSplit/>
        </w:trPr>
        <w:tc>
          <w:tcPr>
            <w:tcW w:w="508" w:type="pct"/>
          </w:tcPr>
          <w:p w14:paraId="27D6C207" w14:textId="2FA5D592" w:rsidR="00DF3C30" w:rsidRPr="005764FC" w:rsidRDefault="00DF3C30" w:rsidP="00DF3C30">
            <w:pPr>
              <w:pStyle w:val="TableText"/>
              <w:jc w:val="center"/>
              <w:rPr>
                <w:lang w:eastAsia="fr-CA"/>
              </w:rPr>
            </w:pPr>
            <w:r w:rsidRPr="005764FC">
              <w:rPr>
                <w:lang w:eastAsia="fr-CA"/>
              </w:rPr>
              <w:t>3</w:t>
            </w:r>
          </w:p>
        </w:tc>
        <w:tc>
          <w:tcPr>
            <w:tcW w:w="4492" w:type="pct"/>
          </w:tcPr>
          <w:p w14:paraId="74DE5D9B" w14:textId="5E033942" w:rsidR="00DF3C30" w:rsidRPr="005764FC" w:rsidRDefault="00DF3C30" w:rsidP="00DF3C30">
            <w:pPr>
              <w:pStyle w:val="TableText"/>
              <w:rPr>
                <w:lang w:eastAsia="fr-CA"/>
              </w:rPr>
            </w:pPr>
            <w:r w:rsidRPr="005764FC">
              <w:rPr>
                <w:lang w:eastAsia="fr-CA"/>
              </w:rPr>
              <w:t>Government leadership based on a hybrid (both long-range and short-range distance communications) national deployment is likely to achieve the greatest benefits and encourage accessibility in both urban and rural environments.</w:t>
            </w:r>
          </w:p>
        </w:tc>
      </w:tr>
      <w:tr w:rsidR="00DF3C30" w:rsidRPr="005764FC" w14:paraId="4F21AC07" w14:textId="77777777" w:rsidTr="00A0293C">
        <w:trPr>
          <w:cantSplit/>
        </w:trPr>
        <w:tc>
          <w:tcPr>
            <w:tcW w:w="508" w:type="pct"/>
          </w:tcPr>
          <w:p w14:paraId="45CBE17C" w14:textId="0CABFB7F" w:rsidR="00DF3C30" w:rsidRPr="005764FC" w:rsidRDefault="00DF3C30" w:rsidP="00DF3C30">
            <w:pPr>
              <w:pStyle w:val="TableText"/>
              <w:jc w:val="center"/>
              <w:rPr>
                <w:lang w:eastAsia="fr-CA"/>
              </w:rPr>
            </w:pPr>
            <w:r w:rsidRPr="005764FC">
              <w:rPr>
                <w:lang w:eastAsia="fr-CA"/>
              </w:rPr>
              <w:t>4</w:t>
            </w:r>
          </w:p>
        </w:tc>
        <w:tc>
          <w:tcPr>
            <w:tcW w:w="4492" w:type="pct"/>
          </w:tcPr>
          <w:p w14:paraId="39961EA0" w14:textId="758E1416" w:rsidR="00DF3C30" w:rsidRPr="005764FC" w:rsidRDefault="00DF3C30" w:rsidP="00DF3C30">
            <w:pPr>
              <w:pStyle w:val="TableText"/>
              <w:rPr>
                <w:lang w:eastAsia="fr-CA"/>
              </w:rPr>
            </w:pPr>
            <w:r w:rsidRPr="005764FC">
              <w:rPr>
                <w:lang w:eastAsia="fr-CA"/>
              </w:rPr>
              <w:t>Government investment in enabling infrastructure (SCMS, central and roadside stations), of between 1</w:t>
            </w:r>
            <w:r w:rsidR="00B546E1" w:rsidRPr="005764FC">
              <w:rPr>
                <w:lang w:eastAsia="fr-CA"/>
              </w:rPr>
              <w:t>–</w:t>
            </w:r>
            <w:r w:rsidRPr="005764FC">
              <w:rPr>
                <w:lang w:eastAsia="fr-CA"/>
              </w:rPr>
              <w:t>7</w:t>
            </w:r>
            <w:r w:rsidR="00B546E1" w:rsidRPr="005764FC">
              <w:rPr>
                <w:lang w:eastAsia="fr-CA"/>
              </w:rPr>
              <w:t xml:space="preserve"> per cent</w:t>
            </w:r>
            <w:r w:rsidRPr="005764FC">
              <w:rPr>
                <w:lang w:eastAsia="fr-CA"/>
              </w:rPr>
              <w:t xml:space="preserve"> of the total cost, leverages the vehicle manufacturers investment (93</w:t>
            </w:r>
            <w:r w:rsidR="00B546E1" w:rsidRPr="005764FC">
              <w:rPr>
                <w:lang w:eastAsia="fr-CA"/>
              </w:rPr>
              <w:t>–</w:t>
            </w:r>
            <w:r w:rsidRPr="005764FC">
              <w:rPr>
                <w:lang w:eastAsia="fr-CA"/>
              </w:rPr>
              <w:t>99</w:t>
            </w:r>
            <w:r w:rsidR="00B546E1" w:rsidRPr="005764FC">
              <w:rPr>
                <w:lang w:eastAsia="fr-CA"/>
              </w:rPr>
              <w:t xml:space="preserve"> per cent</w:t>
            </w:r>
            <w:r w:rsidRPr="005764FC">
              <w:rPr>
                <w:lang w:eastAsia="fr-CA"/>
              </w:rPr>
              <w:t>) in achieving the significant public interest benefits possible.</w:t>
            </w:r>
          </w:p>
        </w:tc>
      </w:tr>
      <w:tr w:rsidR="00DF3C30" w:rsidRPr="005764FC" w14:paraId="30418FB6" w14:textId="77777777" w:rsidTr="00A0293C">
        <w:trPr>
          <w:cantSplit/>
        </w:trPr>
        <w:tc>
          <w:tcPr>
            <w:tcW w:w="508" w:type="pct"/>
          </w:tcPr>
          <w:p w14:paraId="59D16275" w14:textId="3B6A5365" w:rsidR="00DF3C30" w:rsidRPr="005764FC" w:rsidRDefault="00DF3C30" w:rsidP="00DF3C30">
            <w:pPr>
              <w:pStyle w:val="TableText"/>
              <w:jc w:val="center"/>
              <w:rPr>
                <w:lang w:eastAsia="fr-CA"/>
              </w:rPr>
            </w:pPr>
            <w:r w:rsidRPr="005764FC">
              <w:rPr>
                <w:lang w:eastAsia="fr-CA"/>
              </w:rPr>
              <w:t>5</w:t>
            </w:r>
          </w:p>
        </w:tc>
        <w:tc>
          <w:tcPr>
            <w:tcW w:w="4492" w:type="pct"/>
          </w:tcPr>
          <w:p w14:paraId="50BAFB25" w14:textId="603D9A45" w:rsidR="00DF3C30" w:rsidRPr="005764FC" w:rsidRDefault="00A55CCE" w:rsidP="00DF3C30">
            <w:pPr>
              <w:pStyle w:val="TableText"/>
              <w:rPr>
                <w:lang w:eastAsia="fr-CA"/>
              </w:rPr>
            </w:pPr>
            <w:r w:rsidRPr="005764FC">
              <w:rPr>
                <w:lang w:eastAsia="fr-CA"/>
              </w:rPr>
              <w:t>Heavy vehicles were found to have the strongest benefit-cost ratio</w:t>
            </w:r>
            <w:r>
              <w:rPr>
                <w:lang w:eastAsia="fr-CA"/>
              </w:rPr>
              <w:t>,</w:t>
            </w:r>
            <w:r w:rsidRPr="005764FC">
              <w:rPr>
                <w:lang w:eastAsia="fr-CA"/>
              </w:rPr>
              <w:t xml:space="preserve"> </w:t>
            </w:r>
            <w:r>
              <w:rPr>
                <w:lang w:eastAsia="fr-CA"/>
              </w:rPr>
              <w:t>due to higher vehicle operating costs and therefore increased benefits resulting from cost-efficiencies in targeted deployment.</w:t>
            </w:r>
          </w:p>
        </w:tc>
      </w:tr>
      <w:tr w:rsidR="00DF3C30" w:rsidRPr="005764FC" w14:paraId="517644A3" w14:textId="77777777" w:rsidTr="00A0293C">
        <w:trPr>
          <w:cantSplit/>
        </w:trPr>
        <w:tc>
          <w:tcPr>
            <w:tcW w:w="508" w:type="pct"/>
          </w:tcPr>
          <w:p w14:paraId="5E3307B7" w14:textId="09494F4A" w:rsidR="00DF3C30" w:rsidRPr="005764FC" w:rsidRDefault="00DF3C30" w:rsidP="00DF3C30">
            <w:pPr>
              <w:pStyle w:val="TableText"/>
              <w:jc w:val="center"/>
              <w:rPr>
                <w:lang w:eastAsia="fr-CA"/>
              </w:rPr>
            </w:pPr>
            <w:r w:rsidRPr="005764FC">
              <w:rPr>
                <w:lang w:eastAsia="fr-CA"/>
              </w:rPr>
              <w:t>6</w:t>
            </w:r>
          </w:p>
        </w:tc>
        <w:tc>
          <w:tcPr>
            <w:tcW w:w="4492" w:type="pct"/>
          </w:tcPr>
          <w:p w14:paraId="66BBE613" w14:textId="53F956F9" w:rsidR="00DF3C30" w:rsidRPr="005764FC" w:rsidRDefault="00DF3C30" w:rsidP="00DF3C30">
            <w:pPr>
              <w:pStyle w:val="TableText"/>
              <w:rPr>
                <w:lang w:eastAsia="fr-CA"/>
              </w:rPr>
            </w:pPr>
            <w:r w:rsidRPr="005764FC">
              <w:rPr>
                <w:lang w:eastAsia="fr-CA"/>
              </w:rPr>
              <w:t>Continued research and trialling are required to overcome the economic and scalability challenges for delivering beneficial C-ITS technology solutions to vulnerable road users.</w:t>
            </w:r>
          </w:p>
        </w:tc>
      </w:tr>
    </w:tbl>
    <w:p w14:paraId="74623A42" w14:textId="2E4CAEEA" w:rsidR="005869C9" w:rsidRPr="005764FC" w:rsidRDefault="006C5910" w:rsidP="00004964">
      <w:pPr>
        <w:pStyle w:val="Heading3"/>
      </w:pPr>
      <w:bookmarkStart w:id="213" w:name="_Ref93906241"/>
      <w:bookmarkStart w:id="214" w:name="_Toc94536704"/>
      <w:bookmarkStart w:id="215" w:name="_Toc94453157"/>
      <w:r w:rsidRPr="005764FC">
        <w:t>Is there a need to align with a specific suite of international standards</w:t>
      </w:r>
      <w:r w:rsidR="008B68D4" w:rsidRPr="005764FC">
        <w:t>?</w:t>
      </w:r>
      <w:bookmarkEnd w:id="213"/>
      <w:bookmarkEnd w:id="214"/>
      <w:bookmarkEnd w:id="215"/>
    </w:p>
    <w:p w14:paraId="46E4B497" w14:textId="705A0673" w:rsidR="008E03A7" w:rsidRPr="005764FC" w:rsidRDefault="008E03A7" w:rsidP="006E68A3">
      <w:pPr>
        <w:pStyle w:val="BodyText"/>
        <w:keepLines/>
      </w:pPr>
      <w:r w:rsidRPr="005764FC">
        <w:t xml:space="preserve">The ability to deliver </w:t>
      </w:r>
      <w:r w:rsidR="00235DC1" w:rsidRPr="005764FC">
        <w:t xml:space="preserve">the </w:t>
      </w:r>
      <w:r w:rsidR="00367D34" w:rsidRPr="005764FC">
        <w:t>benefits consistently</w:t>
      </w:r>
      <w:r w:rsidR="004C2116" w:rsidRPr="005764FC">
        <w:t>,</w:t>
      </w:r>
      <w:r w:rsidR="00367D34" w:rsidRPr="005764FC">
        <w:t xml:space="preserve"> as assumed in the CBA and analysed in </w:t>
      </w:r>
      <w:r w:rsidR="006E68A3" w:rsidRPr="005764FC">
        <w:t xml:space="preserve">Section </w:t>
      </w:r>
      <w:r w:rsidR="00367D34" w:rsidRPr="005764FC">
        <w:fldChar w:fldCharType="begin" w:fldLock="1"/>
      </w:r>
      <w:r w:rsidR="00367D34" w:rsidRPr="005764FC">
        <w:instrText xml:space="preserve"> REF _Ref92722479 \r \h </w:instrText>
      </w:r>
      <w:r w:rsidR="00367D34" w:rsidRPr="005764FC">
        <w:fldChar w:fldCharType="separate"/>
      </w:r>
      <w:r w:rsidR="00A34B27">
        <w:t>2.3.1</w:t>
      </w:r>
      <w:r w:rsidR="00367D34" w:rsidRPr="005764FC">
        <w:fldChar w:fldCharType="end"/>
      </w:r>
      <w:r w:rsidR="00367D34" w:rsidRPr="005764FC">
        <w:t xml:space="preserve">, </w:t>
      </w:r>
      <w:r w:rsidR="004C2116" w:rsidRPr="005764FC">
        <w:t xml:space="preserve">requires </w:t>
      </w:r>
      <w:r w:rsidR="003238EB" w:rsidRPr="005764FC">
        <w:t>interoperability to ensure C-ITS</w:t>
      </w:r>
      <w:r w:rsidR="00B069EC" w:rsidRPr="005764FC">
        <w:t>-</w:t>
      </w:r>
      <w:r w:rsidR="003238EB" w:rsidRPr="005764FC">
        <w:t xml:space="preserve">equipped </w:t>
      </w:r>
      <w:r w:rsidR="004C2116" w:rsidRPr="005764FC">
        <w:t xml:space="preserve">vehicles and infrastructure </w:t>
      </w:r>
      <w:r w:rsidR="00B30E11" w:rsidRPr="005764FC">
        <w:t>has</w:t>
      </w:r>
      <w:r w:rsidR="004C2116" w:rsidRPr="005764FC">
        <w:t xml:space="preserve"> the best opportunity </w:t>
      </w:r>
      <w:r w:rsidR="00B30E11" w:rsidRPr="005764FC">
        <w:t>to</w:t>
      </w:r>
      <w:r w:rsidR="004C2116" w:rsidRPr="005764FC">
        <w:t xml:space="preserve"> receiv</w:t>
      </w:r>
      <w:r w:rsidR="00B30E11" w:rsidRPr="005764FC">
        <w:t>e</w:t>
      </w:r>
      <w:r w:rsidR="004C2116" w:rsidRPr="005764FC">
        <w:t xml:space="preserve"> and understand shared information. I</w:t>
      </w:r>
      <w:r w:rsidRPr="005764FC">
        <w:t xml:space="preserve">nteroperability depends on clear and consistent standards for vehicle manufacturers, service providers, and government agencies to implement. The complexity needed to develop, test and maintain C-ITS in the future must be considered early to ensure there is ability to scale and grow as deployment matures. </w:t>
      </w:r>
    </w:p>
    <w:p w14:paraId="3962FB6F" w14:textId="156A6413" w:rsidR="00CA4131" w:rsidRPr="005764FC" w:rsidRDefault="00CA4131" w:rsidP="00CA4131">
      <w:pPr>
        <w:pStyle w:val="BodyText"/>
        <w:rPr>
          <w:lang w:eastAsia="fr-CA"/>
        </w:rPr>
      </w:pPr>
      <w:r w:rsidRPr="005764FC">
        <w:rPr>
          <w:lang w:eastAsia="fr-CA"/>
        </w:rPr>
        <w:t>The options are considered on the following bas</w:t>
      </w:r>
      <w:r w:rsidR="00B30E11" w:rsidRPr="005764FC">
        <w:rPr>
          <w:lang w:eastAsia="fr-CA"/>
        </w:rPr>
        <w:t>e</w:t>
      </w:r>
      <w:r w:rsidRPr="005764FC">
        <w:rPr>
          <w:lang w:eastAsia="fr-CA"/>
        </w:rPr>
        <w:t xml:space="preserve">s for the standardisation impact analysis: </w:t>
      </w:r>
    </w:p>
    <w:p w14:paraId="3B2B4378" w14:textId="26F96C6E" w:rsidR="00217EDC" w:rsidRPr="005764FC" w:rsidRDefault="007F0C99" w:rsidP="00917B7D">
      <w:pPr>
        <w:pStyle w:val="ListNumber"/>
        <w:numPr>
          <w:ilvl w:val="0"/>
          <w:numId w:val="18"/>
        </w:numPr>
        <w:contextualSpacing/>
      </w:pPr>
      <w:r w:rsidRPr="005764FC">
        <w:rPr>
          <w:b/>
          <w:bCs/>
          <w:color w:val="FF0000"/>
        </w:rPr>
        <w:t>PA1</w:t>
      </w:r>
      <w:r w:rsidR="008E03A7" w:rsidRPr="005764FC">
        <w:rPr>
          <w:b/>
          <w:bCs/>
          <w:color w:val="FF0000"/>
        </w:rPr>
        <w:t xml:space="preserve"> </w:t>
      </w:r>
      <w:r w:rsidR="008E03A7" w:rsidRPr="005764FC">
        <w:t xml:space="preserve">Create </w:t>
      </w:r>
      <w:r w:rsidR="00CA4131" w:rsidRPr="005764FC">
        <w:t xml:space="preserve">an </w:t>
      </w:r>
      <w:r w:rsidR="00CA4131" w:rsidRPr="005764FC">
        <w:rPr>
          <w:b/>
          <w:bCs/>
        </w:rPr>
        <w:t xml:space="preserve">open </w:t>
      </w:r>
      <w:r w:rsidR="00B16D20" w:rsidRPr="005764FC">
        <w:rPr>
          <w:b/>
          <w:bCs/>
        </w:rPr>
        <w:t>combination</w:t>
      </w:r>
      <w:r w:rsidR="008E03A7" w:rsidRPr="005764FC">
        <w:rPr>
          <w:b/>
          <w:bCs/>
        </w:rPr>
        <w:t xml:space="preserve"> of standards for Australia</w:t>
      </w:r>
      <w:r w:rsidR="008E03A7" w:rsidRPr="005764FC">
        <w:t xml:space="preserve"> </w:t>
      </w:r>
      <w:r w:rsidR="00B16D20" w:rsidRPr="005764FC">
        <w:t xml:space="preserve">such that the market can pick and choose which standard to implement </w:t>
      </w:r>
    </w:p>
    <w:p w14:paraId="16CABC17" w14:textId="31DEA7EA" w:rsidR="00217EDC" w:rsidRPr="005764FC" w:rsidRDefault="007F0C99" w:rsidP="00917B7D">
      <w:pPr>
        <w:pStyle w:val="ListNumber"/>
        <w:numPr>
          <w:ilvl w:val="0"/>
          <w:numId w:val="18"/>
        </w:numPr>
        <w:contextualSpacing/>
      </w:pPr>
      <w:r w:rsidRPr="005764FC">
        <w:rPr>
          <w:b/>
          <w:color w:val="FF0000"/>
        </w:rPr>
        <w:t>PA2</w:t>
      </w:r>
      <w:r w:rsidR="008E03A7" w:rsidRPr="005764FC">
        <w:rPr>
          <w:color w:val="FF0000"/>
        </w:rPr>
        <w:t xml:space="preserve"> </w:t>
      </w:r>
      <w:r w:rsidR="009B0E4F" w:rsidRPr="005764FC">
        <w:t xml:space="preserve">Provide certainty </w:t>
      </w:r>
      <w:r w:rsidR="007B579A" w:rsidRPr="005764FC">
        <w:t>by supporting creation of</w:t>
      </w:r>
      <w:r w:rsidR="009B0E4F" w:rsidRPr="005764FC">
        <w:t xml:space="preserve"> a </w:t>
      </w:r>
      <w:r w:rsidR="009363BD" w:rsidRPr="005764FC">
        <w:t xml:space="preserve">specific </w:t>
      </w:r>
      <w:r w:rsidR="008E03A7" w:rsidRPr="005764FC">
        <w:rPr>
          <w:b/>
        </w:rPr>
        <w:t>standardisation</w:t>
      </w:r>
      <w:r w:rsidR="009363BD" w:rsidRPr="005764FC">
        <w:rPr>
          <w:b/>
        </w:rPr>
        <w:t xml:space="preserve"> suite</w:t>
      </w:r>
      <w:r w:rsidR="008E03A7" w:rsidRPr="005764FC">
        <w:t xml:space="preserve"> and implementation guideline</w:t>
      </w:r>
      <w:r w:rsidR="003F4FE6" w:rsidRPr="005764FC">
        <w:t>s (</w:t>
      </w:r>
      <w:r w:rsidR="000C2A84" w:rsidRPr="005764FC">
        <w:t>such as specifications)</w:t>
      </w:r>
      <w:r w:rsidR="008E03A7" w:rsidRPr="005764FC">
        <w:t xml:space="preserve"> </w:t>
      </w:r>
      <w:r w:rsidR="009363BD" w:rsidRPr="005764FC">
        <w:t xml:space="preserve">from </w:t>
      </w:r>
      <w:r w:rsidR="009363BD" w:rsidRPr="005764FC">
        <w:rPr>
          <w:b/>
        </w:rPr>
        <w:t>Europe, US</w:t>
      </w:r>
      <w:r w:rsidR="000C2A84" w:rsidRPr="005764FC">
        <w:rPr>
          <w:b/>
        </w:rPr>
        <w:t>, China, Japan</w:t>
      </w:r>
      <w:r w:rsidR="009363BD" w:rsidRPr="005764FC">
        <w:rPr>
          <w:b/>
        </w:rPr>
        <w:t xml:space="preserve"> or </w:t>
      </w:r>
      <w:r w:rsidR="000C2A84" w:rsidRPr="005764FC">
        <w:rPr>
          <w:b/>
        </w:rPr>
        <w:t>South Korea)</w:t>
      </w:r>
    </w:p>
    <w:p w14:paraId="3AE119B9" w14:textId="45DC7900" w:rsidR="008E03A7" w:rsidRPr="005764FC" w:rsidRDefault="007F0C99" w:rsidP="00917B7D">
      <w:pPr>
        <w:pStyle w:val="ListNumber"/>
        <w:numPr>
          <w:ilvl w:val="0"/>
          <w:numId w:val="18"/>
        </w:numPr>
        <w:contextualSpacing/>
      </w:pPr>
      <w:r w:rsidRPr="005764FC">
        <w:rPr>
          <w:b/>
          <w:color w:val="FF0000"/>
        </w:rPr>
        <w:t>PA3</w:t>
      </w:r>
      <w:r w:rsidR="008E03A7" w:rsidRPr="005764FC">
        <w:t xml:space="preserve"> </w:t>
      </w:r>
      <w:r w:rsidR="007F36A5" w:rsidRPr="005764FC">
        <w:rPr>
          <w:b/>
        </w:rPr>
        <w:t>Regulate a spe</w:t>
      </w:r>
      <w:r w:rsidR="00AB73B2" w:rsidRPr="005764FC">
        <w:rPr>
          <w:b/>
        </w:rPr>
        <w:t>cific set of standards</w:t>
      </w:r>
      <w:r w:rsidR="00AB73B2" w:rsidRPr="005764FC">
        <w:t xml:space="preserve"> for </w:t>
      </w:r>
      <w:r w:rsidR="00D70A9F" w:rsidRPr="005764FC">
        <w:t>implementation</w:t>
      </w:r>
      <w:r w:rsidR="00A0293C" w:rsidRPr="005764FC">
        <w:t>.</w:t>
      </w:r>
    </w:p>
    <w:p w14:paraId="5CE5D92E" w14:textId="6E87CAC1" w:rsidR="00A11BA1" w:rsidRPr="005764FC" w:rsidRDefault="00701C0D" w:rsidP="00004964">
      <w:pPr>
        <w:pStyle w:val="Heading4"/>
      </w:pPr>
      <w:r w:rsidRPr="005764FC">
        <w:t>Drivers</w:t>
      </w:r>
    </w:p>
    <w:p w14:paraId="6986C4CB" w14:textId="7A2FD697" w:rsidR="003006BA" w:rsidRPr="005764FC" w:rsidRDefault="003006BA" w:rsidP="005D571C">
      <w:pPr>
        <w:pStyle w:val="BodyText"/>
        <w:keepNext/>
      </w:pPr>
      <w:r w:rsidRPr="005764FC">
        <w:t>The following drivers impact the decisions relating to C-ITS standards:</w:t>
      </w:r>
    </w:p>
    <w:p w14:paraId="74B24CC7" w14:textId="4FEE9E3E" w:rsidR="00821DAE" w:rsidRPr="005764FC" w:rsidRDefault="00821DAE" w:rsidP="00A0293C">
      <w:pPr>
        <w:pStyle w:val="ListBullet"/>
        <w:ind w:left="357" w:hanging="357"/>
        <w:contextualSpacing/>
      </w:pPr>
      <w:r w:rsidRPr="005764FC">
        <w:t>The data needed to provide services (particularly safety-based) should be consistent and available to all users regardless of vehicle manufacturer</w:t>
      </w:r>
      <w:r w:rsidR="00681B74" w:rsidRPr="005764FC">
        <w:t>.</w:t>
      </w:r>
    </w:p>
    <w:p w14:paraId="55F71919" w14:textId="2851FA04" w:rsidR="00800936" w:rsidRPr="005764FC" w:rsidRDefault="00800936" w:rsidP="00A0293C">
      <w:pPr>
        <w:pStyle w:val="ListBullet"/>
        <w:ind w:left="357" w:hanging="357"/>
        <w:contextualSpacing/>
      </w:pPr>
      <w:r w:rsidRPr="005764FC">
        <w:t>A vehicle or subsystem (such as a traffic management centre) must be able to receive information from many sources to provide C-ITS services to users</w:t>
      </w:r>
      <w:r w:rsidR="00681B74" w:rsidRPr="005764FC">
        <w:t>.</w:t>
      </w:r>
    </w:p>
    <w:p w14:paraId="1800DE03" w14:textId="2881D84E" w:rsidR="00800936" w:rsidRPr="005764FC" w:rsidRDefault="00800936" w:rsidP="00A0293C">
      <w:pPr>
        <w:pStyle w:val="ListBullet"/>
        <w:ind w:left="357" w:hanging="357"/>
        <w:contextualSpacing/>
      </w:pPr>
      <w:r w:rsidRPr="005764FC">
        <w:t xml:space="preserve">Cross-border interoperability (state-state or state-territory) is essential </w:t>
      </w:r>
      <w:r w:rsidR="004E6665" w:rsidRPr="005764FC">
        <w:t>for</w:t>
      </w:r>
      <w:r w:rsidRPr="005764FC">
        <w:t xml:space="preserve"> maintain</w:t>
      </w:r>
      <w:r w:rsidR="004E6665" w:rsidRPr="005764FC">
        <w:t>ing</w:t>
      </w:r>
      <w:r w:rsidRPr="005764FC">
        <w:t xml:space="preserve"> service availability to vehicles driving interstate</w:t>
      </w:r>
      <w:r w:rsidR="00681B74" w:rsidRPr="005764FC">
        <w:t>.</w:t>
      </w:r>
    </w:p>
    <w:p w14:paraId="43DC486D" w14:textId="526DABA1" w:rsidR="002A1D60" w:rsidRPr="005764FC" w:rsidRDefault="002A1D60" w:rsidP="002A1D60">
      <w:pPr>
        <w:pStyle w:val="ListBullet"/>
        <w:ind w:left="357" w:hanging="357"/>
        <w:contextualSpacing/>
      </w:pPr>
      <w:r w:rsidRPr="005764FC">
        <w:t>Vehicle manufacturing no longer exist</w:t>
      </w:r>
      <w:r w:rsidR="00673223" w:rsidRPr="005764FC">
        <w:t>s</w:t>
      </w:r>
      <w:r w:rsidRPr="005764FC">
        <w:t xml:space="preserve"> in Australia and therefore all vehicles are imported from international markets</w:t>
      </w:r>
      <w:r w:rsidR="00681B74" w:rsidRPr="005764FC">
        <w:t>.</w:t>
      </w:r>
    </w:p>
    <w:p w14:paraId="230D86E7" w14:textId="66F4912B" w:rsidR="005069CD" w:rsidRPr="005764FC" w:rsidRDefault="005069CD" w:rsidP="00A0293C">
      <w:pPr>
        <w:pStyle w:val="ListBullet"/>
        <w:ind w:left="357" w:hanging="357"/>
        <w:contextualSpacing/>
      </w:pPr>
      <w:r w:rsidRPr="005764FC">
        <w:t>Standards provide assurance that a minimum, consistent set of requirements are met</w:t>
      </w:r>
      <w:r w:rsidR="008C4288" w:rsidRPr="005764FC">
        <w:t xml:space="preserve"> (enabling compliance testing)</w:t>
      </w:r>
      <w:r w:rsidR="00681B74" w:rsidRPr="005764FC">
        <w:t>.</w:t>
      </w:r>
    </w:p>
    <w:p w14:paraId="7D10F892" w14:textId="2BE3DBB3" w:rsidR="00853D21" w:rsidRPr="005764FC" w:rsidRDefault="00845D6F" w:rsidP="00A0293C">
      <w:pPr>
        <w:pStyle w:val="ListBullet"/>
        <w:ind w:left="357" w:hanging="357"/>
        <w:contextualSpacing/>
      </w:pPr>
      <w:r w:rsidRPr="005764FC">
        <w:t xml:space="preserve">Standards </w:t>
      </w:r>
      <w:r w:rsidR="007421C6" w:rsidRPr="005764FC">
        <w:t xml:space="preserve">direction would </w:t>
      </w:r>
      <w:r w:rsidR="000A1C2A" w:rsidRPr="005764FC">
        <w:t>provide certainty that</w:t>
      </w:r>
      <w:r w:rsidR="007C51EC" w:rsidRPr="005764FC">
        <w:t xml:space="preserve"> vehicle manufacturers </w:t>
      </w:r>
      <w:r w:rsidR="005069CD" w:rsidRPr="005764FC">
        <w:t xml:space="preserve">(and other stakeholders) </w:t>
      </w:r>
      <w:r w:rsidR="007C51EC" w:rsidRPr="005764FC">
        <w:t xml:space="preserve">are seeking to </w:t>
      </w:r>
      <w:r w:rsidR="00072126" w:rsidRPr="005764FC">
        <w:t xml:space="preserve">proceed </w:t>
      </w:r>
      <w:r w:rsidR="000342C9" w:rsidRPr="005764FC">
        <w:t xml:space="preserve">with development </w:t>
      </w:r>
      <w:r w:rsidR="00842BA6" w:rsidRPr="005764FC">
        <w:t>towards deployment.</w:t>
      </w:r>
    </w:p>
    <w:p w14:paraId="16D225CF" w14:textId="35BC646D" w:rsidR="008430C0" w:rsidRPr="005764FC" w:rsidRDefault="00CA6168" w:rsidP="00A0293C">
      <w:pPr>
        <w:pStyle w:val="ListBullet"/>
        <w:ind w:left="357" w:hanging="357"/>
        <w:contextualSpacing/>
      </w:pPr>
      <w:r w:rsidRPr="005764FC">
        <w:t>Development and testing is a long cycle i</w:t>
      </w:r>
      <w:r w:rsidR="007A2912" w:rsidRPr="005764FC">
        <w:t>f</w:t>
      </w:r>
      <w:r w:rsidRPr="005764FC">
        <w:t xml:space="preserve"> starting from scratch</w:t>
      </w:r>
      <w:r w:rsidR="00681B74" w:rsidRPr="005764FC">
        <w:t>.</w:t>
      </w:r>
    </w:p>
    <w:p w14:paraId="36094F92" w14:textId="7D069A92" w:rsidR="00961D6E" w:rsidRPr="005764FC" w:rsidRDefault="00160B89" w:rsidP="00160B89">
      <w:pPr>
        <w:pStyle w:val="BodyText"/>
      </w:pPr>
      <w:r w:rsidRPr="005764FC">
        <w:rPr>
          <w:lang w:eastAsia="fr-CA"/>
        </w:rPr>
        <w:t>It is assumed that delivering unique Australia</w:t>
      </w:r>
      <w:r w:rsidR="00782BB7" w:rsidRPr="005764FC">
        <w:rPr>
          <w:lang w:eastAsia="fr-CA"/>
        </w:rPr>
        <w:t>n</w:t>
      </w:r>
      <w:r w:rsidRPr="005764FC">
        <w:rPr>
          <w:lang w:eastAsia="fr-CA"/>
        </w:rPr>
        <w:t xml:space="preserve"> C-ITS standards is not an option. The </w:t>
      </w:r>
      <w:r w:rsidR="00D70A2B">
        <w:rPr>
          <w:lang w:eastAsia="fr-CA"/>
        </w:rPr>
        <w:t>N</w:t>
      </w:r>
      <w:r w:rsidRPr="005764FC">
        <w:rPr>
          <w:lang w:eastAsia="fr-CA"/>
        </w:rPr>
        <w:t xml:space="preserve">ational </w:t>
      </w:r>
      <w:r w:rsidR="00D70A2B">
        <w:rPr>
          <w:lang w:eastAsia="fr-CA"/>
        </w:rPr>
        <w:t>L</w:t>
      </w:r>
      <w:r w:rsidRPr="005764FC">
        <w:rPr>
          <w:lang w:eastAsia="fr-CA"/>
        </w:rPr>
        <w:t xml:space="preserve">and </w:t>
      </w:r>
      <w:r w:rsidR="00D70A2B">
        <w:rPr>
          <w:lang w:eastAsia="fr-CA"/>
        </w:rPr>
        <w:t>T</w:t>
      </w:r>
      <w:r w:rsidRPr="005764FC">
        <w:rPr>
          <w:lang w:eastAsia="fr-CA"/>
        </w:rPr>
        <w:t xml:space="preserve">ransport </w:t>
      </w:r>
      <w:r w:rsidR="00D70A2B">
        <w:rPr>
          <w:lang w:eastAsia="fr-CA"/>
        </w:rPr>
        <w:t>Policy F</w:t>
      </w:r>
      <w:r w:rsidR="00DD2A15">
        <w:rPr>
          <w:lang w:eastAsia="fr-CA"/>
        </w:rPr>
        <w:t>ram</w:t>
      </w:r>
      <w:r w:rsidR="0081129C">
        <w:rPr>
          <w:lang w:eastAsia="fr-CA"/>
        </w:rPr>
        <w:t>ework</w:t>
      </w:r>
      <w:r w:rsidR="00DD2A15" w:rsidRPr="005764FC">
        <w:rPr>
          <w:lang w:eastAsia="fr-CA"/>
        </w:rPr>
        <w:t xml:space="preserve"> </w:t>
      </w:r>
      <w:r w:rsidRPr="005764FC">
        <w:rPr>
          <w:lang w:eastAsia="fr-CA"/>
        </w:rPr>
        <w:t>refers to adopting ‘international standards and deployment approaches unless there is a clear need for a unique Australian requirement.’</w:t>
      </w:r>
    </w:p>
    <w:p w14:paraId="242F0ED8" w14:textId="082CAE16" w:rsidR="00FC1189" w:rsidRPr="005764FC" w:rsidRDefault="00FC1189" w:rsidP="002F7642">
      <w:pPr>
        <w:pStyle w:val="Heading4"/>
      </w:pPr>
      <w:r w:rsidRPr="005764FC">
        <w:t>Coherence to strategic plans</w:t>
      </w:r>
    </w:p>
    <w:p w14:paraId="0BDCCA71" w14:textId="44C5C3B7" w:rsidR="00525EA1" w:rsidRPr="005764FC" w:rsidRDefault="009B5136" w:rsidP="00004964">
      <w:pPr>
        <w:pStyle w:val="BodyText"/>
      </w:pPr>
      <w:r w:rsidRPr="005764FC">
        <w:rPr>
          <w:lang w:eastAsia="fr-CA"/>
        </w:rPr>
        <w:t xml:space="preserve">An open combination of </w:t>
      </w:r>
      <w:r w:rsidR="00C04086" w:rsidRPr="005764FC">
        <w:rPr>
          <w:lang w:eastAsia="fr-CA"/>
        </w:rPr>
        <w:t xml:space="preserve">C-ITS </w:t>
      </w:r>
      <w:r w:rsidRPr="005764FC">
        <w:rPr>
          <w:lang w:eastAsia="fr-CA"/>
        </w:rPr>
        <w:t>standards (</w:t>
      </w:r>
      <w:r w:rsidR="007F0C99" w:rsidRPr="005764FC">
        <w:rPr>
          <w:lang w:eastAsia="fr-CA"/>
        </w:rPr>
        <w:t>PA1</w:t>
      </w:r>
      <w:r w:rsidRPr="005764FC">
        <w:rPr>
          <w:lang w:eastAsia="fr-CA"/>
        </w:rPr>
        <w:t xml:space="preserve">) </w:t>
      </w:r>
      <w:r w:rsidR="008B66FF" w:rsidRPr="005764FC">
        <w:rPr>
          <w:lang w:eastAsia="fr-CA"/>
        </w:rPr>
        <w:t>that remains</w:t>
      </w:r>
      <w:r w:rsidR="007F6564" w:rsidRPr="005764FC">
        <w:rPr>
          <w:lang w:eastAsia="fr-CA"/>
        </w:rPr>
        <w:t xml:space="preserve"> completely technology neutral </w:t>
      </w:r>
      <w:r w:rsidR="008B66FF" w:rsidRPr="005764FC">
        <w:rPr>
          <w:lang w:eastAsia="fr-CA"/>
        </w:rPr>
        <w:t xml:space="preserve">could be </w:t>
      </w:r>
      <w:r w:rsidR="00C04086" w:rsidRPr="005764FC">
        <w:t>desirable</w:t>
      </w:r>
      <w:r w:rsidR="008B66FF" w:rsidRPr="005764FC">
        <w:t xml:space="preserve"> </w:t>
      </w:r>
      <w:r w:rsidR="00C04086" w:rsidRPr="005764FC">
        <w:rPr>
          <w:lang w:eastAsia="fr-CA"/>
        </w:rPr>
        <w:t>to</w:t>
      </w:r>
      <w:r w:rsidR="007F6564" w:rsidRPr="005764FC">
        <w:rPr>
          <w:lang w:eastAsia="fr-CA"/>
        </w:rPr>
        <w:t xml:space="preserve"> the national land transport framework. </w:t>
      </w:r>
      <w:r w:rsidR="00160B89" w:rsidRPr="005764FC">
        <w:rPr>
          <w:lang w:eastAsia="fr-CA"/>
        </w:rPr>
        <w:t xml:space="preserve">However, </w:t>
      </w:r>
      <w:r w:rsidR="00C04086" w:rsidRPr="005764FC">
        <w:rPr>
          <w:lang w:eastAsia="fr-CA"/>
        </w:rPr>
        <w:t>given</w:t>
      </w:r>
      <w:r w:rsidR="008F3ADF" w:rsidRPr="005764FC">
        <w:t xml:space="preserve"> the drivers of cross-border operation, it is assumed </w:t>
      </w:r>
      <w:r w:rsidR="00C04086" w:rsidRPr="005764FC">
        <w:t>unf</w:t>
      </w:r>
      <w:r w:rsidR="008F3ADF" w:rsidRPr="005764FC">
        <w:t>easible for standards to be different across Australia</w:t>
      </w:r>
      <w:r w:rsidR="00C04086" w:rsidRPr="005764FC">
        <w:t>.</w:t>
      </w:r>
      <w:r w:rsidR="008F3ADF" w:rsidRPr="005764FC">
        <w:t xml:space="preserve"> </w:t>
      </w:r>
      <w:r w:rsidR="00C04086" w:rsidRPr="005764FC">
        <w:t>T</w:t>
      </w:r>
      <w:r w:rsidR="008F3ADF" w:rsidRPr="005764FC">
        <w:t>herefore</w:t>
      </w:r>
      <w:r w:rsidR="00C04086" w:rsidRPr="005764FC">
        <w:t>,</w:t>
      </w:r>
      <w:r w:rsidR="008F3ADF" w:rsidRPr="005764FC">
        <w:t xml:space="preserve"> a nationally consistent approach is </w:t>
      </w:r>
      <w:r w:rsidR="00C04086" w:rsidRPr="005764FC">
        <w:t>needed</w:t>
      </w:r>
      <w:r w:rsidR="008F3ADF" w:rsidRPr="005764FC">
        <w:t xml:space="preserve">. </w:t>
      </w:r>
    </w:p>
    <w:p w14:paraId="51FF1030" w14:textId="7564DD77" w:rsidR="000D4239" w:rsidRPr="005764FC" w:rsidRDefault="00F407E5" w:rsidP="00004964">
      <w:pPr>
        <w:pStyle w:val="BodyText"/>
      </w:pPr>
      <w:r w:rsidRPr="005764FC">
        <w:t>Alignment to a specific standards suite (</w:t>
      </w:r>
      <w:r w:rsidR="007F0C99" w:rsidRPr="005764FC">
        <w:t>PA2</w:t>
      </w:r>
      <w:r w:rsidRPr="005764FC">
        <w:t xml:space="preserve">) </w:t>
      </w:r>
      <w:r w:rsidR="00EB56E3" w:rsidRPr="005764FC">
        <w:t xml:space="preserve">through policy and implementation </w:t>
      </w:r>
      <w:r w:rsidR="005B4E45" w:rsidRPr="005764FC">
        <w:t xml:space="preserve">guidelines </w:t>
      </w:r>
      <w:r w:rsidRPr="005764FC">
        <w:t xml:space="preserve">provides a </w:t>
      </w:r>
      <w:r w:rsidR="002A3CBC" w:rsidRPr="005764FC">
        <w:t xml:space="preserve">basis for </w:t>
      </w:r>
      <w:r w:rsidR="00627BEC" w:rsidRPr="005764FC">
        <w:t xml:space="preserve">specific direction that aligns to </w:t>
      </w:r>
      <w:r w:rsidR="00755C77" w:rsidRPr="005764FC">
        <w:t xml:space="preserve">priority policy measures of safety, efficiency, sustainability and accessibility. </w:t>
      </w:r>
      <w:r w:rsidR="009537F9" w:rsidRPr="005764FC">
        <w:t xml:space="preserve">When considering </w:t>
      </w:r>
      <w:r w:rsidR="00580131" w:rsidRPr="005764FC">
        <w:t xml:space="preserve">region standard suites for C-ITS, all </w:t>
      </w:r>
      <w:r w:rsidR="0091373B" w:rsidRPr="005764FC">
        <w:t xml:space="preserve">international </w:t>
      </w:r>
      <w:r w:rsidR="00580131" w:rsidRPr="005764FC">
        <w:t xml:space="preserve">regions </w:t>
      </w:r>
      <w:r w:rsidR="00163E63" w:rsidRPr="005764FC">
        <w:t xml:space="preserve">align with similar </w:t>
      </w:r>
      <w:r w:rsidR="0091373B" w:rsidRPr="005764FC">
        <w:t xml:space="preserve">benefits </w:t>
      </w:r>
      <w:r w:rsidR="00163E63" w:rsidRPr="005764FC">
        <w:t xml:space="preserve">objectives. </w:t>
      </w:r>
      <w:r w:rsidR="00D54233" w:rsidRPr="005764FC">
        <w:t xml:space="preserve">In </w:t>
      </w:r>
      <w:r w:rsidR="007F0C99" w:rsidRPr="005764FC">
        <w:t>PA2</w:t>
      </w:r>
      <w:r w:rsidR="00D54233" w:rsidRPr="005764FC">
        <w:t>,</w:t>
      </w:r>
      <w:r w:rsidR="007441CA" w:rsidRPr="005764FC">
        <w:t xml:space="preserve"> </w:t>
      </w:r>
      <w:r w:rsidR="009A7FD0" w:rsidRPr="005764FC">
        <w:t xml:space="preserve">policy </w:t>
      </w:r>
      <w:r w:rsidR="000646D2" w:rsidRPr="005764FC">
        <w:t>frameworks</w:t>
      </w:r>
      <w:r w:rsidR="009A7FD0" w:rsidRPr="005764FC">
        <w:t xml:space="preserve"> should </w:t>
      </w:r>
      <w:r w:rsidR="000646D2" w:rsidRPr="005764FC">
        <w:t xml:space="preserve">use standards </w:t>
      </w:r>
      <w:r w:rsidR="0091373B" w:rsidRPr="005764FC">
        <w:t xml:space="preserve">to </w:t>
      </w:r>
      <w:r w:rsidR="00BF4CC0" w:rsidRPr="005764FC">
        <w:t xml:space="preserve">encourage </w:t>
      </w:r>
      <w:r w:rsidR="00CA5CCD" w:rsidRPr="005764FC">
        <w:t xml:space="preserve">a </w:t>
      </w:r>
      <w:r w:rsidR="00C22561" w:rsidRPr="005764FC">
        <w:t xml:space="preserve">neutral and </w:t>
      </w:r>
      <w:r w:rsidR="00CA5CCD" w:rsidRPr="005764FC">
        <w:t xml:space="preserve">equal </w:t>
      </w:r>
      <w:r w:rsidR="00C22561" w:rsidRPr="005764FC">
        <w:t xml:space="preserve">opportunity for </w:t>
      </w:r>
      <w:r w:rsidR="00FD02F9" w:rsidRPr="005764FC">
        <w:t xml:space="preserve">the </w:t>
      </w:r>
      <w:r w:rsidR="00CA5CCD" w:rsidRPr="005764FC">
        <w:t xml:space="preserve">market </w:t>
      </w:r>
      <w:r w:rsidR="00FD02F9" w:rsidRPr="005764FC">
        <w:t xml:space="preserve">to </w:t>
      </w:r>
      <w:r w:rsidR="00CA5CCD" w:rsidRPr="005764FC">
        <w:t>deliver solutions</w:t>
      </w:r>
      <w:r w:rsidR="00E90326" w:rsidRPr="005764FC">
        <w:t xml:space="preserve"> using the common </w:t>
      </w:r>
      <w:r w:rsidR="004D7AD7" w:rsidRPr="005764FC">
        <w:t>minimum requirements</w:t>
      </w:r>
      <w:r w:rsidR="00D54233" w:rsidRPr="005764FC">
        <w:t xml:space="preserve"> to establish a sustainable ecosystem</w:t>
      </w:r>
      <w:r w:rsidR="00E90326" w:rsidRPr="005764FC">
        <w:t xml:space="preserve">. </w:t>
      </w:r>
      <w:r w:rsidR="00D852EC" w:rsidRPr="005764FC">
        <w:t xml:space="preserve">As such, </w:t>
      </w:r>
      <w:r w:rsidR="007F0C99" w:rsidRPr="005764FC">
        <w:t>PA2</w:t>
      </w:r>
      <w:r w:rsidR="00D852EC" w:rsidRPr="005764FC">
        <w:t xml:space="preserve">, would </w:t>
      </w:r>
      <w:r w:rsidR="000140A9" w:rsidRPr="005764FC">
        <w:t>align with strategic objectives to enable</w:t>
      </w:r>
      <w:r w:rsidR="00754CDD" w:rsidRPr="005764FC">
        <w:t xml:space="preserve"> </w:t>
      </w:r>
      <w:r w:rsidR="003832BC" w:rsidRPr="005764FC">
        <w:t xml:space="preserve">industry through government action where the priority </w:t>
      </w:r>
      <w:r w:rsidR="007855FA" w:rsidRPr="005764FC">
        <w:t xml:space="preserve">transport issues are impacted. </w:t>
      </w:r>
    </w:p>
    <w:p w14:paraId="60020886" w14:textId="1834FD8F" w:rsidR="004D7AD7" w:rsidRPr="005764FC" w:rsidRDefault="000410F3" w:rsidP="00004964">
      <w:pPr>
        <w:pStyle w:val="BodyText"/>
      </w:pPr>
      <w:r w:rsidRPr="005764FC">
        <w:t>The regulation of standards (</w:t>
      </w:r>
      <w:r w:rsidR="007F0C99" w:rsidRPr="005764FC">
        <w:t>PA3</w:t>
      </w:r>
      <w:r w:rsidRPr="005764FC">
        <w:t>)</w:t>
      </w:r>
      <w:r w:rsidR="001C161F" w:rsidRPr="005764FC">
        <w:t xml:space="preserve"> aligns with </w:t>
      </w:r>
      <w:r w:rsidR="00192DBE" w:rsidRPr="005764FC">
        <w:t xml:space="preserve">the analysis in </w:t>
      </w:r>
      <w:r w:rsidR="006E68A3" w:rsidRPr="005764FC">
        <w:t xml:space="preserve">Section </w:t>
      </w:r>
      <w:r w:rsidR="00192DBE" w:rsidRPr="005764FC">
        <w:fldChar w:fldCharType="begin" w:fldLock="1"/>
      </w:r>
      <w:r w:rsidR="00192DBE" w:rsidRPr="005764FC">
        <w:instrText xml:space="preserve"> REF _Ref92722479 \r \h </w:instrText>
      </w:r>
      <w:r w:rsidR="00192DBE" w:rsidRPr="005764FC">
        <w:fldChar w:fldCharType="separate"/>
      </w:r>
      <w:r w:rsidR="00A34B27">
        <w:t>2.3.1</w:t>
      </w:r>
      <w:r w:rsidR="00192DBE" w:rsidRPr="005764FC">
        <w:fldChar w:fldCharType="end"/>
      </w:r>
      <w:r w:rsidR="00192DBE" w:rsidRPr="005764FC">
        <w:t xml:space="preserve">. Standards should </w:t>
      </w:r>
      <w:r w:rsidR="008438ED" w:rsidRPr="005764FC">
        <w:t xml:space="preserve">be regulated when needed in accordance with the specific driver for regulation. For example, </w:t>
      </w:r>
      <w:r w:rsidR="00C32996" w:rsidRPr="005764FC">
        <w:t>u</w:t>
      </w:r>
      <w:r w:rsidR="00FD02F9" w:rsidRPr="005764FC">
        <w:t>sing</w:t>
      </w:r>
      <w:r w:rsidR="00C32996" w:rsidRPr="005764FC">
        <w:t xml:space="preserve"> standards reference</w:t>
      </w:r>
      <w:r w:rsidR="00B4617D" w:rsidRPr="005764FC">
        <w:t>d</w:t>
      </w:r>
      <w:r w:rsidR="00C32996" w:rsidRPr="005764FC">
        <w:t xml:space="preserve"> in </w:t>
      </w:r>
      <w:r w:rsidR="00EB0DFD" w:rsidRPr="005764FC">
        <w:t>the ACMA class licence gives certainty to interoperability outcomes needed for short-range communication.</w:t>
      </w:r>
      <w:r w:rsidR="009E0EBB" w:rsidRPr="005764FC">
        <w:t xml:space="preserve"> </w:t>
      </w:r>
    </w:p>
    <w:p w14:paraId="61EEFA2D" w14:textId="6DB5F05D" w:rsidR="00DC34FB" w:rsidRPr="005764FC" w:rsidRDefault="00DC34FB" w:rsidP="00DC34FB">
      <w:pPr>
        <w:pStyle w:val="Heading4"/>
      </w:pPr>
      <w:bookmarkStart w:id="216" w:name="_Ref94271396"/>
      <w:r w:rsidRPr="005764FC">
        <w:t>Alignment to Australian vehicle standards and compliance Fram</w:t>
      </w:r>
      <w:r w:rsidR="005E6648" w:rsidRPr="005764FC">
        <w:t>e</w:t>
      </w:r>
      <w:r w:rsidRPr="005764FC">
        <w:t>works</w:t>
      </w:r>
      <w:bookmarkEnd w:id="216"/>
    </w:p>
    <w:p w14:paraId="28007308" w14:textId="6B0EE64B" w:rsidR="00DC34FB" w:rsidRPr="005764FC" w:rsidRDefault="00DC34FB" w:rsidP="00DC34FB">
      <w:pPr>
        <w:pStyle w:val="BodyText"/>
      </w:pPr>
      <w:r w:rsidRPr="005764FC">
        <w:t xml:space="preserve">Section </w:t>
      </w:r>
      <w:r w:rsidRPr="005764FC">
        <w:fldChar w:fldCharType="begin" w:fldLock="1"/>
      </w:r>
      <w:r w:rsidRPr="005764FC">
        <w:instrText xml:space="preserve"> REF _Ref94262762 \r \h </w:instrText>
      </w:r>
      <w:r w:rsidRPr="005764FC">
        <w:fldChar w:fldCharType="separate"/>
      </w:r>
      <w:r w:rsidR="00A34B27">
        <w:t>1.6.5</w:t>
      </w:r>
      <w:r w:rsidRPr="005764FC">
        <w:fldChar w:fldCharType="end"/>
      </w:r>
      <w:r w:rsidRPr="005764FC">
        <w:t xml:space="preserve"> identified that Australian road safety law and </w:t>
      </w:r>
      <w:r w:rsidR="005E6648" w:rsidRPr="005764FC">
        <w:t xml:space="preserve">existing </w:t>
      </w:r>
      <w:r w:rsidRPr="005764FC">
        <w:t>Australia</w:t>
      </w:r>
      <w:r w:rsidR="00B4617D" w:rsidRPr="005764FC">
        <w:t>n</w:t>
      </w:r>
      <w:r w:rsidRPr="005764FC">
        <w:t xml:space="preserve"> design rules are harmonised to WP.29</w:t>
      </w:r>
      <w:r w:rsidR="00B4617D" w:rsidRPr="005764FC">
        <w:t>, which</w:t>
      </w:r>
      <w:r w:rsidRPr="005764FC">
        <w:t xml:space="preserve"> is delivered by the United Nations Economic Commission for Europe (UNECE) and therefore also mirrors the European vehicle standards. As such, for new vehicles entering Australia, features are designed to align with WP.29 and European requirements. This is a strong indicator that international alignment to the European standards suite would be logical (</w:t>
      </w:r>
      <w:r w:rsidR="007F0C99" w:rsidRPr="005764FC">
        <w:t>PA2</w:t>
      </w:r>
      <w:r w:rsidRPr="005764FC">
        <w:t>: Europe</w:t>
      </w:r>
      <w:r w:rsidR="00B4617D" w:rsidRPr="005764FC">
        <w:t xml:space="preserve">) </w:t>
      </w:r>
      <w:r w:rsidRPr="005764FC">
        <w:t xml:space="preserve">to encourage the harmonisation requirements for C-ITS in Australia. </w:t>
      </w:r>
    </w:p>
    <w:p w14:paraId="0AD22BAA" w14:textId="62D77B45" w:rsidR="00DC34FB" w:rsidRPr="005764FC" w:rsidRDefault="00DC34FB" w:rsidP="00DC34FB">
      <w:pPr>
        <w:pStyle w:val="BodyText"/>
      </w:pPr>
      <w:r w:rsidRPr="005764FC">
        <w:t xml:space="preserve">This is further supported in vehicle standards compliance testing where the peak representative body in Australia (ANCAP) typically harmonises with Europe (through their representative body: </w:t>
      </w:r>
      <w:r w:rsidR="00A71A4C" w:rsidRPr="005764FC">
        <w:t>Euro</w:t>
      </w:r>
      <w:r w:rsidRPr="005764FC">
        <w:t xml:space="preserve"> NCAP). ANCAP ha</w:t>
      </w:r>
      <w:r w:rsidR="00B4617D" w:rsidRPr="005764FC">
        <w:t>s</w:t>
      </w:r>
      <w:r w:rsidRPr="005764FC">
        <w:t xml:space="preserve"> stated that V2X (C‑ITS) testing as part of the 5-star rating framework will begin in 2025.</w:t>
      </w:r>
    </w:p>
    <w:p w14:paraId="612F7BFE" w14:textId="77777777" w:rsidR="008C4288" w:rsidRPr="005764FC" w:rsidRDefault="008C4288" w:rsidP="002F7642">
      <w:pPr>
        <w:pStyle w:val="Heading4"/>
      </w:pPr>
      <w:bookmarkStart w:id="217" w:name="_Ref94271404"/>
      <w:r w:rsidRPr="005764FC">
        <w:t>Socioeconomic Benefit</w:t>
      </w:r>
      <w:bookmarkEnd w:id="217"/>
    </w:p>
    <w:p w14:paraId="75B49EE1" w14:textId="0EF804E6" w:rsidR="008C4288" w:rsidRPr="005764FC" w:rsidRDefault="008C4288" w:rsidP="00967C83">
      <w:pPr>
        <w:pStyle w:val="BodyText"/>
        <w:keepLines/>
      </w:pPr>
      <w:r w:rsidRPr="005764FC">
        <w:t>It is essential that the standards used are appropriate to allow timely deployment of C-ITS services</w:t>
      </w:r>
      <w:r w:rsidR="00B51CB6" w:rsidRPr="005764FC">
        <w:t>,</w:t>
      </w:r>
      <w:r w:rsidRPr="005764FC">
        <w:t xml:space="preserve"> and </w:t>
      </w:r>
      <w:r w:rsidR="00B51CB6" w:rsidRPr="005764FC">
        <w:t xml:space="preserve">to </w:t>
      </w:r>
      <w:r w:rsidRPr="005764FC">
        <w:t>begin realising benefits without undue cost burden</w:t>
      </w:r>
      <w:r w:rsidR="00B51CB6" w:rsidRPr="005764FC">
        <w:t>s</w:t>
      </w:r>
      <w:r w:rsidRPr="005764FC">
        <w:t xml:space="preserve">. </w:t>
      </w:r>
      <w:r w:rsidR="005F7D71" w:rsidRPr="005764FC">
        <w:t xml:space="preserve">New services requiring additional standards will be developed as deployment evolves. Overly complex needs for initial interactions will hamper the capability of a deployed system to deliver benefits. </w:t>
      </w:r>
      <w:r w:rsidRPr="005764FC">
        <w:t xml:space="preserve">In this view, option </w:t>
      </w:r>
      <w:r w:rsidR="007F0C99" w:rsidRPr="005764FC">
        <w:t>PA1</w:t>
      </w:r>
      <w:r w:rsidRPr="005764FC">
        <w:t xml:space="preserve"> appears most complex and </w:t>
      </w:r>
      <w:r w:rsidR="00620367" w:rsidRPr="005764FC">
        <w:t xml:space="preserve">most likely to reduce the economies </w:t>
      </w:r>
      <w:r w:rsidR="000410F3" w:rsidRPr="005764FC">
        <w:t>of scale</w:t>
      </w:r>
      <w:r w:rsidR="00620367" w:rsidRPr="005764FC">
        <w:t xml:space="preserve"> required by </w:t>
      </w:r>
      <w:r w:rsidR="006F0D47" w:rsidRPr="005764FC">
        <w:t xml:space="preserve">the </w:t>
      </w:r>
      <w:r w:rsidR="00B51CB6" w:rsidRPr="005764FC">
        <w:t xml:space="preserve">C-ITS </w:t>
      </w:r>
      <w:r w:rsidR="006F0D47" w:rsidRPr="005764FC">
        <w:t xml:space="preserve">benefits analysis. </w:t>
      </w:r>
    </w:p>
    <w:p w14:paraId="70944D70" w14:textId="31B4CC65" w:rsidR="00D15762" w:rsidRPr="005764FC" w:rsidRDefault="00A35CD2" w:rsidP="00075861">
      <w:pPr>
        <w:pStyle w:val="BodyText"/>
      </w:pPr>
      <w:r w:rsidRPr="005764FC">
        <w:t xml:space="preserve">The CBA did not explicitly test the variance of each standard suite and assumed the same or similar benefits arise from implementing Day 1 use cases. </w:t>
      </w:r>
      <w:r w:rsidR="007F0C99" w:rsidRPr="005764FC">
        <w:t>PA2</w:t>
      </w:r>
      <w:r w:rsidR="00D15762" w:rsidRPr="005764FC">
        <w:t xml:space="preserve"> alignment to </w:t>
      </w:r>
      <w:r w:rsidR="002F3DA6" w:rsidRPr="005764FC">
        <w:t>a specific international standard</w:t>
      </w:r>
      <w:r w:rsidR="008D1CD5" w:rsidRPr="005764FC">
        <w:t>,</w:t>
      </w:r>
      <w:r w:rsidR="002F3DA6" w:rsidRPr="005764FC">
        <w:t xml:space="preserve"> and </w:t>
      </w:r>
      <w:r w:rsidR="00D158B9" w:rsidRPr="005764FC">
        <w:t>regulation (</w:t>
      </w:r>
      <w:r w:rsidR="007F0C99" w:rsidRPr="005764FC">
        <w:t>PA3</w:t>
      </w:r>
      <w:r w:rsidR="00D158B9" w:rsidRPr="005764FC">
        <w:t>)</w:t>
      </w:r>
      <w:r w:rsidR="008D1CD5" w:rsidRPr="005764FC">
        <w:t>,</w:t>
      </w:r>
      <w:r w:rsidR="00D158B9" w:rsidRPr="005764FC">
        <w:t xml:space="preserve"> are therefore assumed relatively equal</w:t>
      </w:r>
      <w:r w:rsidR="00A6562F" w:rsidRPr="005764FC">
        <w:t>, while</w:t>
      </w:r>
      <w:r w:rsidR="005E3E85" w:rsidRPr="005764FC">
        <w:t xml:space="preserve"> noting the likely reduced benefits </w:t>
      </w:r>
      <w:r w:rsidR="00A6562F" w:rsidRPr="005764FC">
        <w:t>of</w:t>
      </w:r>
      <w:r w:rsidR="005F454C" w:rsidRPr="005764FC">
        <w:t xml:space="preserve"> following standards </w:t>
      </w:r>
      <w:r w:rsidR="00E05CC2" w:rsidRPr="005764FC">
        <w:t xml:space="preserve">requiring technology to further mature </w:t>
      </w:r>
      <w:r w:rsidR="00A6562F" w:rsidRPr="005764FC">
        <w:t>(</w:t>
      </w:r>
      <w:r w:rsidR="00E05CC2" w:rsidRPr="005764FC">
        <w:t>such as the US and China market</w:t>
      </w:r>
      <w:r w:rsidR="00A6562F" w:rsidRPr="005764FC">
        <w:t>s)</w:t>
      </w:r>
      <w:r w:rsidR="00E05CC2" w:rsidRPr="005764FC">
        <w:t xml:space="preserve"> and the likely delays </w:t>
      </w:r>
      <w:r w:rsidR="00A6562F" w:rsidRPr="005764FC">
        <w:t>leading to</w:t>
      </w:r>
      <w:r w:rsidR="006F0D47" w:rsidRPr="005764FC">
        <w:t xml:space="preserve"> </w:t>
      </w:r>
      <w:r w:rsidR="00A6562F" w:rsidRPr="005764FC">
        <w:t>the</w:t>
      </w:r>
      <w:r w:rsidR="006F0D47" w:rsidRPr="005764FC">
        <w:t xml:space="preserve"> longest time</w:t>
      </w:r>
      <w:r w:rsidR="00A6562F" w:rsidRPr="005764FC">
        <w:t>-</w:t>
      </w:r>
      <w:r w:rsidR="006F0D47" w:rsidRPr="005764FC">
        <w:t>to</w:t>
      </w:r>
      <w:r w:rsidR="00A6562F" w:rsidRPr="005764FC">
        <w:t>-</w:t>
      </w:r>
      <w:r w:rsidR="006F0D47" w:rsidRPr="005764FC">
        <w:t>market</w:t>
      </w:r>
      <w:r w:rsidR="00E05CC2" w:rsidRPr="005764FC">
        <w:t xml:space="preserve"> </w:t>
      </w:r>
      <w:r w:rsidR="00A6562F" w:rsidRPr="005764FC">
        <w:t>(see</w:t>
      </w:r>
      <w:r w:rsidR="00E05CC2" w:rsidRPr="005764FC">
        <w:t xml:space="preserve"> </w:t>
      </w:r>
      <w:r w:rsidR="00D97397" w:rsidRPr="005764FC">
        <w:t>Section</w:t>
      </w:r>
      <w:r w:rsidR="00621B5F" w:rsidRPr="005764FC">
        <w:t> </w:t>
      </w:r>
      <w:r w:rsidR="00714732" w:rsidRPr="005764FC">
        <w:rPr>
          <w:highlight w:val="yellow"/>
        </w:rPr>
        <w:fldChar w:fldCharType="begin" w:fldLock="1"/>
      </w:r>
      <w:r w:rsidR="00714732" w:rsidRPr="005764FC">
        <w:instrText xml:space="preserve"> REF _Ref94187445 \r \h </w:instrText>
      </w:r>
      <w:r w:rsidR="00714732" w:rsidRPr="005764FC">
        <w:rPr>
          <w:highlight w:val="yellow"/>
        </w:rPr>
      </w:r>
      <w:r w:rsidR="00714732" w:rsidRPr="005764FC">
        <w:rPr>
          <w:highlight w:val="yellow"/>
        </w:rPr>
        <w:fldChar w:fldCharType="separate"/>
      </w:r>
      <w:r w:rsidR="00A34B27">
        <w:t>1.6.2</w:t>
      </w:r>
      <w:r w:rsidR="00714732" w:rsidRPr="005764FC">
        <w:rPr>
          <w:highlight w:val="yellow"/>
        </w:rPr>
        <w:fldChar w:fldCharType="end"/>
      </w:r>
      <w:r w:rsidR="00A6562F" w:rsidRPr="005764FC">
        <w:t>)</w:t>
      </w:r>
      <w:r w:rsidR="006F0D47" w:rsidRPr="005764FC">
        <w:t>.</w:t>
      </w:r>
    </w:p>
    <w:p w14:paraId="419EA7CF" w14:textId="77777777" w:rsidR="001463BC" w:rsidRPr="005764FC" w:rsidRDefault="001463BC" w:rsidP="001463BC">
      <w:pPr>
        <w:pStyle w:val="Heading4"/>
      </w:pPr>
      <w:bookmarkStart w:id="218" w:name="_Ref94271409"/>
      <w:r w:rsidRPr="005764FC">
        <w:t>Efficient Benefits Realisation</w:t>
      </w:r>
      <w:bookmarkEnd w:id="218"/>
    </w:p>
    <w:p w14:paraId="00FD74BF" w14:textId="0ECA1EBD" w:rsidR="001463BC" w:rsidRPr="005764FC" w:rsidRDefault="001463BC" w:rsidP="001463BC">
      <w:pPr>
        <w:pStyle w:val="BodyText"/>
        <w:rPr>
          <w:lang w:eastAsia="fr-CA"/>
        </w:rPr>
      </w:pPr>
      <w:r w:rsidRPr="005764FC">
        <w:t xml:space="preserve">Given the Australian vehicle market’s </w:t>
      </w:r>
      <w:r w:rsidR="00714732" w:rsidRPr="005764FC">
        <w:t>relatively</w:t>
      </w:r>
      <w:r w:rsidRPr="005764FC">
        <w:t xml:space="preserve"> small</w:t>
      </w:r>
      <w:r w:rsidR="00A6562F" w:rsidRPr="005764FC">
        <w:t xml:space="preserve"> size</w:t>
      </w:r>
      <w:r w:rsidRPr="005764FC">
        <w:t>, representing only 1.1</w:t>
      </w:r>
      <w:r w:rsidR="006B4DBA" w:rsidRPr="005764FC">
        <w:t xml:space="preserve"> per cent</w:t>
      </w:r>
      <w:r w:rsidRPr="005764FC">
        <w:t xml:space="preserve"> of the </w:t>
      </w:r>
      <w:r w:rsidR="00A71A4C" w:rsidRPr="005764FC">
        <w:t xml:space="preserve">global </w:t>
      </w:r>
      <w:r w:rsidRPr="005764FC">
        <w:t>vehicle market</w:t>
      </w:r>
      <w:r w:rsidR="00F63418" w:rsidRPr="005764FC">
        <w:t>,</w:t>
      </w:r>
      <w:r w:rsidRPr="005764FC">
        <w:t xml:space="preserve"> vehicle manufacturers will be less likely to invest in develop</w:t>
      </w:r>
      <w:r w:rsidR="00A6562F" w:rsidRPr="005764FC">
        <w:t>ing</w:t>
      </w:r>
      <w:r w:rsidRPr="005764FC">
        <w:t xml:space="preserve"> and deploy</w:t>
      </w:r>
      <w:r w:rsidR="00A6562F" w:rsidRPr="005764FC">
        <w:t>ing</w:t>
      </w:r>
      <w:r w:rsidRPr="005764FC">
        <w:t xml:space="preserve"> technology and services to Australian market subsections such as individual state</w:t>
      </w:r>
      <w:r w:rsidR="00A6562F" w:rsidRPr="005764FC">
        <w:t>s</w:t>
      </w:r>
      <w:r w:rsidRPr="005764FC">
        <w:t xml:space="preserve">. </w:t>
      </w:r>
      <w:r w:rsidR="001D60FF" w:rsidRPr="005764FC">
        <w:t>Austroads</w:t>
      </w:r>
      <w:r w:rsidR="00B02514" w:rsidRPr="005764FC">
        <w:t xml:space="preserve"> </w:t>
      </w:r>
      <w:sdt>
        <w:sdtPr>
          <w:id w:val="-325205801"/>
          <w:citation/>
        </w:sdtPr>
        <w:sdtContent>
          <w:r w:rsidR="00395905">
            <w:fldChar w:fldCharType="begin"/>
          </w:r>
          <w:r w:rsidR="00BC5BFB">
            <w:instrText xml:space="preserve">CITATION Aus20 \n  \l 3081 </w:instrText>
          </w:r>
          <w:r w:rsidR="00395905">
            <w:fldChar w:fldCharType="separate"/>
          </w:r>
          <w:r w:rsidR="001428F9">
            <w:rPr>
              <w:noProof/>
            </w:rPr>
            <w:t>(Assessing Emerging C-ITS Standards for Local Adoption, 2015)</w:t>
          </w:r>
          <w:r w:rsidR="00395905">
            <w:fldChar w:fldCharType="end"/>
          </w:r>
        </w:sdtContent>
      </w:sdt>
      <w:r w:rsidR="00103576" w:rsidRPr="005764FC">
        <w:t xml:space="preserve"> found that</w:t>
      </w:r>
      <w:r w:rsidR="001D60FF" w:rsidRPr="005764FC">
        <w:t xml:space="preserve"> it may not be feasible to mix and match the standards from </w:t>
      </w:r>
      <w:r w:rsidR="00A11DFB" w:rsidRPr="005764FC">
        <w:t>multiple standards suites</w:t>
      </w:r>
      <w:r w:rsidR="00A6562F" w:rsidRPr="005764FC">
        <w:t>.</w:t>
      </w:r>
      <w:r w:rsidR="00A11DFB" w:rsidRPr="005764FC">
        <w:t xml:space="preserve"> This would be difficult to control in a </w:t>
      </w:r>
      <w:r w:rsidR="00AD3DDF" w:rsidRPr="005764FC">
        <w:t>market-led option (</w:t>
      </w:r>
      <w:r w:rsidR="007F0C99" w:rsidRPr="005764FC">
        <w:t>PA</w:t>
      </w:r>
      <w:r w:rsidR="007F0C99" w:rsidRPr="00B54B7F">
        <w:t>1</w:t>
      </w:r>
      <w:r w:rsidR="00AD3DDF" w:rsidRPr="00B54B7F">
        <w:t>). This is further supported by the I</w:t>
      </w:r>
      <w:r w:rsidRPr="00B54B7F">
        <w:t>TS directive impact assessment</w:t>
      </w:r>
      <w:r w:rsidR="001550BB" w:rsidRPr="00B54B7F">
        <w:t xml:space="preserve"> </w:t>
      </w:r>
      <w:r w:rsidR="00A967BF" w:rsidRPr="00B54B7F">
        <w:t xml:space="preserve">that </w:t>
      </w:r>
      <w:r w:rsidR="001550BB" w:rsidRPr="00B54B7F">
        <w:t>stat</w:t>
      </w:r>
      <w:r w:rsidR="00A967BF" w:rsidRPr="00B54B7F">
        <w:t>ed,</w:t>
      </w:r>
      <w:r w:rsidRPr="00B54B7F">
        <w:t xml:space="preserve"> ‘</w:t>
      </w:r>
      <w:r w:rsidR="001550BB" w:rsidRPr="00B54B7F">
        <w:t>i</w:t>
      </w:r>
      <w:r w:rsidRPr="00B54B7F">
        <w:t xml:space="preserve">ndustry-led standardisation through </w:t>
      </w:r>
      <w:r w:rsidRPr="005764FC">
        <w:rPr>
          <w:lang w:eastAsia="fr-CA"/>
        </w:rPr>
        <w:t>the European Standardisation Organisations contributes to interoperability, but it is voluntary by nature and allows non-interoperable implementations, and with many different actors and strong network effects, no actor can introduce an interoperable solution on its own.’</w:t>
      </w:r>
    </w:p>
    <w:p w14:paraId="0816810A" w14:textId="00D22566" w:rsidR="001463BC" w:rsidRPr="005764FC" w:rsidRDefault="001463BC" w:rsidP="001463BC">
      <w:pPr>
        <w:pStyle w:val="BodyText"/>
      </w:pPr>
      <w:r w:rsidRPr="005764FC">
        <w:t xml:space="preserve">To ensure an already complex ecosystem is </w:t>
      </w:r>
      <w:r w:rsidR="00A967BF" w:rsidRPr="005764FC">
        <w:t>able to</w:t>
      </w:r>
      <w:r w:rsidRPr="005764FC">
        <w:t xml:space="preserve"> be maintained, Australia should align to a single international standards region for establishing C‑ITS</w:t>
      </w:r>
      <w:r w:rsidR="00897576" w:rsidRPr="005764FC">
        <w:t xml:space="preserve"> (</w:t>
      </w:r>
      <w:r w:rsidR="007F0C99" w:rsidRPr="005764FC">
        <w:t>PA2</w:t>
      </w:r>
      <w:r w:rsidR="00897576" w:rsidRPr="005764FC">
        <w:t>)</w:t>
      </w:r>
      <w:r w:rsidRPr="005764FC">
        <w:t xml:space="preserve">. This will encourage a consistent data framework </w:t>
      </w:r>
      <w:r w:rsidR="00A967BF" w:rsidRPr="005764FC">
        <w:t>that’s</w:t>
      </w:r>
      <w:r w:rsidRPr="005764FC">
        <w:t xml:space="preserve"> tested and improved. </w:t>
      </w:r>
    </w:p>
    <w:p w14:paraId="4008CB8A" w14:textId="4E83AAC3" w:rsidR="001463BC" w:rsidRPr="005764FC" w:rsidRDefault="00BF6C37" w:rsidP="001463BC">
      <w:pPr>
        <w:pStyle w:val="BodyText"/>
        <w:rPr>
          <w:lang w:eastAsia="fr-CA"/>
        </w:rPr>
      </w:pPr>
      <w:r w:rsidRPr="005764FC">
        <w:t>Overall, standards</w:t>
      </w:r>
      <w:r w:rsidR="007D2A16" w:rsidRPr="005764FC">
        <w:t xml:space="preserve"> and deployment </w:t>
      </w:r>
      <w:r w:rsidRPr="005764FC">
        <w:t>are</w:t>
      </w:r>
      <w:r w:rsidR="00021D09" w:rsidRPr="005764FC">
        <w:t xml:space="preserve"> well developed</w:t>
      </w:r>
      <w:r w:rsidR="00247904" w:rsidRPr="005764FC">
        <w:t xml:space="preserve"> </w:t>
      </w:r>
      <w:r w:rsidR="00D9159B" w:rsidRPr="005764FC">
        <w:t xml:space="preserve">in the US, </w:t>
      </w:r>
      <w:r w:rsidR="00247904" w:rsidRPr="005764FC">
        <w:t xml:space="preserve">and form a viable suite </w:t>
      </w:r>
      <w:r w:rsidR="00213F77" w:rsidRPr="005764FC">
        <w:t xml:space="preserve">for consistent benefits realisation across an ecosystem. </w:t>
      </w:r>
      <w:r w:rsidR="00D9159B" w:rsidRPr="005764FC">
        <w:t>Nonetheless,</w:t>
      </w:r>
      <w:r w:rsidR="000870F6" w:rsidRPr="005764FC">
        <w:t xml:space="preserve"> uncertainty </w:t>
      </w:r>
      <w:r w:rsidR="000D5360">
        <w:t>resulting from</w:t>
      </w:r>
      <w:r w:rsidR="000870F6" w:rsidRPr="005764FC">
        <w:t xml:space="preserve"> </w:t>
      </w:r>
      <w:r w:rsidR="00054B0B">
        <w:t xml:space="preserve">the </w:t>
      </w:r>
      <w:r w:rsidR="00CB7B4D">
        <w:t xml:space="preserve">restriction of the spectrum to 30MHz for C-ITS and </w:t>
      </w:r>
      <w:r w:rsidR="00CE4657" w:rsidRPr="005764FC">
        <w:t>new technology requirements for short-range communications (</w:t>
      </w:r>
      <w:r w:rsidR="00D97397" w:rsidRPr="005764FC">
        <w:t xml:space="preserve">Section </w:t>
      </w:r>
      <w:r w:rsidR="00CE4657" w:rsidRPr="005764FC">
        <w:fldChar w:fldCharType="begin" w:fldLock="1"/>
      </w:r>
      <w:r w:rsidR="00CE4657" w:rsidRPr="005764FC">
        <w:instrText xml:space="preserve"> REF _Ref93225942 \r \h </w:instrText>
      </w:r>
      <w:r w:rsidR="00CE4657" w:rsidRPr="005764FC">
        <w:fldChar w:fldCharType="separate"/>
      </w:r>
      <w:r w:rsidR="00A34B27">
        <w:t>2.3.3</w:t>
      </w:r>
      <w:r w:rsidR="00CE4657" w:rsidRPr="005764FC">
        <w:fldChar w:fldCharType="end"/>
      </w:r>
      <w:r w:rsidR="00CE4657" w:rsidRPr="005764FC">
        <w:t xml:space="preserve">) may </w:t>
      </w:r>
      <w:r w:rsidR="008E5116">
        <w:t>cause</w:t>
      </w:r>
      <w:r w:rsidR="00105414" w:rsidRPr="005764FC">
        <w:t xml:space="preserve"> changes to the standards </w:t>
      </w:r>
      <w:r w:rsidR="008E5116">
        <w:t>implementation</w:t>
      </w:r>
      <w:r w:rsidR="000B3024" w:rsidRPr="005764FC">
        <w:t xml:space="preserve">. </w:t>
      </w:r>
    </w:p>
    <w:p w14:paraId="35F60A18" w14:textId="3C8997FE" w:rsidR="001463BC" w:rsidRPr="005764FC" w:rsidRDefault="001463BC" w:rsidP="001463BC">
      <w:pPr>
        <w:pStyle w:val="BodyText"/>
        <w:rPr>
          <w:lang w:eastAsia="fr-CA"/>
        </w:rPr>
      </w:pPr>
      <w:r w:rsidRPr="005764FC">
        <w:rPr>
          <w:lang w:eastAsia="fr-CA"/>
        </w:rPr>
        <w:t xml:space="preserve">Europe </w:t>
      </w:r>
      <w:r w:rsidR="00BD0BBA" w:rsidRPr="005764FC">
        <w:rPr>
          <w:lang w:eastAsia="fr-CA"/>
        </w:rPr>
        <w:t xml:space="preserve">currently has a proposal to </w:t>
      </w:r>
      <w:r w:rsidR="00E816EE" w:rsidRPr="005764FC">
        <w:rPr>
          <w:lang w:eastAsia="fr-CA"/>
        </w:rPr>
        <w:t>mandate C-ITS</w:t>
      </w:r>
      <w:r w:rsidR="00D9159B" w:rsidRPr="005764FC">
        <w:rPr>
          <w:lang w:eastAsia="fr-CA"/>
        </w:rPr>
        <w:t>,</w:t>
      </w:r>
      <w:r w:rsidR="00F72DD9" w:rsidRPr="005764FC">
        <w:rPr>
          <w:lang w:eastAsia="fr-CA"/>
        </w:rPr>
        <w:t xml:space="preserve"> which aims for coordinated adoption of specifications and standards</w:t>
      </w:r>
      <w:r w:rsidRPr="005764FC">
        <w:rPr>
          <w:lang w:eastAsia="fr-CA"/>
        </w:rPr>
        <w:t xml:space="preserve">. </w:t>
      </w:r>
      <w:r w:rsidR="00550ED3" w:rsidRPr="005764FC">
        <w:rPr>
          <w:lang w:eastAsia="fr-CA"/>
        </w:rPr>
        <w:t>T</w:t>
      </w:r>
      <w:r w:rsidRPr="005764FC">
        <w:rPr>
          <w:lang w:eastAsia="fr-CA"/>
        </w:rPr>
        <w:t xml:space="preserve">here is continued policy direction from Europe led through the European Commission. </w:t>
      </w:r>
      <w:r w:rsidR="00550ED3" w:rsidRPr="005764FC">
        <w:rPr>
          <w:lang w:eastAsia="fr-CA"/>
        </w:rPr>
        <w:t>Implementation guidelines</w:t>
      </w:r>
      <w:r w:rsidRPr="005764FC">
        <w:rPr>
          <w:lang w:eastAsia="fr-CA"/>
        </w:rPr>
        <w:t xml:space="preserve"> </w:t>
      </w:r>
      <w:r w:rsidR="0036274C" w:rsidRPr="005764FC">
        <w:rPr>
          <w:lang w:eastAsia="fr-CA"/>
        </w:rPr>
        <w:t xml:space="preserve">are </w:t>
      </w:r>
      <w:r w:rsidRPr="005764FC">
        <w:rPr>
          <w:lang w:eastAsia="fr-CA"/>
        </w:rPr>
        <w:t>driven through initiatives such as C-roads to ensure road agencies have a clear path for implementing infrastructure-based C-ITS services</w:t>
      </w:r>
      <w:r w:rsidR="0036274C" w:rsidRPr="005764FC">
        <w:rPr>
          <w:lang w:eastAsia="fr-CA"/>
        </w:rPr>
        <w:t xml:space="preserve"> across many </w:t>
      </w:r>
      <w:r w:rsidR="0091540C" w:rsidRPr="005764FC">
        <w:rPr>
          <w:lang w:eastAsia="fr-CA"/>
        </w:rPr>
        <w:t>road agencies</w:t>
      </w:r>
      <w:r w:rsidRPr="005764FC">
        <w:rPr>
          <w:lang w:eastAsia="fr-CA"/>
        </w:rPr>
        <w:t xml:space="preserve">. </w:t>
      </w:r>
      <w:r w:rsidR="0089796A" w:rsidRPr="005764FC">
        <w:rPr>
          <w:lang w:eastAsia="fr-CA"/>
        </w:rPr>
        <w:t xml:space="preserve">The ISO/CEN </w:t>
      </w:r>
      <w:r w:rsidR="00855A87" w:rsidRPr="005764FC">
        <w:rPr>
          <w:lang w:eastAsia="fr-CA"/>
        </w:rPr>
        <w:t>“</w:t>
      </w:r>
      <w:r w:rsidR="0089796A" w:rsidRPr="005764FC">
        <w:rPr>
          <w:lang w:eastAsia="fr-CA"/>
        </w:rPr>
        <w:t>Cooperative intelligent transport systems (C-ITS) Guidelines on the usage of standards</w:t>
      </w:r>
      <w:r w:rsidR="00855A87" w:rsidRPr="005764FC">
        <w:rPr>
          <w:lang w:eastAsia="fr-CA"/>
        </w:rPr>
        <w:t>”</w:t>
      </w:r>
      <w:r w:rsidR="00ED6878">
        <w:rPr>
          <w:lang w:eastAsia="fr-CA"/>
        </w:rPr>
        <w:t xml:space="preserve"> </w:t>
      </w:r>
      <w:sdt>
        <w:sdtPr>
          <w:rPr>
            <w:lang w:eastAsia="fr-CA"/>
          </w:rPr>
          <w:id w:val="-1535345279"/>
          <w:citation/>
        </w:sdtPr>
        <w:sdtContent>
          <w:r w:rsidR="00ED6878">
            <w:rPr>
              <w:lang w:eastAsia="fr-CA"/>
            </w:rPr>
            <w:fldChar w:fldCharType="begin"/>
          </w:r>
          <w:r w:rsidR="003B0D75">
            <w:rPr>
              <w:lang w:eastAsia="fr-CA"/>
            </w:rPr>
            <w:instrText xml:space="preserve">CITATION CEN21 \l 3081 </w:instrText>
          </w:r>
          <w:r w:rsidR="00ED6878">
            <w:rPr>
              <w:lang w:eastAsia="fr-CA"/>
            </w:rPr>
            <w:fldChar w:fldCharType="separate"/>
          </w:r>
          <w:r w:rsidR="001428F9">
            <w:rPr>
              <w:noProof/>
              <w:lang w:eastAsia="fr-CA"/>
            </w:rPr>
            <w:t>(ISO/TR21186-1, 2021)</w:t>
          </w:r>
          <w:r w:rsidR="00ED6878">
            <w:rPr>
              <w:lang w:eastAsia="fr-CA"/>
            </w:rPr>
            <w:fldChar w:fldCharType="end"/>
          </w:r>
        </w:sdtContent>
      </w:sdt>
      <w:r w:rsidR="00ED6878">
        <w:rPr>
          <w:lang w:eastAsia="fr-CA"/>
        </w:rPr>
        <w:t xml:space="preserve"> </w:t>
      </w:r>
      <w:r w:rsidR="0089796A" w:rsidRPr="005764FC">
        <w:rPr>
          <w:lang w:eastAsia="fr-CA"/>
        </w:rPr>
        <w:t>provides the most comprehensive standards suite identified in the analysis.</w:t>
      </w:r>
    </w:p>
    <w:p w14:paraId="445C7D24" w14:textId="69C14237" w:rsidR="001D155E" w:rsidRPr="005764FC" w:rsidRDefault="001463BC" w:rsidP="001D155E">
      <w:pPr>
        <w:pStyle w:val="BodyText"/>
        <w:rPr>
          <w:lang w:eastAsia="fr-CA"/>
        </w:rPr>
      </w:pPr>
      <w:r w:rsidRPr="005764FC">
        <w:rPr>
          <w:lang w:eastAsia="fr-CA"/>
        </w:rPr>
        <w:t xml:space="preserve">This validates the momentum behind C‑ITS and its value to transportation. </w:t>
      </w:r>
      <w:r w:rsidR="00C7475B" w:rsidRPr="005764FC">
        <w:rPr>
          <w:lang w:eastAsia="fr-CA"/>
        </w:rPr>
        <w:t xml:space="preserve">Austroads’ standards assessment excluded regions other than US and Europe due to less alignment with Australia and New Zealand. </w:t>
      </w:r>
      <w:r w:rsidR="00B44DAD" w:rsidRPr="005764FC">
        <w:rPr>
          <w:lang w:eastAsia="fr-CA"/>
        </w:rPr>
        <w:t xml:space="preserve">The assessment outlined in </w:t>
      </w:r>
      <w:r w:rsidR="00D97397" w:rsidRPr="005764FC">
        <w:rPr>
          <w:lang w:eastAsia="fr-CA"/>
        </w:rPr>
        <w:t xml:space="preserve">Section </w:t>
      </w:r>
      <w:r w:rsidR="00B44DAD" w:rsidRPr="005764FC">
        <w:rPr>
          <w:lang w:eastAsia="fr-CA"/>
        </w:rPr>
        <w:fldChar w:fldCharType="begin" w:fldLock="1"/>
      </w:r>
      <w:r w:rsidR="00B44DAD" w:rsidRPr="005764FC">
        <w:rPr>
          <w:lang w:eastAsia="fr-CA"/>
        </w:rPr>
        <w:instrText xml:space="preserve"> REF _Ref94269731 \r \h </w:instrText>
      </w:r>
      <w:r w:rsidR="00B44DAD" w:rsidRPr="005764FC">
        <w:rPr>
          <w:lang w:eastAsia="fr-CA"/>
        </w:rPr>
      </w:r>
      <w:r w:rsidR="00B44DAD" w:rsidRPr="005764FC">
        <w:rPr>
          <w:lang w:eastAsia="fr-CA"/>
        </w:rPr>
        <w:fldChar w:fldCharType="separate"/>
      </w:r>
      <w:r w:rsidR="00A34B27">
        <w:rPr>
          <w:lang w:eastAsia="fr-CA"/>
        </w:rPr>
        <w:t>1.6.2</w:t>
      </w:r>
      <w:r w:rsidR="00B44DAD" w:rsidRPr="005764FC">
        <w:rPr>
          <w:lang w:eastAsia="fr-CA"/>
        </w:rPr>
        <w:fldChar w:fldCharType="end"/>
      </w:r>
      <w:r w:rsidR="00B44DAD" w:rsidRPr="005764FC">
        <w:rPr>
          <w:lang w:eastAsia="fr-CA"/>
        </w:rPr>
        <w:t xml:space="preserve"> found that China, Japan and South Korea were the most difficult to find an</w:t>
      </w:r>
      <w:r w:rsidR="00334292" w:rsidRPr="005764FC">
        <w:rPr>
          <w:lang w:eastAsia="fr-CA"/>
        </w:rPr>
        <w:t xml:space="preserve">y detailed information </w:t>
      </w:r>
      <w:r w:rsidR="00534C2D" w:rsidRPr="005764FC">
        <w:rPr>
          <w:lang w:eastAsia="fr-CA"/>
        </w:rPr>
        <w:t>on</w:t>
      </w:r>
      <w:r w:rsidR="00334292" w:rsidRPr="005764FC">
        <w:rPr>
          <w:lang w:eastAsia="fr-CA"/>
        </w:rPr>
        <w:t xml:space="preserve"> standards </w:t>
      </w:r>
      <w:r w:rsidR="00534C2D" w:rsidRPr="005764FC">
        <w:rPr>
          <w:lang w:eastAsia="fr-CA"/>
        </w:rPr>
        <w:t xml:space="preserve">they have </w:t>
      </w:r>
      <w:r w:rsidR="00334292" w:rsidRPr="005764FC">
        <w:rPr>
          <w:lang w:eastAsia="fr-CA"/>
        </w:rPr>
        <w:t>employed</w:t>
      </w:r>
      <w:r w:rsidR="00534C2D" w:rsidRPr="005764FC">
        <w:rPr>
          <w:lang w:eastAsia="fr-CA"/>
        </w:rPr>
        <w:t>,</w:t>
      </w:r>
      <w:r w:rsidR="00334292" w:rsidRPr="005764FC">
        <w:rPr>
          <w:lang w:eastAsia="fr-CA"/>
        </w:rPr>
        <w:t xml:space="preserve"> and implementation guidelines used. Alignment to these regions may result in more unknowns and greater risk </w:t>
      </w:r>
      <w:r w:rsidR="007E4B94" w:rsidRPr="005764FC">
        <w:rPr>
          <w:lang w:eastAsia="fr-CA"/>
        </w:rPr>
        <w:t xml:space="preserve">in delivering scaled benefits </w:t>
      </w:r>
      <w:r w:rsidR="00334292" w:rsidRPr="005764FC">
        <w:rPr>
          <w:lang w:eastAsia="fr-CA"/>
        </w:rPr>
        <w:t xml:space="preserve">when compared to the US and Europe. </w:t>
      </w:r>
    </w:p>
    <w:p w14:paraId="7B531052" w14:textId="4BCBFD83" w:rsidR="008077AE" w:rsidRPr="005764FC" w:rsidRDefault="008F3ADF" w:rsidP="002F7642">
      <w:pPr>
        <w:pStyle w:val="Heading4"/>
      </w:pPr>
      <w:bookmarkStart w:id="219" w:name="_Ref94271413"/>
      <w:r w:rsidRPr="005764FC">
        <w:t>Vehicle Manufacturer Position</w:t>
      </w:r>
      <w:bookmarkEnd w:id="219"/>
    </w:p>
    <w:p w14:paraId="78962AD0" w14:textId="2942DF7C" w:rsidR="008F3ADF" w:rsidRPr="005764FC" w:rsidRDefault="008F3ADF" w:rsidP="005D571C">
      <w:pPr>
        <w:pStyle w:val="BodyText"/>
        <w:keepNext/>
        <w:spacing w:line="264" w:lineRule="auto"/>
        <w:rPr>
          <w:lang w:eastAsia="fr-CA"/>
        </w:rPr>
      </w:pPr>
      <w:r w:rsidRPr="005764FC">
        <w:rPr>
          <w:lang w:eastAsia="fr-CA"/>
        </w:rPr>
        <w:t xml:space="preserve">The FCAI outlined the following key considerations around harmonisation in response </w:t>
      </w:r>
      <w:r w:rsidR="00534C2D" w:rsidRPr="005764FC">
        <w:rPr>
          <w:lang w:eastAsia="fr-CA"/>
        </w:rPr>
        <w:t>to</w:t>
      </w:r>
      <w:r w:rsidRPr="005764FC">
        <w:rPr>
          <w:lang w:eastAsia="fr-CA"/>
        </w:rPr>
        <w:t xml:space="preserve"> the </w:t>
      </w:r>
      <w:r w:rsidR="00BD15F9">
        <w:rPr>
          <w:lang w:eastAsia="fr-CA"/>
        </w:rPr>
        <w:t xml:space="preserve">ACMA’s </w:t>
      </w:r>
      <w:r w:rsidRPr="005764FC">
        <w:rPr>
          <w:lang w:eastAsia="fr-CA"/>
        </w:rPr>
        <w:t xml:space="preserve">December 2021 </w:t>
      </w:r>
      <w:r w:rsidR="00BD15F9">
        <w:rPr>
          <w:lang w:eastAsia="fr-CA"/>
        </w:rPr>
        <w:t xml:space="preserve">review of the </w:t>
      </w:r>
      <w:r w:rsidR="00C500F8">
        <w:rPr>
          <w:lang w:eastAsia="fr-CA"/>
        </w:rPr>
        <w:t>6</w:t>
      </w:r>
      <w:r w:rsidRPr="005764FC">
        <w:rPr>
          <w:lang w:eastAsia="fr-CA"/>
        </w:rPr>
        <w:t xml:space="preserve">GHz spectrum </w:t>
      </w:r>
      <w:r w:rsidR="00BD15F9">
        <w:rPr>
          <w:lang w:eastAsia="fr-CA"/>
        </w:rPr>
        <w:t>band</w:t>
      </w:r>
      <w:r w:rsidR="00534C2D" w:rsidRPr="005764FC">
        <w:rPr>
          <w:lang w:eastAsia="fr-CA"/>
        </w:rPr>
        <w:t>,</w:t>
      </w:r>
      <w:r w:rsidR="00B4205D" w:rsidRPr="005764FC">
        <w:rPr>
          <w:lang w:eastAsia="fr-CA"/>
        </w:rPr>
        <w:t xml:space="preserve"> stating: </w:t>
      </w:r>
    </w:p>
    <w:p w14:paraId="33F56DB1" w14:textId="759D5273" w:rsidR="008F3ADF" w:rsidRPr="005764FC" w:rsidRDefault="008F3ADF" w:rsidP="005D571C">
      <w:pPr>
        <w:pStyle w:val="ListBullet"/>
        <w:keepNext/>
        <w:spacing w:line="264" w:lineRule="auto"/>
        <w:ind w:left="357" w:hanging="357"/>
        <w:contextualSpacing/>
      </w:pPr>
      <w:r w:rsidRPr="005764FC">
        <w:t>Australian vehicle regulations are harmonised according to the World Forum for Harmonization of Vehicle Regulations (Working Party 29) which allows introduction of innovative technology</w:t>
      </w:r>
      <w:r w:rsidR="006E647C" w:rsidRPr="005764FC">
        <w:t>.</w:t>
      </w:r>
    </w:p>
    <w:p w14:paraId="697DEA27" w14:textId="0AC95B17" w:rsidR="008F3ADF" w:rsidRPr="005764FC" w:rsidRDefault="008F3ADF" w:rsidP="005D571C">
      <w:pPr>
        <w:pStyle w:val="ListBullet"/>
        <w:keepNext/>
        <w:spacing w:line="264" w:lineRule="auto"/>
        <w:ind w:left="357" w:hanging="357"/>
        <w:contextualSpacing/>
      </w:pPr>
      <w:r w:rsidRPr="005764FC">
        <w:t>The Australian Government policy harmonise</w:t>
      </w:r>
      <w:r w:rsidR="00B4205D" w:rsidRPr="005764FC">
        <w:t>s</w:t>
      </w:r>
      <w:r w:rsidRPr="005764FC">
        <w:t xml:space="preserve"> with international regulation wherever possible when forming Australian Design Rules (ADRs)</w:t>
      </w:r>
      <w:r w:rsidR="006E647C" w:rsidRPr="005764FC">
        <w:t>.</w:t>
      </w:r>
    </w:p>
    <w:p w14:paraId="1E8CC59E" w14:textId="4EE35C45" w:rsidR="008F3ADF" w:rsidRPr="005764FC" w:rsidRDefault="008F3ADF" w:rsidP="005D571C">
      <w:pPr>
        <w:pStyle w:val="ListBullet"/>
        <w:spacing w:line="264" w:lineRule="auto"/>
        <w:ind w:left="357" w:hanging="357"/>
        <w:contextualSpacing/>
      </w:pPr>
      <w:r w:rsidRPr="005764FC">
        <w:t>The UN standards are heavily influenced by the European Union where there has been significant C-ITS development</w:t>
      </w:r>
      <w:r w:rsidR="006E647C" w:rsidRPr="005764FC">
        <w:t>.</w:t>
      </w:r>
    </w:p>
    <w:p w14:paraId="5A427AB5" w14:textId="11E77273" w:rsidR="008F3ADF" w:rsidRPr="005764FC" w:rsidRDefault="008F3ADF" w:rsidP="005D571C">
      <w:pPr>
        <w:pStyle w:val="ListBullet"/>
        <w:spacing w:line="264" w:lineRule="auto"/>
        <w:ind w:left="357" w:hanging="357"/>
        <w:contextualSpacing/>
      </w:pPr>
      <w:r w:rsidRPr="005764FC">
        <w:t>Developed vehicle standards will likely be misaligned with wireless technology standards if Australia does not align with European standards.</w:t>
      </w:r>
    </w:p>
    <w:p w14:paraId="771E5CB2" w14:textId="2070AADF" w:rsidR="00641226" w:rsidRPr="005764FC" w:rsidRDefault="00641226" w:rsidP="005D571C">
      <w:pPr>
        <w:pStyle w:val="BodyText"/>
        <w:spacing w:line="264" w:lineRule="auto"/>
      </w:pPr>
      <w:r w:rsidRPr="005764FC">
        <w:t xml:space="preserve">These views align most strongly with the policy option of aligning with </w:t>
      </w:r>
      <w:r w:rsidR="008C4288" w:rsidRPr="005764FC">
        <w:t>t</w:t>
      </w:r>
      <w:r w:rsidRPr="005764FC">
        <w:t>he European C-ITS model (</w:t>
      </w:r>
      <w:r w:rsidR="007F0C99" w:rsidRPr="005764FC">
        <w:t>PA2</w:t>
      </w:r>
      <w:r w:rsidRPr="005764FC">
        <w:t>)</w:t>
      </w:r>
      <w:r w:rsidR="00EF0DE3" w:rsidRPr="005764FC">
        <w:t xml:space="preserve">. </w:t>
      </w:r>
      <w:r w:rsidR="00A04616" w:rsidRPr="005764FC">
        <w:t xml:space="preserve">The FCAI statement is understood to be the view </w:t>
      </w:r>
      <w:r w:rsidR="00FC4101" w:rsidRPr="005764FC">
        <w:t xml:space="preserve">that best </w:t>
      </w:r>
      <w:r w:rsidR="00A04616" w:rsidRPr="005764FC">
        <w:t>represent</w:t>
      </w:r>
      <w:r w:rsidR="00FC4101" w:rsidRPr="005764FC">
        <w:t>s</w:t>
      </w:r>
      <w:r w:rsidR="00A04616" w:rsidRPr="005764FC">
        <w:t xml:space="preserve"> all vehicle manufacturers </w:t>
      </w:r>
      <w:r w:rsidR="0027407B" w:rsidRPr="005764FC">
        <w:t>delivering to Australia</w:t>
      </w:r>
      <w:r w:rsidR="0033654B" w:rsidRPr="005764FC">
        <w:t xml:space="preserve"> (see </w:t>
      </w:r>
      <w:r w:rsidR="003C7967" w:rsidRPr="005764FC">
        <w:t xml:space="preserve">the </w:t>
      </w:r>
      <w:r w:rsidR="0033654B" w:rsidRPr="005764FC">
        <w:t>following quote)</w:t>
      </w:r>
      <w:r w:rsidR="0027407B" w:rsidRPr="005764FC">
        <w:t xml:space="preserve">. </w:t>
      </w:r>
    </w:p>
    <w:tbl>
      <w:tblPr>
        <w:tblStyle w:val="PullOutBoxTable"/>
        <w:tblW w:w="5000" w:type="pct"/>
        <w:tblInd w:w="0" w:type="dxa"/>
        <w:tblCellMar>
          <w:top w:w="142" w:type="dxa"/>
          <w:bottom w:w="142" w:type="dxa"/>
        </w:tblCellMar>
        <w:tblLook w:val="0600" w:firstRow="0" w:lastRow="0" w:firstColumn="0" w:lastColumn="0" w:noHBand="1" w:noVBand="1"/>
      </w:tblPr>
      <w:tblGrid>
        <w:gridCol w:w="9743"/>
      </w:tblGrid>
      <w:tr w:rsidR="00F25FE0" w:rsidRPr="005764FC" w14:paraId="05450EE7" w14:textId="77777777" w:rsidTr="005D571C">
        <w:tc>
          <w:tcPr>
            <w:tcW w:w="5000" w:type="pct"/>
            <w:shd w:val="clear" w:color="auto" w:fill="E4E8EC" w:themeFill="accent3" w:themeFillTint="1A"/>
          </w:tcPr>
          <w:p w14:paraId="0CD18439" w14:textId="5C21DFC3" w:rsidR="00B170F9" w:rsidRPr="005764FC" w:rsidRDefault="00B170F9" w:rsidP="000B205A">
            <w:pPr>
              <w:pStyle w:val="PullOutBoxHeading"/>
              <w:spacing w:line="264" w:lineRule="auto"/>
            </w:pPr>
            <w:r w:rsidRPr="005764FC">
              <w:t>FCAI Statement on C-ITS relating to vehicle Manufacturers</w:t>
            </w:r>
            <w:r w:rsidR="000A336D">
              <w:t xml:space="preserve"> </w:t>
            </w:r>
            <w:sdt>
              <w:sdtPr>
                <w:id w:val="-1263375892"/>
                <w:citation/>
              </w:sdtPr>
              <w:sdtContent>
                <w:r w:rsidR="000A336D">
                  <w:fldChar w:fldCharType="begin"/>
                </w:r>
                <w:r w:rsidR="004B48DD">
                  <w:instrText xml:space="preserve">CITATION FCA21 \l 3081 </w:instrText>
                </w:r>
                <w:r w:rsidR="000A336D">
                  <w:fldChar w:fldCharType="separate"/>
                </w:r>
                <w:r w:rsidR="001428F9">
                  <w:rPr>
                    <w:noProof/>
                  </w:rPr>
                  <w:t>(FCAI, 2021)</w:t>
                </w:r>
                <w:r w:rsidR="000A336D">
                  <w:fldChar w:fldCharType="end"/>
                </w:r>
              </w:sdtContent>
            </w:sdt>
          </w:p>
          <w:p w14:paraId="599D5EA7" w14:textId="64DA5FFA" w:rsidR="00B170F9" w:rsidRPr="005764FC" w:rsidRDefault="00B170F9" w:rsidP="000B205A">
            <w:pPr>
              <w:pStyle w:val="PullOutBoxBodyText"/>
              <w:spacing w:line="264" w:lineRule="auto"/>
            </w:pPr>
            <w:r w:rsidRPr="005764FC">
              <w:t>“Australia is a signatory to both the UN 1958 Agreement and the 1998 Agreement. The Australian Government's policy is to harmonise its national vehicle safety standards, the Australian Design Rules (ADRs) with international regulations where possible and first consideration is given to the adoption of the international United Nations (UN) regulations. Under this environment it is expected that C-ITS technologies being introduced to the Australian environment are typically going to be introduced aligning to the UN standards which are heavily influenced by the European Union which is arguably in the forefront of developing C-ITS technologies. Any alignment away from the European standards (and by default UN Standards) will more than likely result in misalignment between vehicle standards development and wireless technology standards development. Therefore, RLAN equipment sourced from Europe should be considered the more appropriate and likely given the protections afforded in aligning with European specifications and interoperability with vehicles designed to operate in Australia.”</w:t>
            </w:r>
          </w:p>
        </w:tc>
      </w:tr>
    </w:tbl>
    <w:p w14:paraId="158F5064" w14:textId="37009B87" w:rsidR="00393823" w:rsidRPr="005764FC" w:rsidRDefault="0039772C" w:rsidP="00004964">
      <w:pPr>
        <w:pStyle w:val="Heading4"/>
        <w:rPr>
          <w:lang w:eastAsia="fr-CA"/>
        </w:rPr>
      </w:pPr>
      <w:r w:rsidRPr="005764FC">
        <w:rPr>
          <w:lang w:eastAsia="fr-CA"/>
        </w:rPr>
        <w:t>Summary</w:t>
      </w:r>
    </w:p>
    <w:p w14:paraId="50B02B40" w14:textId="425B9AB5" w:rsidR="00725411" w:rsidRPr="005764FC" w:rsidRDefault="001F3921" w:rsidP="00DC34FB">
      <w:pPr>
        <w:pStyle w:val="BodyText"/>
        <w:rPr>
          <w:lang w:eastAsia="fr-CA"/>
        </w:rPr>
      </w:pPr>
      <w:r w:rsidRPr="005764FC">
        <w:t>The approach</w:t>
      </w:r>
      <w:r w:rsidR="00FA2D17" w:rsidRPr="005764FC">
        <w:t xml:space="preserve"> to standards </w:t>
      </w:r>
      <w:r w:rsidR="003D1899" w:rsidRPr="005764FC">
        <w:t>has</w:t>
      </w:r>
      <w:r w:rsidR="00FA2D17" w:rsidRPr="005764FC">
        <w:t xml:space="preserve"> been assessed in relation to </w:t>
      </w:r>
      <w:r w:rsidR="007F0C99" w:rsidRPr="005764FC">
        <w:rPr>
          <w:lang w:eastAsia="fr-CA"/>
        </w:rPr>
        <w:t>PA1</w:t>
      </w:r>
      <w:r w:rsidRPr="005764FC">
        <w:rPr>
          <w:lang w:eastAsia="fr-CA"/>
        </w:rPr>
        <w:t>: open to market</w:t>
      </w:r>
      <w:r w:rsidR="003B23C2" w:rsidRPr="005764FC">
        <w:rPr>
          <w:lang w:eastAsia="fr-CA"/>
        </w:rPr>
        <w:t>-le</w:t>
      </w:r>
      <w:r w:rsidRPr="005764FC">
        <w:rPr>
          <w:lang w:eastAsia="fr-CA"/>
        </w:rPr>
        <w:t>d</w:t>
      </w:r>
      <w:r w:rsidR="00FC4101" w:rsidRPr="005764FC">
        <w:rPr>
          <w:lang w:eastAsia="fr-CA"/>
        </w:rPr>
        <w:t>;</w:t>
      </w:r>
      <w:r w:rsidRPr="005764FC">
        <w:rPr>
          <w:lang w:eastAsia="fr-CA"/>
        </w:rPr>
        <w:t xml:space="preserve"> </w:t>
      </w:r>
      <w:r w:rsidR="007F0C99" w:rsidRPr="005764FC">
        <w:rPr>
          <w:lang w:eastAsia="fr-CA"/>
        </w:rPr>
        <w:t>PA2</w:t>
      </w:r>
      <w:r w:rsidRPr="005764FC">
        <w:rPr>
          <w:lang w:eastAsia="fr-CA"/>
        </w:rPr>
        <w:t xml:space="preserve">: </w:t>
      </w:r>
      <w:r w:rsidR="003B23C2" w:rsidRPr="005764FC">
        <w:rPr>
          <w:lang w:eastAsia="fr-CA"/>
        </w:rPr>
        <w:t>select a standard suite</w:t>
      </w:r>
      <w:r w:rsidR="00FC4101" w:rsidRPr="005764FC">
        <w:rPr>
          <w:lang w:eastAsia="fr-CA"/>
        </w:rPr>
        <w:t>;</w:t>
      </w:r>
      <w:r w:rsidRPr="005764FC">
        <w:rPr>
          <w:lang w:eastAsia="fr-CA"/>
        </w:rPr>
        <w:t xml:space="preserve"> </w:t>
      </w:r>
      <w:r w:rsidR="007F0C99" w:rsidRPr="005764FC">
        <w:rPr>
          <w:lang w:eastAsia="fr-CA"/>
        </w:rPr>
        <w:t>PA3</w:t>
      </w:r>
      <w:r w:rsidRPr="005764FC">
        <w:rPr>
          <w:lang w:eastAsia="fr-CA"/>
        </w:rPr>
        <w:t>: regulate</w:t>
      </w:r>
      <w:r w:rsidR="003D1899" w:rsidRPr="005764FC">
        <w:rPr>
          <w:lang w:eastAsia="fr-CA"/>
        </w:rPr>
        <w:t>.</w:t>
      </w:r>
      <w:r w:rsidR="00140619" w:rsidRPr="005764FC">
        <w:rPr>
          <w:lang w:eastAsia="fr-CA"/>
        </w:rPr>
        <w:t xml:space="preserve"> This analysis and the resulting implications for </w:t>
      </w:r>
      <w:r w:rsidR="00081403" w:rsidRPr="005764FC">
        <w:rPr>
          <w:lang w:eastAsia="fr-CA"/>
        </w:rPr>
        <w:t xml:space="preserve">deployment </w:t>
      </w:r>
      <w:r w:rsidR="00FC4101" w:rsidRPr="005764FC">
        <w:rPr>
          <w:lang w:eastAsia="fr-CA"/>
        </w:rPr>
        <w:t>greatly</w:t>
      </w:r>
      <w:r w:rsidR="00081403" w:rsidRPr="005764FC">
        <w:rPr>
          <w:lang w:eastAsia="fr-CA"/>
        </w:rPr>
        <w:t xml:space="preserve"> </w:t>
      </w:r>
      <w:r w:rsidR="004A69F9" w:rsidRPr="005764FC">
        <w:rPr>
          <w:lang w:eastAsia="fr-CA"/>
        </w:rPr>
        <w:t>depend</w:t>
      </w:r>
      <w:r w:rsidR="00081403" w:rsidRPr="005764FC">
        <w:rPr>
          <w:lang w:eastAsia="fr-CA"/>
        </w:rPr>
        <w:t xml:space="preserve"> on </w:t>
      </w:r>
      <w:r w:rsidR="006D3182" w:rsidRPr="005764FC">
        <w:rPr>
          <w:lang w:eastAsia="fr-CA"/>
        </w:rPr>
        <w:t xml:space="preserve">which </w:t>
      </w:r>
      <w:r w:rsidR="00C56585" w:rsidRPr="005764FC">
        <w:rPr>
          <w:lang w:eastAsia="fr-CA"/>
        </w:rPr>
        <w:t xml:space="preserve">standards </w:t>
      </w:r>
      <w:r w:rsidR="00A47C71" w:rsidRPr="005764FC">
        <w:rPr>
          <w:lang w:eastAsia="fr-CA"/>
        </w:rPr>
        <w:t>are</w:t>
      </w:r>
      <w:r w:rsidR="00C56585" w:rsidRPr="005764FC">
        <w:rPr>
          <w:lang w:eastAsia="fr-CA"/>
        </w:rPr>
        <w:t xml:space="preserve"> </w:t>
      </w:r>
      <w:r w:rsidR="007317E2" w:rsidRPr="005764FC">
        <w:rPr>
          <w:lang w:eastAsia="fr-CA"/>
        </w:rPr>
        <w:t xml:space="preserve">considered. In view of this, the options are overlaid with US, Europe, China, Japan and South Korean </w:t>
      </w:r>
      <w:r w:rsidR="00777CBE" w:rsidRPr="005764FC">
        <w:rPr>
          <w:lang w:eastAsia="fr-CA"/>
        </w:rPr>
        <w:t>standard suite viewpoints.</w:t>
      </w:r>
      <w:r w:rsidR="00725411" w:rsidRPr="005764FC">
        <w:rPr>
          <w:lang w:eastAsia="fr-CA"/>
        </w:rPr>
        <w:t xml:space="preserve"> </w:t>
      </w:r>
      <w:r w:rsidR="001D752A" w:rsidRPr="005764FC">
        <w:rPr>
          <w:lang w:eastAsia="fr-CA"/>
        </w:rPr>
        <w:t xml:space="preserve">These options have been analysed in relation to coherence to strategic plans, </w:t>
      </w:r>
      <w:r w:rsidR="00A539F4" w:rsidRPr="005764FC">
        <w:rPr>
          <w:lang w:eastAsia="fr-CA"/>
        </w:rPr>
        <w:t xml:space="preserve">alignment to Australian vehicle standards, socioeconomic benefit, </w:t>
      </w:r>
      <w:r w:rsidR="001D752A" w:rsidRPr="005764FC">
        <w:rPr>
          <w:lang w:eastAsia="fr-CA"/>
        </w:rPr>
        <w:t>efficient benefits realisation</w:t>
      </w:r>
      <w:r w:rsidR="00FC4101" w:rsidRPr="005764FC">
        <w:rPr>
          <w:lang w:eastAsia="fr-CA"/>
        </w:rPr>
        <w:t>,</w:t>
      </w:r>
      <w:r w:rsidR="005E6648" w:rsidRPr="005764FC">
        <w:rPr>
          <w:lang w:eastAsia="fr-CA"/>
        </w:rPr>
        <w:t xml:space="preserve"> and the vehicle manufacturer position.</w:t>
      </w:r>
    </w:p>
    <w:p w14:paraId="1E8013AA" w14:textId="60C2FAB7" w:rsidR="00725411" w:rsidRPr="005764FC" w:rsidRDefault="00725411" w:rsidP="00725411">
      <w:pPr>
        <w:pStyle w:val="Caption"/>
      </w:pPr>
      <w:bookmarkStart w:id="220" w:name="_Toc97807816"/>
      <w:r w:rsidRPr="005764FC">
        <w:t xml:space="preserve">Table </w:t>
      </w:r>
      <w:r w:rsidR="009359A9" w:rsidRPr="005764FC">
        <w:fldChar w:fldCharType="begin"/>
      </w:r>
      <w:r w:rsidR="009359A9" w:rsidRPr="005764FC">
        <w:instrText xml:space="preserve"> STYLEREF 1 \s </w:instrText>
      </w:r>
      <w:r w:rsidR="009359A9" w:rsidRPr="005764FC">
        <w:fldChar w:fldCharType="separate"/>
      </w:r>
      <w:r w:rsidR="00A34B27">
        <w:rPr>
          <w:noProof/>
        </w:rPr>
        <w:t>2</w:t>
      </w:r>
      <w:r w:rsidR="009359A9" w:rsidRPr="005764FC">
        <w:fldChar w:fldCharType="end"/>
      </w:r>
      <w:r w:rsidR="009359A9" w:rsidRPr="005764FC">
        <w:t>.</w:t>
      </w:r>
      <w:r w:rsidR="009359A9" w:rsidRPr="005764FC">
        <w:fldChar w:fldCharType="begin"/>
      </w:r>
      <w:r w:rsidR="009359A9" w:rsidRPr="005764FC">
        <w:instrText xml:space="preserve"> SEQ Table \* ARABIC \s 1 </w:instrText>
      </w:r>
      <w:r w:rsidR="009359A9" w:rsidRPr="005764FC">
        <w:fldChar w:fldCharType="separate"/>
      </w:r>
      <w:r w:rsidR="00A34B27">
        <w:rPr>
          <w:noProof/>
        </w:rPr>
        <w:t>3</w:t>
      </w:r>
      <w:r w:rsidR="009359A9" w:rsidRPr="005764FC">
        <w:fldChar w:fldCharType="end"/>
      </w:r>
      <w:r w:rsidRPr="005764FC">
        <w:tab/>
        <w:t xml:space="preserve">Standards </w:t>
      </w:r>
      <w:r w:rsidR="008C35D9" w:rsidRPr="005764FC">
        <w:t>c</w:t>
      </w:r>
      <w:r w:rsidRPr="005764FC">
        <w:t>omparison</w:t>
      </w:r>
      <w:bookmarkEnd w:id="220"/>
    </w:p>
    <w:tbl>
      <w:tblPr>
        <w:tblStyle w:val="Table1"/>
        <w:tblW w:w="5000" w:type="pct"/>
        <w:tblLook w:val="0620" w:firstRow="1" w:lastRow="0" w:firstColumn="0" w:lastColumn="0" w:noHBand="1" w:noVBand="1"/>
      </w:tblPr>
      <w:tblGrid>
        <w:gridCol w:w="3372"/>
        <w:gridCol w:w="1692"/>
        <w:gridCol w:w="2870"/>
        <w:gridCol w:w="1813"/>
      </w:tblGrid>
      <w:tr w:rsidR="00FD4AF0" w:rsidRPr="005764FC" w14:paraId="368BD8C2" w14:textId="77777777" w:rsidTr="00BD6BF4">
        <w:trPr>
          <w:cnfStyle w:val="100000000000" w:firstRow="1" w:lastRow="0" w:firstColumn="0" w:lastColumn="0" w:oddVBand="0" w:evenVBand="0" w:oddHBand="0" w:evenHBand="0" w:firstRowFirstColumn="0" w:firstRowLastColumn="0" w:lastRowFirstColumn="0" w:lastRowLastColumn="0"/>
          <w:cantSplit/>
          <w:tblHeader/>
        </w:trPr>
        <w:tc>
          <w:tcPr>
            <w:tcW w:w="1730" w:type="pct"/>
          </w:tcPr>
          <w:p w14:paraId="327F3281" w14:textId="77777777" w:rsidR="00FD4AF0" w:rsidRPr="005764FC" w:rsidRDefault="00FD4AF0" w:rsidP="005D571C">
            <w:pPr>
              <w:pStyle w:val="TableHeading"/>
              <w:spacing w:before="80" w:line="264" w:lineRule="auto"/>
              <w:rPr>
                <w:lang w:eastAsia="fr-CA"/>
              </w:rPr>
            </w:pPr>
          </w:p>
        </w:tc>
        <w:tc>
          <w:tcPr>
            <w:tcW w:w="868" w:type="pct"/>
          </w:tcPr>
          <w:p w14:paraId="54C15F38" w14:textId="765DA606" w:rsidR="00FD4AF0" w:rsidRPr="005764FC" w:rsidRDefault="00F40DE0" w:rsidP="005D571C">
            <w:pPr>
              <w:pStyle w:val="TableHeading"/>
              <w:spacing w:before="80" w:line="264" w:lineRule="auto"/>
              <w:jc w:val="center"/>
              <w:rPr>
                <w:lang w:eastAsia="fr-CA"/>
              </w:rPr>
            </w:pPr>
            <w:r w:rsidRPr="005764FC">
              <w:rPr>
                <w:lang w:eastAsia="fr-CA"/>
              </w:rPr>
              <w:t>PA</w:t>
            </w:r>
            <w:r w:rsidR="00C27927" w:rsidRPr="005764FC">
              <w:rPr>
                <w:lang w:eastAsia="fr-CA"/>
              </w:rPr>
              <w:t xml:space="preserve">1 </w:t>
            </w:r>
            <w:r w:rsidR="00FD4AF0" w:rsidRPr="005764FC">
              <w:rPr>
                <w:lang w:eastAsia="fr-CA"/>
              </w:rPr>
              <w:t>Market-Led</w:t>
            </w:r>
          </w:p>
        </w:tc>
        <w:tc>
          <w:tcPr>
            <w:tcW w:w="1472" w:type="pct"/>
          </w:tcPr>
          <w:p w14:paraId="196ED7D0" w14:textId="09E1638B" w:rsidR="00FD4AF0" w:rsidRPr="005764FC" w:rsidRDefault="007F0C99" w:rsidP="005D571C">
            <w:pPr>
              <w:pStyle w:val="TableHeading"/>
              <w:spacing w:before="80" w:line="264" w:lineRule="auto"/>
              <w:jc w:val="center"/>
              <w:rPr>
                <w:lang w:eastAsia="fr-CA"/>
              </w:rPr>
            </w:pPr>
            <w:r w:rsidRPr="005764FC">
              <w:rPr>
                <w:lang w:eastAsia="fr-CA"/>
              </w:rPr>
              <w:t>PA2</w:t>
            </w:r>
            <w:r w:rsidR="00FD4AF0" w:rsidRPr="005764FC">
              <w:rPr>
                <w:lang w:eastAsia="fr-CA"/>
              </w:rPr>
              <w:t xml:space="preserve"> </w:t>
            </w:r>
            <w:r w:rsidR="00D53170" w:rsidRPr="005764FC">
              <w:rPr>
                <w:lang w:eastAsia="fr-CA"/>
              </w:rPr>
              <w:t>LEAD</w:t>
            </w:r>
            <w:r w:rsidR="0033654B" w:rsidRPr="005764FC">
              <w:rPr>
                <w:lang w:eastAsia="fr-CA"/>
              </w:rPr>
              <w:t xml:space="preserve"> &amp; direct</w:t>
            </w:r>
          </w:p>
        </w:tc>
        <w:tc>
          <w:tcPr>
            <w:tcW w:w="930" w:type="pct"/>
          </w:tcPr>
          <w:p w14:paraId="4C5A12B0" w14:textId="0C43E210" w:rsidR="00FD4AF0" w:rsidRPr="005764FC" w:rsidRDefault="007F0C99" w:rsidP="005D571C">
            <w:pPr>
              <w:pStyle w:val="TableHeading"/>
              <w:spacing w:before="80" w:line="264" w:lineRule="auto"/>
              <w:jc w:val="center"/>
            </w:pPr>
            <w:r w:rsidRPr="005764FC">
              <w:rPr>
                <w:lang w:eastAsia="fr-CA"/>
              </w:rPr>
              <w:t>PA3</w:t>
            </w:r>
            <w:r w:rsidR="00FD4AF0" w:rsidRPr="005764FC">
              <w:rPr>
                <w:lang w:eastAsia="fr-CA"/>
              </w:rPr>
              <w:t xml:space="preserve"> Regulation</w:t>
            </w:r>
          </w:p>
        </w:tc>
      </w:tr>
      <w:tr w:rsidR="00725411" w:rsidRPr="005764FC" w14:paraId="48A1860A" w14:textId="77777777" w:rsidTr="00BD6BF4">
        <w:trPr>
          <w:cantSplit/>
        </w:trPr>
        <w:tc>
          <w:tcPr>
            <w:tcW w:w="1730" w:type="pct"/>
          </w:tcPr>
          <w:p w14:paraId="2E0756C1" w14:textId="1BD9006E" w:rsidR="00725411" w:rsidRPr="005764FC" w:rsidRDefault="005E6648" w:rsidP="005D571C">
            <w:pPr>
              <w:pStyle w:val="TableText"/>
              <w:spacing w:before="80" w:line="264" w:lineRule="auto"/>
              <w:rPr>
                <w:lang w:eastAsia="fr-CA"/>
              </w:rPr>
            </w:pPr>
            <w:r w:rsidRPr="005764FC">
              <w:rPr>
                <w:lang w:eastAsia="fr-CA"/>
              </w:rPr>
              <w:fldChar w:fldCharType="begin" w:fldLock="1"/>
            </w:r>
            <w:r w:rsidRPr="005764FC">
              <w:rPr>
                <w:lang w:eastAsia="fr-CA"/>
              </w:rPr>
              <w:instrText xml:space="preserve"> REF _Ref94182559 \h </w:instrText>
            </w:r>
            <w:r w:rsidR="00CE0107" w:rsidRPr="005764FC">
              <w:rPr>
                <w:lang w:eastAsia="fr-CA"/>
              </w:rPr>
              <w:instrText xml:space="preserve"> \* MERGEFORMAT </w:instrText>
            </w:r>
            <w:r w:rsidRPr="005764FC">
              <w:rPr>
                <w:lang w:eastAsia="fr-CA"/>
              </w:rPr>
            </w:r>
            <w:r w:rsidRPr="005764FC">
              <w:rPr>
                <w:lang w:eastAsia="fr-CA"/>
              </w:rPr>
              <w:fldChar w:fldCharType="separate"/>
            </w:r>
            <w:r w:rsidR="00A34B27" w:rsidRPr="005764FC">
              <w:t>Coherence With strategic plans</w:t>
            </w:r>
            <w:r w:rsidRPr="005764FC">
              <w:rPr>
                <w:lang w:eastAsia="fr-CA"/>
              </w:rPr>
              <w:fldChar w:fldCharType="end"/>
            </w:r>
          </w:p>
        </w:tc>
        <w:tc>
          <w:tcPr>
            <w:tcW w:w="868" w:type="pct"/>
          </w:tcPr>
          <w:p w14:paraId="6A980081" w14:textId="19091C51" w:rsidR="00725411" w:rsidRPr="005764FC" w:rsidRDefault="00A20E4E" w:rsidP="005D571C">
            <w:pPr>
              <w:pStyle w:val="TableText"/>
              <w:spacing w:before="80" w:line="264" w:lineRule="auto"/>
              <w:jc w:val="center"/>
              <w:rPr>
                <w:lang w:eastAsia="fr-CA"/>
              </w:rPr>
            </w:pPr>
            <w:r w:rsidRPr="005764FC">
              <w:rPr>
                <w:lang w:eastAsia="fr-CA"/>
              </w:rPr>
              <w:t>+</w:t>
            </w:r>
          </w:p>
        </w:tc>
        <w:tc>
          <w:tcPr>
            <w:tcW w:w="1472" w:type="pct"/>
          </w:tcPr>
          <w:p w14:paraId="64583F42" w14:textId="7ECEDDD4" w:rsidR="00725411" w:rsidRPr="005764FC" w:rsidRDefault="00A20E4E" w:rsidP="005D571C">
            <w:pPr>
              <w:pStyle w:val="TableText"/>
              <w:spacing w:before="80" w:line="264" w:lineRule="auto"/>
              <w:jc w:val="center"/>
              <w:rPr>
                <w:lang w:eastAsia="fr-CA"/>
              </w:rPr>
            </w:pPr>
            <w:r w:rsidRPr="005764FC">
              <w:rPr>
                <w:lang w:eastAsia="fr-CA"/>
              </w:rPr>
              <w:t>++</w:t>
            </w:r>
            <w:r w:rsidR="007A63ED" w:rsidRPr="005764FC">
              <w:rPr>
                <w:lang w:eastAsia="fr-CA"/>
              </w:rPr>
              <w:t xml:space="preserve"> </w:t>
            </w:r>
            <w:r w:rsidR="00514780" w:rsidRPr="005764FC">
              <w:rPr>
                <w:lang w:eastAsia="fr-CA"/>
              </w:rPr>
              <w:t>A</w:t>
            </w:r>
            <w:r w:rsidR="006867FD" w:rsidRPr="005764FC">
              <w:rPr>
                <w:lang w:eastAsia="fr-CA"/>
              </w:rPr>
              <w:t>ll regions</w:t>
            </w:r>
          </w:p>
        </w:tc>
        <w:tc>
          <w:tcPr>
            <w:tcW w:w="930" w:type="pct"/>
          </w:tcPr>
          <w:p w14:paraId="287FC47C" w14:textId="12EF253B" w:rsidR="00725411" w:rsidRPr="005764FC" w:rsidRDefault="006867FD" w:rsidP="005D571C">
            <w:pPr>
              <w:pStyle w:val="TableText"/>
              <w:spacing w:before="80" w:line="264" w:lineRule="auto"/>
              <w:jc w:val="center"/>
              <w:rPr>
                <w:lang w:eastAsia="fr-CA"/>
              </w:rPr>
            </w:pPr>
            <w:r w:rsidRPr="005764FC">
              <w:rPr>
                <w:lang w:eastAsia="fr-CA"/>
              </w:rPr>
              <w:t>+</w:t>
            </w:r>
          </w:p>
        </w:tc>
      </w:tr>
      <w:tr w:rsidR="005E6648" w:rsidRPr="005764FC" w14:paraId="4574FDDD" w14:textId="77777777" w:rsidTr="00BD6BF4">
        <w:trPr>
          <w:cantSplit/>
        </w:trPr>
        <w:tc>
          <w:tcPr>
            <w:tcW w:w="1730" w:type="pct"/>
          </w:tcPr>
          <w:p w14:paraId="601EC989" w14:textId="5C3AF479" w:rsidR="005E6648" w:rsidRPr="005764FC" w:rsidRDefault="005E6648" w:rsidP="005D571C">
            <w:pPr>
              <w:pStyle w:val="TableText"/>
              <w:spacing w:before="80" w:line="264" w:lineRule="auto"/>
              <w:rPr>
                <w:lang w:eastAsia="fr-CA"/>
              </w:rPr>
            </w:pPr>
            <w:r w:rsidRPr="005764FC">
              <w:rPr>
                <w:lang w:eastAsia="fr-CA"/>
              </w:rPr>
              <w:fldChar w:fldCharType="begin" w:fldLock="1"/>
            </w:r>
            <w:r w:rsidRPr="005764FC">
              <w:rPr>
                <w:lang w:eastAsia="fr-CA"/>
              </w:rPr>
              <w:instrText xml:space="preserve"> REF _Ref94271396 \h </w:instrText>
            </w:r>
            <w:r w:rsidR="00114BA2" w:rsidRPr="005764FC">
              <w:rPr>
                <w:lang w:eastAsia="fr-CA"/>
              </w:rPr>
              <w:instrText xml:space="preserve"> \* MERGEFORMAT </w:instrText>
            </w:r>
            <w:r w:rsidRPr="005764FC">
              <w:rPr>
                <w:lang w:eastAsia="fr-CA"/>
              </w:rPr>
            </w:r>
            <w:r w:rsidRPr="005764FC">
              <w:rPr>
                <w:lang w:eastAsia="fr-CA"/>
              </w:rPr>
              <w:fldChar w:fldCharType="separate"/>
            </w:r>
            <w:r w:rsidR="00A34B27" w:rsidRPr="005764FC">
              <w:t>Alignment to Australian vehicle standards and compliance Frameworks</w:t>
            </w:r>
            <w:r w:rsidRPr="005764FC">
              <w:rPr>
                <w:lang w:eastAsia="fr-CA"/>
              </w:rPr>
              <w:fldChar w:fldCharType="end"/>
            </w:r>
          </w:p>
        </w:tc>
        <w:tc>
          <w:tcPr>
            <w:tcW w:w="868" w:type="pct"/>
          </w:tcPr>
          <w:p w14:paraId="18266710" w14:textId="4CDF9DE0" w:rsidR="005E6648" w:rsidRPr="005764FC" w:rsidRDefault="00A25626" w:rsidP="005D571C">
            <w:pPr>
              <w:pStyle w:val="TableText"/>
              <w:spacing w:before="80" w:line="264" w:lineRule="auto"/>
              <w:jc w:val="center"/>
              <w:rPr>
                <w:lang w:eastAsia="fr-CA"/>
              </w:rPr>
            </w:pPr>
            <w:r w:rsidRPr="005764FC">
              <w:rPr>
                <w:lang w:eastAsia="fr-CA"/>
              </w:rPr>
              <w:t>-</w:t>
            </w:r>
          </w:p>
        </w:tc>
        <w:tc>
          <w:tcPr>
            <w:tcW w:w="1472" w:type="pct"/>
          </w:tcPr>
          <w:p w14:paraId="144C7F92" w14:textId="19B5FFC8" w:rsidR="00D75638" w:rsidRPr="005764FC" w:rsidRDefault="00D75638" w:rsidP="005D571C">
            <w:pPr>
              <w:pStyle w:val="TableText"/>
              <w:spacing w:before="80" w:line="264" w:lineRule="auto"/>
              <w:jc w:val="center"/>
              <w:rPr>
                <w:lang w:eastAsia="fr-CA"/>
              </w:rPr>
            </w:pPr>
            <w:r w:rsidRPr="005764FC">
              <w:rPr>
                <w:lang w:eastAsia="fr-CA"/>
              </w:rPr>
              <w:t xml:space="preserve">++ </w:t>
            </w:r>
            <w:r w:rsidR="00E6121A" w:rsidRPr="005764FC">
              <w:rPr>
                <w:lang w:eastAsia="fr-CA"/>
              </w:rPr>
              <w:t>Eur</w:t>
            </w:r>
            <w:r w:rsidRPr="005764FC">
              <w:rPr>
                <w:lang w:eastAsia="fr-CA"/>
              </w:rPr>
              <w:t>ope</w:t>
            </w:r>
            <w:r w:rsidR="000B205A" w:rsidRPr="005764FC">
              <w:rPr>
                <w:lang w:eastAsia="fr-CA"/>
              </w:rPr>
              <w:br/>
            </w:r>
            <w:r w:rsidR="00595A09" w:rsidRPr="005764FC">
              <w:rPr>
                <w:lang w:eastAsia="fr-CA"/>
              </w:rPr>
              <w:t>- US</w:t>
            </w:r>
            <w:r w:rsidR="002D36F0" w:rsidRPr="005764FC">
              <w:rPr>
                <w:lang w:eastAsia="fr-CA"/>
              </w:rPr>
              <w:t xml:space="preserve">, China, </w:t>
            </w:r>
            <w:r w:rsidR="00652A31" w:rsidRPr="005764FC">
              <w:rPr>
                <w:lang w:eastAsia="fr-CA"/>
              </w:rPr>
              <w:t xml:space="preserve">Japan, </w:t>
            </w:r>
            <w:r w:rsidR="00E56805" w:rsidRPr="005764FC">
              <w:rPr>
                <w:lang w:eastAsia="fr-CA"/>
              </w:rPr>
              <w:t>South Korea</w:t>
            </w:r>
          </w:p>
        </w:tc>
        <w:tc>
          <w:tcPr>
            <w:tcW w:w="930" w:type="pct"/>
          </w:tcPr>
          <w:p w14:paraId="55C6C4B4" w14:textId="1D075B40" w:rsidR="005E6648" w:rsidRPr="005764FC" w:rsidRDefault="002F498F" w:rsidP="005D571C">
            <w:pPr>
              <w:pStyle w:val="TableText"/>
              <w:spacing w:before="80" w:line="264" w:lineRule="auto"/>
              <w:jc w:val="center"/>
              <w:rPr>
                <w:lang w:eastAsia="fr-CA"/>
              </w:rPr>
            </w:pPr>
            <w:r w:rsidRPr="005764FC">
              <w:rPr>
                <w:lang w:eastAsia="fr-CA"/>
              </w:rPr>
              <w:t>+/-</w:t>
            </w:r>
          </w:p>
        </w:tc>
      </w:tr>
      <w:tr w:rsidR="00725411" w:rsidRPr="005764FC" w14:paraId="461DD654" w14:textId="77777777" w:rsidTr="00BD6BF4">
        <w:trPr>
          <w:cantSplit/>
        </w:trPr>
        <w:tc>
          <w:tcPr>
            <w:tcW w:w="1730" w:type="pct"/>
          </w:tcPr>
          <w:p w14:paraId="77A001ED" w14:textId="1FE828D1" w:rsidR="00725411" w:rsidRPr="005764FC" w:rsidRDefault="005E6648" w:rsidP="005D571C">
            <w:pPr>
              <w:pStyle w:val="TableText"/>
              <w:spacing w:before="80" w:line="264" w:lineRule="auto"/>
              <w:rPr>
                <w:lang w:eastAsia="fr-CA"/>
              </w:rPr>
            </w:pPr>
            <w:r w:rsidRPr="005764FC">
              <w:rPr>
                <w:lang w:eastAsia="fr-CA"/>
              </w:rPr>
              <w:fldChar w:fldCharType="begin" w:fldLock="1"/>
            </w:r>
            <w:r w:rsidRPr="005764FC">
              <w:rPr>
                <w:lang w:eastAsia="fr-CA"/>
              </w:rPr>
              <w:instrText xml:space="preserve"> REF _Ref94271404 \h </w:instrText>
            </w:r>
            <w:r w:rsidR="00CE0107" w:rsidRPr="005764FC">
              <w:rPr>
                <w:lang w:eastAsia="fr-CA"/>
              </w:rPr>
              <w:instrText xml:space="preserve"> \* MERGEFORMAT </w:instrText>
            </w:r>
            <w:r w:rsidRPr="005764FC">
              <w:rPr>
                <w:lang w:eastAsia="fr-CA"/>
              </w:rPr>
            </w:r>
            <w:r w:rsidRPr="005764FC">
              <w:rPr>
                <w:lang w:eastAsia="fr-CA"/>
              </w:rPr>
              <w:fldChar w:fldCharType="separate"/>
            </w:r>
            <w:r w:rsidR="00A34B27" w:rsidRPr="005764FC">
              <w:t>Socioeconomic Benefit</w:t>
            </w:r>
            <w:r w:rsidRPr="005764FC">
              <w:rPr>
                <w:lang w:eastAsia="fr-CA"/>
              </w:rPr>
              <w:fldChar w:fldCharType="end"/>
            </w:r>
          </w:p>
        </w:tc>
        <w:tc>
          <w:tcPr>
            <w:tcW w:w="868" w:type="pct"/>
          </w:tcPr>
          <w:p w14:paraId="5076C833" w14:textId="3953FB1C" w:rsidR="00725411" w:rsidRPr="005764FC" w:rsidRDefault="00333513" w:rsidP="005D571C">
            <w:pPr>
              <w:pStyle w:val="TableText"/>
              <w:spacing w:before="80" w:line="264" w:lineRule="auto"/>
              <w:jc w:val="center"/>
              <w:rPr>
                <w:lang w:eastAsia="fr-CA"/>
              </w:rPr>
            </w:pPr>
            <w:r w:rsidRPr="005764FC">
              <w:rPr>
                <w:lang w:eastAsia="fr-CA"/>
              </w:rPr>
              <w:t>-</w:t>
            </w:r>
          </w:p>
        </w:tc>
        <w:tc>
          <w:tcPr>
            <w:tcW w:w="1472" w:type="pct"/>
          </w:tcPr>
          <w:p w14:paraId="77EB23F7" w14:textId="3394CB6F" w:rsidR="00CA2615" w:rsidRPr="005764FC" w:rsidRDefault="00CA2615" w:rsidP="005D571C">
            <w:pPr>
              <w:pStyle w:val="TableText"/>
              <w:spacing w:before="80" w:line="264" w:lineRule="auto"/>
              <w:jc w:val="center"/>
              <w:rPr>
                <w:lang w:eastAsia="fr-CA"/>
              </w:rPr>
            </w:pPr>
            <w:r w:rsidRPr="005764FC">
              <w:rPr>
                <w:lang w:eastAsia="fr-CA"/>
              </w:rPr>
              <w:t>++ Europe</w:t>
            </w:r>
            <w:r w:rsidR="000B205A" w:rsidRPr="005764FC">
              <w:rPr>
                <w:lang w:eastAsia="fr-CA"/>
              </w:rPr>
              <w:br/>
            </w:r>
            <w:r w:rsidRPr="005764FC">
              <w:rPr>
                <w:lang w:eastAsia="fr-CA"/>
              </w:rPr>
              <w:t>+ US, China, Japan, South Korea</w:t>
            </w:r>
          </w:p>
        </w:tc>
        <w:tc>
          <w:tcPr>
            <w:tcW w:w="930" w:type="pct"/>
          </w:tcPr>
          <w:p w14:paraId="12CFB9F6" w14:textId="0E320BB9" w:rsidR="00725411" w:rsidRPr="005764FC" w:rsidRDefault="00CA2615" w:rsidP="005D571C">
            <w:pPr>
              <w:pStyle w:val="TableText"/>
              <w:spacing w:before="80" w:line="264" w:lineRule="auto"/>
              <w:jc w:val="center"/>
              <w:rPr>
                <w:lang w:eastAsia="fr-CA"/>
              </w:rPr>
            </w:pPr>
            <w:r w:rsidRPr="005764FC">
              <w:rPr>
                <w:lang w:eastAsia="fr-CA"/>
              </w:rPr>
              <w:t>+</w:t>
            </w:r>
          </w:p>
        </w:tc>
      </w:tr>
      <w:tr w:rsidR="00725411" w:rsidRPr="005764FC" w14:paraId="305D95A2" w14:textId="77777777" w:rsidTr="00BD6BF4">
        <w:trPr>
          <w:cantSplit/>
        </w:trPr>
        <w:tc>
          <w:tcPr>
            <w:tcW w:w="1730" w:type="pct"/>
          </w:tcPr>
          <w:p w14:paraId="01B424B1" w14:textId="22183F9C" w:rsidR="00725411" w:rsidRPr="005764FC" w:rsidRDefault="005E6648" w:rsidP="005D571C">
            <w:pPr>
              <w:pStyle w:val="TableText"/>
              <w:spacing w:before="80" w:line="264" w:lineRule="auto"/>
              <w:rPr>
                <w:lang w:eastAsia="fr-CA"/>
              </w:rPr>
            </w:pPr>
            <w:r w:rsidRPr="005764FC">
              <w:rPr>
                <w:lang w:eastAsia="fr-CA"/>
              </w:rPr>
              <w:fldChar w:fldCharType="begin" w:fldLock="1"/>
            </w:r>
            <w:r w:rsidRPr="005764FC">
              <w:rPr>
                <w:lang w:eastAsia="fr-CA"/>
              </w:rPr>
              <w:instrText xml:space="preserve"> REF _Ref94271409 \h </w:instrText>
            </w:r>
            <w:r w:rsidR="00CE0107" w:rsidRPr="005764FC">
              <w:rPr>
                <w:lang w:eastAsia="fr-CA"/>
              </w:rPr>
              <w:instrText xml:space="preserve"> \* MERGEFORMAT </w:instrText>
            </w:r>
            <w:r w:rsidRPr="005764FC">
              <w:rPr>
                <w:lang w:eastAsia="fr-CA"/>
              </w:rPr>
            </w:r>
            <w:r w:rsidRPr="005764FC">
              <w:rPr>
                <w:lang w:eastAsia="fr-CA"/>
              </w:rPr>
              <w:fldChar w:fldCharType="separate"/>
            </w:r>
            <w:r w:rsidR="00A34B27" w:rsidRPr="005764FC">
              <w:t>Efficient Benefits Realisation</w:t>
            </w:r>
            <w:r w:rsidRPr="005764FC">
              <w:rPr>
                <w:lang w:eastAsia="fr-CA"/>
              </w:rPr>
              <w:fldChar w:fldCharType="end"/>
            </w:r>
          </w:p>
        </w:tc>
        <w:tc>
          <w:tcPr>
            <w:tcW w:w="868" w:type="pct"/>
          </w:tcPr>
          <w:p w14:paraId="76F05B69" w14:textId="29FEEF4C" w:rsidR="00725411" w:rsidRPr="005764FC" w:rsidRDefault="00CA2615" w:rsidP="005D571C">
            <w:pPr>
              <w:pStyle w:val="TableText"/>
              <w:spacing w:before="80" w:line="264" w:lineRule="auto"/>
              <w:jc w:val="center"/>
              <w:rPr>
                <w:lang w:eastAsia="fr-CA"/>
              </w:rPr>
            </w:pPr>
            <w:r w:rsidRPr="005764FC">
              <w:rPr>
                <w:lang w:eastAsia="fr-CA"/>
              </w:rPr>
              <w:t>-</w:t>
            </w:r>
          </w:p>
        </w:tc>
        <w:tc>
          <w:tcPr>
            <w:tcW w:w="1472" w:type="pct"/>
          </w:tcPr>
          <w:p w14:paraId="7DEFC56D" w14:textId="04E00211" w:rsidR="00725411" w:rsidRPr="005764FC" w:rsidRDefault="0071644B" w:rsidP="005D571C">
            <w:pPr>
              <w:pStyle w:val="TableText"/>
              <w:spacing w:before="80" w:line="264" w:lineRule="auto"/>
              <w:jc w:val="center"/>
              <w:rPr>
                <w:lang w:eastAsia="fr-CA"/>
              </w:rPr>
            </w:pPr>
            <w:r w:rsidRPr="005764FC">
              <w:rPr>
                <w:lang w:eastAsia="fr-CA"/>
              </w:rPr>
              <w:t>++ US, Europe</w:t>
            </w:r>
            <w:r w:rsidR="000B205A" w:rsidRPr="005764FC">
              <w:rPr>
                <w:lang w:eastAsia="fr-CA"/>
              </w:rPr>
              <w:br/>
            </w:r>
            <w:r w:rsidRPr="005764FC">
              <w:rPr>
                <w:lang w:eastAsia="fr-CA"/>
              </w:rPr>
              <w:t>+ China, Japan, South Korea</w:t>
            </w:r>
          </w:p>
        </w:tc>
        <w:tc>
          <w:tcPr>
            <w:tcW w:w="930" w:type="pct"/>
          </w:tcPr>
          <w:p w14:paraId="7275E84C" w14:textId="4D580708" w:rsidR="00725411" w:rsidRPr="005764FC" w:rsidRDefault="00EF6A82" w:rsidP="005D571C">
            <w:pPr>
              <w:pStyle w:val="TableText"/>
              <w:spacing w:before="80" w:line="264" w:lineRule="auto"/>
              <w:jc w:val="center"/>
              <w:rPr>
                <w:lang w:eastAsia="fr-CA"/>
              </w:rPr>
            </w:pPr>
            <w:r w:rsidRPr="005764FC">
              <w:rPr>
                <w:lang w:eastAsia="fr-CA"/>
              </w:rPr>
              <w:t>+</w:t>
            </w:r>
          </w:p>
        </w:tc>
      </w:tr>
      <w:tr w:rsidR="00725411" w:rsidRPr="005764FC" w14:paraId="56043FA1" w14:textId="77777777" w:rsidTr="00BD6BF4">
        <w:trPr>
          <w:cantSplit/>
        </w:trPr>
        <w:tc>
          <w:tcPr>
            <w:tcW w:w="1730" w:type="pct"/>
          </w:tcPr>
          <w:p w14:paraId="11424298" w14:textId="4583BC2D" w:rsidR="00725411" w:rsidRPr="005764FC" w:rsidRDefault="005E6648" w:rsidP="005D571C">
            <w:pPr>
              <w:pStyle w:val="TableText"/>
              <w:spacing w:before="80" w:line="264" w:lineRule="auto"/>
              <w:rPr>
                <w:lang w:eastAsia="fr-CA"/>
              </w:rPr>
            </w:pPr>
            <w:r w:rsidRPr="005764FC">
              <w:rPr>
                <w:lang w:eastAsia="fr-CA"/>
              </w:rPr>
              <w:fldChar w:fldCharType="begin" w:fldLock="1"/>
            </w:r>
            <w:r w:rsidRPr="005764FC">
              <w:rPr>
                <w:lang w:eastAsia="fr-CA"/>
              </w:rPr>
              <w:instrText xml:space="preserve"> REF _Ref94271413 \h </w:instrText>
            </w:r>
            <w:r w:rsidR="00CE0107" w:rsidRPr="005764FC">
              <w:rPr>
                <w:lang w:eastAsia="fr-CA"/>
              </w:rPr>
              <w:instrText xml:space="preserve"> \* MERGEFORMAT </w:instrText>
            </w:r>
            <w:r w:rsidRPr="005764FC">
              <w:rPr>
                <w:lang w:eastAsia="fr-CA"/>
              </w:rPr>
            </w:r>
            <w:r w:rsidRPr="005764FC">
              <w:rPr>
                <w:lang w:eastAsia="fr-CA"/>
              </w:rPr>
              <w:fldChar w:fldCharType="separate"/>
            </w:r>
            <w:r w:rsidR="00A34B27" w:rsidRPr="005764FC">
              <w:t>Vehicle Manufacturer Position</w:t>
            </w:r>
            <w:r w:rsidRPr="005764FC">
              <w:rPr>
                <w:lang w:eastAsia="fr-CA"/>
              </w:rPr>
              <w:fldChar w:fldCharType="end"/>
            </w:r>
          </w:p>
        </w:tc>
        <w:tc>
          <w:tcPr>
            <w:tcW w:w="868" w:type="pct"/>
          </w:tcPr>
          <w:p w14:paraId="3601736C" w14:textId="4ABA788B" w:rsidR="00725411" w:rsidRPr="005764FC" w:rsidRDefault="00EF0DE3" w:rsidP="005D571C">
            <w:pPr>
              <w:pStyle w:val="TableText"/>
              <w:spacing w:before="80" w:line="264" w:lineRule="auto"/>
              <w:jc w:val="center"/>
              <w:rPr>
                <w:lang w:eastAsia="fr-CA"/>
              </w:rPr>
            </w:pPr>
            <w:r w:rsidRPr="005764FC">
              <w:rPr>
                <w:lang w:eastAsia="fr-CA"/>
              </w:rPr>
              <w:t>-</w:t>
            </w:r>
          </w:p>
        </w:tc>
        <w:tc>
          <w:tcPr>
            <w:tcW w:w="1472" w:type="pct"/>
          </w:tcPr>
          <w:p w14:paraId="70B5C488" w14:textId="536AA22E" w:rsidR="00725411" w:rsidRPr="005764FC" w:rsidRDefault="009A7838" w:rsidP="005D571C">
            <w:pPr>
              <w:pStyle w:val="TableText"/>
              <w:spacing w:before="80" w:line="264" w:lineRule="auto"/>
              <w:jc w:val="center"/>
              <w:rPr>
                <w:lang w:eastAsia="fr-CA"/>
              </w:rPr>
            </w:pPr>
            <w:r w:rsidRPr="005764FC">
              <w:rPr>
                <w:lang w:eastAsia="fr-CA"/>
              </w:rPr>
              <w:t>++ Europe</w:t>
            </w:r>
            <w:r w:rsidR="000B205A" w:rsidRPr="005764FC">
              <w:rPr>
                <w:lang w:eastAsia="fr-CA"/>
              </w:rPr>
              <w:br/>
            </w:r>
            <w:r w:rsidRPr="005764FC">
              <w:rPr>
                <w:lang w:eastAsia="fr-CA"/>
              </w:rPr>
              <w:t>+/- US, China, Japan, South Korea</w:t>
            </w:r>
          </w:p>
        </w:tc>
        <w:tc>
          <w:tcPr>
            <w:tcW w:w="930" w:type="pct"/>
          </w:tcPr>
          <w:p w14:paraId="08418E7E" w14:textId="7D8D1F20" w:rsidR="00725411" w:rsidRPr="005764FC" w:rsidRDefault="00176AAF" w:rsidP="005D571C">
            <w:pPr>
              <w:pStyle w:val="TableText"/>
              <w:spacing w:before="80" w:line="264" w:lineRule="auto"/>
              <w:jc w:val="center"/>
              <w:rPr>
                <w:lang w:eastAsia="fr-CA"/>
              </w:rPr>
            </w:pPr>
            <w:r w:rsidRPr="005764FC">
              <w:rPr>
                <w:lang w:eastAsia="fr-CA"/>
              </w:rPr>
              <w:t>+/-</w:t>
            </w:r>
          </w:p>
        </w:tc>
      </w:tr>
    </w:tbl>
    <w:p w14:paraId="7C09E4BE" w14:textId="001C8E24" w:rsidR="00725411" w:rsidRPr="005764FC" w:rsidRDefault="00725411" w:rsidP="00114BA2">
      <w:pPr>
        <w:pStyle w:val="Notes"/>
      </w:pPr>
      <w:r w:rsidRPr="005764FC">
        <w:t>Legend: - (negative impact), + (positive impact), ++</w:t>
      </w:r>
      <w:r w:rsidR="00BE2FD9">
        <w:t xml:space="preserve"> </w:t>
      </w:r>
      <w:r w:rsidRPr="005764FC">
        <w:t>(strong positive impact), +/- (neutral)</w:t>
      </w:r>
    </w:p>
    <w:p w14:paraId="2D5B5C17" w14:textId="004C7959" w:rsidR="00DC34FB" w:rsidRPr="005764FC" w:rsidRDefault="00D74311" w:rsidP="00DC34FB">
      <w:pPr>
        <w:pStyle w:val="BodyText"/>
      </w:pPr>
      <w:r w:rsidRPr="005764FC">
        <w:t>Australia represents 1</w:t>
      </w:r>
      <w:r w:rsidR="006B4DBA" w:rsidRPr="005764FC">
        <w:t xml:space="preserve"> per cent</w:t>
      </w:r>
      <w:r w:rsidRPr="005764FC">
        <w:t xml:space="preserve"> of the global vehicle sales and results in a small market for vehicle manufacturers</w:t>
      </w:r>
      <w:r w:rsidR="00FC4101" w:rsidRPr="005764FC">
        <w:t>,</w:t>
      </w:r>
      <w:r w:rsidRPr="005764FC">
        <w:t xml:space="preserve"> which restricts its ability to develop new systems for the Australian market. </w:t>
      </w:r>
      <w:r w:rsidR="00911340" w:rsidRPr="005764FC">
        <w:t xml:space="preserve">Standards policy analysis has shown that </w:t>
      </w:r>
      <w:r w:rsidR="000F5CFD" w:rsidRPr="005764FC">
        <w:rPr>
          <w:b/>
          <w:bCs/>
        </w:rPr>
        <w:t>support for</w:t>
      </w:r>
      <w:r w:rsidR="00DB2097" w:rsidRPr="005764FC">
        <w:rPr>
          <w:b/>
          <w:bCs/>
        </w:rPr>
        <w:t xml:space="preserve"> standards that align to the</w:t>
      </w:r>
      <w:r w:rsidR="00911340" w:rsidRPr="005764FC">
        <w:rPr>
          <w:b/>
          <w:bCs/>
        </w:rPr>
        <w:t xml:space="preserve"> </w:t>
      </w:r>
      <w:r w:rsidR="00DC34FB" w:rsidRPr="005764FC">
        <w:rPr>
          <w:b/>
          <w:bCs/>
        </w:rPr>
        <w:t>Europe</w:t>
      </w:r>
      <w:r w:rsidR="00DB2097" w:rsidRPr="005764FC">
        <w:rPr>
          <w:b/>
          <w:bCs/>
        </w:rPr>
        <w:t>an suite</w:t>
      </w:r>
      <w:r w:rsidR="007F16B4" w:rsidRPr="005764FC">
        <w:rPr>
          <w:b/>
          <w:bCs/>
        </w:rPr>
        <w:t xml:space="preserve"> </w:t>
      </w:r>
      <w:r w:rsidR="00B2100B" w:rsidRPr="005764FC">
        <w:rPr>
          <w:b/>
          <w:bCs/>
        </w:rPr>
        <w:t>(</w:t>
      </w:r>
      <w:r w:rsidR="007F0C99" w:rsidRPr="005764FC">
        <w:rPr>
          <w:b/>
          <w:bCs/>
        </w:rPr>
        <w:t>PA2</w:t>
      </w:r>
      <w:r w:rsidR="00B2100B" w:rsidRPr="005764FC">
        <w:rPr>
          <w:b/>
          <w:bCs/>
        </w:rPr>
        <w:t xml:space="preserve">: Europe) </w:t>
      </w:r>
      <w:r w:rsidR="00B2100B" w:rsidRPr="005764FC">
        <w:t xml:space="preserve">is the preferred option </w:t>
      </w:r>
      <w:r w:rsidR="007F16B4" w:rsidRPr="005764FC">
        <w:t>due to the existing alignment to Europe for vehicle sta</w:t>
      </w:r>
      <w:r w:rsidR="000B1042" w:rsidRPr="005764FC">
        <w:t xml:space="preserve">ndards </w:t>
      </w:r>
      <w:r w:rsidR="00FC4101" w:rsidRPr="005764FC">
        <w:t>in</w:t>
      </w:r>
      <w:r w:rsidR="000B1042" w:rsidRPr="005764FC">
        <w:t xml:space="preserve"> WP.29. Further, the </w:t>
      </w:r>
      <w:r w:rsidR="00ED65F4">
        <w:t>FCAI, which represents the views of the manufacturers (the grouping of stakeholders likely to be required to make the most investment), supports this view</w:t>
      </w:r>
      <w:r w:rsidR="004A646C" w:rsidRPr="005764FC">
        <w:t xml:space="preserve">. </w:t>
      </w:r>
      <w:r w:rsidR="00AD26E9" w:rsidRPr="005764FC">
        <w:t xml:space="preserve">For C-ITS, Europe </w:t>
      </w:r>
      <w:r w:rsidR="00DC34FB" w:rsidRPr="005764FC">
        <w:t>appears logical given its continued efforts to harmonise and deploy cross-border solutions resulting in the most openly available standards and implementation guidelines.</w:t>
      </w:r>
    </w:p>
    <w:p w14:paraId="26AA5CA8" w14:textId="40BD79D0" w:rsidR="00EE46F4" w:rsidRPr="005764FC" w:rsidRDefault="00BE459A" w:rsidP="00EE46F4">
      <w:pPr>
        <w:pStyle w:val="BodyText"/>
        <w:spacing w:line="264" w:lineRule="auto"/>
        <w:rPr>
          <w:lang w:eastAsia="fr-CA"/>
        </w:rPr>
      </w:pPr>
      <w:r w:rsidRPr="005764FC">
        <w:rPr>
          <w:lang w:eastAsia="fr-CA"/>
        </w:rPr>
        <w:t>Relevant to this preferred option, harmonisation efforts exist globally</w:t>
      </w:r>
      <w:r w:rsidR="00EE46F4" w:rsidRPr="005764FC">
        <w:rPr>
          <w:lang w:eastAsia="fr-CA"/>
        </w:rPr>
        <w:t>. Hence, recommending the alignment to Europe does not suggest Australia should not learn from developments in US, China, Japan, South Korea or another region. Instead, considering operational improvements in the Australian ecosystem through new standards or guidelines should prioritise the European instance or assess how evolution would impact the harmonisation to Europe and the impact to associated stakeholders providing equipment and services. If future deployment aspects do not require interoperability to realise benefits, then adopting open technology standards should be available. This, however, is not the basis of the core cooperative nature of C-ITS and should not drive direction</w:t>
      </w:r>
      <w:r w:rsidR="00EE46F4" w:rsidRPr="005764FC" w:rsidDel="000B3024">
        <w:rPr>
          <w:lang w:eastAsia="fr-CA"/>
        </w:rPr>
        <w:t xml:space="preserve">. </w:t>
      </w:r>
    </w:p>
    <w:p w14:paraId="799992AE" w14:textId="0B2DFDFB" w:rsidR="00641226" w:rsidRPr="005764FC" w:rsidRDefault="00B0402B" w:rsidP="009C75B0">
      <w:pPr>
        <w:pStyle w:val="BodyText"/>
        <w:rPr>
          <w:lang w:eastAsia="fr-CA"/>
        </w:rPr>
      </w:pPr>
      <w:r w:rsidRPr="005764FC">
        <w:rPr>
          <w:lang w:eastAsia="fr-CA"/>
        </w:rPr>
        <w:t xml:space="preserve">Market-led </w:t>
      </w:r>
      <w:r w:rsidR="0083177D" w:rsidRPr="005764FC">
        <w:rPr>
          <w:lang w:eastAsia="fr-CA"/>
        </w:rPr>
        <w:t>(</w:t>
      </w:r>
      <w:r w:rsidR="007F0C99" w:rsidRPr="005764FC">
        <w:rPr>
          <w:lang w:eastAsia="fr-CA"/>
        </w:rPr>
        <w:t>PA1</w:t>
      </w:r>
      <w:r w:rsidR="0083177D" w:rsidRPr="005764FC">
        <w:rPr>
          <w:lang w:eastAsia="fr-CA"/>
        </w:rPr>
        <w:t xml:space="preserve">) </w:t>
      </w:r>
      <w:r w:rsidRPr="005764FC">
        <w:rPr>
          <w:lang w:eastAsia="fr-CA"/>
        </w:rPr>
        <w:t xml:space="preserve">determination </w:t>
      </w:r>
      <w:r w:rsidR="0083177D" w:rsidRPr="005764FC">
        <w:rPr>
          <w:lang w:eastAsia="fr-CA"/>
        </w:rPr>
        <w:t xml:space="preserve">of standards (or a mixed suite) </w:t>
      </w:r>
      <w:r w:rsidR="004858D8" w:rsidRPr="005764FC">
        <w:rPr>
          <w:lang w:eastAsia="fr-CA"/>
        </w:rPr>
        <w:t xml:space="preserve">was viewed as lower </w:t>
      </w:r>
      <w:r w:rsidR="00EB0EFF" w:rsidRPr="005764FC">
        <w:rPr>
          <w:lang w:eastAsia="fr-CA"/>
        </w:rPr>
        <w:t>relative</w:t>
      </w:r>
      <w:r w:rsidR="004858D8" w:rsidRPr="005764FC">
        <w:rPr>
          <w:lang w:eastAsia="fr-CA"/>
        </w:rPr>
        <w:t xml:space="preserve"> preference due to the likely fragmented </w:t>
      </w:r>
      <w:r w:rsidR="00990604" w:rsidRPr="005764FC">
        <w:rPr>
          <w:lang w:eastAsia="fr-CA"/>
        </w:rPr>
        <w:t xml:space="preserve">state reducing the </w:t>
      </w:r>
      <w:r w:rsidR="005E4D61" w:rsidRPr="005764FC">
        <w:rPr>
          <w:lang w:eastAsia="fr-CA"/>
        </w:rPr>
        <w:t xml:space="preserve">scale of </w:t>
      </w:r>
      <w:r w:rsidR="00990604" w:rsidRPr="005764FC">
        <w:rPr>
          <w:lang w:eastAsia="fr-CA"/>
        </w:rPr>
        <w:t xml:space="preserve">societal benefits and </w:t>
      </w:r>
      <w:r w:rsidR="005E4D61" w:rsidRPr="005764FC">
        <w:rPr>
          <w:lang w:eastAsia="fr-CA"/>
        </w:rPr>
        <w:t xml:space="preserve">creating a more complex, less efficient establishment of the system. With this approach, there is </w:t>
      </w:r>
      <w:r w:rsidR="00CB4E2B" w:rsidRPr="005764FC">
        <w:rPr>
          <w:lang w:eastAsia="fr-CA"/>
        </w:rPr>
        <w:t xml:space="preserve">the </w:t>
      </w:r>
      <w:r w:rsidR="000718DE" w:rsidRPr="005764FC">
        <w:rPr>
          <w:lang w:eastAsia="fr-CA"/>
        </w:rPr>
        <w:t xml:space="preserve">potential of failure to market. </w:t>
      </w:r>
      <w:r w:rsidR="00803962" w:rsidRPr="005764FC">
        <w:rPr>
          <w:lang w:eastAsia="fr-CA"/>
        </w:rPr>
        <w:t>Standards regulation</w:t>
      </w:r>
      <w:r w:rsidR="00402659" w:rsidRPr="005764FC">
        <w:rPr>
          <w:lang w:eastAsia="fr-CA"/>
        </w:rPr>
        <w:t xml:space="preserve"> (</w:t>
      </w:r>
      <w:r w:rsidR="007F0C99" w:rsidRPr="005764FC">
        <w:rPr>
          <w:lang w:eastAsia="fr-CA"/>
        </w:rPr>
        <w:t>PA3</w:t>
      </w:r>
      <w:r w:rsidR="00402659" w:rsidRPr="005764FC">
        <w:rPr>
          <w:lang w:eastAsia="fr-CA"/>
        </w:rPr>
        <w:t>)</w:t>
      </w:r>
      <w:r w:rsidR="00803962" w:rsidRPr="005764FC">
        <w:rPr>
          <w:lang w:eastAsia="fr-CA"/>
        </w:rPr>
        <w:t xml:space="preserve"> </w:t>
      </w:r>
      <w:r w:rsidR="00FC2BF5" w:rsidRPr="005764FC">
        <w:rPr>
          <w:lang w:eastAsia="fr-CA"/>
        </w:rPr>
        <w:t xml:space="preserve">should be considered </w:t>
      </w:r>
      <w:r w:rsidR="00A83601" w:rsidRPr="005764FC">
        <w:rPr>
          <w:lang w:eastAsia="fr-CA"/>
        </w:rPr>
        <w:t>if</w:t>
      </w:r>
      <w:r w:rsidR="00272026" w:rsidRPr="005764FC">
        <w:rPr>
          <w:lang w:eastAsia="fr-CA"/>
        </w:rPr>
        <w:t xml:space="preserve"> </w:t>
      </w:r>
      <w:r w:rsidR="00B4782D" w:rsidRPr="005764FC">
        <w:rPr>
          <w:lang w:eastAsia="fr-CA"/>
        </w:rPr>
        <w:t xml:space="preserve">overall </w:t>
      </w:r>
      <w:r w:rsidR="00272026" w:rsidRPr="005764FC">
        <w:rPr>
          <w:lang w:eastAsia="fr-CA"/>
        </w:rPr>
        <w:t xml:space="preserve">intervention </w:t>
      </w:r>
      <w:r w:rsidR="00010272" w:rsidRPr="005764FC">
        <w:rPr>
          <w:lang w:eastAsia="fr-CA"/>
        </w:rPr>
        <w:t>(policy question 1)</w:t>
      </w:r>
      <w:r w:rsidR="00272026" w:rsidRPr="005764FC">
        <w:rPr>
          <w:lang w:eastAsia="fr-CA"/>
        </w:rPr>
        <w:t xml:space="preserve"> shifts towards </w:t>
      </w:r>
      <w:r w:rsidR="00A83601" w:rsidRPr="005764FC">
        <w:rPr>
          <w:lang w:eastAsia="fr-CA"/>
        </w:rPr>
        <w:t xml:space="preserve">regulation of </w:t>
      </w:r>
      <w:r w:rsidR="00B4782D" w:rsidRPr="005764FC">
        <w:rPr>
          <w:lang w:eastAsia="fr-CA"/>
        </w:rPr>
        <w:t xml:space="preserve">C-ITS </w:t>
      </w:r>
      <w:r w:rsidR="00DB62AF" w:rsidRPr="005764FC">
        <w:rPr>
          <w:lang w:eastAsia="fr-CA"/>
        </w:rPr>
        <w:t xml:space="preserve">aspects. </w:t>
      </w:r>
    </w:p>
    <w:p w14:paraId="58BDE6BE" w14:textId="4A05FEA1" w:rsidR="00641226" w:rsidRPr="005764FC" w:rsidRDefault="00641226" w:rsidP="00004964">
      <w:pPr>
        <w:pStyle w:val="BodyText"/>
      </w:pPr>
      <w:r w:rsidRPr="005764FC">
        <w:t xml:space="preserve">Based on the preferred option, the findings in </w:t>
      </w:r>
      <w:r w:rsidRPr="005764FC">
        <w:fldChar w:fldCharType="begin" w:fldLock="1"/>
      </w:r>
      <w:r w:rsidRPr="005764FC">
        <w:instrText xml:space="preserve"> REF _Ref93526799 \h </w:instrText>
      </w:r>
      <w:r w:rsidRPr="005764FC">
        <w:fldChar w:fldCharType="separate"/>
      </w:r>
      <w:r w:rsidR="00A34B27" w:rsidRPr="005764FC">
        <w:t xml:space="preserve">Table </w:t>
      </w:r>
      <w:r w:rsidR="00A34B27">
        <w:rPr>
          <w:noProof/>
        </w:rPr>
        <w:t>2</w:t>
      </w:r>
      <w:r w:rsidR="00A34B27" w:rsidRPr="005764FC">
        <w:t>.</w:t>
      </w:r>
      <w:r w:rsidR="00A34B27">
        <w:rPr>
          <w:noProof/>
        </w:rPr>
        <w:t>4</w:t>
      </w:r>
      <w:r w:rsidRPr="005764FC">
        <w:fldChar w:fldCharType="end"/>
      </w:r>
      <w:r w:rsidRPr="005764FC">
        <w:t xml:space="preserve"> are relevant for policy consideration. </w:t>
      </w:r>
    </w:p>
    <w:p w14:paraId="0C65E3CB" w14:textId="0AC96D22" w:rsidR="00641226" w:rsidRPr="005764FC" w:rsidRDefault="00641226" w:rsidP="00004964">
      <w:pPr>
        <w:pStyle w:val="Caption"/>
      </w:pPr>
      <w:bookmarkStart w:id="221" w:name="_Ref93526799"/>
      <w:bookmarkStart w:id="222" w:name="_Toc97807817"/>
      <w:r w:rsidRPr="005764FC">
        <w:t xml:space="preserve">Table </w:t>
      </w:r>
      <w:r w:rsidR="009359A9" w:rsidRPr="005764FC">
        <w:fldChar w:fldCharType="begin"/>
      </w:r>
      <w:r w:rsidR="009359A9" w:rsidRPr="005764FC">
        <w:instrText xml:space="preserve"> STYLEREF 1 \s </w:instrText>
      </w:r>
      <w:r w:rsidR="009359A9" w:rsidRPr="005764FC">
        <w:fldChar w:fldCharType="separate"/>
      </w:r>
      <w:r w:rsidR="00A34B27">
        <w:rPr>
          <w:noProof/>
        </w:rPr>
        <w:t>2</w:t>
      </w:r>
      <w:r w:rsidR="009359A9" w:rsidRPr="005764FC">
        <w:fldChar w:fldCharType="end"/>
      </w:r>
      <w:r w:rsidR="009359A9" w:rsidRPr="005764FC">
        <w:t>.</w:t>
      </w:r>
      <w:r w:rsidR="009359A9" w:rsidRPr="005764FC">
        <w:fldChar w:fldCharType="begin"/>
      </w:r>
      <w:r w:rsidR="009359A9" w:rsidRPr="005764FC">
        <w:instrText xml:space="preserve"> SEQ Table \* ARABIC \s 1 </w:instrText>
      </w:r>
      <w:r w:rsidR="009359A9" w:rsidRPr="005764FC">
        <w:fldChar w:fldCharType="separate"/>
      </w:r>
      <w:r w:rsidR="00A34B27">
        <w:rPr>
          <w:noProof/>
        </w:rPr>
        <w:t>4</w:t>
      </w:r>
      <w:r w:rsidR="009359A9" w:rsidRPr="005764FC">
        <w:fldChar w:fldCharType="end"/>
      </w:r>
      <w:bookmarkEnd w:id="221"/>
      <w:r w:rsidRPr="005764FC">
        <w:tab/>
      </w:r>
      <w:r w:rsidR="005D4A7B" w:rsidRPr="005764FC">
        <w:t xml:space="preserve">Standards </w:t>
      </w:r>
      <w:r w:rsidR="00BD6BF4" w:rsidRPr="005764FC">
        <w:t>findings</w:t>
      </w:r>
      <w:bookmarkEnd w:id="222"/>
    </w:p>
    <w:tbl>
      <w:tblPr>
        <w:tblStyle w:val="Table1"/>
        <w:tblW w:w="5000" w:type="pct"/>
        <w:tblLook w:val="0620" w:firstRow="1" w:lastRow="0" w:firstColumn="0" w:lastColumn="0" w:noHBand="1" w:noVBand="1"/>
      </w:tblPr>
      <w:tblGrid>
        <w:gridCol w:w="990"/>
        <w:gridCol w:w="8757"/>
      </w:tblGrid>
      <w:tr w:rsidR="00C13BA7" w:rsidRPr="005764FC" w14:paraId="217A7EA2" w14:textId="77777777" w:rsidTr="00BD6BF4">
        <w:trPr>
          <w:cnfStyle w:val="100000000000" w:firstRow="1" w:lastRow="0" w:firstColumn="0" w:lastColumn="0" w:oddVBand="0" w:evenVBand="0" w:oddHBand="0" w:evenHBand="0" w:firstRowFirstColumn="0" w:firstRowLastColumn="0" w:lastRowFirstColumn="0" w:lastRowLastColumn="0"/>
          <w:cantSplit/>
          <w:tblHeader/>
        </w:trPr>
        <w:tc>
          <w:tcPr>
            <w:tcW w:w="508" w:type="pct"/>
          </w:tcPr>
          <w:p w14:paraId="494907B7" w14:textId="67B5ADCC" w:rsidR="00C13BA7" w:rsidRPr="005764FC" w:rsidRDefault="00641226" w:rsidP="00114BA2">
            <w:pPr>
              <w:pStyle w:val="TableHeading"/>
              <w:jc w:val="center"/>
              <w:rPr>
                <w:lang w:eastAsia="fr-CA"/>
              </w:rPr>
            </w:pPr>
            <w:r w:rsidRPr="005764FC">
              <w:rPr>
                <w:lang w:eastAsia="fr-CA"/>
              </w:rPr>
              <w:t>Number</w:t>
            </w:r>
          </w:p>
        </w:tc>
        <w:tc>
          <w:tcPr>
            <w:tcW w:w="4492" w:type="pct"/>
          </w:tcPr>
          <w:p w14:paraId="11B9D704" w14:textId="11B5A536" w:rsidR="00C13BA7" w:rsidRPr="005764FC" w:rsidRDefault="00641226" w:rsidP="00114BA2">
            <w:pPr>
              <w:pStyle w:val="TableHeading"/>
              <w:rPr>
                <w:bCs/>
                <w:lang w:eastAsia="fr-CA"/>
              </w:rPr>
            </w:pPr>
            <w:r w:rsidRPr="005764FC">
              <w:rPr>
                <w:bCs/>
                <w:lang w:eastAsia="fr-CA"/>
              </w:rPr>
              <w:t>Finding</w:t>
            </w:r>
          </w:p>
        </w:tc>
      </w:tr>
      <w:tr w:rsidR="00DF3C30" w:rsidRPr="005764FC" w14:paraId="574020B0" w14:textId="77777777" w:rsidTr="00BD6BF4">
        <w:trPr>
          <w:cantSplit/>
        </w:trPr>
        <w:tc>
          <w:tcPr>
            <w:tcW w:w="508" w:type="pct"/>
          </w:tcPr>
          <w:p w14:paraId="7358DFF2" w14:textId="39BB2B0B" w:rsidR="00DF3C30" w:rsidRPr="005764FC" w:rsidRDefault="00DF3C30" w:rsidP="00DF3C30">
            <w:pPr>
              <w:pStyle w:val="TableText"/>
              <w:jc w:val="center"/>
              <w:rPr>
                <w:lang w:eastAsia="fr-CA"/>
              </w:rPr>
            </w:pPr>
            <w:r w:rsidRPr="005764FC">
              <w:rPr>
                <w:lang w:eastAsia="fr-CA"/>
              </w:rPr>
              <w:t>7</w:t>
            </w:r>
          </w:p>
        </w:tc>
        <w:tc>
          <w:tcPr>
            <w:tcW w:w="4492" w:type="pct"/>
          </w:tcPr>
          <w:p w14:paraId="3394319D" w14:textId="2CF09592" w:rsidR="00DF3C30" w:rsidRPr="005764FC" w:rsidRDefault="00DF3C30" w:rsidP="00DF3C30">
            <w:pPr>
              <w:pStyle w:val="TableText"/>
              <w:rPr>
                <w:lang w:eastAsia="fr-CA"/>
              </w:rPr>
            </w:pPr>
            <w:r w:rsidRPr="005764FC">
              <w:rPr>
                <w:lang w:eastAsia="fr-CA"/>
              </w:rPr>
              <w:t>Standardisation is essential to achieve the level of interoperability required to realise the full benefits of C‑ITS.</w:t>
            </w:r>
          </w:p>
        </w:tc>
      </w:tr>
      <w:tr w:rsidR="00DF3C30" w:rsidRPr="005764FC" w14:paraId="78E02057" w14:textId="77777777" w:rsidTr="00BD6BF4">
        <w:trPr>
          <w:cantSplit/>
        </w:trPr>
        <w:tc>
          <w:tcPr>
            <w:tcW w:w="508" w:type="pct"/>
          </w:tcPr>
          <w:p w14:paraId="1853B6C6" w14:textId="30CC92B9" w:rsidR="00DF3C30" w:rsidRPr="005764FC" w:rsidRDefault="00DF3C30" w:rsidP="00DF3C30">
            <w:pPr>
              <w:pStyle w:val="TableText"/>
              <w:jc w:val="center"/>
              <w:rPr>
                <w:lang w:eastAsia="fr-CA"/>
              </w:rPr>
            </w:pPr>
            <w:r w:rsidRPr="005764FC">
              <w:rPr>
                <w:lang w:eastAsia="fr-CA"/>
              </w:rPr>
              <w:t>8</w:t>
            </w:r>
          </w:p>
        </w:tc>
        <w:tc>
          <w:tcPr>
            <w:tcW w:w="4492" w:type="pct"/>
          </w:tcPr>
          <w:p w14:paraId="5E979947" w14:textId="40C817EB" w:rsidR="00DF3C30" w:rsidRPr="005764FC" w:rsidRDefault="00DF3C30" w:rsidP="00DF3C30">
            <w:pPr>
              <w:pStyle w:val="TableText"/>
              <w:rPr>
                <w:lang w:eastAsia="fr-CA"/>
              </w:rPr>
            </w:pPr>
            <w:r w:rsidRPr="005764FC">
              <w:rPr>
                <w:lang w:eastAsia="fr-CA"/>
              </w:rPr>
              <w:t xml:space="preserve">A consistent suite of standards (based on an international standards region) is needed to efficiently harmonise standards, specifications and guidelines, given that complexity increases as large-scale deployment evolves. </w:t>
            </w:r>
          </w:p>
        </w:tc>
      </w:tr>
      <w:tr w:rsidR="00DF3C30" w:rsidRPr="005764FC" w14:paraId="725D369D" w14:textId="77777777" w:rsidTr="00BD6BF4">
        <w:trPr>
          <w:cantSplit/>
        </w:trPr>
        <w:tc>
          <w:tcPr>
            <w:tcW w:w="508" w:type="pct"/>
          </w:tcPr>
          <w:p w14:paraId="7BE02EC8" w14:textId="5AD04030" w:rsidR="00DF3C30" w:rsidRPr="005764FC" w:rsidRDefault="00DF3C30" w:rsidP="00DF3C30">
            <w:pPr>
              <w:pStyle w:val="TableText"/>
              <w:jc w:val="center"/>
              <w:rPr>
                <w:lang w:eastAsia="fr-CA"/>
              </w:rPr>
            </w:pPr>
            <w:r w:rsidRPr="005764FC">
              <w:rPr>
                <w:lang w:eastAsia="fr-CA"/>
              </w:rPr>
              <w:t>9</w:t>
            </w:r>
          </w:p>
        </w:tc>
        <w:tc>
          <w:tcPr>
            <w:tcW w:w="4492" w:type="pct"/>
          </w:tcPr>
          <w:p w14:paraId="626FB41A" w14:textId="77D95E5C" w:rsidR="00DF3C30" w:rsidRPr="005764FC" w:rsidRDefault="00DF3C30" w:rsidP="00DF3C30">
            <w:pPr>
              <w:pStyle w:val="TableText"/>
              <w:rPr>
                <w:lang w:eastAsia="fr-CA"/>
              </w:rPr>
            </w:pPr>
            <w:r w:rsidRPr="005764FC">
              <w:rPr>
                <w:lang w:eastAsia="fr-CA"/>
              </w:rPr>
              <w:t xml:space="preserve">Europe has the most advanced and comprehensive set of standards and guidelines for deployment which are aligned to </w:t>
            </w:r>
            <w:r w:rsidRPr="009801A8">
              <w:rPr>
                <w:lang w:eastAsia="fr-CA"/>
              </w:rPr>
              <w:t xml:space="preserve">existing </w:t>
            </w:r>
            <w:r w:rsidR="00B73A1B" w:rsidRPr="009801A8">
              <w:rPr>
                <w:lang w:eastAsia="fr-CA"/>
              </w:rPr>
              <w:t xml:space="preserve">Australian </w:t>
            </w:r>
            <w:r w:rsidRPr="009801A8">
              <w:rPr>
                <w:lang w:eastAsia="fr-CA"/>
              </w:rPr>
              <w:t xml:space="preserve">vehicle standards through WP.29 and </w:t>
            </w:r>
            <w:r w:rsidR="00B73A1B" w:rsidRPr="009801A8">
              <w:rPr>
                <w:lang w:eastAsia="fr-CA"/>
              </w:rPr>
              <w:t xml:space="preserve">Australian </w:t>
            </w:r>
            <w:r w:rsidRPr="009801A8">
              <w:rPr>
                <w:lang w:eastAsia="fr-CA"/>
              </w:rPr>
              <w:t>vehicle manufacturer preference</w:t>
            </w:r>
            <w:r w:rsidR="00B73A1B" w:rsidRPr="009801A8">
              <w:rPr>
                <w:lang w:eastAsia="fr-CA"/>
              </w:rPr>
              <w:t xml:space="preserve"> (as stated through FCAI)</w:t>
            </w:r>
            <w:r w:rsidRPr="009801A8">
              <w:rPr>
                <w:lang w:eastAsia="fr-CA"/>
              </w:rPr>
              <w:t>. Europe</w:t>
            </w:r>
            <w:r w:rsidRPr="005764FC">
              <w:rPr>
                <w:lang w:eastAsia="fr-CA"/>
              </w:rPr>
              <w:t xml:space="preserve"> is focusing effort now on implementing the standards consistently across all suppliers (government and industry).</w:t>
            </w:r>
          </w:p>
        </w:tc>
      </w:tr>
      <w:tr w:rsidR="00DF3C30" w:rsidRPr="005764FC" w14:paraId="396DFD4A" w14:textId="77777777" w:rsidTr="00BD6BF4">
        <w:trPr>
          <w:cantSplit/>
        </w:trPr>
        <w:tc>
          <w:tcPr>
            <w:tcW w:w="508" w:type="pct"/>
          </w:tcPr>
          <w:p w14:paraId="5232D2CF" w14:textId="44578576" w:rsidR="00DF3C30" w:rsidRPr="005764FC" w:rsidRDefault="00DF3C30" w:rsidP="00DF3C30">
            <w:pPr>
              <w:pStyle w:val="TableText"/>
              <w:jc w:val="center"/>
              <w:rPr>
                <w:lang w:eastAsia="fr-CA"/>
              </w:rPr>
            </w:pPr>
            <w:r w:rsidRPr="005764FC">
              <w:rPr>
                <w:lang w:eastAsia="fr-CA"/>
              </w:rPr>
              <w:t>10</w:t>
            </w:r>
          </w:p>
        </w:tc>
        <w:tc>
          <w:tcPr>
            <w:tcW w:w="4492" w:type="pct"/>
          </w:tcPr>
          <w:p w14:paraId="02CE24FF" w14:textId="7D243443" w:rsidR="00DF3C30" w:rsidRPr="005764FC" w:rsidRDefault="00DF3C30" w:rsidP="00DF3C30">
            <w:pPr>
              <w:pStyle w:val="TableText"/>
              <w:rPr>
                <w:lang w:eastAsia="fr-CA"/>
              </w:rPr>
            </w:pPr>
            <w:r w:rsidRPr="005764FC">
              <w:rPr>
                <w:lang w:eastAsia="fr-CA"/>
              </w:rPr>
              <w:t>The ISO/CEN “Cooperative intelligent transport systems (C-ITS) Guidelines on the usage of standards”</w:t>
            </w:r>
            <w:r w:rsidRPr="005764FC">
              <w:t xml:space="preserve"> </w:t>
            </w:r>
            <w:r w:rsidRPr="005764FC">
              <w:rPr>
                <w:lang w:eastAsia="fr-CA"/>
              </w:rPr>
              <w:t>provides the most comprehensive collation of a standards suite identified in the analysis.</w:t>
            </w:r>
          </w:p>
        </w:tc>
      </w:tr>
      <w:tr w:rsidR="00DF3C30" w:rsidRPr="005764FC" w14:paraId="224D91B7" w14:textId="77777777" w:rsidTr="00BD6BF4">
        <w:trPr>
          <w:cantSplit/>
        </w:trPr>
        <w:tc>
          <w:tcPr>
            <w:tcW w:w="508" w:type="pct"/>
          </w:tcPr>
          <w:p w14:paraId="1D7F8B4F" w14:textId="22D63E63" w:rsidR="00DF3C30" w:rsidRPr="005764FC" w:rsidRDefault="00DF3C30" w:rsidP="00DF3C30">
            <w:pPr>
              <w:pStyle w:val="TableText"/>
              <w:jc w:val="center"/>
              <w:rPr>
                <w:lang w:eastAsia="fr-CA"/>
              </w:rPr>
            </w:pPr>
            <w:r w:rsidRPr="005764FC">
              <w:rPr>
                <w:lang w:eastAsia="fr-CA"/>
              </w:rPr>
              <w:t>11</w:t>
            </w:r>
          </w:p>
        </w:tc>
        <w:tc>
          <w:tcPr>
            <w:tcW w:w="4492" w:type="pct"/>
          </w:tcPr>
          <w:p w14:paraId="41101DA1" w14:textId="557F108C" w:rsidR="00DF3C30" w:rsidRPr="005764FC" w:rsidRDefault="00DF3C30" w:rsidP="00DF3C30">
            <w:pPr>
              <w:pStyle w:val="TableText"/>
              <w:rPr>
                <w:b/>
                <w:bCs/>
                <w:lang w:eastAsia="fr-CA"/>
              </w:rPr>
            </w:pPr>
            <w:r w:rsidRPr="005764FC">
              <w:rPr>
                <w:lang w:eastAsia="fr-CA"/>
              </w:rPr>
              <w:t>Insights and learnings from other markets outside of Europe are beneficial to improve C-ITS deployment and should be considered within a governance framework that assesses the impacts of full harmonisation to European standards for delivery in Australia.</w:t>
            </w:r>
          </w:p>
        </w:tc>
      </w:tr>
    </w:tbl>
    <w:p w14:paraId="59727032" w14:textId="201FDE33" w:rsidR="00EE48FD" w:rsidRPr="005764FC" w:rsidRDefault="00EE48FD" w:rsidP="00004964">
      <w:pPr>
        <w:pStyle w:val="Heading3"/>
      </w:pPr>
      <w:bookmarkStart w:id="223" w:name="_Ref93225942"/>
      <w:bookmarkStart w:id="224" w:name="_Ref93532067"/>
      <w:bookmarkStart w:id="225" w:name="_Toc94536705"/>
      <w:bookmarkStart w:id="226" w:name="_Toc94453158"/>
      <w:r w:rsidRPr="005764FC">
        <w:t>Is a decision needed to determine physical technology used for short-range communications?</w:t>
      </w:r>
      <w:bookmarkEnd w:id="223"/>
      <w:bookmarkEnd w:id="224"/>
      <w:bookmarkEnd w:id="225"/>
      <w:bookmarkEnd w:id="226"/>
    </w:p>
    <w:p w14:paraId="1803B0F2" w14:textId="1DB4B131" w:rsidR="00CD3F2C" w:rsidRPr="005764FC" w:rsidRDefault="00C96C85" w:rsidP="00004964">
      <w:pPr>
        <w:pStyle w:val="BodyText"/>
        <w:rPr>
          <w:lang w:eastAsia="fr-CA"/>
        </w:rPr>
      </w:pPr>
      <w:r w:rsidRPr="005764FC">
        <w:rPr>
          <w:lang w:eastAsia="fr-CA"/>
        </w:rPr>
        <w:t>The short-range communication</w:t>
      </w:r>
      <w:r w:rsidR="0030263C" w:rsidRPr="005764FC">
        <w:rPr>
          <w:lang w:eastAsia="fr-CA"/>
        </w:rPr>
        <w:t xml:space="preserve"> technology</w:t>
      </w:r>
      <w:r w:rsidRPr="005764FC">
        <w:rPr>
          <w:lang w:eastAsia="fr-CA"/>
        </w:rPr>
        <w:t xml:space="preserve"> </w:t>
      </w:r>
      <w:r w:rsidR="00E25C5E" w:rsidRPr="005764FC">
        <w:rPr>
          <w:lang w:eastAsia="fr-CA"/>
        </w:rPr>
        <w:t>used for</w:t>
      </w:r>
      <w:r w:rsidR="00D21273" w:rsidRPr="005764FC">
        <w:rPr>
          <w:lang w:eastAsia="fr-CA"/>
        </w:rPr>
        <w:t xml:space="preserve"> </w:t>
      </w:r>
      <w:r w:rsidRPr="005764FC">
        <w:rPr>
          <w:lang w:eastAsia="fr-CA"/>
        </w:rPr>
        <w:t>C-ITS has recently been under scrutiny with the emergence of C</w:t>
      </w:r>
      <w:r w:rsidR="007E363A">
        <w:rPr>
          <w:lang w:eastAsia="fr-CA"/>
        </w:rPr>
        <w:noBreakHyphen/>
      </w:r>
      <w:r w:rsidRPr="005764FC">
        <w:rPr>
          <w:lang w:eastAsia="fr-CA"/>
        </w:rPr>
        <w:t xml:space="preserve">V2X technology and the US FCC decision </w:t>
      </w:r>
      <w:r w:rsidR="004C341D" w:rsidRPr="005764FC">
        <w:rPr>
          <w:lang w:eastAsia="fr-CA"/>
        </w:rPr>
        <w:t xml:space="preserve">to </w:t>
      </w:r>
      <w:r w:rsidR="007E363A" w:rsidRPr="005764FC">
        <w:rPr>
          <w:lang w:eastAsia="en-AU"/>
        </w:rPr>
        <w:t xml:space="preserve">redesignate a portion of the 5.9 GHz band previously reserved for </w:t>
      </w:r>
      <w:r w:rsidR="007E363A">
        <w:rPr>
          <w:lang w:eastAsia="en-AU"/>
        </w:rPr>
        <w:t>ITS</w:t>
      </w:r>
      <w:r w:rsidR="007E363A" w:rsidRPr="005764FC">
        <w:rPr>
          <w:lang w:eastAsia="en-AU"/>
        </w:rPr>
        <w:t xml:space="preserve"> use, and to mandate </w:t>
      </w:r>
      <w:r w:rsidR="004C341D" w:rsidRPr="005764FC">
        <w:rPr>
          <w:lang w:eastAsia="fr-CA"/>
        </w:rPr>
        <w:t>C-V2X</w:t>
      </w:r>
      <w:r w:rsidR="007E363A" w:rsidRPr="007E363A">
        <w:rPr>
          <w:lang w:eastAsia="en-AU"/>
        </w:rPr>
        <w:t xml:space="preserve"> </w:t>
      </w:r>
      <w:r w:rsidR="007E363A" w:rsidRPr="005764FC">
        <w:rPr>
          <w:lang w:eastAsia="en-AU"/>
        </w:rPr>
        <w:t xml:space="preserve">as the technology standard for safety-related transportation and vehicular communications in the remaining </w:t>
      </w:r>
      <w:r w:rsidR="007E363A" w:rsidRPr="005764FC">
        <w:rPr>
          <w:lang w:eastAsia="fr-CA"/>
        </w:rPr>
        <w:t xml:space="preserve">spectrum </w:t>
      </w:r>
      <w:r w:rsidR="007E363A">
        <w:rPr>
          <w:lang w:eastAsia="fr-CA"/>
        </w:rPr>
        <w:t>allocation</w:t>
      </w:r>
      <w:r w:rsidR="004C341D" w:rsidRPr="005764FC">
        <w:rPr>
          <w:lang w:eastAsia="fr-CA"/>
        </w:rPr>
        <w:t xml:space="preserve">. </w:t>
      </w:r>
      <w:r w:rsidR="00675596" w:rsidRPr="005764FC">
        <w:rPr>
          <w:lang w:eastAsia="fr-CA"/>
        </w:rPr>
        <w:t>T</w:t>
      </w:r>
      <w:r w:rsidR="009B1331" w:rsidRPr="005764FC">
        <w:rPr>
          <w:lang w:eastAsia="fr-CA"/>
        </w:rPr>
        <w:t xml:space="preserve">his </w:t>
      </w:r>
      <w:r w:rsidR="00F73643" w:rsidRPr="005764FC">
        <w:rPr>
          <w:lang w:eastAsia="fr-CA"/>
        </w:rPr>
        <w:t xml:space="preserve">policy </w:t>
      </w:r>
      <w:r w:rsidR="00675596" w:rsidRPr="005764FC">
        <w:rPr>
          <w:lang w:eastAsia="fr-CA"/>
        </w:rPr>
        <w:t xml:space="preserve">needs to be considered </w:t>
      </w:r>
      <w:r w:rsidR="004C341D" w:rsidRPr="005764FC">
        <w:rPr>
          <w:lang w:eastAsia="fr-CA"/>
        </w:rPr>
        <w:t xml:space="preserve">in the context of the Australian environment and options. </w:t>
      </w:r>
    </w:p>
    <w:p w14:paraId="109AE63B" w14:textId="3E899A8D" w:rsidR="0039772C" w:rsidRPr="005764FC" w:rsidRDefault="0039772C" w:rsidP="00270287">
      <w:pPr>
        <w:pStyle w:val="BodyText"/>
        <w:keepNext/>
        <w:rPr>
          <w:lang w:eastAsia="fr-CA"/>
        </w:rPr>
      </w:pPr>
      <w:r w:rsidRPr="005764FC">
        <w:rPr>
          <w:lang w:eastAsia="fr-CA"/>
        </w:rPr>
        <w:t xml:space="preserve">The options are considered </w:t>
      </w:r>
      <w:r w:rsidR="00AF6E52" w:rsidRPr="005764FC">
        <w:rPr>
          <w:lang w:eastAsia="fr-CA"/>
        </w:rPr>
        <w:t xml:space="preserve">on the following basis </w:t>
      </w:r>
      <w:r w:rsidRPr="005764FC">
        <w:rPr>
          <w:lang w:eastAsia="fr-CA"/>
        </w:rPr>
        <w:t xml:space="preserve">for the impact analysis: </w:t>
      </w:r>
    </w:p>
    <w:p w14:paraId="4F6C6FE2" w14:textId="0736DF69" w:rsidR="008F1B16" w:rsidRPr="005764FC" w:rsidRDefault="007F0C99" w:rsidP="00917B7D">
      <w:pPr>
        <w:pStyle w:val="ListNumber"/>
        <w:numPr>
          <w:ilvl w:val="0"/>
          <w:numId w:val="19"/>
        </w:numPr>
        <w:contextualSpacing/>
        <w:rPr>
          <w:lang w:eastAsia="fr-CA"/>
        </w:rPr>
      </w:pPr>
      <w:r w:rsidRPr="005764FC">
        <w:rPr>
          <w:b/>
          <w:color w:val="FF0000"/>
          <w:lang w:eastAsia="fr-CA"/>
        </w:rPr>
        <w:t>PA1</w:t>
      </w:r>
      <w:r w:rsidR="00C6748A" w:rsidRPr="005764FC">
        <w:rPr>
          <w:b/>
          <w:color w:val="FF0000"/>
          <w:lang w:eastAsia="fr-CA"/>
        </w:rPr>
        <w:t xml:space="preserve"> </w:t>
      </w:r>
      <w:r w:rsidR="008E1132" w:rsidRPr="005764FC">
        <w:rPr>
          <w:b/>
          <w:lang w:eastAsia="fr-CA"/>
        </w:rPr>
        <w:t>Market-led</w:t>
      </w:r>
      <w:r w:rsidR="00C6748A" w:rsidRPr="005764FC">
        <w:rPr>
          <w:b/>
          <w:lang w:eastAsia="fr-CA"/>
        </w:rPr>
        <w:t xml:space="preserve"> determin</w:t>
      </w:r>
      <w:r w:rsidR="008E1132" w:rsidRPr="005764FC">
        <w:rPr>
          <w:b/>
          <w:lang w:eastAsia="fr-CA"/>
        </w:rPr>
        <w:t>ation</w:t>
      </w:r>
      <w:r w:rsidR="00C6748A" w:rsidRPr="005764FC">
        <w:rPr>
          <w:b/>
          <w:lang w:eastAsia="fr-CA"/>
        </w:rPr>
        <w:t xml:space="preserve"> </w:t>
      </w:r>
      <w:r w:rsidR="00000D8A" w:rsidRPr="005764FC">
        <w:rPr>
          <w:b/>
          <w:lang w:eastAsia="fr-CA"/>
        </w:rPr>
        <w:t xml:space="preserve">of </w:t>
      </w:r>
      <w:r w:rsidR="00C6748A" w:rsidRPr="005764FC">
        <w:rPr>
          <w:b/>
          <w:lang w:eastAsia="fr-CA"/>
        </w:rPr>
        <w:t xml:space="preserve">the communication technology </w:t>
      </w:r>
      <w:r w:rsidR="00C6748A" w:rsidRPr="005764FC">
        <w:rPr>
          <w:lang w:eastAsia="fr-CA"/>
        </w:rPr>
        <w:t xml:space="preserve">creating an open market for </w:t>
      </w:r>
      <w:r w:rsidR="00E53257" w:rsidRPr="005764FC">
        <w:rPr>
          <w:lang w:eastAsia="fr-CA"/>
        </w:rPr>
        <w:t>DSRC (</w:t>
      </w:r>
      <w:r w:rsidR="00C6748A" w:rsidRPr="005764FC">
        <w:rPr>
          <w:lang w:eastAsia="fr-CA"/>
        </w:rPr>
        <w:t>ITS-G5</w:t>
      </w:r>
      <w:r w:rsidR="00E53257" w:rsidRPr="005764FC">
        <w:rPr>
          <w:lang w:eastAsia="fr-CA"/>
        </w:rPr>
        <w:t>)</w:t>
      </w:r>
      <w:r w:rsidR="00C6748A" w:rsidRPr="005764FC">
        <w:rPr>
          <w:lang w:eastAsia="fr-CA"/>
        </w:rPr>
        <w:t xml:space="preserve"> and C-V2X or alternative technologies</w:t>
      </w:r>
    </w:p>
    <w:p w14:paraId="2A200A04" w14:textId="089C275B" w:rsidR="0039772C" w:rsidRPr="005764FC" w:rsidRDefault="007F0C99" w:rsidP="00917B7D">
      <w:pPr>
        <w:pStyle w:val="ListNumber"/>
        <w:numPr>
          <w:ilvl w:val="0"/>
          <w:numId w:val="19"/>
        </w:numPr>
        <w:contextualSpacing/>
        <w:rPr>
          <w:lang w:eastAsia="fr-CA"/>
        </w:rPr>
      </w:pPr>
      <w:r w:rsidRPr="005764FC">
        <w:rPr>
          <w:b/>
          <w:color w:val="FF0000"/>
          <w:lang w:eastAsia="fr-CA"/>
        </w:rPr>
        <w:t>PA2</w:t>
      </w:r>
      <w:r w:rsidR="0039772C" w:rsidRPr="005764FC">
        <w:rPr>
          <w:color w:val="FF0000"/>
          <w:lang w:eastAsia="fr-CA"/>
        </w:rPr>
        <w:t xml:space="preserve"> </w:t>
      </w:r>
      <w:r w:rsidR="00AF6E52" w:rsidRPr="005764FC">
        <w:rPr>
          <w:b/>
          <w:lang w:eastAsia="fr-CA"/>
        </w:rPr>
        <w:t>Government</w:t>
      </w:r>
      <w:r w:rsidR="00106E87" w:rsidRPr="005764FC">
        <w:rPr>
          <w:b/>
          <w:lang w:eastAsia="fr-CA"/>
        </w:rPr>
        <w:t xml:space="preserve"> </w:t>
      </w:r>
      <w:r w:rsidR="008F1B16" w:rsidRPr="005764FC">
        <w:rPr>
          <w:b/>
          <w:lang w:eastAsia="fr-CA"/>
        </w:rPr>
        <w:t>support for</w:t>
      </w:r>
      <w:r w:rsidR="00106E87" w:rsidRPr="005764FC">
        <w:rPr>
          <w:b/>
          <w:lang w:eastAsia="fr-CA"/>
        </w:rPr>
        <w:t xml:space="preserve"> m</w:t>
      </w:r>
      <w:r w:rsidR="0039772C" w:rsidRPr="005764FC">
        <w:rPr>
          <w:b/>
          <w:lang w:eastAsia="fr-CA"/>
        </w:rPr>
        <w:t>aintain</w:t>
      </w:r>
      <w:r w:rsidR="008F1B16" w:rsidRPr="005764FC">
        <w:rPr>
          <w:b/>
          <w:lang w:eastAsia="fr-CA"/>
        </w:rPr>
        <w:t>ing</w:t>
      </w:r>
      <w:r w:rsidR="0039772C" w:rsidRPr="005764FC">
        <w:rPr>
          <w:b/>
          <w:lang w:eastAsia="fr-CA"/>
        </w:rPr>
        <w:t xml:space="preserve"> current alignment to European communication implementation and standards</w:t>
      </w:r>
      <w:r w:rsidR="0039772C" w:rsidRPr="005764FC">
        <w:rPr>
          <w:lang w:eastAsia="fr-CA"/>
        </w:rPr>
        <w:t xml:space="preserve">, </w:t>
      </w:r>
      <w:r w:rsidR="00686BD8" w:rsidRPr="005764FC">
        <w:rPr>
          <w:lang w:eastAsia="fr-CA"/>
        </w:rPr>
        <w:t xml:space="preserve">prioritising </w:t>
      </w:r>
      <w:r w:rsidR="00521887" w:rsidRPr="005764FC">
        <w:rPr>
          <w:lang w:eastAsia="fr-CA"/>
        </w:rPr>
        <w:t>DSRC (ITS-G5)</w:t>
      </w:r>
      <w:r w:rsidR="00686BD8" w:rsidRPr="005764FC">
        <w:rPr>
          <w:lang w:eastAsia="fr-CA"/>
        </w:rPr>
        <w:t xml:space="preserve"> </w:t>
      </w:r>
      <w:r w:rsidR="00A2104B" w:rsidRPr="005764FC">
        <w:rPr>
          <w:lang w:eastAsia="fr-CA"/>
        </w:rPr>
        <w:t xml:space="preserve">with C-V2X </w:t>
      </w:r>
      <w:r w:rsidR="00E55E85" w:rsidRPr="005764FC">
        <w:rPr>
          <w:lang w:eastAsia="fr-CA"/>
        </w:rPr>
        <w:t>or</w:t>
      </w:r>
      <w:r w:rsidR="00A2104B" w:rsidRPr="005764FC">
        <w:rPr>
          <w:lang w:eastAsia="fr-CA"/>
        </w:rPr>
        <w:t xml:space="preserve"> alternative technologies </w:t>
      </w:r>
      <w:r w:rsidR="00C42710" w:rsidRPr="005764FC">
        <w:rPr>
          <w:lang w:eastAsia="fr-CA"/>
        </w:rPr>
        <w:t xml:space="preserve">coexisting if </w:t>
      </w:r>
      <w:r w:rsidR="00000D8A" w:rsidRPr="005764FC">
        <w:rPr>
          <w:lang w:eastAsia="fr-CA"/>
        </w:rPr>
        <w:t xml:space="preserve">they do </w:t>
      </w:r>
      <w:r w:rsidR="00C42710" w:rsidRPr="005764FC">
        <w:rPr>
          <w:lang w:eastAsia="fr-CA"/>
        </w:rPr>
        <w:t xml:space="preserve">not detract from </w:t>
      </w:r>
      <w:r w:rsidR="006330AC" w:rsidRPr="005764FC">
        <w:rPr>
          <w:lang w:eastAsia="fr-CA"/>
        </w:rPr>
        <w:t>societal benefits</w:t>
      </w:r>
    </w:p>
    <w:p w14:paraId="74EB470A" w14:textId="4ABA7F7D" w:rsidR="00E11826" w:rsidRPr="00DA5F4E" w:rsidRDefault="00E11826" w:rsidP="00917B7D">
      <w:pPr>
        <w:pStyle w:val="ListNumber"/>
        <w:numPr>
          <w:ilvl w:val="0"/>
          <w:numId w:val="19"/>
        </w:numPr>
        <w:contextualSpacing/>
      </w:pPr>
      <w:r w:rsidRPr="005764FC">
        <w:rPr>
          <w:b/>
          <w:color w:val="FF0000"/>
          <w:lang w:eastAsia="fr-CA"/>
        </w:rPr>
        <w:t>PA3</w:t>
      </w:r>
      <w:r w:rsidR="005165A8" w:rsidRPr="005764FC">
        <w:rPr>
          <w:b/>
          <w:color w:val="FF0000"/>
          <w:lang w:eastAsia="fr-CA"/>
        </w:rPr>
        <w:t xml:space="preserve"> </w:t>
      </w:r>
      <w:r w:rsidR="005165A8" w:rsidRPr="005764FC">
        <w:rPr>
          <w:b/>
          <w:lang w:eastAsia="fr-CA"/>
        </w:rPr>
        <w:t>Regulating</w:t>
      </w:r>
      <w:r w:rsidR="005165A8" w:rsidRPr="005764FC">
        <w:rPr>
          <w:b/>
          <w:color w:val="FF0000"/>
          <w:lang w:eastAsia="fr-CA"/>
        </w:rPr>
        <w:t xml:space="preserve"> </w:t>
      </w:r>
      <w:r w:rsidR="001801D8" w:rsidRPr="005764FC">
        <w:rPr>
          <w:b/>
          <w:lang w:eastAsia="fr-CA"/>
        </w:rPr>
        <w:t>short-range communication</w:t>
      </w:r>
      <w:r w:rsidR="00907CDC" w:rsidRPr="005764FC">
        <w:rPr>
          <w:b/>
          <w:lang w:eastAsia="fr-CA"/>
        </w:rPr>
        <w:t xml:space="preserve"> </w:t>
      </w:r>
      <w:r w:rsidR="00907CDC" w:rsidRPr="005764FC">
        <w:rPr>
          <w:bCs/>
          <w:lang w:eastAsia="fr-CA"/>
        </w:rPr>
        <w:t>in new</w:t>
      </w:r>
      <w:r w:rsidR="00A3478F" w:rsidRPr="005764FC">
        <w:rPr>
          <w:bCs/>
          <w:lang w:eastAsia="fr-CA"/>
        </w:rPr>
        <w:t xml:space="preserve"> vehicles</w:t>
      </w:r>
      <w:r w:rsidR="00DA5F4E">
        <w:rPr>
          <w:bCs/>
          <w:lang w:eastAsia="fr-CA"/>
        </w:rPr>
        <w:t>.</w:t>
      </w:r>
    </w:p>
    <w:p w14:paraId="2A2D0F86" w14:textId="41F23FC8" w:rsidR="0039772C" w:rsidRPr="005764FC" w:rsidRDefault="0039772C" w:rsidP="0039772C">
      <w:pPr>
        <w:pStyle w:val="BodyText"/>
        <w:rPr>
          <w:bCs/>
          <w:lang w:eastAsia="fr-CA"/>
        </w:rPr>
      </w:pPr>
      <w:r w:rsidRPr="005764FC">
        <w:rPr>
          <w:bCs/>
          <w:lang w:eastAsia="fr-CA"/>
        </w:rPr>
        <w:t xml:space="preserve">It is assumed that an allocation of </w:t>
      </w:r>
      <w:r w:rsidR="00B031B5" w:rsidRPr="005764FC">
        <w:rPr>
          <w:bCs/>
          <w:lang w:eastAsia="fr-CA"/>
        </w:rPr>
        <w:t>70MHz</w:t>
      </w:r>
      <w:r w:rsidRPr="005764FC">
        <w:rPr>
          <w:bCs/>
          <w:lang w:eastAsia="fr-CA"/>
        </w:rPr>
        <w:t xml:space="preserve"> bandwidth in the 5.9GHz region for vehicle related communications (C-ITS</w:t>
      </w:r>
      <w:r w:rsidR="00000D8A" w:rsidRPr="005764FC">
        <w:rPr>
          <w:bCs/>
          <w:lang w:eastAsia="fr-CA"/>
        </w:rPr>
        <w:t xml:space="preserve">) </w:t>
      </w:r>
      <w:r w:rsidRPr="005764FC">
        <w:rPr>
          <w:bCs/>
          <w:lang w:eastAsia="fr-CA"/>
        </w:rPr>
        <w:t>continues.</w:t>
      </w:r>
      <w:r w:rsidR="00F47E53" w:rsidRPr="005764FC">
        <w:rPr>
          <w:bCs/>
          <w:lang w:eastAsia="fr-CA"/>
        </w:rPr>
        <w:t xml:space="preserve"> </w:t>
      </w:r>
      <w:r w:rsidR="00000D8A" w:rsidRPr="005764FC">
        <w:rPr>
          <w:bCs/>
          <w:lang w:eastAsia="fr-CA"/>
        </w:rPr>
        <w:t>R</w:t>
      </w:r>
      <w:r w:rsidR="00F47E53" w:rsidRPr="005764FC">
        <w:rPr>
          <w:bCs/>
          <w:lang w:eastAsia="fr-CA"/>
        </w:rPr>
        <w:t>eallocatin</w:t>
      </w:r>
      <w:r w:rsidR="00000D8A" w:rsidRPr="005764FC">
        <w:rPr>
          <w:bCs/>
          <w:lang w:eastAsia="fr-CA"/>
        </w:rPr>
        <w:t>g</w:t>
      </w:r>
      <w:r w:rsidR="00F47E53" w:rsidRPr="005764FC">
        <w:rPr>
          <w:bCs/>
          <w:lang w:eastAsia="fr-CA"/>
        </w:rPr>
        <w:t xml:space="preserve"> any bandwidth</w:t>
      </w:r>
      <w:r w:rsidR="00D20860" w:rsidRPr="005764FC">
        <w:rPr>
          <w:bCs/>
          <w:lang w:eastAsia="fr-CA"/>
        </w:rPr>
        <w:t xml:space="preserve"> </w:t>
      </w:r>
      <w:r w:rsidR="007C64B4" w:rsidRPr="005764FC">
        <w:rPr>
          <w:bCs/>
          <w:lang w:eastAsia="fr-CA"/>
        </w:rPr>
        <w:t xml:space="preserve">for alternative use will compromise the ability to deliver road transport benefits. </w:t>
      </w:r>
    </w:p>
    <w:p w14:paraId="5D814289" w14:textId="02CA5D96" w:rsidR="001E7F0C" w:rsidRPr="005764FC" w:rsidRDefault="001E7F0C" w:rsidP="001E7F0C">
      <w:pPr>
        <w:pStyle w:val="BodyText"/>
      </w:pPr>
      <w:r w:rsidRPr="005764FC">
        <w:rPr>
          <w:lang w:eastAsia="fr-CA"/>
        </w:rPr>
        <w:t xml:space="preserve">An alternative option of government </w:t>
      </w:r>
      <w:r w:rsidR="00E169B2" w:rsidRPr="005764FC">
        <w:rPr>
          <w:lang w:eastAsia="fr-CA"/>
        </w:rPr>
        <w:t>support</w:t>
      </w:r>
      <w:r w:rsidR="001E6347" w:rsidRPr="005764FC">
        <w:rPr>
          <w:lang w:eastAsia="fr-CA"/>
        </w:rPr>
        <w:t xml:space="preserve"> </w:t>
      </w:r>
      <w:r w:rsidRPr="005764FC">
        <w:rPr>
          <w:lang w:eastAsia="fr-CA"/>
        </w:rPr>
        <w:t xml:space="preserve">aligning to the </w:t>
      </w:r>
      <w:r w:rsidR="00000D8A" w:rsidRPr="005764FC">
        <w:rPr>
          <w:lang w:eastAsia="fr-CA"/>
        </w:rPr>
        <w:t>US</w:t>
      </w:r>
      <w:r w:rsidRPr="005764FC">
        <w:rPr>
          <w:lang w:eastAsia="fr-CA"/>
        </w:rPr>
        <w:t xml:space="preserve"> (</w:t>
      </w:r>
      <w:r w:rsidR="007F0C99" w:rsidRPr="005764FC">
        <w:rPr>
          <w:lang w:eastAsia="fr-CA"/>
        </w:rPr>
        <w:t>PA2</w:t>
      </w:r>
      <w:r w:rsidRPr="005764FC">
        <w:rPr>
          <w:lang w:eastAsia="fr-CA"/>
        </w:rPr>
        <w:t xml:space="preserve">-US) changing solely to C-V2X was not considered due to the analysis outcomes in </w:t>
      </w:r>
      <w:r w:rsidR="00BD6BF4" w:rsidRPr="005764FC">
        <w:rPr>
          <w:lang w:eastAsia="fr-CA"/>
        </w:rPr>
        <w:t xml:space="preserve">Section </w:t>
      </w:r>
      <w:r w:rsidRPr="005764FC">
        <w:rPr>
          <w:lang w:eastAsia="fr-CA"/>
        </w:rPr>
        <w:fldChar w:fldCharType="begin" w:fldLock="1"/>
      </w:r>
      <w:r w:rsidRPr="005764FC">
        <w:rPr>
          <w:lang w:eastAsia="fr-CA"/>
        </w:rPr>
        <w:instrText xml:space="preserve"> REF _Ref93906241 \r \h </w:instrText>
      </w:r>
      <w:r w:rsidR="007232B4" w:rsidRPr="005764FC">
        <w:rPr>
          <w:lang w:eastAsia="fr-CA"/>
        </w:rPr>
        <w:instrText xml:space="preserve"> \* MERGEFORMAT </w:instrText>
      </w:r>
      <w:r w:rsidRPr="005764FC">
        <w:rPr>
          <w:lang w:eastAsia="fr-CA"/>
        </w:rPr>
      </w:r>
      <w:r w:rsidRPr="005764FC">
        <w:rPr>
          <w:lang w:eastAsia="fr-CA"/>
        </w:rPr>
        <w:fldChar w:fldCharType="separate"/>
      </w:r>
      <w:r w:rsidR="00A34B27">
        <w:rPr>
          <w:lang w:eastAsia="fr-CA"/>
        </w:rPr>
        <w:t>2.3.2</w:t>
      </w:r>
      <w:r w:rsidRPr="005764FC">
        <w:rPr>
          <w:lang w:eastAsia="fr-CA"/>
        </w:rPr>
        <w:fldChar w:fldCharType="end"/>
      </w:r>
      <w:r w:rsidRPr="005764FC">
        <w:rPr>
          <w:lang w:eastAsia="fr-CA"/>
        </w:rPr>
        <w:t xml:space="preserve"> where Europe was the preferred reference point for standards. </w:t>
      </w:r>
    </w:p>
    <w:p w14:paraId="2BEDC12F" w14:textId="2B3BCDDF" w:rsidR="007E0ED0" w:rsidRPr="005764FC" w:rsidRDefault="007E0ED0" w:rsidP="007E0ED0">
      <w:pPr>
        <w:pStyle w:val="BodyText"/>
        <w:rPr>
          <w:lang w:eastAsia="fr-CA"/>
        </w:rPr>
      </w:pPr>
      <w:r w:rsidRPr="005764FC">
        <w:rPr>
          <w:lang w:eastAsia="fr-CA"/>
        </w:rPr>
        <w:t>The regulation</w:t>
      </w:r>
      <w:r w:rsidR="00960539" w:rsidRPr="005764FC">
        <w:rPr>
          <w:lang w:eastAsia="fr-CA"/>
        </w:rPr>
        <w:t xml:space="preserve"> (</w:t>
      </w:r>
      <w:r w:rsidR="007F0C99" w:rsidRPr="005764FC">
        <w:rPr>
          <w:lang w:eastAsia="fr-CA"/>
        </w:rPr>
        <w:t>PA3</w:t>
      </w:r>
      <w:r w:rsidR="00960539" w:rsidRPr="005764FC">
        <w:rPr>
          <w:lang w:eastAsia="fr-CA"/>
        </w:rPr>
        <w:t>)</w:t>
      </w:r>
      <w:r w:rsidRPr="005764FC">
        <w:rPr>
          <w:lang w:eastAsia="fr-CA"/>
        </w:rPr>
        <w:t xml:space="preserve"> of short-range communication in all new vehicles (with either </w:t>
      </w:r>
      <w:r w:rsidR="00E53257" w:rsidRPr="005764FC">
        <w:rPr>
          <w:lang w:eastAsia="fr-CA"/>
        </w:rPr>
        <w:t>DSRC</w:t>
      </w:r>
      <w:r w:rsidRPr="005764FC">
        <w:rPr>
          <w:lang w:eastAsia="fr-CA"/>
        </w:rPr>
        <w:t xml:space="preserve"> or C-V2X) has not been assessed </w:t>
      </w:r>
      <w:r w:rsidR="00EF53B7" w:rsidRPr="005764FC">
        <w:rPr>
          <w:lang w:eastAsia="fr-CA"/>
        </w:rPr>
        <w:t>given the overarching intervention outcomes in</w:t>
      </w:r>
      <w:r w:rsidRPr="005764FC">
        <w:rPr>
          <w:lang w:eastAsia="fr-CA"/>
        </w:rPr>
        <w:t xml:space="preserve"> </w:t>
      </w:r>
      <w:r w:rsidR="00BD6BF4" w:rsidRPr="005764FC">
        <w:rPr>
          <w:lang w:eastAsia="fr-CA"/>
        </w:rPr>
        <w:t xml:space="preserve">Section </w:t>
      </w:r>
      <w:r w:rsidRPr="005764FC">
        <w:rPr>
          <w:lang w:eastAsia="fr-CA"/>
        </w:rPr>
        <w:fldChar w:fldCharType="begin" w:fldLock="1"/>
      </w:r>
      <w:r w:rsidRPr="005764FC">
        <w:rPr>
          <w:lang w:eastAsia="fr-CA"/>
        </w:rPr>
        <w:instrText xml:space="preserve"> REF _Ref92722479 \r \h </w:instrText>
      </w:r>
      <w:r w:rsidRPr="005764FC">
        <w:rPr>
          <w:lang w:eastAsia="fr-CA"/>
        </w:rPr>
      </w:r>
      <w:r w:rsidRPr="005764FC">
        <w:rPr>
          <w:lang w:eastAsia="fr-CA"/>
        </w:rPr>
        <w:fldChar w:fldCharType="separate"/>
      </w:r>
      <w:r w:rsidR="00A34B27">
        <w:rPr>
          <w:lang w:eastAsia="fr-CA"/>
        </w:rPr>
        <w:t>2.3.1</w:t>
      </w:r>
      <w:r w:rsidRPr="005764FC">
        <w:rPr>
          <w:lang w:eastAsia="fr-CA"/>
        </w:rPr>
        <w:fldChar w:fldCharType="end"/>
      </w:r>
      <w:r w:rsidR="00EF53B7" w:rsidRPr="005764FC">
        <w:rPr>
          <w:lang w:eastAsia="fr-CA"/>
        </w:rPr>
        <w:t>.</w:t>
      </w:r>
    </w:p>
    <w:p w14:paraId="21F1673B" w14:textId="6E96874E" w:rsidR="00EE48FD" w:rsidRPr="005764FC" w:rsidRDefault="00EE48FD" w:rsidP="00004964">
      <w:pPr>
        <w:pStyle w:val="Heading4"/>
        <w:rPr>
          <w:lang w:eastAsia="fr-CA"/>
        </w:rPr>
      </w:pPr>
      <w:r w:rsidRPr="005764FC">
        <w:rPr>
          <w:lang w:eastAsia="fr-CA"/>
        </w:rPr>
        <w:t>D</w:t>
      </w:r>
      <w:r w:rsidR="00E142EF" w:rsidRPr="005764FC">
        <w:rPr>
          <w:lang w:eastAsia="fr-CA"/>
        </w:rPr>
        <w:t>rivers</w:t>
      </w:r>
    </w:p>
    <w:p w14:paraId="08E50812" w14:textId="0EE8EC28" w:rsidR="004C341D" w:rsidRPr="005764FC" w:rsidRDefault="004C341D" w:rsidP="00004964">
      <w:pPr>
        <w:pStyle w:val="BodyText"/>
      </w:pPr>
      <w:r w:rsidRPr="005764FC">
        <w:t>The following drivers impact the decisions relat</w:t>
      </w:r>
      <w:r w:rsidR="00CA73B4" w:rsidRPr="005764FC">
        <w:t>ed</w:t>
      </w:r>
      <w:r w:rsidRPr="005764FC">
        <w:t xml:space="preserve"> to short-range communications:</w:t>
      </w:r>
    </w:p>
    <w:p w14:paraId="2E61B138" w14:textId="64F9EB5A" w:rsidR="00933E70" w:rsidRPr="005764FC" w:rsidRDefault="004C341D" w:rsidP="00CE0107">
      <w:pPr>
        <w:pStyle w:val="ListBullet"/>
        <w:ind w:left="357" w:hanging="357"/>
        <w:contextualSpacing/>
        <w:rPr>
          <w:lang w:eastAsia="fr-CA"/>
        </w:rPr>
      </w:pPr>
      <w:r w:rsidRPr="005764FC">
        <w:t>Uncertainty in short</w:t>
      </w:r>
      <w:r w:rsidR="00CA73B4" w:rsidRPr="005764FC">
        <w:t>-</w:t>
      </w:r>
      <w:r w:rsidRPr="005764FC">
        <w:t xml:space="preserve">range communication </w:t>
      </w:r>
      <w:r w:rsidR="0053237D" w:rsidRPr="005764FC">
        <w:t>technology</w:t>
      </w:r>
      <w:r w:rsidRPr="005764FC">
        <w:t xml:space="preserve"> could impede </w:t>
      </w:r>
      <w:r w:rsidR="00CA73B4" w:rsidRPr="005764FC">
        <w:t>C</w:t>
      </w:r>
      <w:r w:rsidR="00CA73B4" w:rsidRPr="005764FC">
        <w:rPr>
          <w:rFonts w:ascii="Cambria Math" w:hAnsi="Cambria Math" w:cs="Cambria Math"/>
        </w:rPr>
        <w:t>‑</w:t>
      </w:r>
      <w:r w:rsidR="00CA73B4" w:rsidRPr="005764FC">
        <w:t xml:space="preserve">ITS deployment </w:t>
      </w:r>
      <w:r w:rsidRPr="005764FC">
        <w:t xml:space="preserve">progress </w:t>
      </w:r>
      <w:r w:rsidR="00185C03" w:rsidRPr="005764FC">
        <w:t xml:space="preserve">because industry will not invest without </w:t>
      </w:r>
      <w:r w:rsidR="00CA73B4" w:rsidRPr="005764FC">
        <w:t xml:space="preserve">the </w:t>
      </w:r>
      <w:r w:rsidR="00933E70" w:rsidRPr="005764FC">
        <w:t>assurance</w:t>
      </w:r>
      <w:r w:rsidR="003F4EAB" w:rsidRPr="005764FC">
        <w:t xml:space="preserve"> </w:t>
      </w:r>
      <w:r w:rsidR="00A71001" w:rsidRPr="005764FC">
        <w:t xml:space="preserve">of supporting </w:t>
      </w:r>
      <w:r w:rsidR="00CA73B4" w:rsidRPr="005764FC">
        <w:t xml:space="preserve">services’ </w:t>
      </w:r>
      <w:r w:rsidR="00A71001" w:rsidRPr="005764FC">
        <w:t>continuity</w:t>
      </w:r>
      <w:r w:rsidR="00011C32" w:rsidRPr="005764FC">
        <w:t>.</w:t>
      </w:r>
    </w:p>
    <w:p w14:paraId="09B14DEC" w14:textId="3E5DEC04" w:rsidR="00CF11FB" w:rsidRPr="005764FC" w:rsidRDefault="00CF11FB" w:rsidP="00CE0107">
      <w:pPr>
        <w:pStyle w:val="ListBullet"/>
        <w:ind w:left="357" w:hanging="357"/>
        <w:contextualSpacing/>
        <w:rPr>
          <w:lang w:eastAsia="fr-CA"/>
        </w:rPr>
      </w:pPr>
      <w:r w:rsidRPr="005764FC">
        <w:t xml:space="preserve">Road agencies </w:t>
      </w:r>
      <w:r w:rsidR="00B6490B" w:rsidRPr="005764FC">
        <w:t xml:space="preserve">require certainty that </w:t>
      </w:r>
      <w:r w:rsidR="00CA73B4" w:rsidRPr="005764FC">
        <w:t xml:space="preserve">vehicles will use </w:t>
      </w:r>
      <w:r w:rsidR="00B6490B" w:rsidRPr="005764FC">
        <w:t>technology deplo</w:t>
      </w:r>
      <w:r w:rsidR="000E2438" w:rsidRPr="005764FC">
        <w:t xml:space="preserve">yed on the road network </w:t>
      </w:r>
      <w:r w:rsidR="007D2EBC" w:rsidRPr="005764FC">
        <w:t>for the life of the asset</w:t>
      </w:r>
      <w:r w:rsidR="00011C32" w:rsidRPr="005764FC">
        <w:t>.</w:t>
      </w:r>
    </w:p>
    <w:p w14:paraId="69485535" w14:textId="7C4655C1" w:rsidR="004C341D" w:rsidRPr="005764FC" w:rsidRDefault="00B44E9A" w:rsidP="00CE0107">
      <w:pPr>
        <w:pStyle w:val="ListBullet"/>
        <w:ind w:left="357" w:hanging="357"/>
        <w:contextualSpacing/>
        <w:rPr>
          <w:lang w:eastAsia="fr-CA"/>
        </w:rPr>
      </w:pPr>
      <w:r w:rsidRPr="005764FC">
        <w:t xml:space="preserve">C-ITS has not used the spectrum allocated with large scale deployment in many regions. This has been inferred as an issue with </w:t>
      </w:r>
      <w:r w:rsidR="00521887" w:rsidRPr="005764FC">
        <w:t>DSRC (ITS-G5)</w:t>
      </w:r>
      <w:r w:rsidR="00011C32" w:rsidRPr="005764FC">
        <w:t>.</w:t>
      </w:r>
    </w:p>
    <w:p w14:paraId="10D782ED" w14:textId="78D489A2" w:rsidR="00B44E9A" w:rsidRPr="005764FC" w:rsidRDefault="00B44E9A" w:rsidP="00CE0107">
      <w:pPr>
        <w:pStyle w:val="ListBullet"/>
        <w:ind w:left="357" w:hanging="357"/>
        <w:contextualSpacing/>
        <w:rPr>
          <w:lang w:eastAsia="fr-CA"/>
        </w:rPr>
      </w:pPr>
      <w:r w:rsidRPr="005764FC">
        <w:rPr>
          <w:lang w:eastAsia="fr-CA"/>
        </w:rPr>
        <w:t>C-V2X has</w:t>
      </w:r>
      <w:r w:rsidR="00402918" w:rsidRPr="005764FC">
        <w:rPr>
          <w:lang w:eastAsia="fr-CA"/>
        </w:rPr>
        <w:t xml:space="preserve"> been chosen as the </w:t>
      </w:r>
      <w:r w:rsidR="003361BD" w:rsidRPr="005764FC">
        <w:rPr>
          <w:lang w:eastAsia="fr-CA"/>
        </w:rPr>
        <w:t>only technology in the US</w:t>
      </w:r>
      <w:r w:rsidR="00011C32" w:rsidRPr="005764FC">
        <w:rPr>
          <w:lang w:eastAsia="fr-CA"/>
        </w:rPr>
        <w:t>.</w:t>
      </w:r>
    </w:p>
    <w:p w14:paraId="283F67B0" w14:textId="50ADC15E" w:rsidR="003361BD" w:rsidRPr="005764FC" w:rsidRDefault="003361BD" w:rsidP="00CE0107">
      <w:pPr>
        <w:pStyle w:val="ListBullet"/>
        <w:ind w:left="357" w:hanging="357"/>
        <w:contextualSpacing/>
        <w:rPr>
          <w:lang w:eastAsia="fr-CA"/>
        </w:rPr>
      </w:pPr>
      <w:r w:rsidRPr="005764FC">
        <w:rPr>
          <w:lang w:eastAsia="fr-CA"/>
        </w:rPr>
        <w:t xml:space="preserve">The cost to replace </w:t>
      </w:r>
      <w:r w:rsidR="00791CB1" w:rsidRPr="005764FC">
        <w:rPr>
          <w:lang w:eastAsia="fr-CA"/>
        </w:rPr>
        <w:t>short-range technology in a future deployment will be high</w:t>
      </w:r>
      <w:r w:rsidR="00011C32" w:rsidRPr="005764FC">
        <w:rPr>
          <w:lang w:eastAsia="fr-CA"/>
        </w:rPr>
        <w:t>.</w:t>
      </w:r>
    </w:p>
    <w:p w14:paraId="5BC74B56" w14:textId="6E48E2A6" w:rsidR="004B20C0" w:rsidRPr="005764FC" w:rsidRDefault="007E363A" w:rsidP="00CE0107">
      <w:pPr>
        <w:pStyle w:val="ListBullet"/>
        <w:ind w:left="357" w:hanging="357"/>
        <w:contextualSpacing/>
        <w:rPr>
          <w:lang w:eastAsia="fr-CA"/>
        </w:rPr>
      </w:pPr>
      <w:r w:rsidRPr="005764FC">
        <w:rPr>
          <w:color w:val="000000"/>
          <w:shd w:val="clear" w:color="auto" w:fill="FFFFFF"/>
        </w:rPr>
        <w:t>Radio</w:t>
      </w:r>
      <w:r>
        <w:rPr>
          <w:color w:val="000000"/>
          <w:shd w:val="clear" w:color="auto" w:fill="FFFFFF"/>
        </w:rPr>
        <w:t xml:space="preserve">frequency </w:t>
      </w:r>
      <w:r w:rsidR="004B20C0" w:rsidRPr="005764FC">
        <w:t xml:space="preserve">spectrum </w:t>
      </w:r>
      <w:r>
        <w:t xml:space="preserve">is a scarce and valuable resource, and its </w:t>
      </w:r>
      <w:r w:rsidR="004B20C0" w:rsidRPr="005764FC">
        <w:t xml:space="preserve">allocation </w:t>
      </w:r>
      <w:r w:rsidR="005F7177">
        <w:t xml:space="preserve">and use </w:t>
      </w:r>
      <w:r w:rsidR="004B20C0" w:rsidRPr="005764FC">
        <w:t xml:space="preserve">is </w:t>
      </w:r>
      <w:r>
        <w:t>closely managed</w:t>
      </w:r>
      <w:r w:rsidR="00CE0107" w:rsidRPr="005764FC">
        <w:t>.</w:t>
      </w:r>
    </w:p>
    <w:p w14:paraId="3D477597" w14:textId="1065FC24" w:rsidR="009E50F5" w:rsidRPr="005764FC" w:rsidRDefault="009E50F5" w:rsidP="009E50F5">
      <w:pPr>
        <w:pStyle w:val="Heading4"/>
      </w:pPr>
      <w:bookmarkStart w:id="227" w:name="_Ref94361048"/>
      <w:r w:rsidRPr="005764FC">
        <w:t>Coherence to strategic plans</w:t>
      </w:r>
      <w:bookmarkEnd w:id="227"/>
      <w:r w:rsidRPr="005764FC">
        <w:t xml:space="preserve"> </w:t>
      </w:r>
    </w:p>
    <w:p w14:paraId="797702A9" w14:textId="4DEBB7B0" w:rsidR="009E50F5" w:rsidRPr="005764FC" w:rsidRDefault="007B27BA" w:rsidP="00BD6BF4">
      <w:pPr>
        <w:pStyle w:val="BodyText"/>
        <w:keepLines/>
      </w:pPr>
      <w:r w:rsidRPr="005764FC">
        <w:rPr>
          <w:lang w:eastAsia="fr-CA"/>
        </w:rPr>
        <w:t xml:space="preserve">Currently, Australian </w:t>
      </w:r>
      <w:r w:rsidRPr="005764FC">
        <w:rPr>
          <w:color w:val="000000"/>
          <w:sz w:val="22"/>
          <w:szCs w:val="22"/>
          <w:shd w:val="clear" w:color="auto" w:fill="FFFFFF"/>
        </w:rPr>
        <w:t>ITS station</w:t>
      </w:r>
      <w:r w:rsidRPr="005764FC">
        <w:rPr>
          <w:color w:val="000000"/>
          <w:sz w:val="22"/>
          <w:shd w:val="clear" w:color="auto" w:fill="FFFFFF"/>
        </w:rPr>
        <w:t>s</w:t>
      </w:r>
      <w:r w:rsidR="00BD6BF4">
        <w:rPr>
          <w:color w:val="000000"/>
          <w:sz w:val="22"/>
          <w:shd w:val="clear" w:color="auto" w:fill="FFFFFF"/>
        </w:rPr>
        <w:t xml:space="preserve"> </w:t>
      </w:r>
      <w:r w:rsidRPr="005764FC">
        <w:rPr>
          <w:color w:val="000000"/>
          <w:shd w:val="clear" w:color="auto" w:fill="FFFFFF"/>
        </w:rPr>
        <w:t>must comply with European standards</w:t>
      </w:r>
      <w:r w:rsidRPr="005764FC">
        <w:rPr>
          <w:rStyle w:val="FootnoteReference"/>
          <w:color w:val="000000"/>
          <w:shd w:val="clear" w:color="auto" w:fill="FFFFFF"/>
        </w:rPr>
        <w:footnoteReference w:id="13"/>
      </w:r>
      <w:r w:rsidRPr="005764FC">
        <w:rPr>
          <w:color w:val="000000"/>
          <w:shd w:val="clear" w:color="auto" w:fill="FFFFFF"/>
        </w:rPr>
        <w:t xml:space="preserve"> in accordance with the ACMA </w:t>
      </w:r>
      <w:sdt>
        <w:sdtPr>
          <w:rPr>
            <w:color w:val="000000"/>
            <w:shd w:val="clear" w:color="auto" w:fill="FFFFFF"/>
          </w:rPr>
          <w:id w:val="1779988329"/>
          <w:citation/>
        </w:sdtPr>
        <w:sdtContent>
          <w:r w:rsidR="000A336D">
            <w:rPr>
              <w:color w:val="000000"/>
              <w:shd w:val="clear" w:color="auto" w:fill="FFFFFF"/>
            </w:rPr>
            <w:fldChar w:fldCharType="begin"/>
          </w:r>
          <w:r w:rsidR="000A336D">
            <w:rPr>
              <w:color w:val="000000"/>
              <w:shd w:val="clear" w:color="auto" w:fill="FFFFFF"/>
            </w:rPr>
            <w:instrText xml:space="preserve">CITATION ACM17 \n  \t  \l 3081 </w:instrText>
          </w:r>
          <w:r w:rsidR="000A336D">
            <w:rPr>
              <w:color w:val="000000"/>
              <w:shd w:val="clear" w:color="auto" w:fill="FFFFFF"/>
            </w:rPr>
            <w:fldChar w:fldCharType="separate"/>
          </w:r>
          <w:r w:rsidR="001428F9" w:rsidRPr="001428F9">
            <w:rPr>
              <w:noProof/>
              <w:color w:val="000000"/>
              <w:shd w:val="clear" w:color="auto" w:fill="FFFFFF"/>
            </w:rPr>
            <w:t>(2017)</w:t>
          </w:r>
          <w:r w:rsidR="000A336D">
            <w:rPr>
              <w:color w:val="000000"/>
              <w:shd w:val="clear" w:color="auto" w:fill="FFFFFF"/>
            </w:rPr>
            <w:fldChar w:fldCharType="end"/>
          </w:r>
        </w:sdtContent>
      </w:sdt>
      <w:r w:rsidRPr="005764FC">
        <w:rPr>
          <w:color w:val="000000"/>
          <w:shd w:val="clear" w:color="auto" w:fill="FFFFFF"/>
        </w:rPr>
        <w:t xml:space="preserve"> </w:t>
      </w:r>
      <w:r w:rsidR="00DD314B" w:rsidRPr="005764FC">
        <w:rPr>
          <w:color w:val="000000"/>
          <w:shd w:val="clear" w:color="auto" w:fill="FFFFFF"/>
        </w:rPr>
        <w:t>Radiocommunications (Intelligent Transport Systems) Class Licence 2017</w:t>
      </w:r>
      <w:r w:rsidR="00B05103" w:rsidRPr="005764FC">
        <w:rPr>
          <w:color w:val="000000"/>
          <w:shd w:val="clear" w:color="auto" w:fill="FFFFFF"/>
        </w:rPr>
        <w:t>.</w:t>
      </w:r>
      <w:r w:rsidRPr="005764FC">
        <w:rPr>
          <w:color w:val="000000"/>
          <w:shd w:val="clear" w:color="auto" w:fill="FFFFFF"/>
        </w:rPr>
        <w:t xml:space="preserve"> </w:t>
      </w:r>
      <w:r w:rsidR="00E17DFB" w:rsidRPr="005764FC">
        <w:t xml:space="preserve">Opening short range communications to </w:t>
      </w:r>
      <w:r w:rsidR="00673C43" w:rsidRPr="005764FC">
        <w:t xml:space="preserve">the market </w:t>
      </w:r>
      <w:r w:rsidR="00651F71" w:rsidRPr="005764FC">
        <w:t>(</w:t>
      </w:r>
      <w:r w:rsidR="007F0C99" w:rsidRPr="005764FC">
        <w:t>PA1</w:t>
      </w:r>
      <w:r w:rsidR="00651F71" w:rsidRPr="005764FC">
        <w:t xml:space="preserve">) </w:t>
      </w:r>
      <w:r w:rsidR="00673C43" w:rsidRPr="005764FC">
        <w:t>encourages technology neutrality (</w:t>
      </w:r>
      <w:r w:rsidR="00651F71" w:rsidRPr="005764FC">
        <w:t xml:space="preserve">preferred in the land transport technology framework) </w:t>
      </w:r>
      <w:r w:rsidR="00E8699E" w:rsidRPr="005764FC">
        <w:t xml:space="preserve">specifically for the access communication used. </w:t>
      </w:r>
      <w:r w:rsidR="00FE1160" w:rsidRPr="005764FC">
        <w:t xml:space="preserve">However, </w:t>
      </w:r>
      <w:r w:rsidR="00B05103" w:rsidRPr="005764FC">
        <w:t>it reduces</w:t>
      </w:r>
      <w:r w:rsidR="0039274F" w:rsidRPr="005764FC">
        <w:t xml:space="preserve"> the ability for C-ITS to meet the </w:t>
      </w:r>
      <w:r w:rsidR="00CA4AF0" w:rsidRPr="005764FC">
        <w:t xml:space="preserve">priority benefit outcomes by </w:t>
      </w:r>
      <w:r w:rsidR="00600B74" w:rsidRPr="005764FC">
        <w:t>segregating</w:t>
      </w:r>
      <w:r w:rsidR="00CA4AF0" w:rsidRPr="005764FC">
        <w:t xml:space="preserve"> the </w:t>
      </w:r>
      <w:r w:rsidR="00600B74" w:rsidRPr="005764FC">
        <w:t xml:space="preserve">market into separate </w:t>
      </w:r>
      <w:r w:rsidR="00076200" w:rsidRPr="005764FC">
        <w:t xml:space="preserve">ecosystems with </w:t>
      </w:r>
      <w:r w:rsidR="00C23F22" w:rsidRPr="005764FC">
        <w:t>an inability to cross share information (non-interoperable)</w:t>
      </w:r>
      <w:r w:rsidR="00076200" w:rsidRPr="005764FC">
        <w:t xml:space="preserve">. </w:t>
      </w:r>
    </w:p>
    <w:p w14:paraId="4AB62BBD" w14:textId="5A3247A3" w:rsidR="00E07278" w:rsidRPr="005764FC" w:rsidRDefault="00B05103" w:rsidP="009E50F5">
      <w:pPr>
        <w:pStyle w:val="BodyText"/>
      </w:pPr>
      <w:r w:rsidRPr="005764FC">
        <w:t>S</w:t>
      </w:r>
      <w:r w:rsidR="000F4C76" w:rsidRPr="005764FC">
        <w:t>electin</w:t>
      </w:r>
      <w:r w:rsidRPr="005764FC">
        <w:t>g</w:t>
      </w:r>
      <w:r w:rsidR="000F4C76" w:rsidRPr="005764FC">
        <w:t xml:space="preserve"> a priority technology (</w:t>
      </w:r>
      <w:r w:rsidR="007F0C99" w:rsidRPr="005764FC">
        <w:t>PA2</w:t>
      </w:r>
      <w:r w:rsidR="000F4C76" w:rsidRPr="005764FC">
        <w:t>)</w:t>
      </w:r>
      <w:r w:rsidR="00F70FC7" w:rsidRPr="005764FC">
        <w:t xml:space="preserve"> </w:t>
      </w:r>
      <w:r w:rsidR="004D670C" w:rsidRPr="005764FC">
        <w:t>addresses this limitation by prioritising the land transport strategic outcomes of improving road safety, efficiency, sustainability and accessibility</w:t>
      </w:r>
      <w:r w:rsidR="007A5B78" w:rsidRPr="005764FC">
        <w:t xml:space="preserve"> through a single interoperable technology</w:t>
      </w:r>
      <w:r w:rsidR="004D670C" w:rsidRPr="005764FC">
        <w:t>.</w:t>
      </w:r>
      <w:r w:rsidR="00C64A74" w:rsidRPr="005764FC">
        <w:t xml:space="preserve"> This</w:t>
      </w:r>
      <w:r w:rsidR="004D670C" w:rsidRPr="005764FC">
        <w:t xml:space="preserve"> </w:t>
      </w:r>
      <w:r w:rsidR="00ED4D20" w:rsidRPr="005764FC">
        <w:t>encourages</w:t>
      </w:r>
      <w:r w:rsidR="00907103" w:rsidRPr="005764FC">
        <w:t xml:space="preserve"> open</w:t>
      </w:r>
      <w:r w:rsidR="00ED4D20" w:rsidRPr="005764FC">
        <w:t xml:space="preserve"> industry deployment </w:t>
      </w:r>
      <w:r w:rsidR="006A16C3" w:rsidRPr="005764FC">
        <w:t>of emer</w:t>
      </w:r>
      <w:r w:rsidR="00907103" w:rsidRPr="005764FC">
        <w:t xml:space="preserve">ging solutions </w:t>
      </w:r>
      <w:r w:rsidR="00ED4D20" w:rsidRPr="005764FC">
        <w:t xml:space="preserve">across the </w:t>
      </w:r>
      <w:r w:rsidR="00907103" w:rsidRPr="005764FC">
        <w:t xml:space="preserve">wider </w:t>
      </w:r>
      <w:r w:rsidR="00ED4D20" w:rsidRPr="005764FC">
        <w:t xml:space="preserve">ecosystem (wider than just short-range communication technology) by </w:t>
      </w:r>
      <w:r w:rsidR="000F4C76" w:rsidRPr="005764FC">
        <w:t>assuring that a common interface is available to share information and build towards beneficial systems</w:t>
      </w:r>
      <w:r w:rsidR="00C64A74" w:rsidRPr="005764FC">
        <w:t xml:space="preserve"> for users, industry and society</w:t>
      </w:r>
      <w:r w:rsidR="000B3024" w:rsidRPr="005764FC">
        <w:t xml:space="preserve">. </w:t>
      </w:r>
      <w:r w:rsidR="00ED4D20" w:rsidRPr="005764FC">
        <w:t xml:space="preserve"> </w:t>
      </w:r>
    </w:p>
    <w:p w14:paraId="676C1C5C" w14:textId="4299B5E4" w:rsidR="00E142EF" w:rsidRPr="005764FC" w:rsidRDefault="00865535" w:rsidP="00004964">
      <w:pPr>
        <w:pStyle w:val="Heading4"/>
        <w:rPr>
          <w:lang w:eastAsia="fr-CA"/>
        </w:rPr>
      </w:pPr>
      <w:bookmarkStart w:id="228" w:name="_Ref94361052"/>
      <w:r w:rsidRPr="005764FC">
        <w:rPr>
          <w:lang w:eastAsia="fr-CA"/>
        </w:rPr>
        <w:t>Effectiveness</w:t>
      </w:r>
      <w:bookmarkEnd w:id="228"/>
      <w:r w:rsidR="00D55D74" w:rsidRPr="005764FC">
        <w:rPr>
          <w:lang w:eastAsia="fr-CA"/>
        </w:rPr>
        <w:t xml:space="preserve"> </w:t>
      </w:r>
    </w:p>
    <w:p w14:paraId="3FC3F1B4" w14:textId="55F3138D" w:rsidR="00457D97" w:rsidRPr="005764FC" w:rsidRDefault="001E7F0C" w:rsidP="00004964">
      <w:pPr>
        <w:pStyle w:val="BodyText"/>
        <w:rPr>
          <w:lang w:eastAsia="fr-CA"/>
        </w:rPr>
      </w:pPr>
      <w:r w:rsidRPr="005764FC">
        <w:rPr>
          <w:lang w:eastAsia="fr-CA"/>
        </w:rPr>
        <w:t xml:space="preserve">The </w:t>
      </w:r>
      <w:r w:rsidR="00B05103" w:rsidRPr="005764FC">
        <w:rPr>
          <w:lang w:eastAsia="fr-CA"/>
        </w:rPr>
        <w:t>non-interoperability of the technologies (</w:t>
      </w:r>
      <w:r w:rsidR="00D01A2D" w:rsidRPr="005764FC">
        <w:rPr>
          <w:lang w:eastAsia="fr-CA"/>
        </w:rPr>
        <w:t xml:space="preserve">DSRC </w:t>
      </w:r>
      <w:r w:rsidR="00B05103" w:rsidRPr="005764FC">
        <w:rPr>
          <w:lang w:eastAsia="fr-CA"/>
        </w:rPr>
        <w:t>and C-V2X) is the</w:t>
      </w:r>
      <w:r w:rsidRPr="005764FC">
        <w:rPr>
          <w:lang w:eastAsia="fr-CA"/>
        </w:rPr>
        <w:t xml:space="preserve"> most significant risk that short-range communication technology selection has on effective </w:t>
      </w:r>
      <w:r w:rsidR="00B05103" w:rsidRPr="005764FC">
        <w:rPr>
          <w:lang w:eastAsia="fr-CA"/>
        </w:rPr>
        <w:t xml:space="preserve">C-ITS </w:t>
      </w:r>
      <w:r w:rsidRPr="005764FC">
        <w:rPr>
          <w:lang w:eastAsia="fr-CA"/>
        </w:rPr>
        <w:t xml:space="preserve">deployment. With a market-led approach, where a split may eventuate, it is assumed that the resulting benefits will be halved while the costs will remain the same. </w:t>
      </w:r>
      <w:r w:rsidR="00142345" w:rsidRPr="005764FC">
        <w:rPr>
          <w:lang w:eastAsia="fr-CA"/>
        </w:rPr>
        <w:t xml:space="preserve">This will reduce the economic viability of C-ITS as </w:t>
      </w:r>
      <w:r w:rsidR="009D762F" w:rsidRPr="005764FC">
        <w:rPr>
          <w:lang w:eastAsia="fr-CA"/>
        </w:rPr>
        <w:t>projected in the CBA</w:t>
      </w:r>
      <w:r w:rsidR="004A5546" w:rsidRPr="005764FC">
        <w:rPr>
          <w:lang w:eastAsia="fr-CA"/>
        </w:rPr>
        <w:t>,</w:t>
      </w:r>
      <w:r w:rsidR="00562E7D" w:rsidRPr="005764FC">
        <w:rPr>
          <w:lang w:eastAsia="fr-CA"/>
        </w:rPr>
        <w:t xml:space="preserve"> wh</w:t>
      </w:r>
      <w:r w:rsidR="004A5546" w:rsidRPr="005764FC">
        <w:rPr>
          <w:lang w:eastAsia="fr-CA"/>
        </w:rPr>
        <w:t>ich assumed</w:t>
      </w:r>
      <w:r w:rsidR="00562E7D" w:rsidRPr="005764FC">
        <w:rPr>
          <w:lang w:eastAsia="fr-CA"/>
        </w:rPr>
        <w:t xml:space="preserve"> a single interoperable technology</w:t>
      </w:r>
      <w:r w:rsidR="009D762F" w:rsidRPr="005764FC">
        <w:rPr>
          <w:lang w:eastAsia="fr-CA"/>
        </w:rPr>
        <w:t xml:space="preserve">. </w:t>
      </w:r>
    </w:p>
    <w:p w14:paraId="03D8E9AB" w14:textId="62AF1965" w:rsidR="00A41F0D" w:rsidRPr="005764FC" w:rsidRDefault="00FC609D" w:rsidP="0085391F">
      <w:pPr>
        <w:pStyle w:val="BodyText"/>
      </w:pPr>
      <w:r w:rsidRPr="005764FC">
        <w:rPr>
          <w:lang w:eastAsia="fr-CA"/>
        </w:rPr>
        <w:t xml:space="preserve">Market </w:t>
      </w:r>
      <w:r w:rsidR="00F905A0" w:rsidRPr="005764FC">
        <w:rPr>
          <w:lang w:eastAsia="fr-CA"/>
        </w:rPr>
        <w:t xml:space="preserve">leadership </w:t>
      </w:r>
      <w:r w:rsidRPr="005764FC">
        <w:rPr>
          <w:lang w:eastAsia="fr-CA"/>
        </w:rPr>
        <w:t xml:space="preserve">that supports the existing ACMA </w:t>
      </w:r>
      <w:r w:rsidR="007C647F" w:rsidRPr="005764FC">
        <w:rPr>
          <w:lang w:eastAsia="fr-CA"/>
        </w:rPr>
        <w:t xml:space="preserve">ITS class licence </w:t>
      </w:r>
      <w:r w:rsidR="00724F07" w:rsidRPr="005764FC">
        <w:rPr>
          <w:lang w:eastAsia="fr-CA"/>
        </w:rPr>
        <w:t>requir</w:t>
      </w:r>
      <w:r w:rsidR="004A5546" w:rsidRPr="005764FC">
        <w:rPr>
          <w:lang w:eastAsia="fr-CA"/>
        </w:rPr>
        <w:t>ing</w:t>
      </w:r>
      <w:r w:rsidR="00724F07" w:rsidRPr="005764FC">
        <w:rPr>
          <w:lang w:eastAsia="fr-CA"/>
        </w:rPr>
        <w:t xml:space="preserve"> </w:t>
      </w:r>
      <w:r w:rsidR="00D01A2D" w:rsidRPr="005764FC">
        <w:rPr>
          <w:lang w:eastAsia="fr-CA"/>
        </w:rPr>
        <w:t>DSRC (</w:t>
      </w:r>
      <w:r w:rsidR="00724F07" w:rsidRPr="005764FC">
        <w:rPr>
          <w:lang w:eastAsia="fr-CA"/>
        </w:rPr>
        <w:t>ITS-G5</w:t>
      </w:r>
      <w:r w:rsidR="00D01A2D" w:rsidRPr="005764FC">
        <w:rPr>
          <w:lang w:eastAsia="fr-CA"/>
        </w:rPr>
        <w:t>)</w:t>
      </w:r>
      <w:r w:rsidR="00F43C64" w:rsidRPr="005764FC">
        <w:rPr>
          <w:rStyle w:val="FootnoteReference"/>
          <w:lang w:eastAsia="fr-CA"/>
        </w:rPr>
        <w:footnoteReference w:id="14"/>
      </w:r>
      <w:r w:rsidR="00724F07" w:rsidRPr="005764FC">
        <w:rPr>
          <w:lang w:eastAsia="fr-CA"/>
        </w:rPr>
        <w:t xml:space="preserve"> </w:t>
      </w:r>
      <w:r w:rsidR="0085391F" w:rsidRPr="005764FC">
        <w:rPr>
          <w:lang w:eastAsia="fr-CA"/>
        </w:rPr>
        <w:t>(</w:t>
      </w:r>
      <w:r w:rsidR="007F0C99" w:rsidRPr="005764FC">
        <w:rPr>
          <w:lang w:eastAsia="fr-CA"/>
        </w:rPr>
        <w:t>PA2</w:t>
      </w:r>
      <w:r w:rsidR="0085391F" w:rsidRPr="005764FC">
        <w:rPr>
          <w:lang w:eastAsia="fr-CA"/>
        </w:rPr>
        <w:t>)</w:t>
      </w:r>
      <w:r w:rsidR="00B55F25" w:rsidRPr="005764FC">
        <w:rPr>
          <w:lang w:eastAsia="fr-CA"/>
        </w:rPr>
        <w:t>,</w:t>
      </w:r>
      <w:r w:rsidR="0085391F" w:rsidRPr="005764FC">
        <w:rPr>
          <w:lang w:eastAsia="fr-CA"/>
        </w:rPr>
        <w:t xml:space="preserve"> </w:t>
      </w:r>
      <w:r w:rsidR="00724F07" w:rsidRPr="005764FC">
        <w:rPr>
          <w:lang w:eastAsia="fr-CA"/>
        </w:rPr>
        <w:t xml:space="preserve">prioritises </w:t>
      </w:r>
      <w:r w:rsidR="00F43C64" w:rsidRPr="005764FC">
        <w:rPr>
          <w:lang w:eastAsia="fr-CA"/>
        </w:rPr>
        <w:t>the single mature technology</w:t>
      </w:r>
      <w:r w:rsidR="00B55F25" w:rsidRPr="005764FC">
        <w:rPr>
          <w:lang w:eastAsia="fr-CA"/>
        </w:rPr>
        <w:t xml:space="preserve"> and</w:t>
      </w:r>
      <w:r w:rsidR="00BD0306" w:rsidRPr="005764FC">
        <w:rPr>
          <w:lang w:eastAsia="fr-CA"/>
        </w:rPr>
        <w:t xml:space="preserve"> will </w:t>
      </w:r>
      <w:r w:rsidR="00F43C64" w:rsidRPr="005764FC">
        <w:rPr>
          <w:lang w:eastAsia="fr-CA"/>
        </w:rPr>
        <w:t xml:space="preserve">allow all stakeholders to focus on effective </w:t>
      </w:r>
      <w:r w:rsidR="004A5546" w:rsidRPr="005764FC">
        <w:rPr>
          <w:lang w:eastAsia="fr-CA"/>
        </w:rPr>
        <w:t xml:space="preserve">benefits </w:t>
      </w:r>
      <w:r w:rsidR="00F43C64" w:rsidRPr="005764FC">
        <w:rPr>
          <w:lang w:eastAsia="fr-CA"/>
        </w:rPr>
        <w:t>delivery.</w:t>
      </w:r>
      <w:r w:rsidR="00405DBD" w:rsidRPr="005764FC">
        <w:rPr>
          <w:lang w:eastAsia="fr-CA"/>
        </w:rPr>
        <w:t xml:space="preserve"> </w:t>
      </w:r>
      <w:r w:rsidR="0085391F" w:rsidRPr="005764FC">
        <w:rPr>
          <w:lang w:eastAsia="fr-CA"/>
        </w:rPr>
        <w:t xml:space="preserve">As discussed in </w:t>
      </w:r>
      <w:r w:rsidR="00EA545B" w:rsidRPr="005764FC">
        <w:rPr>
          <w:lang w:eastAsia="fr-CA"/>
        </w:rPr>
        <w:t>Section</w:t>
      </w:r>
      <w:r w:rsidR="00EA545B">
        <w:rPr>
          <w:lang w:eastAsia="fr-CA"/>
        </w:rPr>
        <w:t> </w:t>
      </w:r>
      <w:r w:rsidR="0085391F" w:rsidRPr="005764FC">
        <w:rPr>
          <w:lang w:eastAsia="fr-CA"/>
        </w:rPr>
        <w:fldChar w:fldCharType="begin" w:fldLock="1"/>
      </w:r>
      <w:r w:rsidR="0085391F" w:rsidRPr="005764FC">
        <w:rPr>
          <w:lang w:eastAsia="fr-CA"/>
        </w:rPr>
        <w:instrText xml:space="preserve"> REF _Ref94361720 \r \h </w:instrText>
      </w:r>
      <w:r w:rsidR="0085391F" w:rsidRPr="005764FC">
        <w:rPr>
          <w:lang w:eastAsia="fr-CA"/>
        </w:rPr>
      </w:r>
      <w:r w:rsidR="0085391F" w:rsidRPr="005764FC">
        <w:rPr>
          <w:lang w:eastAsia="fr-CA"/>
        </w:rPr>
        <w:fldChar w:fldCharType="separate"/>
      </w:r>
      <w:r w:rsidR="00A34B27">
        <w:rPr>
          <w:lang w:eastAsia="fr-CA"/>
        </w:rPr>
        <w:t>1.6.3</w:t>
      </w:r>
      <w:r w:rsidR="0085391F" w:rsidRPr="005764FC">
        <w:rPr>
          <w:lang w:eastAsia="fr-CA"/>
        </w:rPr>
        <w:fldChar w:fldCharType="end"/>
      </w:r>
      <w:r w:rsidR="0085391F" w:rsidRPr="005764FC">
        <w:rPr>
          <w:lang w:eastAsia="fr-CA"/>
        </w:rPr>
        <w:t xml:space="preserve">, efforts are </w:t>
      </w:r>
      <w:r w:rsidR="004A5546" w:rsidRPr="005764FC">
        <w:rPr>
          <w:lang w:eastAsia="fr-CA"/>
        </w:rPr>
        <w:t>underway</w:t>
      </w:r>
      <w:r w:rsidR="0085391F" w:rsidRPr="005764FC">
        <w:rPr>
          <w:lang w:eastAsia="fr-CA"/>
        </w:rPr>
        <w:t xml:space="preserve"> to provi</w:t>
      </w:r>
      <w:r w:rsidR="004A5546" w:rsidRPr="005764FC">
        <w:rPr>
          <w:lang w:eastAsia="fr-CA"/>
        </w:rPr>
        <w:t>de</w:t>
      </w:r>
      <w:r w:rsidR="0085391F" w:rsidRPr="005764FC">
        <w:rPr>
          <w:lang w:eastAsia="fr-CA"/>
        </w:rPr>
        <w:t xml:space="preserve"> mechanisms that allow coexistence between </w:t>
      </w:r>
      <w:r w:rsidR="00D01A2D" w:rsidRPr="005764FC">
        <w:rPr>
          <w:lang w:eastAsia="fr-CA"/>
        </w:rPr>
        <w:t>DSRC (</w:t>
      </w:r>
      <w:r w:rsidR="0085391F" w:rsidRPr="005764FC">
        <w:rPr>
          <w:lang w:eastAsia="fr-CA"/>
        </w:rPr>
        <w:t>ITS-G5</w:t>
      </w:r>
      <w:r w:rsidR="00D01A2D" w:rsidRPr="005764FC">
        <w:rPr>
          <w:lang w:eastAsia="fr-CA"/>
        </w:rPr>
        <w:t>)</w:t>
      </w:r>
      <w:r w:rsidR="0085391F" w:rsidRPr="005764FC">
        <w:rPr>
          <w:lang w:eastAsia="fr-CA"/>
        </w:rPr>
        <w:t xml:space="preserve"> and C-V2X sharing the same spectrum. Th</w:t>
      </w:r>
      <w:r w:rsidR="00C445D8" w:rsidRPr="005764FC">
        <w:rPr>
          <w:lang w:eastAsia="fr-CA"/>
        </w:rPr>
        <w:t>is</w:t>
      </w:r>
      <w:r w:rsidR="0085391F" w:rsidRPr="005764FC">
        <w:rPr>
          <w:lang w:eastAsia="fr-CA"/>
        </w:rPr>
        <w:t xml:space="preserve"> </w:t>
      </w:r>
      <w:r w:rsidR="00915148" w:rsidRPr="005764FC">
        <w:rPr>
          <w:lang w:eastAsia="fr-CA"/>
        </w:rPr>
        <w:t>approach</w:t>
      </w:r>
      <w:r w:rsidR="0085391F" w:rsidRPr="005764FC">
        <w:rPr>
          <w:lang w:eastAsia="fr-CA"/>
        </w:rPr>
        <w:t xml:space="preserve"> </w:t>
      </w:r>
      <w:r w:rsidR="00E06139" w:rsidRPr="005764FC">
        <w:rPr>
          <w:lang w:eastAsia="fr-CA"/>
        </w:rPr>
        <w:t>supports</w:t>
      </w:r>
      <w:r w:rsidR="0085391F" w:rsidRPr="005764FC">
        <w:rPr>
          <w:lang w:eastAsia="fr-CA"/>
        </w:rPr>
        <w:t xml:space="preserve"> the ability for open technology solutions</w:t>
      </w:r>
      <w:r w:rsidR="00C445D8" w:rsidRPr="005764FC">
        <w:rPr>
          <w:lang w:eastAsia="fr-CA"/>
        </w:rPr>
        <w:t xml:space="preserve"> to generate additional benefits</w:t>
      </w:r>
      <w:r w:rsidR="0085391F" w:rsidRPr="005764FC">
        <w:rPr>
          <w:lang w:eastAsia="fr-CA"/>
        </w:rPr>
        <w:t>. However, this must be on the basis that</w:t>
      </w:r>
      <w:r w:rsidR="00E81418" w:rsidRPr="005764FC">
        <w:rPr>
          <w:lang w:eastAsia="fr-CA"/>
        </w:rPr>
        <w:t xml:space="preserve"> the </w:t>
      </w:r>
      <w:r w:rsidR="00950D50" w:rsidRPr="005764FC">
        <w:rPr>
          <w:lang w:eastAsia="fr-CA"/>
        </w:rPr>
        <w:t xml:space="preserve">functionality </w:t>
      </w:r>
      <w:r w:rsidR="00C445D8" w:rsidRPr="005764FC">
        <w:rPr>
          <w:lang w:eastAsia="fr-CA"/>
        </w:rPr>
        <w:t xml:space="preserve">and societal benefits </w:t>
      </w:r>
      <w:r w:rsidR="00950D50" w:rsidRPr="005764FC">
        <w:rPr>
          <w:lang w:eastAsia="fr-CA"/>
        </w:rPr>
        <w:t xml:space="preserve">provided by </w:t>
      </w:r>
      <w:r w:rsidR="00C445D8" w:rsidRPr="005764FC">
        <w:rPr>
          <w:lang w:eastAsia="fr-CA"/>
        </w:rPr>
        <w:t xml:space="preserve">interoperability through </w:t>
      </w:r>
      <w:r w:rsidR="00521887" w:rsidRPr="005764FC">
        <w:rPr>
          <w:lang w:eastAsia="fr-CA"/>
        </w:rPr>
        <w:t>DSRC (ITS-G5)</w:t>
      </w:r>
      <w:r w:rsidR="002801FE" w:rsidRPr="005764FC">
        <w:rPr>
          <w:lang w:eastAsia="fr-CA"/>
        </w:rPr>
        <w:t xml:space="preserve"> is not </w:t>
      </w:r>
      <w:r w:rsidR="00E81418" w:rsidRPr="005764FC">
        <w:rPr>
          <w:lang w:eastAsia="fr-CA"/>
        </w:rPr>
        <w:t>degrad</w:t>
      </w:r>
      <w:r w:rsidR="002801FE" w:rsidRPr="005764FC">
        <w:rPr>
          <w:lang w:eastAsia="fr-CA"/>
        </w:rPr>
        <w:t>ed</w:t>
      </w:r>
      <w:r w:rsidR="000B3024" w:rsidRPr="005764FC">
        <w:rPr>
          <w:lang w:eastAsia="fr-CA"/>
        </w:rPr>
        <w:t xml:space="preserve">. </w:t>
      </w:r>
      <w:r w:rsidR="00C5432D" w:rsidRPr="005764FC">
        <w:rPr>
          <w:lang w:eastAsia="fr-CA"/>
        </w:rPr>
        <w:t xml:space="preserve"> </w:t>
      </w:r>
    </w:p>
    <w:p w14:paraId="7270EF45" w14:textId="2D4B3CD3" w:rsidR="00FC1189" w:rsidRPr="005764FC" w:rsidRDefault="00FC1189" w:rsidP="0039772C">
      <w:pPr>
        <w:pStyle w:val="Heading4"/>
      </w:pPr>
      <w:bookmarkStart w:id="229" w:name="_Ref94361058"/>
      <w:r w:rsidRPr="005764FC">
        <w:t>Socioeconomic Benefit</w:t>
      </w:r>
      <w:bookmarkEnd w:id="229"/>
    </w:p>
    <w:p w14:paraId="250A7385" w14:textId="04D6F23F" w:rsidR="008D37E7" w:rsidRPr="005764FC" w:rsidRDefault="008D37E7" w:rsidP="008D37E7">
      <w:pPr>
        <w:pStyle w:val="BodyText"/>
      </w:pPr>
      <w:r w:rsidRPr="005764FC">
        <w:t>Along with the influences in effectiveness (</w:t>
      </w:r>
      <w:r w:rsidR="00EA545B" w:rsidRPr="005764FC">
        <w:t xml:space="preserve">Section </w:t>
      </w:r>
      <w:r w:rsidRPr="005764FC">
        <w:fldChar w:fldCharType="begin" w:fldLock="1"/>
      </w:r>
      <w:r w:rsidRPr="005764FC">
        <w:instrText xml:space="preserve"> REF _Ref94361052 \r \h </w:instrText>
      </w:r>
      <w:r w:rsidRPr="005764FC">
        <w:fldChar w:fldCharType="separate"/>
      </w:r>
      <w:r w:rsidR="00A34B27">
        <w:t>2.3.3.3</w:t>
      </w:r>
      <w:r w:rsidRPr="005764FC">
        <w:fldChar w:fldCharType="end"/>
      </w:r>
      <w:r w:rsidRPr="005764FC">
        <w:t xml:space="preserve">) that impact the socioeconomic viability of deployment, the highest risk impacting the </w:t>
      </w:r>
      <w:r w:rsidR="002801FE" w:rsidRPr="005764FC">
        <w:t xml:space="preserve">CBA </w:t>
      </w:r>
      <w:r w:rsidRPr="005764FC">
        <w:t>projections relate to delays in timing. Market-led options (</w:t>
      </w:r>
      <w:r w:rsidR="007F0C99" w:rsidRPr="005764FC">
        <w:t>PA1</w:t>
      </w:r>
      <w:r w:rsidRPr="005764FC">
        <w:t xml:space="preserve">) </w:t>
      </w:r>
      <w:r w:rsidR="002801FE" w:rsidRPr="005764FC">
        <w:t>reduce</w:t>
      </w:r>
      <w:r w:rsidRPr="005764FC">
        <w:t xml:space="preserve"> certainty for industry which likely results in delays </w:t>
      </w:r>
      <w:r w:rsidR="002801FE" w:rsidRPr="005764FC">
        <w:t>to</w:t>
      </w:r>
      <w:r w:rsidRPr="005764FC">
        <w:t xml:space="preserve"> their development plans. On the basis that DSRC had a 9-year development cycle to be</w:t>
      </w:r>
      <w:r w:rsidR="000B4D7E" w:rsidRPr="005764FC">
        <w:t>come</w:t>
      </w:r>
      <w:r w:rsidRPr="005764FC">
        <w:t xml:space="preserve"> a robust, mature technology ready for deployment</w:t>
      </w:r>
      <w:r w:rsidR="000B4D7E" w:rsidRPr="005764FC">
        <w:t>,</w:t>
      </w:r>
      <w:r w:rsidRPr="005764FC">
        <w:t xml:space="preserve"> and C-V2X is still early in development and testing</w:t>
      </w:r>
      <w:sdt>
        <w:sdtPr>
          <w:id w:val="1251855653"/>
          <w:citation/>
        </w:sdtPr>
        <w:sdtContent>
          <w:r w:rsidR="00595DCC">
            <w:fldChar w:fldCharType="begin"/>
          </w:r>
          <w:r w:rsidR="00595DCC">
            <w:instrText xml:space="preserve"> CITATION NXP20 \l 3081 </w:instrText>
          </w:r>
          <w:r w:rsidR="00595DCC">
            <w:fldChar w:fldCharType="separate"/>
          </w:r>
          <w:r w:rsidR="001428F9">
            <w:rPr>
              <w:noProof/>
            </w:rPr>
            <w:t xml:space="preserve"> (NXP, 2020)</w:t>
          </w:r>
          <w:r w:rsidR="00595DCC">
            <w:fldChar w:fldCharType="end"/>
          </w:r>
        </w:sdtContent>
      </w:sdt>
      <w:r w:rsidRPr="005764FC">
        <w:t xml:space="preserve">, if manufacturers do switch to C-V2X, this will likely </w:t>
      </w:r>
      <w:r w:rsidR="000B4D7E" w:rsidRPr="005764FC">
        <w:t>cause</w:t>
      </w:r>
      <w:r w:rsidRPr="005764FC">
        <w:t xml:space="preserve"> significant delays </w:t>
      </w:r>
      <w:r w:rsidR="000B4D7E" w:rsidRPr="005764FC">
        <w:t>to</w:t>
      </w:r>
      <w:r w:rsidRPr="005764FC">
        <w:t xml:space="preserve"> scaled deployment. </w:t>
      </w:r>
    </w:p>
    <w:p w14:paraId="6BBD577B" w14:textId="440638D3" w:rsidR="003767E6" w:rsidRPr="005764FC" w:rsidRDefault="003767E6" w:rsidP="008D37E7">
      <w:pPr>
        <w:pStyle w:val="BodyText"/>
      </w:pPr>
      <w:bookmarkStart w:id="230" w:name="_Ref94361062"/>
      <w:r w:rsidRPr="005764FC">
        <w:t xml:space="preserve">Government support for </w:t>
      </w:r>
      <w:r w:rsidR="00521887" w:rsidRPr="005764FC">
        <w:t>DSRC (ITS-G5)</w:t>
      </w:r>
      <w:r w:rsidRPr="005764FC">
        <w:t xml:space="preserve"> as the priority technology is most likely to align with the projected CBA</w:t>
      </w:r>
      <w:r w:rsidR="000B4D7E" w:rsidRPr="005764FC">
        <w:t xml:space="preserve"> </w:t>
      </w:r>
      <w:r w:rsidRPr="005764FC">
        <w:t>benefits</w:t>
      </w:r>
      <w:r w:rsidR="000B4D7E" w:rsidRPr="005764FC">
        <w:t>.</w:t>
      </w:r>
      <w:r w:rsidRPr="005764FC">
        <w:t xml:space="preserve"> As stated in </w:t>
      </w:r>
      <w:r w:rsidR="00EA545B" w:rsidRPr="005764FC">
        <w:t xml:space="preserve">Section </w:t>
      </w:r>
      <w:r w:rsidRPr="005764FC">
        <w:fldChar w:fldCharType="begin" w:fldLock="1"/>
      </w:r>
      <w:r w:rsidRPr="005764FC">
        <w:instrText xml:space="preserve"> REF _Ref94361052 \r \h </w:instrText>
      </w:r>
      <w:r w:rsidRPr="005764FC">
        <w:fldChar w:fldCharType="separate"/>
      </w:r>
      <w:r w:rsidR="00A34B27">
        <w:t>2.3.3.3</w:t>
      </w:r>
      <w:r w:rsidRPr="005764FC">
        <w:fldChar w:fldCharType="end"/>
      </w:r>
      <w:r w:rsidRPr="005764FC">
        <w:t xml:space="preserve">, C-V2X may provide a future benefits streams outside the core C-ITS objectives. </w:t>
      </w:r>
    </w:p>
    <w:p w14:paraId="71980F24" w14:textId="2004806C" w:rsidR="00FC1189" w:rsidRPr="005764FC" w:rsidRDefault="00973E54" w:rsidP="0039772C">
      <w:pPr>
        <w:pStyle w:val="Heading4"/>
      </w:pPr>
      <w:bookmarkStart w:id="231" w:name="_Ref94509570"/>
      <w:r w:rsidRPr="005764FC">
        <w:t>Deployment realisation and Longevity</w:t>
      </w:r>
      <w:bookmarkEnd w:id="230"/>
      <w:bookmarkEnd w:id="231"/>
      <w:r w:rsidR="00D55D74" w:rsidRPr="005764FC">
        <w:t xml:space="preserve"> </w:t>
      </w:r>
      <w:r w:rsidR="00FC1189" w:rsidRPr="005764FC">
        <w:t xml:space="preserve"> </w:t>
      </w:r>
    </w:p>
    <w:p w14:paraId="6D9C1F61" w14:textId="5A9C571A" w:rsidR="00C97509" w:rsidRPr="005764FC" w:rsidRDefault="00C97509" w:rsidP="00C97509">
      <w:pPr>
        <w:pStyle w:val="BodyText"/>
        <w:rPr>
          <w:lang w:eastAsia="fr-CA"/>
        </w:rPr>
      </w:pPr>
      <w:r w:rsidRPr="005764FC">
        <w:t>Maintaining current alignment to European communication standards (per analysis</w:t>
      </w:r>
      <w:r w:rsidR="003767E6" w:rsidRPr="005764FC">
        <w:t xml:space="preserve"> outcome </w:t>
      </w:r>
      <w:r w:rsidR="007F0C99" w:rsidRPr="005764FC">
        <w:t>PA2</w:t>
      </w:r>
      <w:r w:rsidRPr="005764FC">
        <w:t xml:space="preserve"> in </w:t>
      </w:r>
      <w:r w:rsidR="00EA545B" w:rsidRPr="005764FC">
        <w:t xml:space="preserve">Section </w:t>
      </w:r>
      <w:r w:rsidRPr="005764FC">
        <w:fldChar w:fldCharType="begin" w:fldLock="1"/>
      </w:r>
      <w:r w:rsidRPr="005764FC">
        <w:instrText xml:space="preserve"> REF _Ref93906241 \r \h </w:instrText>
      </w:r>
      <w:r w:rsidRPr="005764FC">
        <w:fldChar w:fldCharType="separate"/>
      </w:r>
      <w:r w:rsidR="00A34B27">
        <w:t>2.3.2</w:t>
      </w:r>
      <w:r w:rsidRPr="005764FC">
        <w:fldChar w:fldCharType="end"/>
      </w:r>
      <w:r w:rsidRPr="005764FC">
        <w:t xml:space="preserve">) provides continued certainty </w:t>
      </w:r>
      <w:r w:rsidR="003767E6" w:rsidRPr="005764FC">
        <w:t>to</w:t>
      </w:r>
      <w:r w:rsidRPr="005764FC">
        <w:t xml:space="preserve"> </w:t>
      </w:r>
      <w:r w:rsidR="003767E6" w:rsidRPr="005764FC">
        <w:t>deploy technology</w:t>
      </w:r>
      <w:r w:rsidRPr="005764FC">
        <w:t xml:space="preserve"> </w:t>
      </w:r>
      <w:r w:rsidR="003767E6" w:rsidRPr="005764FC">
        <w:t>without further delays. This is particularly important for physical equipment which would be costly to replace. Further</w:t>
      </w:r>
      <w:r w:rsidR="000B4D7E" w:rsidRPr="005764FC">
        <w:t>,</w:t>
      </w:r>
      <w:r w:rsidR="003767E6" w:rsidRPr="005764FC">
        <w:t xml:space="preserve"> this generates assurance of longevity for the life of products deployed for stakeholders including infrastructure providers and vehicle manufacturers</w:t>
      </w:r>
      <w:r w:rsidR="000B3024" w:rsidRPr="005764FC">
        <w:t xml:space="preserve">. </w:t>
      </w:r>
    </w:p>
    <w:p w14:paraId="527F65A3" w14:textId="782358F9" w:rsidR="008C1B10" w:rsidRPr="005764FC" w:rsidRDefault="00C445D8" w:rsidP="00C445D8">
      <w:pPr>
        <w:pStyle w:val="BodyText"/>
      </w:pPr>
      <w:r w:rsidRPr="005764FC">
        <w:rPr>
          <w:lang w:eastAsia="fr-CA"/>
        </w:rPr>
        <w:t>Market-led (</w:t>
      </w:r>
      <w:r w:rsidR="007F0C99" w:rsidRPr="005764FC">
        <w:rPr>
          <w:lang w:eastAsia="fr-CA"/>
        </w:rPr>
        <w:t>PA1</w:t>
      </w:r>
      <w:r w:rsidRPr="005764FC">
        <w:rPr>
          <w:lang w:eastAsia="fr-CA"/>
        </w:rPr>
        <w:t>) deployment assumes openness to multiple competing technologies</w:t>
      </w:r>
      <w:r w:rsidR="009D4377" w:rsidRPr="005764FC">
        <w:rPr>
          <w:lang w:eastAsia="fr-CA"/>
        </w:rPr>
        <w:t xml:space="preserve"> in a very specific </w:t>
      </w:r>
      <w:r w:rsidR="00BD3918" w:rsidRPr="005764FC">
        <w:rPr>
          <w:lang w:eastAsia="fr-CA"/>
        </w:rPr>
        <w:t>component</w:t>
      </w:r>
      <w:r w:rsidR="00B010B8" w:rsidRPr="005764FC">
        <w:rPr>
          <w:lang w:eastAsia="fr-CA"/>
        </w:rPr>
        <w:t>,</w:t>
      </w:r>
      <w:r w:rsidR="00830A8D" w:rsidRPr="005764FC">
        <w:rPr>
          <w:lang w:eastAsia="fr-CA"/>
        </w:rPr>
        <w:t xml:space="preserve"> which</w:t>
      </w:r>
      <w:r w:rsidRPr="005764FC">
        <w:rPr>
          <w:lang w:eastAsia="fr-CA"/>
        </w:rPr>
        <w:t xml:space="preserve"> </w:t>
      </w:r>
      <w:r w:rsidR="00830A8D" w:rsidRPr="005764FC">
        <w:rPr>
          <w:lang w:eastAsia="fr-CA"/>
        </w:rPr>
        <w:t>results in targeting</w:t>
      </w:r>
      <w:r w:rsidRPr="005764FC">
        <w:rPr>
          <w:lang w:eastAsia="fr-CA"/>
        </w:rPr>
        <w:t xml:space="preserve"> the same benefits. </w:t>
      </w:r>
      <w:r w:rsidR="00D35DB6" w:rsidRPr="005764FC">
        <w:rPr>
          <w:lang w:eastAsia="fr-CA"/>
        </w:rPr>
        <w:t>F</w:t>
      </w:r>
      <w:r w:rsidR="008C1B10" w:rsidRPr="005764FC">
        <w:t>ull scale deployment challenges have not been related to short-range communications</w:t>
      </w:r>
      <w:r w:rsidR="00EE14E3" w:rsidRPr="005764FC">
        <w:t>. R</w:t>
      </w:r>
      <w:r w:rsidR="008C1B10" w:rsidRPr="005764FC">
        <w:t xml:space="preserve">ather </w:t>
      </w:r>
      <w:r w:rsidR="00EE14E3" w:rsidRPr="005764FC">
        <w:t>they revolve around</w:t>
      </w:r>
      <w:r w:rsidR="008C1B10" w:rsidRPr="005764FC">
        <w:t xml:space="preserve"> issues of the ecosystem such as </w:t>
      </w:r>
      <w:r w:rsidR="003F7493" w:rsidRPr="005764FC">
        <w:t xml:space="preserve">user interaction and acceptance, </w:t>
      </w:r>
      <w:r w:rsidR="0019729E" w:rsidRPr="005764FC">
        <w:t xml:space="preserve">business models </w:t>
      </w:r>
      <w:r w:rsidR="0019729E" w:rsidRPr="005764FC">
        <w:rPr>
          <w:lang w:eastAsia="fr-CA"/>
        </w:rPr>
        <w:t>with new interactions and processes</w:t>
      </w:r>
      <w:r w:rsidR="0019729E" w:rsidRPr="005764FC">
        <w:t xml:space="preserve">, data readiness, </w:t>
      </w:r>
      <w:r w:rsidR="008C1B10" w:rsidRPr="005764FC">
        <w:t>availability of a security system</w:t>
      </w:r>
      <w:r w:rsidRPr="005764FC">
        <w:t xml:space="preserve">, </w:t>
      </w:r>
      <w:r w:rsidR="008C1B10" w:rsidRPr="005764FC">
        <w:t>availability of infrastructure to support V2X use cases</w:t>
      </w:r>
      <w:r w:rsidR="00EE14E3" w:rsidRPr="005764FC">
        <w:t>,</w:t>
      </w:r>
      <w:r w:rsidRPr="005764FC">
        <w:t xml:space="preserve"> and capability of applications</w:t>
      </w:r>
      <w:r w:rsidR="008C1B10" w:rsidRPr="005764FC">
        <w:t xml:space="preserve">. </w:t>
      </w:r>
      <w:r w:rsidR="00683072" w:rsidRPr="005764FC">
        <w:rPr>
          <w:lang w:eastAsia="fr-CA"/>
        </w:rPr>
        <w:t xml:space="preserve">Given a combination of short-range technologies is likely to increase </w:t>
      </w:r>
      <w:r w:rsidR="00EE14E3" w:rsidRPr="005764FC">
        <w:rPr>
          <w:lang w:eastAsia="fr-CA"/>
        </w:rPr>
        <w:t xml:space="preserve">deployment </w:t>
      </w:r>
      <w:r w:rsidR="00683072" w:rsidRPr="005764FC">
        <w:rPr>
          <w:lang w:eastAsia="fr-CA"/>
        </w:rPr>
        <w:t>complexity</w:t>
      </w:r>
      <w:r w:rsidR="00235A57" w:rsidRPr="005764FC">
        <w:rPr>
          <w:lang w:eastAsia="fr-CA"/>
        </w:rPr>
        <w:t>,</w:t>
      </w:r>
      <w:r w:rsidR="00683072" w:rsidRPr="005764FC">
        <w:rPr>
          <w:lang w:eastAsia="fr-CA"/>
        </w:rPr>
        <w:t xml:space="preserve"> </w:t>
      </w:r>
      <w:r w:rsidR="0056204D" w:rsidRPr="005764FC">
        <w:t>consider</w:t>
      </w:r>
      <w:r w:rsidR="00EE14E3" w:rsidRPr="005764FC">
        <w:t>ing</w:t>
      </w:r>
      <w:r w:rsidR="0056204D" w:rsidRPr="005764FC">
        <w:t xml:space="preserve"> alternative</w:t>
      </w:r>
      <w:r w:rsidR="00683072" w:rsidRPr="005764FC">
        <w:t xml:space="preserve"> short-range communications </w:t>
      </w:r>
      <w:r w:rsidR="00366DDB" w:rsidRPr="005764FC">
        <w:t>appears</w:t>
      </w:r>
      <w:r w:rsidR="00D22655" w:rsidRPr="005764FC">
        <w:t xml:space="preserve"> </w:t>
      </w:r>
      <w:r w:rsidR="00683072" w:rsidRPr="005764FC">
        <w:t xml:space="preserve">ill-directed </w:t>
      </w:r>
      <w:r w:rsidR="00EE14E3" w:rsidRPr="005764FC">
        <w:t>if</w:t>
      </w:r>
      <w:r w:rsidR="00D22655" w:rsidRPr="005764FC">
        <w:t xml:space="preserve"> targeting </w:t>
      </w:r>
      <w:r w:rsidR="00934572" w:rsidRPr="005764FC">
        <w:t xml:space="preserve">a pragmatic pathway to </w:t>
      </w:r>
      <w:r w:rsidR="00D22655" w:rsidRPr="005764FC">
        <w:t xml:space="preserve">deployment realisation. </w:t>
      </w:r>
    </w:p>
    <w:p w14:paraId="7A0452F1" w14:textId="05AF7D45" w:rsidR="00393823" w:rsidRPr="005764FC" w:rsidRDefault="00040A18" w:rsidP="00004964">
      <w:pPr>
        <w:pStyle w:val="Heading4"/>
        <w:rPr>
          <w:lang w:eastAsia="fr-CA"/>
        </w:rPr>
      </w:pPr>
      <w:r w:rsidRPr="005764FC">
        <w:rPr>
          <w:lang w:eastAsia="fr-CA"/>
        </w:rPr>
        <w:t xml:space="preserve">Summary </w:t>
      </w:r>
    </w:p>
    <w:p w14:paraId="0E956570" w14:textId="5F0BC7DF" w:rsidR="00B44E9A" w:rsidRPr="005764FC" w:rsidRDefault="00613D28" w:rsidP="00004964">
      <w:pPr>
        <w:pStyle w:val="BodyText"/>
        <w:rPr>
          <w:lang w:eastAsia="fr-CA"/>
        </w:rPr>
      </w:pPr>
      <w:r w:rsidRPr="005764FC">
        <w:t xml:space="preserve">The approach to </w:t>
      </w:r>
      <w:r w:rsidR="005C03D3" w:rsidRPr="005764FC">
        <w:t>short-range communications</w:t>
      </w:r>
      <w:r w:rsidRPr="005764FC">
        <w:t xml:space="preserve"> has been assessed in relation to </w:t>
      </w:r>
      <w:r w:rsidR="007F0C99" w:rsidRPr="005764FC">
        <w:rPr>
          <w:lang w:eastAsia="fr-CA"/>
        </w:rPr>
        <w:t>PA1</w:t>
      </w:r>
      <w:r w:rsidRPr="005764FC">
        <w:rPr>
          <w:lang w:eastAsia="fr-CA"/>
        </w:rPr>
        <w:t>: open to market-led</w:t>
      </w:r>
      <w:r w:rsidR="005C03D3" w:rsidRPr="005764FC">
        <w:rPr>
          <w:lang w:eastAsia="fr-CA"/>
        </w:rPr>
        <w:t xml:space="preserve"> selection of technology</w:t>
      </w:r>
      <w:r w:rsidRPr="005764FC">
        <w:rPr>
          <w:lang w:eastAsia="fr-CA"/>
        </w:rPr>
        <w:t xml:space="preserve">, </w:t>
      </w:r>
      <w:r w:rsidR="00226FBC" w:rsidRPr="005764FC">
        <w:rPr>
          <w:lang w:eastAsia="fr-CA"/>
        </w:rPr>
        <w:t xml:space="preserve">and </w:t>
      </w:r>
      <w:r w:rsidR="007F0C99" w:rsidRPr="005764FC">
        <w:rPr>
          <w:lang w:eastAsia="fr-CA"/>
        </w:rPr>
        <w:t>PA2</w:t>
      </w:r>
      <w:r w:rsidRPr="005764FC">
        <w:rPr>
          <w:lang w:eastAsia="fr-CA"/>
        </w:rPr>
        <w:t xml:space="preserve">: </w:t>
      </w:r>
      <w:r w:rsidR="005C03D3" w:rsidRPr="005764FC">
        <w:rPr>
          <w:lang w:eastAsia="fr-CA"/>
        </w:rPr>
        <w:t xml:space="preserve">following Europe </w:t>
      </w:r>
      <w:r w:rsidR="00C56C54" w:rsidRPr="005764FC">
        <w:rPr>
          <w:lang w:eastAsia="fr-CA"/>
        </w:rPr>
        <w:t xml:space="preserve">by prioritising </w:t>
      </w:r>
      <w:r w:rsidR="00DA6914" w:rsidRPr="005764FC">
        <w:rPr>
          <w:lang w:eastAsia="fr-CA"/>
        </w:rPr>
        <w:t>DSRC (</w:t>
      </w:r>
      <w:r w:rsidR="00C56C54" w:rsidRPr="005764FC">
        <w:rPr>
          <w:lang w:eastAsia="fr-CA"/>
        </w:rPr>
        <w:t>ITS-G5</w:t>
      </w:r>
      <w:r w:rsidR="00DA6914" w:rsidRPr="005764FC">
        <w:rPr>
          <w:lang w:eastAsia="fr-CA"/>
        </w:rPr>
        <w:t>)</w:t>
      </w:r>
      <w:r w:rsidR="002721A9" w:rsidRPr="005764FC">
        <w:rPr>
          <w:lang w:eastAsia="fr-CA"/>
        </w:rPr>
        <w:t xml:space="preserve">. The regulation of short-range communication in all new vehicles </w:t>
      </w:r>
      <w:r w:rsidR="00426766" w:rsidRPr="005764FC">
        <w:rPr>
          <w:lang w:eastAsia="fr-CA"/>
        </w:rPr>
        <w:t>(</w:t>
      </w:r>
      <w:r w:rsidR="007F0C99" w:rsidRPr="005764FC">
        <w:rPr>
          <w:lang w:eastAsia="fr-CA"/>
        </w:rPr>
        <w:t>PA3</w:t>
      </w:r>
      <w:r w:rsidR="00426766" w:rsidRPr="005764FC">
        <w:rPr>
          <w:lang w:eastAsia="fr-CA"/>
        </w:rPr>
        <w:t xml:space="preserve">) </w:t>
      </w:r>
      <w:r w:rsidR="002721A9" w:rsidRPr="005764FC">
        <w:rPr>
          <w:lang w:eastAsia="fr-CA"/>
        </w:rPr>
        <w:t xml:space="preserve">has not been assessed as </w:t>
      </w:r>
      <w:r w:rsidR="00352E18" w:rsidRPr="005764FC">
        <w:rPr>
          <w:lang w:eastAsia="fr-CA"/>
        </w:rPr>
        <w:t xml:space="preserve">it </w:t>
      </w:r>
      <w:r w:rsidR="002721A9" w:rsidRPr="005764FC">
        <w:rPr>
          <w:lang w:eastAsia="fr-CA"/>
        </w:rPr>
        <w:t xml:space="preserve">should be driven from the </w:t>
      </w:r>
      <w:r w:rsidR="002E1E16" w:rsidRPr="005764FC">
        <w:rPr>
          <w:lang w:eastAsia="fr-CA"/>
        </w:rPr>
        <w:t xml:space="preserve">need for government intervention to meet </w:t>
      </w:r>
      <w:r w:rsidR="00F035CB" w:rsidRPr="005764FC">
        <w:rPr>
          <w:lang w:eastAsia="fr-CA"/>
        </w:rPr>
        <w:t xml:space="preserve">strategic societal benefits </w:t>
      </w:r>
      <w:r w:rsidR="007E0ED0" w:rsidRPr="005764FC">
        <w:rPr>
          <w:lang w:eastAsia="fr-CA"/>
        </w:rPr>
        <w:t xml:space="preserve">(analysed in </w:t>
      </w:r>
      <w:r w:rsidR="00EA545B" w:rsidRPr="005764FC">
        <w:rPr>
          <w:lang w:eastAsia="fr-CA"/>
        </w:rPr>
        <w:t xml:space="preserve">Section </w:t>
      </w:r>
      <w:r w:rsidR="007E0ED0" w:rsidRPr="005764FC">
        <w:rPr>
          <w:lang w:eastAsia="fr-CA"/>
        </w:rPr>
        <w:fldChar w:fldCharType="begin" w:fldLock="1"/>
      </w:r>
      <w:r w:rsidR="007E0ED0" w:rsidRPr="005764FC">
        <w:rPr>
          <w:lang w:eastAsia="fr-CA"/>
        </w:rPr>
        <w:instrText xml:space="preserve"> REF _Ref92722479 \r \h </w:instrText>
      </w:r>
      <w:r w:rsidR="007E0ED0" w:rsidRPr="005764FC">
        <w:rPr>
          <w:lang w:eastAsia="fr-CA"/>
        </w:rPr>
      </w:r>
      <w:r w:rsidR="007E0ED0" w:rsidRPr="005764FC">
        <w:rPr>
          <w:lang w:eastAsia="fr-CA"/>
        </w:rPr>
        <w:fldChar w:fldCharType="separate"/>
      </w:r>
      <w:r w:rsidR="00A34B27">
        <w:rPr>
          <w:lang w:eastAsia="fr-CA"/>
        </w:rPr>
        <w:t>2.3.1</w:t>
      </w:r>
      <w:r w:rsidR="007E0ED0" w:rsidRPr="005764FC">
        <w:rPr>
          <w:lang w:eastAsia="fr-CA"/>
        </w:rPr>
        <w:fldChar w:fldCharType="end"/>
      </w:r>
      <w:r w:rsidR="007E0ED0" w:rsidRPr="005764FC">
        <w:rPr>
          <w:lang w:eastAsia="fr-CA"/>
        </w:rPr>
        <w:t>)</w:t>
      </w:r>
      <w:r w:rsidR="00EF53B7" w:rsidRPr="005764FC">
        <w:rPr>
          <w:lang w:eastAsia="fr-CA"/>
        </w:rPr>
        <w:t xml:space="preserve">. </w:t>
      </w:r>
      <w:r w:rsidR="004B27BE" w:rsidRPr="005764FC">
        <w:rPr>
          <w:lang w:eastAsia="fr-CA"/>
        </w:rPr>
        <w:t>Not</w:t>
      </w:r>
      <w:r w:rsidR="00352E18" w:rsidRPr="005764FC">
        <w:rPr>
          <w:lang w:eastAsia="fr-CA"/>
        </w:rPr>
        <w:t>e:</w:t>
      </w:r>
      <w:r w:rsidR="004B27BE" w:rsidRPr="005764FC">
        <w:rPr>
          <w:lang w:eastAsia="fr-CA"/>
        </w:rPr>
        <w:t xml:space="preserve"> this does not preclude </w:t>
      </w:r>
      <w:r w:rsidR="007A0663" w:rsidRPr="005764FC">
        <w:rPr>
          <w:lang w:eastAsia="fr-CA"/>
        </w:rPr>
        <w:t xml:space="preserve">regulating </w:t>
      </w:r>
      <w:r w:rsidR="00352E18" w:rsidRPr="005764FC">
        <w:rPr>
          <w:lang w:eastAsia="fr-CA"/>
        </w:rPr>
        <w:t xml:space="preserve">system </w:t>
      </w:r>
      <w:r w:rsidR="007A0663" w:rsidRPr="005764FC">
        <w:rPr>
          <w:lang w:eastAsia="fr-CA"/>
        </w:rPr>
        <w:t xml:space="preserve">aspects such as currently </w:t>
      </w:r>
      <w:r w:rsidR="008A4867" w:rsidRPr="005764FC">
        <w:rPr>
          <w:lang w:eastAsia="fr-CA"/>
        </w:rPr>
        <w:t xml:space="preserve">defined in the ACMA ITS class licence. </w:t>
      </w:r>
      <w:r w:rsidR="00EF53B7" w:rsidRPr="005764FC">
        <w:rPr>
          <w:lang w:eastAsia="fr-CA"/>
        </w:rPr>
        <w:t>Further, a</w:t>
      </w:r>
      <w:r w:rsidR="004C5C36" w:rsidRPr="005764FC">
        <w:rPr>
          <w:lang w:eastAsia="fr-CA"/>
        </w:rPr>
        <w:t>n option considering C-V2X as a priority technology (</w:t>
      </w:r>
      <w:r w:rsidR="007F0C99" w:rsidRPr="005764FC">
        <w:rPr>
          <w:lang w:eastAsia="fr-CA"/>
        </w:rPr>
        <w:t>PA2</w:t>
      </w:r>
      <w:r w:rsidR="004C5C36" w:rsidRPr="005764FC">
        <w:rPr>
          <w:lang w:eastAsia="fr-CA"/>
        </w:rPr>
        <w:t xml:space="preserve">-US) has not been analysed </w:t>
      </w:r>
      <w:r w:rsidR="004B27BE" w:rsidRPr="005764FC">
        <w:rPr>
          <w:lang w:eastAsia="fr-CA"/>
        </w:rPr>
        <w:t xml:space="preserve">due to the outcomes in </w:t>
      </w:r>
      <w:r w:rsidR="00EA545B" w:rsidRPr="005764FC">
        <w:rPr>
          <w:lang w:eastAsia="fr-CA"/>
        </w:rPr>
        <w:t xml:space="preserve">Section </w:t>
      </w:r>
      <w:r w:rsidR="004A2D7B" w:rsidRPr="005764FC">
        <w:rPr>
          <w:lang w:eastAsia="fr-CA"/>
        </w:rPr>
        <w:fldChar w:fldCharType="begin" w:fldLock="1"/>
      </w:r>
      <w:r w:rsidR="004A2D7B" w:rsidRPr="005764FC">
        <w:rPr>
          <w:lang w:eastAsia="fr-CA"/>
        </w:rPr>
        <w:instrText xml:space="preserve"> REF _Ref93906241 \r \h </w:instrText>
      </w:r>
      <w:r w:rsidR="004A2D7B" w:rsidRPr="005764FC">
        <w:rPr>
          <w:lang w:eastAsia="fr-CA"/>
        </w:rPr>
      </w:r>
      <w:r w:rsidR="004A2D7B" w:rsidRPr="005764FC">
        <w:rPr>
          <w:lang w:eastAsia="fr-CA"/>
        </w:rPr>
        <w:fldChar w:fldCharType="separate"/>
      </w:r>
      <w:r w:rsidR="00A34B27">
        <w:rPr>
          <w:lang w:eastAsia="fr-CA"/>
        </w:rPr>
        <w:t>2.3.2</w:t>
      </w:r>
      <w:r w:rsidR="004A2D7B" w:rsidRPr="005764FC">
        <w:rPr>
          <w:lang w:eastAsia="fr-CA"/>
        </w:rPr>
        <w:fldChar w:fldCharType="end"/>
      </w:r>
      <w:r w:rsidR="00F22973" w:rsidRPr="005764FC">
        <w:rPr>
          <w:lang w:eastAsia="fr-CA"/>
        </w:rPr>
        <w:t xml:space="preserve"> that align to Europe</w:t>
      </w:r>
      <w:r w:rsidR="0070390F">
        <w:rPr>
          <w:lang w:eastAsia="fr-CA"/>
        </w:rPr>
        <w:t>.</w:t>
      </w:r>
      <w:r w:rsidR="00F22973" w:rsidRPr="005764FC">
        <w:rPr>
          <w:lang w:eastAsia="fr-CA"/>
        </w:rPr>
        <w:t xml:space="preserve"> </w:t>
      </w:r>
      <w:r w:rsidR="0070390F">
        <w:rPr>
          <w:lang w:eastAsia="fr-CA"/>
        </w:rPr>
        <w:t>While Europe are exploring C-V2X,</w:t>
      </w:r>
      <w:r w:rsidR="00F22973" w:rsidRPr="005764FC">
        <w:rPr>
          <w:lang w:eastAsia="fr-CA"/>
        </w:rPr>
        <w:t xml:space="preserve"> </w:t>
      </w:r>
      <w:r w:rsidR="0066574E">
        <w:rPr>
          <w:lang w:eastAsia="fr-CA"/>
        </w:rPr>
        <w:t xml:space="preserve">our analysis </w:t>
      </w:r>
      <w:r w:rsidR="00F22973" w:rsidRPr="005764FC">
        <w:rPr>
          <w:lang w:eastAsia="fr-CA"/>
        </w:rPr>
        <w:t xml:space="preserve">has not </w:t>
      </w:r>
      <w:r w:rsidR="00352E18" w:rsidRPr="005764FC">
        <w:rPr>
          <w:lang w:eastAsia="fr-CA"/>
        </w:rPr>
        <w:t>indicated</w:t>
      </w:r>
      <w:r w:rsidR="00F22973" w:rsidRPr="005764FC">
        <w:rPr>
          <w:lang w:eastAsia="fr-CA"/>
        </w:rPr>
        <w:t xml:space="preserve"> any </w:t>
      </w:r>
      <w:r w:rsidR="00352E18" w:rsidRPr="005764FC">
        <w:rPr>
          <w:lang w:eastAsia="fr-CA"/>
        </w:rPr>
        <w:t>likelihood</w:t>
      </w:r>
      <w:r w:rsidR="00F22973" w:rsidRPr="005764FC">
        <w:rPr>
          <w:lang w:eastAsia="fr-CA"/>
        </w:rPr>
        <w:t xml:space="preserve"> of </w:t>
      </w:r>
      <w:r w:rsidR="00404BDB" w:rsidRPr="005764FC">
        <w:rPr>
          <w:lang w:eastAsia="fr-CA"/>
        </w:rPr>
        <w:t xml:space="preserve">discarding </w:t>
      </w:r>
      <w:r w:rsidR="00521887" w:rsidRPr="005764FC">
        <w:rPr>
          <w:lang w:eastAsia="fr-CA"/>
        </w:rPr>
        <w:t>DSRC (ITS-G5)</w:t>
      </w:r>
      <w:r w:rsidR="00404BDB" w:rsidRPr="005764FC">
        <w:rPr>
          <w:lang w:eastAsia="fr-CA"/>
        </w:rPr>
        <w:t xml:space="preserve"> for C-V2X. </w:t>
      </w:r>
    </w:p>
    <w:p w14:paraId="273EF414" w14:textId="415AAD26" w:rsidR="00B44E9A" w:rsidRPr="005764FC" w:rsidRDefault="00B44E9A" w:rsidP="00004964">
      <w:pPr>
        <w:pStyle w:val="Caption"/>
      </w:pPr>
      <w:bookmarkStart w:id="232" w:name="_Toc97807818"/>
      <w:r w:rsidRPr="005764FC">
        <w:t xml:space="preserve">Table </w:t>
      </w:r>
      <w:r w:rsidR="009359A9" w:rsidRPr="005764FC">
        <w:fldChar w:fldCharType="begin"/>
      </w:r>
      <w:r w:rsidR="009359A9" w:rsidRPr="005764FC">
        <w:instrText xml:space="preserve"> STYLEREF 1 \s </w:instrText>
      </w:r>
      <w:r w:rsidR="009359A9" w:rsidRPr="005764FC">
        <w:fldChar w:fldCharType="separate"/>
      </w:r>
      <w:r w:rsidR="00A34B27">
        <w:rPr>
          <w:noProof/>
        </w:rPr>
        <w:t>2</w:t>
      </w:r>
      <w:r w:rsidR="009359A9" w:rsidRPr="005764FC">
        <w:fldChar w:fldCharType="end"/>
      </w:r>
      <w:r w:rsidR="009359A9" w:rsidRPr="005764FC">
        <w:t>.</w:t>
      </w:r>
      <w:r w:rsidR="009359A9" w:rsidRPr="005764FC">
        <w:fldChar w:fldCharType="begin"/>
      </w:r>
      <w:r w:rsidR="009359A9" w:rsidRPr="005764FC">
        <w:instrText xml:space="preserve"> SEQ Table \* ARABIC \s 1 </w:instrText>
      </w:r>
      <w:r w:rsidR="009359A9" w:rsidRPr="005764FC">
        <w:fldChar w:fldCharType="separate"/>
      </w:r>
      <w:r w:rsidR="00A34B27">
        <w:rPr>
          <w:noProof/>
        </w:rPr>
        <w:t>5</w:t>
      </w:r>
      <w:r w:rsidR="009359A9" w:rsidRPr="005764FC">
        <w:fldChar w:fldCharType="end"/>
      </w:r>
      <w:r w:rsidRPr="005764FC">
        <w:tab/>
        <w:t>Options Comparison</w:t>
      </w:r>
      <w:bookmarkEnd w:id="232"/>
    </w:p>
    <w:tbl>
      <w:tblPr>
        <w:tblStyle w:val="Table1"/>
        <w:tblW w:w="4871" w:type="pct"/>
        <w:tblLook w:val="0620" w:firstRow="1" w:lastRow="0" w:firstColumn="0" w:lastColumn="0" w:noHBand="1" w:noVBand="1"/>
      </w:tblPr>
      <w:tblGrid>
        <w:gridCol w:w="3400"/>
        <w:gridCol w:w="2127"/>
        <w:gridCol w:w="3969"/>
      </w:tblGrid>
      <w:tr w:rsidR="00EA5F9C" w:rsidRPr="005764FC" w14:paraId="2A80A6FF" w14:textId="3DE94863" w:rsidTr="00C67094">
        <w:trPr>
          <w:cnfStyle w:val="100000000000" w:firstRow="1" w:lastRow="0" w:firstColumn="0" w:lastColumn="0" w:oddVBand="0" w:evenVBand="0" w:oddHBand="0" w:evenHBand="0" w:firstRowFirstColumn="0" w:firstRowLastColumn="0" w:lastRowFirstColumn="0" w:lastRowLastColumn="0"/>
          <w:cantSplit/>
          <w:trHeight w:val="406"/>
          <w:tblHeader/>
        </w:trPr>
        <w:tc>
          <w:tcPr>
            <w:tcW w:w="1790" w:type="pct"/>
          </w:tcPr>
          <w:p w14:paraId="3526673A" w14:textId="77777777" w:rsidR="00EA5F9C" w:rsidRPr="005764FC" w:rsidRDefault="00EA5F9C" w:rsidP="00DA5F4E">
            <w:pPr>
              <w:pStyle w:val="TableHeading"/>
              <w:keepNext/>
              <w:rPr>
                <w:lang w:eastAsia="fr-CA"/>
              </w:rPr>
            </w:pPr>
          </w:p>
        </w:tc>
        <w:tc>
          <w:tcPr>
            <w:tcW w:w="1120" w:type="pct"/>
          </w:tcPr>
          <w:p w14:paraId="1D52EC3F" w14:textId="680DAA2B" w:rsidR="00EA5F9C" w:rsidRPr="005764FC" w:rsidRDefault="007F0C99" w:rsidP="00DA5F4E">
            <w:pPr>
              <w:pStyle w:val="TableHeading"/>
              <w:keepNext/>
              <w:jc w:val="center"/>
              <w:rPr>
                <w:lang w:eastAsia="fr-CA"/>
              </w:rPr>
            </w:pPr>
            <w:r w:rsidRPr="005764FC">
              <w:rPr>
                <w:lang w:eastAsia="fr-CA"/>
              </w:rPr>
              <w:t>PA1</w:t>
            </w:r>
            <w:r w:rsidR="00EA5F9C" w:rsidRPr="005764FC">
              <w:rPr>
                <w:lang w:eastAsia="fr-CA"/>
              </w:rPr>
              <w:t xml:space="preserve"> Market-Led</w:t>
            </w:r>
          </w:p>
        </w:tc>
        <w:tc>
          <w:tcPr>
            <w:tcW w:w="2090" w:type="pct"/>
          </w:tcPr>
          <w:p w14:paraId="113DEE01" w14:textId="0842B754" w:rsidR="00EA5F9C" w:rsidRPr="005764FC" w:rsidRDefault="007F0C99" w:rsidP="00DA5F4E">
            <w:pPr>
              <w:pStyle w:val="TableHeading"/>
              <w:keepNext/>
              <w:jc w:val="center"/>
              <w:rPr>
                <w:lang w:eastAsia="fr-CA"/>
              </w:rPr>
            </w:pPr>
            <w:r w:rsidRPr="005764FC">
              <w:rPr>
                <w:lang w:eastAsia="fr-CA"/>
              </w:rPr>
              <w:t>PA2</w:t>
            </w:r>
            <w:r w:rsidR="00EA5F9C" w:rsidRPr="005764FC">
              <w:rPr>
                <w:lang w:eastAsia="fr-CA"/>
              </w:rPr>
              <w:t xml:space="preserve"> </w:t>
            </w:r>
            <w:r w:rsidR="00251E1E" w:rsidRPr="005764FC">
              <w:rPr>
                <w:lang w:eastAsia="fr-CA"/>
              </w:rPr>
              <w:t>DIRECTION</w:t>
            </w:r>
            <w:r w:rsidR="00F32FF0" w:rsidRPr="005764FC">
              <w:rPr>
                <w:lang w:eastAsia="fr-CA"/>
              </w:rPr>
              <w:t xml:space="preserve"> TO </w:t>
            </w:r>
            <w:r w:rsidR="007051C4" w:rsidRPr="005764FC">
              <w:rPr>
                <w:lang w:eastAsia="fr-CA"/>
              </w:rPr>
              <w:t>prioritis</w:t>
            </w:r>
            <w:r w:rsidR="00F32FF0" w:rsidRPr="005764FC">
              <w:rPr>
                <w:lang w:eastAsia="fr-CA"/>
              </w:rPr>
              <w:t>E</w:t>
            </w:r>
            <w:r w:rsidR="007051C4" w:rsidRPr="005764FC">
              <w:rPr>
                <w:lang w:eastAsia="fr-CA"/>
              </w:rPr>
              <w:t xml:space="preserve"> </w:t>
            </w:r>
            <w:r w:rsidR="00DA6914" w:rsidRPr="005764FC">
              <w:rPr>
                <w:lang w:eastAsia="fr-CA"/>
              </w:rPr>
              <w:t>DSRC</w:t>
            </w:r>
          </w:p>
        </w:tc>
      </w:tr>
      <w:tr w:rsidR="002E1E16" w:rsidRPr="005764FC" w14:paraId="4CE5380A" w14:textId="2F8ECF1F" w:rsidTr="00C67094">
        <w:trPr>
          <w:cantSplit/>
          <w:trHeight w:val="406"/>
        </w:trPr>
        <w:tc>
          <w:tcPr>
            <w:tcW w:w="1790" w:type="pct"/>
          </w:tcPr>
          <w:p w14:paraId="24934A52" w14:textId="5058BCE3" w:rsidR="002E1E16" w:rsidRPr="005764FC" w:rsidRDefault="002E1E16" w:rsidP="00DA5F4E">
            <w:pPr>
              <w:pStyle w:val="TableText"/>
              <w:keepNext/>
              <w:rPr>
                <w:lang w:eastAsia="fr-CA"/>
              </w:rPr>
            </w:pPr>
            <w:r w:rsidRPr="005764FC">
              <w:rPr>
                <w:lang w:eastAsia="fr-CA"/>
              </w:rPr>
              <w:fldChar w:fldCharType="begin" w:fldLock="1"/>
            </w:r>
            <w:r w:rsidRPr="005764FC">
              <w:rPr>
                <w:lang w:eastAsia="fr-CA"/>
              </w:rPr>
              <w:instrText xml:space="preserve"> REF _Ref94361048 \h </w:instrText>
            </w:r>
            <w:r w:rsidR="00186A62" w:rsidRPr="005764FC">
              <w:rPr>
                <w:lang w:eastAsia="fr-CA"/>
              </w:rPr>
              <w:instrText xml:space="preserve"> \* MERGEFORMAT </w:instrText>
            </w:r>
            <w:r w:rsidRPr="005764FC">
              <w:rPr>
                <w:lang w:eastAsia="fr-CA"/>
              </w:rPr>
            </w:r>
            <w:r w:rsidRPr="005764FC">
              <w:rPr>
                <w:lang w:eastAsia="fr-CA"/>
              </w:rPr>
              <w:fldChar w:fldCharType="separate"/>
            </w:r>
            <w:r w:rsidR="00A34B27" w:rsidRPr="005764FC">
              <w:t>Coherence to strategic plans</w:t>
            </w:r>
            <w:r w:rsidRPr="005764FC">
              <w:rPr>
                <w:lang w:eastAsia="fr-CA"/>
              </w:rPr>
              <w:fldChar w:fldCharType="end"/>
            </w:r>
          </w:p>
        </w:tc>
        <w:tc>
          <w:tcPr>
            <w:tcW w:w="1120" w:type="pct"/>
          </w:tcPr>
          <w:p w14:paraId="419702C8" w14:textId="1A9E17FE" w:rsidR="002E1E16" w:rsidRPr="005764FC" w:rsidRDefault="002E1E16" w:rsidP="00DA5F4E">
            <w:pPr>
              <w:pStyle w:val="TableText"/>
              <w:keepNext/>
              <w:jc w:val="center"/>
              <w:rPr>
                <w:lang w:eastAsia="fr-CA"/>
              </w:rPr>
            </w:pPr>
            <w:r w:rsidRPr="005764FC">
              <w:rPr>
                <w:lang w:eastAsia="fr-CA"/>
              </w:rPr>
              <w:t>+</w:t>
            </w:r>
          </w:p>
        </w:tc>
        <w:tc>
          <w:tcPr>
            <w:tcW w:w="2090" w:type="pct"/>
          </w:tcPr>
          <w:p w14:paraId="59528813" w14:textId="6541F855" w:rsidR="002E1E16" w:rsidRPr="005764FC" w:rsidRDefault="00FC2DE6" w:rsidP="00DA5F4E">
            <w:pPr>
              <w:pStyle w:val="TableText"/>
              <w:keepNext/>
              <w:jc w:val="center"/>
              <w:rPr>
                <w:lang w:eastAsia="fr-CA"/>
              </w:rPr>
            </w:pPr>
            <w:r w:rsidRPr="005764FC">
              <w:rPr>
                <w:lang w:eastAsia="fr-CA"/>
              </w:rPr>
              <w:t>+</w:t>
            </w:r>
            <w:r w:rsidR="002E1E16" w:rsidRPr="005764FC">
              <w:rPr>
                <w:lang w:eastAsia="fr-CA"/>
              </w:rPr>
              <w:t>+</w:t>
            </w:r>
          </w:p>
        </w:tc>
      </w:tr>
      <w:tr w:rsidR="002E1E16" w:rsidRPr="005764FC" w14:paraId="70F6EA3B" w14:textId="565EE0D6" w:rsidTr="00C67094">
        <w:trPr>
          <w:cantSplit/>
          <w:trHeight w:val="406"/>
        </w:trPr>
        <w:tc>
          <w:tcPr>
            <w:tcW w:w="1790" w:type="pct"/>
          </w:tcPr>
          <w:p w14:paraId="10A3B61F" w14:textId="0E5B94C4" w:rsidR="002E1E16" w:rsidRPr="005764FC" w:rsidRDefault="002E1E16" w:rsidP="00DA5F4E">
            <w:pPr>
              <w:pStyle w:val="TableText"/>
              <w:keepNext/>
              <w:rPr>
                <w:lang w:eastAsia="fr-CA"/>
              </w:rPr>
            </w:pPr>
            <w:r w:rsidRPr="005764FC">
              <w:rPr>
                <w:lang w:eastAsia="fr-CA"/>
              </w:rPr>
              <w:fldChar w:fldCharType="begin" w:fldLock="1"/>
            </w:r>
            <w:r w:rsidRPr="005764FC">
              <w:rPr>
                <w:lang w:eastAsia="fr-CA"/>
              </w:rPr>
              <w:instrText xml:space="preserve"> REF _Ref94361052 \h </w:instrText>
            </w:r>
            <w:r w:rsidR="00CE0107" w:rsidRPr="005764FC">
              <w:rPr>
                <w:lang w:eastAsia="fr-CA"/>
              </w:rPr>
              <w:instrText xml:space="preserve"> \* MERGEFORMAT </w:instrText>
            </w:r>
            <w:r w:rsidRPr="005764FC">
              <w:rPr>
                <w:lang w:eastAsia="fr-CA"/>
              </w:rPr>
            </w:r>
            <w:r w:rsidRPr="005764FC">
              <w:rPr>
                <w:lang w:eastAsia="fr-CA"/>
              </w:rPr>
              <w:fldChar w:fldCharType="separate"/>
            </w:r>
            <w:r w:rsidR="00A34B27" w:rsidRPr="005764FC">
              <w:rPr>
                <w:lang w:eastAsia="fr-CA"/>
              </w:rPr>
              <w:t>Effectiveness</w:t>
            </w:r>
            <w:r w:rsidRPr="005764FC">
              <w:rPr>
                <w:lang w:eastAsia="fr-CA"/>
              </w:rPr>
              <w:fldChar w:fldCharType="end"/>
            </w:r>
          </w:p>
        </w:tc>
        <w:tc>
          <w:tcPr>
            <w:tcW w:w="1120" w:type="pct"/>
          </w:tcPr>
          <w:p w14:paraId="738E789C" w14:textId="25693A69" w:rsidR="002E1E16" w:rsidRPr="005764FC" w:rsidRDefault="001D3308" w:rsidP="00DA5F4E">
            <w:pPr>
              <w:pStyle w:val="TableText"/>
              <w:keepNext/>
              <w:jc w:val="center"/>
              <w:rPr>
                <w:lang w:eastAsia="fr-CA"/>
              </w:rPr>
            </w:pPr>
            <w:r w:rsidRPr="005764FC">
              <w:rPr>
                <w:lang w:eastAsia="fr-CA"/>
              </w:rPr>
              <w:t>+/-</w:t>
            </w:r>
          </w:p>
        </w:tc>
        <w:tc>
          <w:tcPr>
            <w:tcW w:w="2090" w:type="pct"/>
          </w:tcPr>
          <w:p w14:paraId="3BB5DF19" w14:textId="281C5460" w:rsidR="002E1E16" w:rsidRPr="005764FC" w:rsidRDefault="001D3308" w:rsidP="00DA5F4E">
            <w:pPr>
              <w:pStyle w:val="TableText"/>
              <w:keepNext/>
              <w:jc w:val="center"/>
              <w:rPr>
                <w:lang w:eastAsia="fr-CA"/>
              </w:rPr>
            </w:pPr>
            <w:r w:rsidRPr="005764FC">
              <w:rPr>
                <w:lang w:eastAsia="fr-CA"/>
              </w:rPr>
              <w:t>+</w:t>
            </w:r>
            <w:r w:rsidR="002E1E16" w:rsidRPr="005764FC">
              <w:rPr>
                <w:lang w:eastAsia="fr-CA"/>
              </w:rPr>
              <w:t>+</w:t>
            </w:r>
          </w:p>
        </w:tc>
      </w:tr>
      <w:tr w:rsidR="002E1E16" w:rsidRPr="005764FC" w14:paraId="58FB6A97" w14:textId="6E793F89" w:rsidTr="00C67094">
        <w:trPr>
          <w:cantSplit/>
          <w:trHeight w:val="406"/>
        </w:trPr>
        <w:tc>
          <w:tcPr>
            <w:tcW w:w="1790" w:type="pct"/>
          </w:tcPr>
          <w:p w14:paraId="4B84BC1D" w14:textId="2E3A3150" w:rsidR="002E1E16" w:rsidRPr="005764FC" w:rsidRDefault="002E1E16" w:rsidP="00DA5F4E">
            <w:pPr>
              <w:pStyle w:val="TableText"/>
              <w:keepNext/>
              <w:rPr>
                <w:lang w:eastAsia="fr-CA"/>
              </w:rPr>
            </w:pPr>
            <w:r w:rsidRPr="005764FC">
              <w:rPr>
                <w:lang w:eastAsia="fr-CA"/>
              </w:rPr>
              <w:fldChar w:fldCharType="begin" w:fldLock="1"/>
            </w:r>
            <w:r w:rsidRPr="005764FC">
              <w:rPr>
                <w:lang w:eastAsia="fr-CA"/>
              </w:rPr>
              <w:instrText xml:space="preserve"> REF _Ref94361058 \h </w:instrText>
            </w:r>
            <w:r w:rsidR="00CE0107" w:rsidRPr="005764FC">
              <w:rPr>
                <w:lang w:eastAsia="fr-CA"/>
              </w:rPr>
              <w:instrText xml:space="preserve"> \* MERGEFORMAT </w:instrText>
            </w:r>
            <w:r w:rsidRPr="005764FC">
              <w:rPr>
                <w:lang w:eastAsia="fr-CA"/>
              </w:rPr>
            </w:r>
            <w:r w:rsidRPr="005764FC">
              <w:rPr>
                <w:lang w:eastAsia="fr-CA"/>
              </w:rPr>
              <w:fldChar w:fldCharType="separate"/>
            </w:r>
            <w:r w:rsidR="00A34B27" w:rsidRPr="005764FC">
              <w:t>Socioeconomic Benefit</w:t>
            </w:r>
            <w:r w:rsidRPr="005764FC">
              <w:rPr>
                <w:lang w:eastAsia="fr-CA"/>
              </w:rPr>
              <w:fldChar w:fldCharType="end"/>
            </w:r>
          </w:p>
        </w:tc>
        <w:tc>
          <w:tcPr>
            <w:tcW w:w="1120" w:type="pct"/>
          </w:tcPr>
          <w:p w14:paraId="3E3186EB" w14:textId="57F250EB" w:rsidR="002E1E16" w:rsidRPr="005764FC" w:rsidRDefault="008A7F6D" w:rsidP="00DA5F4E">
            <w:pPr>
              <w:pStyle w:val="TableText"/>
              <w:keepNext/>
              <w:jc w:val="center"/>
              <w:rPr>
                <w:lang w:eastAsia="fr-CA"/>
              </w:rPr>
            </w:pPr>
            <w:r w:rsidRPr="005764FC">
              <w:rPr>
                <w:lang w:eastAsia="fr-CA"/>
              </w:rPr>
              <w:t>+/-</w:t>
            </w:r>
          </w:p>
        </w:tc>
        <w:tc>
          <w:tcPr>
            <w:tcW w:w="2090" w:type="pct"/>
          </w:tcPr>
          <w:p w14:paraId="0D11ABCF" w14:textId="671D42F4" w:rsidR="002E1E16" w:rsidRPr="005764FC" w:rsidRDefault="008A7F6D" w:rsidP="00DA5F4E">
            <w:pPr>
              <w:pStyle w:val="TableText"/>
              <w:keepNext/>
              <w:jc w:val="center"/>
              <w:rPr>
                <w:lang w:eastAsia="fr-CA"/>
              </w:rPr>
            </w:pPr>
            <w:r w:rsidRPr="005764FC">
              <w:rPr>
                <w:lang w:eastAsia="fr-CA"/>
              </w:rPr>
              <w:t>+</w:t>
            </w:r>
          </w:p>
        </w:tc>
      </w:tr>
      <w:tr w:rsidR="002E1E16" w:rsidRPr="005764FC" w14:paraId="07138877" w14:textId="77777777" w:rsidTr="00C67094">
        <w:trPr>
          <w:cantSplit/>
          <w:trHeight w:val="406"/>
        </w:trPr>
        <w:tc>
          <w:tcPr>
            <w:tcW w:w="1790" w:type="pct"/>
          </w:tcPr>
          <w:p w14:paraId="78FFD063" w14:textId="69DCBE6C" w:rsidR="002E1E16" w:rsidRPr="005764FC" w:rsidRDefault="00D72BD0" w:rsidP="008837ED">
            <w:pPr>
              <w:pStyle w:val="TableText"/>
              <w:rPr>
                <w:lang w:eastAsia="fr-CA"/>
              </w:rPr>
            </w:pPr>
            <w:r w:rsidRPr="005764FC">
              <w:fldChar w:fldCharType="begin" w:fldLock="1"/>
            </w:r>
            <w:r w:rsidRPr="005764FC">
              <w:rPr>
                <w:lang w:eastAsia="fr-CA"/>
              </w:rPr>
              <w:instrText xml:space="preserve"> REF _Ref94509570 \h </w:instrText>
            </w:r>
            <w:r w:rsidR="00CE0107" w:rsidRPr="005764FC">
              <w:instrText xml:space="preserve"> \* MERGEFORMAT </w:instrText>
            </w:r>
            <w:r w:rsidRPr="005764FC">
              <w:fldChar w:fldCharType="separate"/>
            </w:r>
            <w:r w:rsidR="00A34B27" w:rsidRPr="005764FC">
              <w:t>Deployment realisation and Longevity</w:t>
            </w:r>
            <w:r w:rsidRPr="005764FC">
              <w:fldChar w:fldCharType="end"/>
            </w:r>
          </w:p>
        </w:tc>
        <w:tc>
          <w:tcPr>
            <w:tcW w:w="1120" w:type="pct"/>
          </w:tcPr>
          <w:p w14:paraId="08EA5ED4" w14:textId="1372A7FD" w:rsidR="002E1E16" w:rsidRPr="005764FC" w:rsidRDefault="008A38D3" w:rsidP="00CE0107">
            <w:pPr>
              <w:pStyle w:val="TableText"/>
              <w:jc w:val="center"/>
              <w:rPr>
                <w:lang w:eastAsia="fr-CA"/>
              </w:rPr>
            </w:pPr>
            <w:r w:rsidRPr="005764FC">
              <w:rPr>
                <w:lang w:eastAsia="fr-CA"/>
              </w:rPr>
              <w:t>+/-</w:t>
            </w:r>
          </w:p>
        </w:tc>
        <w:tc>
          <w:tcPr>
            <w:tcW w:w="2090" w:type="pct"/>
          </w:tcPr>
          <w:p w14:paraId="22449E0B" w14:textId="6FD6624C" w:rsidR="002E1E16" w:rsidRPr="005764FC" w:rsidRDefault="002E1E16" w:rsidP="00CE0107">
            <w:pPr>
              <w:pStyle w:val="TableText"/>
              <w:jc w:val="center"/>
              <w:rPr>
                <w:lang w:eastAsia="fr-CA"/>
              </w:rPr>
            </w:pPr>
            <w:r w:rsidRPr="005764FC">
              <w:rPr>
                <w:lang w:eastAsia="fr-CA"/>
              </w:rPr>
              <w:t>+</w:t>
            </w:r>
          </w:p>
        </w:tc>
      </w:tr>
    </w:tbl>
    <w:p w14:paraId="2617DAF0" w14:textId="027FC2D3" w:rsidR="00075D59" w:rsidRPr="005764FC" w:rsidRDefault="00075D59" w:rsidP="00CE0107">
      <w:pPr>
        <w:pStyle w:val="Notes"/>
      </w:pPr>
      <w:r w:rsidRPr="005764FC">
        <w:t>Legend: - (negative impact), + (positive impact), ++</w:t>
      </w:r>
      <w:r w:rsidR="00770F15" w:rsidRPr="005764FC">
        <w:t xml:space="preserve"> </w:t>
      </w:r>
      <w:r w:rsidRPr="005764FC">
        <w:t>(strong positive impact), +/- (neutral)</w:t>
      </w:r>
    </w:p>
    <w:p w14:paraId="33065045" w14:textId="656C6F36" w:rsidR="008D3C3B" w:rsidRPr="005764FC" w:rsidRDefault="0021079E" w:rsidP="003F2BC3">
      <w:pPr>
        <w:pStyle w:val="BodyText"/>
        <w:rPr>
          <w:lang w:eastAsia="fr-CA"/>
        </w:rPr>
      </w:pPr>
      <w:r w:rsidRPr="005764FC">
        <w:rPr>
          <w:b/>
          <w:bCs/>
          <w:lang w:eastAsia="fr-CA"/>
        </w:rPr>
        <w:t xml:space="preserve">Direction to </w:t>
      </w:r>
      <w:r w:rsidR="00B0780D" w:rsidRPr="005764FC">
        <w:rPr>
          <w:b/>
          <w:bCs/>
          <w:lang w:eastAsia="fr-CA"/>
        </w:rPr>
        <w:t>prioritis</w:t>
      </w:r>
      <w:r w:rsidR="00D63F10" w:rsidRPr="005764FC">
        <w:rPr>
          <w:b/>
          <w:bCs/>
          <w:lang w:eastAsia="fr-CA"/>
        </w:rPr>
        <w:t>e</w:t>
      </w:r>
      <w:r w:rsidR="00064CC4" w:rsidRPr="005764FC">
        <w:rPr>
          <w:b/>
          <w:bCs/>
          <w:lang w:eastAsia="fr-CA"/>
        </w:rPr>
        <w:t xml:space="preserve"> </w:t>
      </w:r>
      <w:r w:rsidR="00521887" w:rsidRPr="005764FC">
        <w:rPr>
          <w:b/>
          <w:bCs/>
          <w:lang w:eastAsia="fr-CA"/>
        </w:rPr>
        <w:t>DSRC (ITS-G5)</w:t>
      </w:r>
      <w:r w:rsidR="00064CC4" w:rsidRPr="005764FC">
        <w:rPr>
          <w:lang w:eastAsia="fr-CA"/>
        </w:rPr>
        <w:t xml:space="preserve"> (</w:t>
      </w:r>
      <w:r w:rsidR="007F0C99" w:rsidRPr="005764FC">
        <w:rPr>
          <w:lang w:eastAsia="fr-CA"/>
        </w:rPr>
        <w:t>PA2</w:t>
      </w:r>
      <w:r w:rsidR="00064CC4" w:rsidRPr="005764FC">
        <w:rPr>
          <w:lang w:eastAsia="fr-CA"/>
        </w:rPr>
        <w:t xml:space="preserve">) </w:t>
      </w:r>
      <w:r w:rsidR="00C76DAD" w:rsidRPr="005764FC">
        <w:rPr>
          <w:lang w:eastAsia="fr-CA"/>
        </w:rPr>
        <w:t>as</w:t>
      </w:r>
      <w:r w:rsidR="00E62B15" w:rsidRPr="005764FC">
        <w:rPr>
          <w:lang w:eastAsia="fr-CA"/>
        </w:rPr>
        <w:t xml:space="preserve"> the </w:t>
      </w:r>
      <w:r w:rsidR="00B0780D" w:rsidRPr="005764FC">
        <w:rPr>
          <w:lang w:eastAsia="fr-CA"/>
        </w:rPr>
        <w:t>primary technology</w:t>
      </w:r>
      <w:r w:rsidR="00E62B15" w:rsidRPr="005764FC">
        <w:rPr>
          <w:lang w:eastAsia="fr-CA"/>
        </w:rPr>
        <w:t xml:space="preserve"> for short-range communication was found to be the preferred </w:t>
      </w:r>
      <w:r w:rsidR="004A573E" w:rsidRPr="005764FC">
        <w:rPr>
          <w:lang w:eastAsia="fr-CA"/>
        </w:rPr>
        <w:t>option. This is due to a s</w:t>
      </w:r>
      <w:r w:rsidR="00CD7ACF" w:rsidRPr="005764FC">
        <w:rPr>
          <w:lang w:eastAsia="fr-CA"/>
        </w:rPr>
        <w:t xml:space="preserve">tronger pull to prioritising </w:t>
      </w:r>
      <w:r w:rsidR="00E168EC" w:rsidRPr="005764FC">
        <w:rPr>
          <w:lang w:eastAsia="fr-CA"/>
        </w:rPr>
        <w:t>societal benefits of safety, efficiency an</w:t>
      </w:r>
      <w:r w:rsidR="00DC76BB" w:rsidRPr="005764FC">
        <w:rPr>
          <w:lang w:eastAsia="fr-CA"/>
        </w:rPr>
        <w:t>d</w:t>
      </w:r>
      <w:r w:rsidR="00E168EC" w:rsidRPr="005764FC">
        <w:rPr>
          <w:lang w:eastAsia="fr-CA"/>
        </w:rPr>
        <w:t xml:space="preserve"> sustainability</w:t>
      </w:r>
      <w:r w:rsidR="005A6CBB" w:rsidRPr="005764FC">
        <w:rPr>
          <w:lang w:eastAsia="fr-CA"/>
        </w:rPr>
        <w:t>.</w:t>
      </w:r>
      <w:r w:rsidR="00E168EC" w:rsidRPr="005764FC">
        <w:rPr>
          <w:lang w:eastAsia="fr-CA"/>
        </w:rPr>
        <w:t xml:space="preserve"> </w:t>
      </w:r>
      <w:r w:rsidR="005568A9" w:rsidRPr="005764FC">
        <w:rPr>
          <w:lang w:eastAsia="fr-CA"/>
        </w:rPr>
        <w:t xml:space="preserve">This aligns to the </w:t>
      </w:r>
      <w:r w:rsidR="00A865FF" w:rsidRPr="005764FC">
        <w:rPr>
          <w:lang w:eastAsia="fr-CA"/>
        </w:rPr>
        <w:t>existing</w:t>
      </w:r>
      <w:r w:rsidR="005568A9" w:rsidRPr="005764FC">
        <w:rPr>
          <w:lang w:eastAsia="fr-CA"/>
        </w:rPr>
        <w:t xml:space="preserve"> direction in Australia and </w:t>
      </w:r>
      <w:r w:rsidR="00673F4E" w:rsidRPr="005764FC">
        <w:rPr>
          <w:lang w:eastAsia="fr-CA"/>
        </w:rPr>
        <w:t>supports the vehicle manufacturers</w:t>
      </w:r>
      <w:r w:rsidR="00770F15" w:rsidRPr="005764FC">
        <w:rPr>
          <w:lang w:eastAsia="fr-CA"/>
        </w:rPr>
        <w:t>’</w:t>
      </w:r>
      <w:r w:rsidR="00673F4E" w:rsidRPr="005764FC">
        <w:rPr>
          <w:lang w:eastAsia="fr-CA"/>
        </w:rPr>
        <w:t xml:space="preserve"> </w:t>
      </w:r>
      <w:r w:rsidR="00192421" w:rsidRPr="005764FC">
        <w:rPr>
          <w:lang w:eastAsia="fr-CA"/>
        </w:rPr>
        <w:t xml:space="preserve">preference </w:t>
      </w:r>
      <w:r w:rsidR="00673F4E" w:rsidRPr="005764FC">
        <w:rPr>
          <w:lang w:eastAsia="fr-CA"/>
        </w:rPr>
        <w:t xml:space="preserve">(as stated through FCAI). </w:t>
      </w:r>
      <w:r w:rsidR="00025A2A" w:rsidRPr="005764FC">
        <w:rPr>
          <w:lang w:eastAsia="fr-CA"/>
        </w:rPr>
        <w:t xml:space="preserve">It appears the most certain path for C-ITS in Australia </w:t>
      </w:r>
      <w:r w:rsidR="007B441A" w:rsidRPr="005764FC">
        <w:rPr>
          <w:lang w:eastAsia="fr-CA"/>
        </w:rPr>
        <w:t xml:space="preserve">is </w:t>
      </w:r>
      <w:r w:rsidR="00025A2A" w:rsidRPr="005764FC">
        <w:rPr>
          <w:lang w:eastAsia="fr-CA"/>
        </w:rPr>
        <w:t>by using</w:t>
      </w:r>
      <w:r w:rsidR="003F2BC3" w:rsidRPr="005764FC">
        <w:rPr>
          <w:lang w:eastAsia="fr-CA"/>
        </w:rPr>
        <w:t xml:space="preserve"> the most current, proven and readily available technology </w:t>
      </w:r>
      <w:r w:rsidR="000A4423" w:rsidRPr="005764FC">
        <w:rPr>
          <w:lang w:eastAsia="fr-CA"/>
        </w:rPr>
        <w:t>to</w:t>
      </w:r>
      <w:r w:rsidR="003F2BC3" w:rsidRPr="005764FC">
        <w:rPr>
          <w:lang w:eastAsia="fr-CA"/>
        </w:rPr>
        <w:t xml:space="preserve"> </w:t>
      </w:r>
      <w:r w:rsidR="007B441A" w:rsidRPr="005764FC">
        <w:rPr>
          <w:lang w:eastAsia="fr-CA"/>
        </w:rPr>
        <w:t>proceed</w:t>
      </w:r>
      <w:r w:rsidR="00787C86" w:rsidRPr="005764FC">
        <w:rPr>
          <w:lang w:eastAsia="fr-CA"/>
        </w:rPr>
        <w:t xml:space="preserve"> with deployment</w:t>
      </w:r>
      <w:r w:rsidR="003F2BC3" w:rsidRPr="005764FC">
        <w:rPr>
          <w:lang w:eastAsia="fr-CA"/>
        </w:rPr>
        <w:t xml:space="preserve">. </w:t>
      </w:r>
    </w:p>
    <w:p w14:paraId="1248991D" w14:textId="7666F315" w:rsidR="003F2BC3" w:rsidRPr="005764FC" w:rsidRDefault="00B978E6" w:rsidP="003F2BC3">
      <w:pPr>
        <w:pStyle w:val="BodyText"/>
        <w:rPr>
          <w:lang w:eastAsia="fr-CA"/>
        </w:rPr>
      </w:pPr>
      <w:r w:rsidRPr="005764FC">
        <w:rPr>
          <w:lang w:eastAsia="fr-CA"/>
        </w:rPr>
        <w:t xml:space="preserve">A market-led option where stakeholders can deliver </w:t>
      </w:r>
      <w:r w:rsidR="000D6406" w:rsidRPr="005764FC">
        <w:rPr>
          <w:lang w:eastAsia="fr-CA"/>
        </w:rPr>
        <w:t xml:space="preserve">either </w:t>
      </w:r>
      <w:r w:rsidR="001F59DC" w:rsidRPr="005764FC">
        <w:rPr>
          <w:lang w:eastAsia="fr-CA"/>
        </w:rPr>
        <w:t>DSRC</w:t>
      </w:r>
      <w:r w:rsidR="000D6406" w:rsidRPr="005764FC">
        <w:rPr>
          <w:lang w:eastAsia="fr-CA"/>
        </w:rPr>
        <w:t xml:space="preserve"> or C-V2X in the future</w:t>
      </w:r>
      <w:r w:rsidR="007B441A" w:rsidRPr="005764FC">
        <w:rPr>
          <w:lang w:eastAsia="fr-CA"/>
        </w:rPr>
        <w:t>,</w:t>
      </w:r>
      <w:r w:rsidR="000D6406" w:rsidRPr="005764FC">
        <w:rPr>
          <w:lang w:eastAsia="fr-CA"/>
        </w:rPr>
        <w:t xml:space="preserve"> increases </w:t>
      </w:r>
      <w:r w:rsidR="00470C00" w:rsidRPr="005764FC">
        <w:rPr>
          <w:lang w:eastAsia="fr-CA"/>
        </w:rPr>
        <w:t>complexity and likely reduces the primary societal benefits</w:t>
      </w:r>
      <w:r w:rsidR="007B441A" w:rsidRPr="005764FC">
        <w:rPr>
          <w:lang w:eastAsia="fr-CA"/>
        </w:rPr>
        <w:t>, as</w:t>
      </w:r>
      <w:r w:rsidR="009527A6" w:rsidRPr="005764FC">
        <w:rPr>
          <w:lang w:eastAsia="fr-CA"/>
        </w:rPr>
        <w:t xml:space="preserve"> the technologies </w:t>
      </w:r>
      <w:r w:rsidR="007B441A" w:rsidRPr="005764FC">
        <w:rPr>
          <w:lang w:eastAsia="fr-CA"/>
        </w:rPr>
        <w:t>are</w:t>
      </w:r>
      <w:r w:rsidR="009527A6" w:rsidRPr="005764FC">
        <w:rPr>
          <w:lang w:eastAsia="fr-CA"/>
        </w:rPr>
        <w:t xml:space="preserve"> non-interoperable</w:t>
      </w:r>
      <w:r w:rsidR="003F2BC3" w:rsidRPr="005764FC">
        <w:rPr>
          <w:lang w:eastAsia="fr-CA"/>
        </w:rPr>
        <w:t xml:space="preserve">. </w:t>
      </w:r>
      <w:r w:rsidR="000D6AC4" w:rsidRPr="005764FC">
        <w:rPr>
          <w:lang w:eastAsia="fr-CA"/>
        </w:rPr>
        <w:t>Provi</w:t>
      </w:r>
      <w:r w:rsidR="007B441A" w:rsidRPr="005764FC">
        <w:rPr>
          <w:lang w:eastAsia="fr-CA"/>
        </w:rPr>
        <w:t>ding</w:t>
      </w:r>
      <w:r w:rsidR="000D6AC4" w:rsidRPr="005764FC">
        <w:rPr>
          <w:lang w:eastAsia="fr-CA"/>
        </w:rPr>
        <w:t xml:space="preserve"> a consistent access (layer) technology to C-ITS enables stakeholders to build </w:t>
      </w:r>
      <w:r w:rsidR="004E6D8C" w:rsidRPr="005764FC">
        <w:rPr>
          <w:lang w:eastAsia="fr-CA"/>
        </w:rPr>
        <w:t xml:space="preserve">wider </w:t>
      </w:r>
      <w:r w:rsidR="00AF052A" w:rsidRPr="005764FC">
        <w:rPr>
          <w:lang w:eastAsia="fr-CA"/>
        </w:rPr>
        <w:t xml:space="preserve">solutions </w:t>
      </w:r>
      <w:r w:rsidR="004E6D8C" w:rsidRPr="005764FC">
        <w:rPr>
          <w:lang w:eastAsia="fr-CA"/>
        </w:rPr>
        <w:t>in a</w:t>
      </w:r>
      <w:r w:rsidR="00731976" w:rsidRPr="005764FC">
        <w:rPr>
          <w:lang w:eastAsia="fr-CA"/>
        </w:rPr>
        <w:t>n</w:t>
      </w:r>
      <w:r w:rsidR="004E6D8C" w:rsidRPr="005764FC">
        <w:rPr>
          <w:lang w:eastAsia="fr-CA"/>
        </w:rPr>
        <w:t xml:space="preserve"> equal environment.</w:t>
      </w:r>
      <w:r w:rsidR="000D6AC4" w:rsidRPr="005764FC">
        <w:rPr>
          <w:lang w:eastAsia="fr-CA"/>
        </w:rPr>
        <w:t xml:space="preserve"> </w:t>
      </w:r>
    </w:p>
    <w:p w14:paraId="0F3714C0" w14:textId="17451F18" w:rsidR="00CC1682" w:rsidRPr="005764FC" w:rsidRDefault="00B51770" w:rsidP="00B51770">
      <w:pPr>
        <w:pStyle w:val="ListBullet"/>
        <w:numPr>
          <w:ilvl w:val="0"/>
          <w:numId w:val="0"/>
        </w:numPr>
        <w:rPr>
          <w:lang w:eastAsia="fr-CA"/>
        </w:rPr>
      </w:pPr>
      <w:r w:rsidRPr="005764FC">
        <w:rPr>
          <w:lang w:eastAsia="fr-CA"/>
        </w:rPr>
        <w:t xml:space="preserve">Importantly, the use of </w:t>
      </w:r>
      <w:r w:rsidR="00521887" w:rsidRPr="005764FC">
        <w:rPr>
          <w:lang w:eastAsia="fr-CA"/>
        </w:rPr>
        <w:t xml:space="preserve">DSRC </w:t>
      </w:r>
      <w:r w:rsidRPr="005764FC">
        <w:rPr>
          <w:lang w:eastAsia="fr-CA"/>
        </w:rPr>
        <w:t xml:space="preserve">has been proven to meet the </w:t>
      </w:r>
      <w:r w:rsidR="00540E46" w:rsidRPr="005764FC">
        <w:rPr>
          <w:lang w:eastAsia="fr-CA"/>
        </w:rPr>
        <w:t xml:space="preserve">C-ITS </w:t>
      </w:r>
      <w:r w:rsidRPr="005764FC">
        <w:rPr>
          <w:lang w:eastAsia="fr-CA"/>
        </w:rPr>
        <w:t xml:space="preserve">needs and </w:t>
      </w:r>
      <w:r w:rsidR="00540E46" w:rsidRPr="005764FC">
        <w:rPr>
          <w:lang w:eastAsia="fr-CA"/>
        </w:rPr>
        <w:t xml:space="preserve">is </w:t>
      </w:r>
      <w:r w:rsidRPr="005764FC">
        <w:rPr>
          <w:lang w:eastAsia="fr-CA"/>
        </w:rPr>
        <w:t xml:space="preserve">available for deployment. Scaled </w:t>
      </w:r>
      <w:r w:rsidR="00540E46" w:rsidRPr="005764FC">
        <w:rPr>
          <w:lang w:eastAsia="fr-CA"/>
        </w:rPr>
        <w:t xml:space="preserve">C-ITS </w:t>
      </w:r>
      <w:r w:rsidRPr="005764FC">
        <w:rPr>
          <w:lang w:eastAsia="fr-CA"/>
        </w:rPr>
        <w:t>deployment has been tempered to date due to the wider challenges across a cooperative operational ecosystem</w:t>
      </w:r>
      <w:r w:rsidR="00540E46" w:rsidRPr="005764FC">
        <w:rPr>
          <w:lang w:eastAsia="fr-CA"/>
        </w:rPr>
        <w:t>,</w:t>
      </w:r>
      <w:r w:rsidRPr="005764FC">
        <w:rPr>
          <w:lang w:eastAsia="fr-CA"/>
        </w:rPr>
        <w:t xml:space="preserve"> which are unlikely to be resolved by a change in communication technology.</w:t>
      </w:r>
      <w:r w:rsidR="0003729A" w:rsidRPr="005764FC">
        <w:rPr>
          <w:lang w:eastAsia="fr-CA"/>
        </w:rPr>
        <w:t xml:space="preserve"> </w:t>
      </w:r>
    </w:p>
    <w:p w14:paraId="0008C0DD" w14:textId="59A3BDDE" w:rsidR="002656BA" w:rsidRPr="005764FC" w:rsidRDefault="00B44E9A" w:rsidP="00004964">
      <w:pPr>
        <w:pStyle w:val="BodyText"/>
      </w:pPr>
      <w:r w:rsidRPr="005764FC">
        <w:t xml:space="preserve">Based on the preferred option, the findings in </w:t>
      </w:r>
      <w:r w:rsidR="00822588" w:rsidRPr="005764FC">
        <w:fldChar w:fldCharType="begin" w:fldLock="1"/>
      </w:r>
      <w:r w:rsidR="00822588" w:rsidRPr="005764FC">
        <w:instrText xml:space="preserve"> REF _Ref93534591 \h </w:instrText>
      </w:r>
      <w:r w:rsidR="00822588" w:rsidRPr="005764FC">
        <w:fldChar w:fldCharType="separate"/>
      </w:r>
      <w:r w:rsidR="00A34B27" w:rsidRPr="005764FC">
        <w:t xml:space="preserve">Table </w:t>
      </w:r>
      <w:r w:rsidR="00A34B27">
        <w:rPr>
          <w:noProof/>
        </w:rPr>
        <w:t>2</w:t>
      </w:r>
      <w:r w:rsidR="00A34B27" w:rsidRPr="005764FC">
        <w:t>.</w:t>
      </w:r>
      <w:r w:rsidR="00A34B27">
        <w:rPr>
          <w:noProof/>
        </w:rPr>
        <w:t>6</w:t>
      </w:r>
      <w:r w:rsidR="00822588" w:rsidRPr="005764FC">
        <w:fldChar w:fldCharType="end"/>
      </w:r>
      <w:r w:rsidR="00822588" w:rsidRPr="005764FC">
        <w:t xml:space="preserve"> </w:t>
      </w:r>
      <w:r w:rsidRPr="005764FC">
        <w:t xml:space="preserve">are relevant for policy consideration. </w:t>
      </w:r>
    </w:p>
    <w:p w14:paraId="7982FCC1" w14:textId="54A4D480" w:rsidR="00B44E9A" w:rsidRPr="005764FC" w:rsidRDefault="00B44E9A" w:rsidP="00004964">
      <w:pPr>
        <w:pStyle w:val="Caption"/>
      </w:pPr>
      <w:bookmarkStart w:id="233" w:name="_Ref93534591"/>
      <w:bookmarkStart w:id="234" w:name="_Toc97807819"/>
      <w:r w:rsidRPr="005764FC">
        <w:t xml:space="preserve">Table </w:t>
      </w:r>
      <w:r w:rsidR="009359A9" w:rsidRPr="005764FC">
        <w:fldChar w:fldCharType="begin"/>
      </w:r>
      <w:r w:rsidR="009359A9" w:rsidRPr="005764FC">
        <w:instrText xml:space="preserve"> STYLEREF 1 \s </w:instrText>
      </w:r>
      <w:r w:rsidR="009359A9" w:rsidRPr="005764FC">
        <w:fldChar w:fldCharType="separate"/>
      </w:r>
      <w:r w:rsidR="00A34B27">
        <w:rPr>
          <w:noProof/>
        </w:rPr>
        <w:t>2</w:t>
      </w:r>
      <w:r w:rsidR="009359A9" w:rsidRPr="005764FC">
        <w:fldChar w:fldCharType="end"/>
      </w:r>
      <w:r w:rsidR="009359A9" w:rsidRPr="005764FC">
        <w:t>.</w:t>
      </w:r>
      <w:r w:rsidR="009359A9" w:rsidRPr="005764FC">
        <w:fldChar w:fldCharType="begin"/>
      </w:r>
      <w:r w:rsidR="009359A9" w:rsidRPr="005764FC">
        <w:instrText xml:space="preserve"> SEQ Table \* ARABIC \s 1 </w:instrText>
      </w:r>
      <w:r w:rsidR="009359A9" w:rsidRPr="005764FC">
        <w:fldChar w:fldCharType="separate"/>
      </w:r>
      <w:r w:rsidR="00A34B27">
        <w:rPr>
          <w:noProof/>
        </w:rPr>
        <w:t>6</w:t>
      </w:r>
      <w:r w:rsidR="009359A9" w:rsidRPr="005764FC">
        <w:fldChar w:fldCharType="end"/>
      </w:r>
      <w:bookmarkEnd w:id="233"/>
      <w:r w:rsidRPr="005764FC">
        <w:tab/>
      </w:r>
      <w:r w:rsidR="002656BA" w:rsidRPr="005764FC">
        <w:t>Short-range communication</w:t>
      </w:r>
      <w:r w:rsidRPr="005764FC">
        <w:t xml:space="preserve"> Findings</w:t>
      </w:r>
      <w:bookmarkEnd w:id="234"/>
    </w:p>
    <w:tbl>
      <w:tblPr>
        <w:tblStyle w:val="Table1"/>
        <w:tblW w:w="5000" w:type="pct"/>
        <w:tblLayout w:type="fixed"/>
        <w:tblLook w:val="0620" w:firstRow="1" w:lastRow="0" w:firstColumn="0" w:lastColumn="0" w:noHBand="1" w:noVBand="1"/>
      </w:tblPr>
      <w:tblGrid>
        <w:gridCol w:w="990"/>
        <w:gridCol w:w="8757"/>
      </w:tblGrid>
      <w:tr w:rsidR="00027954" w:rsidRPr="005764FC" w14:paraId="03ABABB1" w14:textId="77777777" w:rsidTr="00EA545B">
        <w:trPr>
          <w:cnfStyle w:val="100000000000" w:firstRow="1" w:lastRow="0" w:firstColumn="0" w:lastColumn="0" w:oddVBand="0" w:evenVBand="0" w:oddHBand="0" w:evenHBand="0" w:firstRowFirstColumn="0" w:firstRowLastColumn="0" w:lastRowFirstColumn="0" w:lastRowLastColumn="0"/>
          <w:cantSplit/>
          <w:tblHeader/>
        </w:trPr>
        <w:tc>
          <w:tcPr>
            <w:tcW w:w="508" w:type="pct"/>
          </w:tcPr>
          <w:p w14:paraId="2DEE20DC" w14:textId="77777777" w:rsidR="00027954" w:rsidRPr="005764FC" w:rsidRDefault="00027954" w:rsidP="00CE0107">
            <w:pPr>
              <w:pStyle w:val="TableHeading"/>
              <w:keepNext/>
              <w:jc w:val="center"/>
              <w:rPr>
                <w:lang w:eastAsia="fr-CA"/>
              </w:rPr>
            </w:pPr>
            <w:r w:rsidRPr="005764FC">
              <w:rPr>
                <w:lang w:eastAsia="fr-CA"/>
              </w:rPr>
              <w:t>Number</w:t>
            </w:r>
          </w:p>
        </w:tc>
        <w:tc>
          <w:tcPr>
            <w:tcW w:w="4492" w:type="pct"/>
          </w:tcPr>
          <w:p w14:paraId="236F6613" w14:textId="77777777" w:rsidR="00027954" w:rsidRPr="005764FC" w:rsidRDefault="00027954" w:rsidP="00CE0107">
            <w:pPr>
              <w:pStyle w:val="TableHeading"/>
              <w:keepNext/>
              <w:rPr>
                <w:lang w:eastAsia="fr-CA"/>
              </w:rPr>
            </w:pPr>
            <w:r w:rsidRPr="005764FC">
              <w:rPr>
                <w:lang w:eastAsia="fr-CA"/>
              </w:rPr>
              <w:t>Finding</w:t>
            </w:r>
          </w:p>
        </w:tc>
      </w:tr>
      <w:tr w:rsidR="00DF3C30" w:rsidRPr="005764FC" w14:paraId="04F2076F" w14:textId="77777777" w:rsidTr="00CE0107">
        <w:tc>
          <w:tcPr>
            <w:tcW w:w="508" w:type="pct"/>
            <w:shd w:val="clear" w:color="auto" w:fill="auto"/>
          </w:tcPr>
          <w:p w14:paraId="2E7217C1" w14:textId="4479C021" w:rsidR="00DF3C30" w:rsidRPr="005764FC" w:rsidRDefault="00DF3C30" w:rsidP="00DF3C30">
            <w:pPr>
              <w:pStyle w:val="TableText"/>
              <w:jc w:val="center"/>
              <w:rPr>
                <w:lang w:eastAsia="fr-CA"/>
              </w:rPr>
            </w:pPr>
            <w:r w:rsidRPr="005764FC">
              <w:rPr>
                <w:lang w:eastAsia="fr-CA"/>
              </w:rPr>
              <w:t>12</w:t>
            </w:r>
          </w:p>
        </w:tc>
        <w:tc>
          <w:tcPr>
            <w:tcW w:w="4492" w:type="pct"/>
          </w:tcPr>
          <w:p w14:paraId="6A060B72" w14:textId="0EB73728" w:rsidR="00DF3C30" w:rsidRPr="005764FC" w:rsidRDefault="00DF3C30" w:rsidP="00DF3C30">
            <w:pPr>
              <w:pStyle w:val="TableText"/>
              <w:rPr>
                <w:lang w:eastAsia="fr-CA"/>
              </w:rPr>
            </w:pPr>
            <w:r w:rsidRPr="005764FC">
              <w:rPr>
                <w:lang w:eastAsia="fr-CA"/>
              </w:rPr>
              <w:t xml:space="preserve">Prioritising support for a single short-range communications standard will encourage uptake and achieve maximum benefits given by interoperability. Mixed technology delivering the same services will </w:t>
            </w:r>
            <w:r w:rsidR="00FD6A05">
              <w:rPr>
                <w:lang w:eastAsia="fr-CA"/>
              </w:rPr>
              <w:t xml:space="preserve">more than </w:t>
            </w:r>
            <w:r w:rsidRPr="005764FC">
              <w:rPr>
                <w:lang w:eastAsia="fr-CA"/>
              </w:rPr>
              <w:t xml:space="preserve">halve the CBA benefits due to splitting the vehicle market into two halves which cannot interact with each other.  </w:t>
            </w:r>
          </w:p>
        </w:tc>
      </w:tr>
      <w:tr w:rsidR="00692F44" w:rsidRPr="005764FC" w14:paraId="1867F914" w14:textId="77777777" w:rsidTr="00C25A10">
        <w:trPr>
          <w:cantSplit/>
        </w:trPr>
        <w:tc>
          <w:tcPr>
            <w:tcW w:w="508" w:type="pct"/>
          </w:tcPr>
          <w:p w14:paraId="72F1A358" w14:textId="77777777" w:rsidR="00692F44" w:rsidRPr="005764FC" w:rsidRDefault="00692F44" w:rsidP="00C25A10">
            <w:pPr>
              <w:pStyle w:val="TableText"/>
              <w:jc w:val="center"/>
              <w:rPr>
                <w:lang w:eastAsia="fr-CA"/>
              </w:rPr>
            </w:pPr>
            <w:r w:rsidRPr="005764FC">
              <w:rPr>
                <w:lang w:eastAsia="fr-CA"/>
              </w:rPr>
              <w:t>13</w:t>
            </w:r>
          </w:p>
        </w:tc>
        <w:tc>
          <w:tcPr>
            <w:tcW w:w="4492" w:type="pct"/>
          </w:tcPr>
          <w:p w14:paraId="3B1464B3" w14:textId="6D2E9CBF" w:rsidR="00692F44" w:rsidRPr="005764FC" w:rsidRDefault="00692F44" w:rsidP="00C25A10">
            <w:pPr>
              <w:pStyle w:val="TableText"/>
              <w:rPr>
                <w:lang w:eastAsia="fr-CA"/>
              </w:rPr>
            </w:pPr>
            <w:r w:rsidRPr="005764FC">
              <w:rPr>
                <w:lang w:eastAsia="fr-CA"/>
              </w:rPr>
              <w:t xml:space="preserve">Dedicated Short-range Communications (DSRC) is </w:t>
            </w:r>
            <w:r w:rsidR="0066574E">
              <w:rPr>
                <w:lang w:eastAsia="fr-CA"/>
              </w:rPr>
              <w:t xml:space="preserve">currently </w:t>
            </w:r>
            <w:r w:rsidRPr="005764FC">
              <w:rPr>
                <w:lang w:eastAsia="fr-CA"/>
              </w:rPr>
              <w:t>the most mature technology for short-range communication deployment, has been used in all Australian pilots</w:t>
            </w:r>
            <w:r w:rsidR="00FD6A05" w:rsidRPr="00A50C5C">
              <w:rPr>
                <w:lang w:eastAsia="fr-CA"/>
              </w:rPr>
              <w:t>,</w:t>
            </w:r>
            <w:r w:rsidRPr="005764FC">
              <w:rPr>
                <w:lang w:eastAsia="fr-CA"/>
              </w:rPr>
              <w:t xml:space="preserve"> and is prioritised for the European uptake of safety-related use cases. </w:t>
            </w:r>
          </w:p>
        </w:tc>
      </w:tr>
      <w:tr w:rsidR="00692F44" w:rsidRPr="005764FC" w14:paraId="58DC1AD9" w14:textId="77777777" w:rsidTr="00C25A10">
        <w:trPr>
          <w:cantSplit/>
        </w:trPr>
        <w:tc>
          <w:tcPr>
            <w:tcW w:w="508" w:type="pct"/>
          </w:tcPr>
          <w:p w14:paraId="67CB23C5" w14:textId="77777777" w:rsidR="00692F44" w:rsidRPr="005764FC" w:rsidRDefault="00692F44" w:rsidP="00C25A10">
            <w:pPr>
              <w:pStyle w:val="TableText"/>
              <w:jc w:val="center"/>
              <w:rPr>
                <w:lang w:eastAsia="fr-CA"/>
              </w:rPr>
            </w:pPr>
            <w:r w:rsidRPr="005764FC">
              <w:rPr>
                <w:lang w:eastAsia="fr-CA"/>
              </w:rPr>
              <w:t>14</w:t>
            </w:r>
          </w:p>
        </w:tc>
        <w:tc>
          <w:tcPr>
            <w:tcW w:w="4492" w:type="pct"/>
          </w:tcPr>
          <w:p w14:paraId="77281C8C" w14:textId="53450C32" w:rsidR="00692F44" w:rsidRPr="005764FC" w:rsidRDefault="00692F44" w:rsidP="00C25A10">
            <w:pPr>
              <w:pStyle w:val="TableText"/>
              <w:rPr>
                <w:lang w:eastAsia="fr-CA"/>
              </w:rPr>
            </w:pPr>
            <w:r w:rsidRPr="005764FC">
              <w:rPr>
                <w:lang w:eastAsia="fr-CA"/>
              </w:rPr>
              <w:t xml:space="preserve">The progress of Cellular-V2X (C-V2X) should continue to be monitored for its potential to improve road safety and efficiency targets where the benefits of providing shared and nationally interoperable digital systems are not degraded. </w:t>
            </w:r>
          </w:p>
        </w:tc>
      </w:tr>
      <w:tr w:rsidR="00692F44" w:rsidRPr="005764FC" w14:paraId="69976DDC" w14:textId="77777777" w:rsidTr="00C25A10">
        <w:trPr>
          <w:cantSplit/>
        </w:trPr>
        <w:tc>
          <w:tcPr>
            <w:tcW w:w="508" w:type="pct"/>
          </w:tcPr>
          <w:p w14:paraId="0EFED791" w14:textId="77777777" w:rsidR="00692F44" w:rsidRPr="005764FC" w:rsidRDefault="00692F44" w:rsidP="00C25A10">
            <w:pPr>
              <w:pStyle w:val="TableText"/>
              <w:jc w:val="center"/>
              <w:rPr>
                <w:lang w:eastAsia="fr-CA"/>
              </w:rPr>
            </w:pPr>
            <w:r w:rsidRPr="005764FC">
              <w:rPr>
                <w:lang w:eastAsia="fr-CA"/>
              </w:rPr>
              <w:t>15</w:t>
            </w:r>
          </w:p>
        </w:tc>
        <w:tc>
          <w:tcPr>
            <w:tcW w:w="4492" w:type="pct"/>
          </w:tcPr>
          <w:p w14:paraId="61A09C42" w14:textId="476AC6D3" w:rsidR="00692F44" w:rsidRPr="005764FC" w:rsidRDefault="00692F44" w:rsidP="00C25A10">
            <w:pPr>
              <w:pStyle w:val="TableText"/>
              <w:rPr>
                <w:lang w:eastAsia="fr-CA"/>
              </w:rPr>
            </w:pPr>
            <w:r w:rsidRPr="005764FC">
              <w:rPr>
                <w:lang w:eastAsia="fr-CA"/>
              </w:rPr>
              <w:t xml:space="preserve">Full scale deployment delays have not been due to the short-range communication method but rather </w:t>
            </w:r>
            <w:r w:rsidR="00FD6A05">
              <w:rPr>
                <w:lang w:eastAsia="fr-CA"/>
              </w:rPr>
              <w:t>due</w:t>
            </w:r>
            <w:r w:rsidRPr="005764FC">
              <w:rPr>
                <w:lang w:eastAsia="fr-CA"/>
              </w:rPr>
              <w:t xml:space="preserve"> to solving challenges in delivering an operational ecosystem (such as user interaction and acceptance, business models with new interactions and processes, data readiness, security, </w:t>
            </w:r>
            <w:r w:rsidR="00FD6A05">
              <w:rPr>
                <w:lang w:eastAsia="fr-CA"/>
              </w:rPr>
              <w:t>etc.</w:t>
            </w:r>
            <w:r w:rsidR="00FD6A05" w:rsidRPr="005764FC">
              <w:rPr>
                <w:lang w:eastAsia="fr-CA"/>
              </w:rPr>
              <w:t>).</w:t>
            </w:r>
          </w:p>
        </w:tc>
      </w:tr>
    </w:tbl>
    <w:p w14:paraId="3C302EA2" w14:textId="77777777" w:rsidR="00027954" w:rsidRPr="005764FC" w:rsidRDefault="00027954" w:rsidP="00CE0107">
      <w:pPr>
        <w:pStyle w:val="BodyText"/>
        <w:rPr>
          <w:lang w:eastAsia="fr-CA"/>
        </w:rPr>
      </w:pPr>
    </w:p>
    <w:p w14:paraId="55CC1882" w14:textId="77777777" w:rsidR="00CE0107" w:rsidRPr="005764FC" w:rsidRDefault="00CE0107" w:rsidP="00CE0107">
      <w:pPr>
        <w:pStyle w:val="BodyText"/>
        <w:rPr>
          <w:lang w:eastAsia="fr-CA"/>
        </w:rPr>
      </w:pPr>
    </w:p>
    <w:p w14:paraId="743F428E" w14:textId="11E32F69" w:rsidR="00854601" w:rsidRPr="005764FC" w:rsidRDefault="00082723" w:rsidP="00854601">
      <w:pPr>
        <w:pStyle w:val="Heading1"/>
      </w:pPr>
      <w:bookmarkStart w:id="235" w:name="_Toc94536706"/>
      <w:bookmarkStart w:id="236" w:name="_Toc94453159"/>
      <w:bookmarkStart w:id="237" w:name="_Toc97807793"/>
      <w:r w:rsidRPr="005764FC">
        <w:t xml:space="preserve">Key </w:t>
      </w:r>
      <w:r w:rsidR="001B743B" w:rsidRPr="005764FC">
        <w:t>Findings</w:t>
      </w:r>
      <w:bookmarkEnd w:id="145"/>
      <w:bookmarkEnd w:id="146"/>
      <w:bookmarkEnd w:id="235"/>
      <w:bookmarkEnd w:id="236"/>
      <w:bookmarkEnd w:id="237"/>
    </w:p>
    <w:p w14:paraId="6F8C7B61" w14:textId="4B6AC156" w:rsidR="000A3EAF" w:rsidRPr="005764FC" w:rsidRDefault="006F3737" w:rsidP="000A3EAF">
      <w:pPr>
        <w:pStyle w:val="BodyText"/>
      </w:pPr>
      <w:r w:rsidRPr="005764FC">
        <w:t>T</w:t>
      </w:r>
      <w:r w:rsidR="00365052" w:rsidRPr="005764FC">
        <w:t xml:space="preserve">he overarching problem for C-ITS at a national level </w:t>
      </w:r>
      <w:r w:rsidR="00496B0F" w:rsidRPr="005764FC">
        <w:t xml:space="preserve">examined by the policy impact analysis </w:t>
      </w:r>
      <w:r w:rsidR="00794062" w:rsidRPr="005764FC">
        <w:t>was:</w:t>
      </w:r>
    </w:p>
    <w:p w14:paraId="7B6634C4" w14:textId="68FE07D4" w:rsidR="000A3EAF" w:rsidRPr="005764FC" w:rsidRDefault="000A3EAF" w:rsidP="000A3EAF">
      <w:pPr>
        <w:pStyle w:val="BodyText"/>
        <w:rPr>
          <w:i/>
          <w:iCs/>
        </w:rPr>
      </w:pPr>
      <w:r w:rsidRPr="005764FC">
        <w:rPr>
          <w:i/>
          <w:iCs/>
        </w:rPr>
        <w:t>There is currently no harmonised ecosystem available for all vehicle manufacturers and governments to share information to deliver road safety, efficiency, sustainability, and accessibility benefits for all Australians.</w:t>
      </w:r>
    </w:p>
    <w:p w14:paraId="7F99D524" w14:textId="709AE5C1" w:rsidR="00C75360" w:rsidRPr="005764FC" w:rsidRDefault="00C75360" w:rsidP="00C75360">
      <w:pPr>
        <w:pStyle w:val="BodyText"/>
        <w:rPr>
          <w:lang w:eastAsia="fr-CA"/>
        </w:rPr>
      </w:pPr>
      <w:r w:rsidRPr="005764FC">
        <w:rPr>
          <w:lang w:eastAsia="fr-CA"/>
        </w:rPr>
        <w:t xml:space="preserve">The preferred policy option is </w:t>
      </w:r>
      <w:r w:rsidR="007F0C99" w:rsidRPr="005764FC">
        <w:rPr>
          <w:lang w:eastAsia="fr-CA"/>
        </w:rPr>
        <w:t>PA2</w:t>
      </w:r>
      <w:r w:rsidRPr="005764FC">
        <w:rPr>
          <w:lang w:eastAsia="fr-CA"/>
        </w:rPr>
        <w:t xml:space="preserve">: government leadership and direction. This should be considered </w:t>
      </w:r>
      <w:r w:rsidR="0066574E">
        <w:rPr>
          <w:lang w:eastAsia="fr-CA"/>
        </w:rPr>
        <w:t>in the context of an approach that</w:t>
      </w:r>
      <w:r w:rsidR="0066574E" w:rsidRPr="005764FC">
        <w:rPr>
          <w:lang w:eastAsia="fr-CA"/>
        </w:rPr>
        <w:t xml:space="preserve"> </w:t>
      </w:r>
      <w:r w:rsidRPr="005764FC">
        <w:rPr>
          <w:lang w:eastAsia="fr-CA"/>
        </w:rPr>
        <w:t>support</w:t>
      </w:r>
      <w:r w:rsidR="0066574E">
        <w:rPr>
          <w:lang w:eastAsia="fr-CA"/>
        </w:rPr>
        <w:t>s</w:t>
      </w:r>
      <w:r w:rsidRPr="005764FC">
        <w:rPr>
          <w:lang w:eastAsia="fr-CA"/>
        </w:rPr>
        <w:t xml:space="preserve"> the European standards suite and implementation guidelines. Further, Europe should be followed for short range communications which appear</w:t>
      </w:r>
      <w:r w:rsidR="00060131" w:rsidRPr="005764FC">
        <w:rPr>
          <w:lang w:eastAsia="fr-CA"/>
        </w:rPr>
        <w:t xml:space="preserve"> to be</w:t>
      </w:r>
      <w:r w:rsidRPr="005764FC">
        <w:rPr>
          <w:lang w:eastAsia="fr-CA"/>
        </w:rPr>
        <w:t xml:space="preserve"> prioritising </w:t>
      </w:r>
      <w:r w:rsidR="00521887" w:rsidRPr="005764FC">
        <w:rPr>
          <w:lang w:eastAsia="fr-CA"/>
        </w:rPr>
        <w:t>DSRC (ITS-G5)</w:t>
      </w:r>
      <w:r w:rsidRPr="005764FC">
        <w:rPr>
          <w:lang w:eastAsia="fr-CA"/>
        </w:rPr>
        <w:t xml:space="preserve"> as the mature technology. The analysis found that due consideration must be given to the societal benefits </w:t>
      </w:r>
      <w:r w:rsidR="0066574E">
        <w:rPr>
          <w:lang w:eastAsia="fr-CA"/>
        </w:rPr>
        <w:t>that could be delivered</w:t>
      </w:r>
      <w:r w:rsidR="0066574E" w:rsidRPr="005764FC">
        <w:rPr>
          <w:lang w:eastAsia="fr-CA"/>
        </w:rPr>
        <w:t xml:space="preserve"> </w:t>
      </w:r>
      <w:r w:rsidRPr="005764FC">
        <w:rPr>
          <w:lang w:eastAsia="fr-CA"/>
        </w:rPr>
        <w:t xml:space="preserve">by all stations being interoperable, </w:t>
      </w:r>
      <w:r w:rsidR="0066574E">
        <w:rPr>
          <w:lang w:eastAsia="fr-CA"/>
        </w:rPr>
        <w:t xml:space="preserve">as </w:t>
      </w:r>
      <w:r w:rsidRPr="005764FC">
        <w:rPr>
          <w:lang w:eastAsia="fr-CA"/>
        </w:rPr>
        <w:t xml:space="preserve">a mixed technology implementation that co-exists (not interoperable) will degrade the benefits while maintaining the same, if not higher, costs. </w:t>
      </w:r>
      <w:r w:rsidR="004D3D63" w:rsidRPr="005764FC">
        <w:rPr>
          <w:lang w:eastAsia="fr-CA"/>
        </w:rPr>
        <w:t>Consideration of</w:t>
      </w:r>
      <w:r w:rsidR="007C37AC" w:rsidRPr="005764FC">
        <w:rPr>
          <w:lang w:eastAsia="fr-CA"/>
        </w:rPr>
        <w:t xml:space="preserve"> viable benefits utilising either </w:t>
      </w:r>
      <w:r w:rsidR="00BD7768" w:rsidRPr="005764FC">
        <w:rPr>
          <w:lang w:eastAsia="fr-CA"/>
        </w:rPr>
        <w:t>DSRC</w:t>
      </w:r>
      <w:r w:rsidR="007C37AC" w:rsidRPr="005764FC">
        <w:rPr>
          <w:lang w:eastAsia="fr-CA"/>
        </w:rPr>
        <w:t xml:space="preserve"> or C-V2X should be encouraged</w:t>
      </w:r>
      <w:r w:rsidR="00C142E1" w:rsidRPr="005764FC">
        <w:rPr>
          <w:lang w:eastAsia="fr-CA"/>
        </w:rPr>
        <w:t xml:space="preserve"> if interoperability</w:t>
      </w:r>
      <w:r w:rsidR="00D5502F" w:rsidRPr="005764FC">
        <w:rPr>
          <w:lang w:eastAsia="fr-CA"/>
        </w:rPr>
        <w:t xml:space="preserve"> </w:t>
      </w:r>
      <w:r w:rsidR="00C0301E" w:rsidRPr="005764FC">
        <w:rPr>
          <w:lang w:eastAsia="fr-CA"/>
        </w:rPr>
        <w:t xml:space="preserve">is </w:t>
      </w:r>
      <w:r w:rsidR="00C142E1" w:rsidRPr="005764FC">
        <w:rPr>
          <w:lang w:eastAsia="fr-CA"/>
        </w:rPr>
        <w:t>not need</w:t>
      </w:r>
      <w:r w:rsidR="007401E0" w:rsidRPr="005764FC">
        <w:rPr>
          <w:lang w:eastAsia="fr-CA"/>
        </w:rPr>
        <w:t>ed</w:t>
      </w:r>
      <w:r w:rsidR="007C37AC" w:rsidRPr="005764FC">
        <w:rPr>
          <w:lang w:eastAsia="fr-CA"/>
        </w:rPr>
        <w:t xml:space="preserve">. </w:t>
      </w:r>
    </w:p>
    <w:p w14:paraId="438900A5" w14:textId="598794B3" w:rsidR="00F40E8B" w:rsidRPr="005764FC" w:rsidRDefault="007F0C99" w:rsidP="00F40E8B">
      <w:pPr>
        <w:pStyle w:val="BodyText"/>
        <w:rPr>
          <w:lang w:eastAsia="fr-CA"/>
        </w:rPr>
      </w:pPr>
      <w:r w:rsidRPr="005764FC">
        <w:rPr>
          <w:lang w:eastAsia="fr-CA"/>
        </w:rPr>
        <w:t>PA2</w:t>
      </w:r>
      <w:r w:rsidR="00F40E8B" w:rsidRPr="005764FC">
        <w:rPr>
          <w:lang w:eastAsia="fr-CA"/>
        </w:rPr>
        <w:t xml:space="preserve"> is beneficial in positioning government </w:t>
      </w:r>
      <w:r w:rsidR="00BC2E94" w:rsidRPr="005764FC">
        <w:rPr>
          <w:lang w:eastAsia="fr-CA"/>
        </w:rPr>
        <w:t xml:space="preserve">and allowing </w:t>
      </w:r>
      <w:r w:rsidR="00D273F8" w:rsidRPr="005764FC">
        <w:rPr>
          <w:lang w:eastAsia="fr-CA"/>
        </w:rPr>
        <w:t>an informed decision to</w:t>
      </w:r>
      <w:r w:rsidR="00F40E8B" w:rsidRPr="005764FC">
        <w:rPr>
          <w:lang w:eastAsia="fr-CA"/>
        </w:rPr>
        <w:t xml:space="preserve"> shift towards a market-led approach or regulation depending </w:t>
      </w:r>
      <w:r w:rsidR="001929BA" w:rsidRPr="005764FC">
        <w:rPr>
          <w:lang w:eastAsia="fr-CA"/>
        </w:rPr>
        <w:t xml:space="preserve">if warranted </w:t>
      </w:r>
      <w:r w:rsidR="00F40E8B" w:rsidRPr="005764FC">
        <w:rPr>
          <w:lang w:eastAsia="fr-CA"/>
        </w:rPr>
        <w:t xml:space="preserve">on the specific component or issue raised. With regard to regulation, the proposed amendment to the ITS directive in Europe opened for comment in December 2021 and should be monitored for its outcome. </w:t>
      </w:r>
      <w:r w:rsidR="006959BE" w:rsidRPr="005764FC">
        <w:rPr>
          <w:lang w:eastAsia="fr-CA"/>
        </w:rPr>
        <w:t>T</w:t>
      </w:r>
      <w:r w:rsidR="00F40E8B" w:rsidRPr="005764FC">
        <w:rPr>
          <w:lang w:eastAsia="fr-CA"/>
        </w:rPr>
        <w:t xml:space="preserve">his will likely shift European deployment roadmaps and implementation and have a flow on effect to Australia’s progress. </w:t>
      </w:r>
    </w:p>
    <w:p w14:paraId="134F56E1" w14:textId="60D9DD50" w:rsidR="007B7293" w:rsidRPr="005764FC" w:rsidRDefault="00FF1863" w:rsidP="00CE0107">
      <w:pPr>
        <w:pStyle w:val="Heading2"/>
      </w:pPr>
      <w:bookmarkStart w:id="238" w:name="_Toc97807794"/>
      <w:r w:rsidRPr="005764FC">
        <w:t xml:space="preserve">Problem </w:t>
      </w:r>
      <w:r w:rsidR="00ED6D83" w:rsidRPr="005764FC">
        <w:t xml:space="preserve">aspect: </w:t>
      </w:r>
      <w:r w:rsidR="007B7293" w:rsidRPr="005764FC">
        <w:t>Harmonised ecosystem for all</w:t>
      </w:r>
      <w:bookmarkEnd w:id="238"/>
    </w:p>
    <w:p w14:paraId="0C3EFE0E" w14:textId="4B0E55FA" w:rsidR="007D4756" w:rsidRPr="005764FC" w:rsidRDefault="00E06139" w:rsidP="007B7293">
      <w:pPr>
        <w:pStyle w:val="BodyText"/>
        <w:rPr>
          <w:lang w:eastAsia="fr-CA"/>
        </w:rPr>
      </w:pPr>
      <w:r w:rsidRPr="005764FC">
        <w:rPr>
          <w:lang w:eastAsia="fr-CA"/>
        </w:rPr>
        <w:t>T</w:t>
      </w:r>
      <w:r w:rsidR="00395EB2" w:rsidRPr="005764FC">
        <w:rPr>
          <w:lang w:eastAsia="fr-CA"/>
        </w:rPr>
        <w:t xml:space="preserve">here is merit in </w:t>
      </w:r>
      <w:r w:rsidR="003D3058" w:rsidRPr="005764FC">
        <w:rPr>
          <w:lang w:eastAsia="fr-CA"/>
        </w:rPr>
        <w:t xml:space="preserve">the ecosystems, standards and guidelines </w:t>
      </w:r>
      <w:r w:rsidR="00395EB2" w:rsidRPr="005764FC">
        <w:rPr>
          <w:lang w:eastAsia="fr-CA"/>
        </w:rPr>
        <w:t xml:space="preserve">each region </w:t>
      </w:r>
      <w:r w:rsidRPr="005764FC">
        <w:rPr>
          <w:lang w:eastAsia="fr-CA"/>
        </w:rPr>
        <w:t>is</w:t>
      </w:r>
      <w:r w:rsidR="00395EB2" w:rsidRPr="005764FC">
        <w:rPr>
          <w:lang w:eastAsia="fr-CA"/>
        </w:rPr>
        <w:t xml:space="preserve"> progressing</w:t>
      </w:r>
      <w:r w:rsidR="003D3058" w:rsidRPr="005764FC">
        <w:rPr>
          <w:lang w:eastAsia="fr-CA"/>
        </w:rPr>
        <w:t xml:space="preserve"> </w:t>
      </w:r>
      <w:r w:rsidR="00CB21D2" w:rsidRPr="005764FC">
        <w:rPr>
          <w:lang w:eastAsia="fr-CA"/>
        </w:rPr>
        <w:t>as part of their strategies to implement C-ITS.</w:t>
      </w:r>
      <w:r w:rsidR="00395EB2" w:rsidRPr="005764FC">
        <w:rPr>
          <w:lang w:eastAsia="fr-CA"/>
        </w:rPr>
        <w:t xml:space="preserve"> </w:t>
      </w:r>
      <w:r w:rsidR="00973027" w:rsidRPr="005764FC">
        <w:rPr>
          <w:lang w:eastAsia="fr-CA"/>
        </w:rPr>
        <w:t>Australia should look</w:t>
      </w:r>
      <w:r w:rsidR="000A25B6" w:rsidRPr="005764FC">
        <w:rPr>
          <w:lang w:eastAsia="fr-CA"/>
        </w:rPr>
        <w:t xml:space="preserve"> to leverage learnings from all regions as they apply to the Australian context.</w:t>
      </w:r>
      <w:r w:rsidR="00074C3F" w:rsidRPr="005764FC">
        <w:rPr>
          <w:lang w:eastAsia="fr-CA"/>
        </w:rPr>
        <w:t xml:space="preserve"> </w:t>
      </w:r>
      <w:r w:rsidRPr="005764FC">
        <w:rPr>
          <w:lang w:eastAsia="fr-CA"/>
        </w:rPr>
        <w:t>However, t</w:t>
      </w:r>
      <w:r w:rsidR="00B55E22" w:rsidRPr="005764FC">
        <w:rPr>
          <w:lang w:eastAsia="fr-CA"/>
        </w:rPr>
        <w:t>he policy analysis</w:t>
      </w:r>
      <w:r w:rsidR="00902D56" w:rsidRPr="005764FC">
        <w:rPr>
          <w:lang w:eastAsia="fr-CA"/>
        </w:rPr>
        <w:t xml:space="preserve"> found that a single region</w:t>
      </w:r>
      <w:r w:rsidR="00F860DC" w:rsidRPr="005764FC">
        <w:rPr>
          <w:lang w:eastAsia="fr-CA"/>
        </w:rPr>
        <w:t xml:space="preserve"> </w:t>
      </w:r>
      <w:r w:rsidR="00B0563F" w:rsidRPr="005764FC">
        <w:rPr>
          <w:lang w:eastAsia="fr-CA"/>
        </w:rPr>
        <w:t>(</w:t>
      </w:r>
      <w:r w:rsidR="00F860DC" w:rsidRPr="005764FC">
        <w:rPr>
          <w:lang w:eastAsia="fr-CA"/>
        </w:rPr>
        <w:t>Europe</w:t>
      </w:r>
      <w:r w:rsidR="00B0563F" w:rsidRPr="005764FC">
        <w:rPr>
          <w:lang w:eastAsia="fr-CA"/>
        </w:rPr>
        <w:t>)</w:t>
      </w:r>
      <w:r w:rsidR="00F860DC" w:rsidRPr="005764FC">
        <w:rPr>
          <w:lang w:eastAsia="fr-CA"/>
        </w:rPr>
        <w:t xml:space="preserve"> should be </w:t>
      </w:r>
      <w:r w:rsidR="003B3AF4" w:rsidRPr="005764FC">
        <w:rPr>
          <w:lang w:eastAsia="fr-CA"/>
        </w:rPr>
        <w:t>l</w:t>
      </w:r>
      <w:r w:rsidR="00B0563F" w:rsidRPr="005764FC">
        <w:rPr>
          <w:lang w:eastAsia="fr-CA"/>
        </w:rPr>
        <w:t>everaged</w:t>
      </w:r>
      <w:r w:rsidR="00F860DC" w:rsidRPr="005764FC">
        <w:rPr>
          <w:lang w:eastAsia="fr-CA"/>
        </w:rPr>
        <w:t xml:space="preserve"> </w:t>
      </w:r>
      <w:r w:rsidR="004814AD" w:rsidRPr="005764FC">
        <w:rPr>
          <w:lang w:eastAsia="fr-CA"/>
        </w:rPr>
        <w:t xml:space="preserve">as the </w:t>
      </w:r>
      <w:r w:rsidR="001F7918" w:rsidRPr="005764FC">
        <w:rPr>
          <w:lang w:eastAsia="fr-CA"/>
        </w:rPr>
        <w:t xml:space="preserve">basis </w:t>
      </w:r>
      <w:r w:rsidR="00135AC9" w:rsidRPr="005764FC">
        <w:rPr>
          <w:lang w:eastAsia="fr-CA"/>
        </w:rPr>
        <w:t>for Australia’s deployment of C-ITS</w:t>
      </w:r>
      <w:r w:rsidR="00576F49" w:rsidRPr="005764FC">
        <w:rPr>
          <w:lang w:eastAsia="fr-CA"/>
        </w:rPr>
        <w:t xml:space="preserve"> given </w:t>
      </w:r>
      <w:r w:rsidR="007B5D78" w:rsidRPr="005764FC">
        <w:rPr>
          <w:lang w:eastAsia="fr-CA"/>
        </w:rPr>
        <w:t>95</w:t>
      </w:r>
      <w:r w:rsidR="006B4DBA" w:rsidRPr="005764FC">
        <w:rPr>
          <w:lang w:eastAsia="fr-CA"/>
        </w:rPr>
        <w:t xml:space="preserve"> per cent</w:t>
      </w:r>
      <w:r w:rsidR="007B5D78" w:rsidRPr="005764FC">
        <w:rPr>
          <w:lang w:eastAsia="fr-CA"/>
        </w:rPr>
        <w:t xml:space="preserve"> of the </w:t>
      </w:r>
      <w:r w:rsidR="002A14B4" w:rsidRPr="005764FC">
        <w:rPr>
          <w:lang w:eastAsia="fr-CA"/>
        </w:rPr>
        <w:t xml:space="preserve">Australian </w:t>
      </w:r>
      <w:r w:rsidR="007B5D78" w:rsidRPr="005764FC">
        <w:rPr>
          <w:lang w:eastAsia="fr-CA"/>
        </w:rPr>
        <w:t>market is distributed across 19 overseas manufacturers</w:t>
      </w:r>
      <w:r w:rsidR="00135AC9" w:rsidRPr="005764FC">
        <w:rPr>
          <w:lang w:eastAsia="fr-CA"/>
        </w:rPr>
        <w:t xml:space="preserve">. </w:t>
      </w:r>
      <w:r w:rsidR="007D4756" w:rsidRPr="005764FC">
        <w:rPr>
          <w:lang w:eastAsia="fr-CA"/>
        </w:rPr>
        <w:t>Th</w:t>
      </w:r>
      <w:r w:rsidR="003971D2" w:rsidRPr="005764FC">
        <w:rPr>
          <w:lang w:eastAsia="fr-CA"/>
        </w:rPr>
        <w:t xml:space="preserve">e </w:t>
      </w:r>
      <w:r w:rsidR="00F5415F" w:rsidRPr="005764FC">
        <w:rPr>
          <w:lang w:eastAsia="fr-CA"/>
        </w:rPr>
        <w:t>need to follow Europe</w:t>
      </w:r>
      <w:r w:rsidR="007D4756" w:rsidRPr="005764FC">
        <w:rPr>
          <w:lang w:eastAsia="fr-CA"/>
        </w:rPr>
        <w:t xml:space="preserve"> is primarily due to</w:t>
      </w:r>
      <w:r w:rsidR="00133E0B" w:rsidRPr="005764FC">
        <w:rPr>
          <w:lang w:eastAsia="fr-CA"/>
        </w:rPr>
        <w:t xml:space="preserve"> the extensive</w:t>
      </w:r>
      <w:r w:rsidR="00F21CE1" w:rsidRPr="005764FC">
        <w:rPr>
          <w:lang w:eastAsia="fr-CA"/>
        </w:rPr>
        <w:t>,</w:t>
      </w:r>
      <w:r w:rsidR="00133E0B" w:rsidRPr="005764FC">
        <w:rPr>
          <w:lang w:eastAsia="fr-CA"/>
        </w:rPr>
        <w:t xml:space="preserve"> </w:t>
      </w:r>
      <w:r w:rsidR="00BB1C14" w:rsidRPr="005764FC">
        <w:rPr>
          <w:lang w:eastAsia="fr-CA"/>
        </w:rPr>
        <w:t xml:space="preserve">open and harmonised </w:t>
      </w:r>
      <w:r w:rsidR="00787371" w:rsidRPr="005764FC">
        <w:rPr>
          <w:lang w:eastAsia="fr-CA"/>
        </w:rPr>
        <w:t xml:space="preserve">cross-border and cross-manufacturer </w:t>
      </w:r>
      <w:r w:rsidR="004B04C9" w:rsidRPr="005764FC">
        <w:rPr>
          <w:lang w:eastAsia="fr-CA"/>
        </w:rPr>
        <w:t xml:space="preserve">development of C-ITS framework (standards, specifications, guidelines) </w:t>
      </w:r>
      <w:r w:rsidR="001C1172" w:rsidRPr="005764FC">
        <w:rPr>
          <w:lang w:eastAsia="fr-CA"/>
        </w:rPr>
        <w:t xml:space="preserve">that </w:t>
      </w:r>
      <w:r w:rsidR="00BC6513" w:rsidRPr="005764FC">
        <w:rPr>
          <w:lang w:eastAsia="fr-CA"/>
        </w:rPr>
        <w:t>the region</w:t>
      </w:r>
      <w:r w:rsidR="001C1172" w:rsidRPr="005764FC">
        <w:rPr>
          <w:lang w:eastAsia="fr-CA"/>
        </w:rPr>
        <w:t xml:space="preserve"> </w:t>
      </w:r>
      <w:r w:rsidR="005233B0" w:rsidRPr="005764FC">
        <w:rPr>
          <w:lang w:eastAsia="fr-CA"/>
        </w:rPr>
        <w:t>has worked towards</w:t>
      </w:r>
      <w:r w:rsidRPr="005764FC">
        <w:rPr>
          <w:lang w:eastAsia="fr-CA"/>
        </w:rPr>
        <w:t xml:space="preserve"> for over a decade</w:t>
      </w:r>
      <w:r w:rsidR="005233B0" w:rsidRPr="005764FC">
        <w:rPr>
          <w:lang w:eastAsia="fr-CA"/>
        </w:rPr>
        <w:t xml:space="preserve">. </w:t>
      </w:r>
      <w:r w:rsidR="00C5077A" w:rsidRPr="005764FC">
        <w:rPr>
          <w:lang w:eastAsia="fr-CA"/>
        </w:rPr>
        <w:t xml:space="preserve">Further, this </w:t>
      </w:r>
      <w:r w:rsidR="009E0802" w:rsidRPr="005764FC">
        <w:rPr>
          <w:lang w:eastAsia="fr-CA"/>
        </w:rPr>
        <w:t xml:space="preserve">outcome, aligns to the existing </w:t>
      </w:r>
      <w:r w:rsidR="00B64537" w:rsidRPr="005764FC">
        <w:rPr>
          <w:lang w:eastAsia="fr-CA"/>
        </w:rPr>
        <w:t xml:space="preserve">vehicle standards harmonisation </w:t>
      </w:r>
      <w:r w:rsidR="000403EC" w:rsidRPr="005764FC">
        <w:rPr>
          <w:lang w:eastAsia="fr-CA"/>
        </w:rPr>
        <w:t xml:space="preserve">efforts to date </w:t>
      </w:r>
      <w:r w:rsidR="00340A9E" w:rsidRPr="005764FC">
        <w:rPr>
          <w:lang w:eastAsia="fr-CA"/>
        </w:rPr>
        <w:t>where road safety law</w:t>
      </w:r>
      <w:r w:rsidR="003D56F4" w:rsidRPr="005764FC">
        <w:rPr>
          <w:lang w:eastAsia="fr-CA"/>
        </w:rPr>
        <w:t xml:space="preserve"> aligns to Europe through WP.29 and compliance efforts </w:t>
      </w:r>
      <w:r w:rsidR="001E00F4" w:rsidRPr="005764FC">
        <w:rPr>
          <w:lang w:eastAsia="fr-CA"/>
        </w:rPr>
        <w:t xml:space="preserve">through ANCAP align with EURO NCAP. </w:t>
      </w:r>
    </w:p>
    <w:p w14:paraId="5F006CFC" w14:textId="0E318D6E" w:rsidR="00B14E8D" w:rsidRPr="005764FC" w:rsidRDefault="00B14E8D" w:rsidP="00B14E8D">
      <w:pPr>
        <w:pStyle w:val="ListBullet"/>
        <w:numPr>
          <w:ilvl w:val="0"/>
          <w:numId w:val="0"/>
        </w:numPr>
        <w:rPr>
          <w:lang w:eastAsia="fr-CA"/>
        </w:rPr>
      </w:pPr>
      <w:r w:rsidRPr="005764FC">
        <w:rPr>
          <w:lang w:eastAsia="fr-CA"/>
        </w:rPr>
        <w:t xml:space="preserve">Importantly, the use of </w:t>
      </w:r>
      <w:r w:rsidR="00521887" w:rsidRPr="005764FC">
        <w:rPr>
          <w:lang w:eastAsia="fr-CA"/>
        </w:rPr>
        <w:t>DSRC (ITS-G5)</w:t>
      </w:r>
      <w:r w:rsidRPr="005764FC">
        <w:rPr>
          <w:lang w:eastAsia="fr-CA"/>
        </w:rPr>
        <w:t xml:space="preserve"> has been proven to meet the needs of C-ITS and available for deployment. Scaled deployment of C-ITS has been tempered to date due to the wider challenges across a cooperative operational ecosystem which are unlikely to be resolved by a change in communication technology. </w:t>
      </w:r>
      <w:r w:rsidR="00E06139" w:rsidRPr="005764FC">
        <w:rPr>
          <w:lang w:eastAsia="fr-CA"/>
        </w:rPr>
        <w:t>T</w:t>
      </w:r>
      <w:r w:rsidRPr="005764FC">
        <w:rPr>
          <w:lang w:eastAsia="fr-CA"/>
        </w:rPr>
        <w:t xml:space="preserve">he </w:t>
      </w:r>
      <w:r w:rsidR="0062602D" w:rsidRPr="005764FC">
        <w:rPr>
          <w:lang w:eastAsia="fr-CA"/>
        </w:rPr>
        <w:t xml:space="preserve">ramp up in </w:t>
      </w:r>
      <w:r w:rsidRPr="005764FC">
        <w:rPr>
          <w:lang w:eastAsia="fr-CA"/>
        </w:rPr>
        <w:t>deliver</w:t>
      </w:r>
      <w:r w:rsidR="0062602D" w:rsidRPr="005764FC">
        <w:rPr>
          <w:lang w:eastAsia="fr-CA"/>
        </w:rPr>
        <w:t>y</w:t>
      </w:r>
      <w:r w:rsidRPr="005764FC">
        <w:rPr>
          <w:lang w:eastAsia="fr-CA"/>
        </w:rPr>
        <w:t xml:space="preserve"> of integrated digital systems progressing in recent years to leverage the hardware technology that has been available for many years</w:t>
      </w:r>
      <w:r w:rsidR="00E06139" w:rsidRPr="005764FC">
        <w:rPr>
          <w:lang w:eastAsia="fr-CA"/>
        </w:rPr>
        <w:t xml:space="preserve"> is triggering the movement to large-scale deployment</w:t>
      </w:r>
      <w:r w:rsidRPr="005764FC">
        <w:rPr>
          <w:lang w:eastAsia="fr-CA"/>
        </w:rPr>
        <w:t xml:space="preserve">. </w:t>
      </w:r>
    </w:p>
    <w:p w14:paraId="22721F6D" w14:textId="77CF996D" w:rsidR="007B7293" w:rsidRPr="005764FC" w:rsidRDefault="00ED6D83" w:rsidP="00CE0107">
      <w:pPr>
        <w:pStyle w:val="Heading2"/>
      </w:pPr>
      <w:bookmarkStart w:id="239" w:name="_Toc97807795"/>
      <w:r w:rsidRPr="005764FC">
        <w:t xml:space="preserve">Problem aspect: </w:t>
      </w:r>
      <w:r w:rsidR="00B96B68" w:rsidRPr="005764FC">
        <w:t>Delivery of road safety, efficiency, sustainability, and accessibility benefits</w:t>
      </w:r>
      <w:bookmarkEnd w:id="239"/>
    </w:p>
    <w:p w14:paraId="747F40EE" w14:textId="1EDC4500" w:rsidR="007E2745" w:rsidRPr="005764FC" w:rsidRDefault="00A626D0" w:rsidP="00CE3124">
      <w:pPr>
        <w:pStyle w:val="BodyText"/>
        <w:keepNext/>
      </w:pPr>
      <w:r w:rsidRPr="005764FC">
        <w:t xml:space="preserve">C-ITS </w:t>
      </w:r>
      <w:r w:rsidR="00990DF7" w:rsidRPr="005764FC">
        <w:t xml:space="preserve">policy </w:t>
      </w:r>
      <w:r w:rsidR="00D056A2" w:rsidRPr="005764FC">
        <w:t>intervention</w:t>
      </w:r>
      <w:r w:rsidR="00990DF7" w:rsidRPr="005764FC">
        <w:t xml:space="preserve"> </w:t>
      </w:r>
      <w:r w:rsidR="006D342D" w:rsidRPr="005764FC">
        <w:t xml:space="preserve">described </w:t>
      </w:r>
      <w:r w:rsidR="00D149D0" w:rsidRPr="005764FC">
        <w:t xml:space="preserve">in </w:t>
      </w:r>
      <w:r w:rsidR="00CE3124" w:rsidRPr="005764FC">
        <w:t xml:space="preserve">Section </w:t>
      </w:r>
      <w:r w:rsidR="00A07E42" w:rsidRPr="005764FC">
        <w:fldChar w:fldCharType="begin" w:fldLock="1"/>
      </w:r>
      <w:r w:rsidR="00A07E42" w:rsidRPr="005764FC">
        <w:instrText xml:space="preserve"> REF _Ref94470912 \r \h  \* MERGEFORMAT </w:instrText>
      </w:r>
      <w:r w:rsidR="00A07E42" w:rsidRPr="005764FC">
        <w:fldChar w:fldCharType="separate"/>
      </w:r>
      <w:r w:rsidR="00A34B27">
        <w:t>2</w:t>
      </w:r>
      <w:r w:rsidR="00A07E42" w:rsidRPr="005764FC">
        <w:fldChar w:fldCharType="end"/>
      </w:r>
      <w:r w:rsidR="00A07E42" w:rsidRPr="005764FC">
        <w:t xml:space="preserve"> </w:t>
      </w:r>
      <w:r w:rsidR="006D342D" w:rsidRPr="005764FC">
        <w:t>can influence</w:t>
      </w:r>
      <w:r w:rsidR="007E2745" w:rsidRPr="005764FC">
        <w:t xml:space="preserve"> </w:t>
      </w:r>
      <w:r w:rsidR="0086100C" w:rsidRPr="005764FC">
        <w:t xml:space="preserve">priority objectives </w:t>
      </w:r>
      <w:r w:rsidR="006D342D" w:rsidRPr="005764FC">
        <w:t>which</w:t>
      </w:r>
      <w:r w:rsidR="0086100C" w:rsidRPr="005764FC">
        <w:t xml:space="preserve"> are </w:t>
      </w:r>
      <w:r w:rsidR="00990DF7" w:rsidRPr="005764FC">
        <w:t xml:space="preserve">on a </w:t>
      </w:r>
      <w:r w:rsidR="0086100C" w:rsidRPr="005764FC">
        <w:t>flatlining</w:t>
      </w:r>
      <w:r w:rsidR="00990DF7" w:rsidRPr="005764FC">
        <w:t xml:space="preserve"> trend</w:t>
      </w:r>
      <w:r w:rsidR="0086100C" w:rsidRPr="005764FC">
        <w:t xml:space="preserve">. </w:t>
      </w:r>
      <w:r w:rsidR="00013553" w:rsidRPr="005764FC">
        <w:t>This is supported by the project’s analysis – particularly the cost-benefit analysis.</w:t>
      </w:r>
    </w:p>
    <w:p w14:paraId="4EFE6B2E" w14:textId="51972A5D" w:rsidR="006B388A" w:rsidRPr="005764FC" w:rsidRDefault="00BC2D5C" w:rsidP="00CE3124">
      <w:pPr>
        <w:pStyle w:val="ListBullet"/>
        <w:keepNext/>
        <w:ind w:left="357" w:hanging="357"/>
        <w:contextualSpacing/>
      </w:pPr>
      <w:r w:rsidRPr="005764FC">
        <w:rPr>
          <w:b/>
          <w:bCs/>
        </w:rPr>
        <w:t>Safety</w:t>
      </w:r>
      <w:r w:rsidR="00CE0107" w:rsidRPr="005764FC">
        <w:rPr>
          <w:b/>
          <w:bCs/>
        </w:rPr>
        <w:t>:</w:t>
      </w:r>
      <w:r w:rsidR="00CE0107" w:rsidRPr="005764FC">
        <w:t xml:space="preserve"> </w:t>
      </w:r>
      <w:r w:rsidR="00883BC3" w:rsidRPr="005764FC">
        <w:t xml:space="preserve">C-ITS has the </w:t>
      </w:r>
      <w:r w:rsidR="00295B55" w:rsidRPr="005764FC">
        <w:t xml:space="preserve">potential to impact road safety </w:t>
      </w:r>
      <w:r w:rsidR="008E1092" w:rsidRPr="005764FC">
        <w:t xml:space="preserve">with </w:t>
      </w:r>
      <w:r w:rsidR="004A3B4A" w:rsidRPr="005764FC">
        <w:t xml:space="preserve">reduction of </w:t>
      </w:r>
      <w:r w:rsidR="00AF0269" w:rsidRPr="005764FC">
        <w:t xml:space="preserve">crashes resulting in lower </w:t>
      </w:r>
      <w:r w:rsidR="004A3B4A" w:rsidRPr="005764FC">
        <w:t>fatalities and injuries</w:t>
      </w:r>
      <w:r w:rsidR="005970E1" w:rsidRPr="005764FC">
        <w:t xml:space="preserve">. </w:t>
      </w:r>
      <w:r w:rsidR="00CF455D" w:rsidRPr="005764FC">
        <w:t xml:space="preserve">The safety benefit is most significant in a </w:t>
      </w:r>
      <w:r w:rsidR="00322761" w:rsidRPr="005764FC">
        <w:t xml:space="preserve">hybrid deployment which encourages the availability of more use cases. </w:t>
      </w:r>
    </w:p>
    <w:p w14:paraId="20D9A320" w14:textId="65A42F18" w:rsidR="006B388A" w:rsidRPr="005764FC" w:rsidRDefault="00BC2D5C" w:rsidP="00CE0107">
      <w:pPr>
        <w:pStyle w:val="ListBullet"/>
        <w:ind w:left="357" w:hanging="357"/>
        <w:contextualSpacing/>
      </w:pPr>
      <w:r w:rsidRPr="005764FC">
        <w:rPr>
          <w:b/>
          <w:bCs/>
        </w:rPr>
        <w:t>Efficiency</w:t>
      </w:r>
      <w:r w:rsidR="00CE0107" w:rsidRPr="005764FC">
        <w:rPr>
          <w:b/>
          <w:bCs/>
        </w:rPr>
        <w:t>:</w:t>
      </w:r>
      <w:r w:rsidR="00752703" w:rsidRPr="005764FC">
        <w:rPr>
          <w:b/>
          <w:bCs/>
        </w:rPr>
        <w:t xml:space="preserve"> </w:t>
      </w:r>
      <w:r w:rsidR="005970E1" w:rsidRPr="005764FC">
        <w:t xml:space="preserve"> </w:t>
      </w:r>
      <w:r w:rsidR="001D2C44" w:rsidRPr="005764FC">
        <w:t xml:space="preserve">Additional information about the road </w:t>
      </w:r>
      <w:r w:rsidR="009B686C" w:rsidRPr="005764FC">
        <w:t>environment generates use cases that allo</w:t>
      </w:r>
      <w:r w:rsidR="00652821" w:rsidRPr="005764FC">
        <w:t xml:space="preserve">w the user </w:t>
      </w:r>
      <w:r w:rsidR="001D41B6">
        <w:t xml:space="preserve">to experience </w:t>
      </w:r>
      <w:r w:rsidR="00652821" w:rsidRPr="005764FC">
        <w:t xml:space="preserve">less congested and smoother </w:t>
      </w:r>
      <w:r w:rsidR="00841FC7" w:rsidRPr="005764FC">
        <w:t>travel. Benefits are also found by return</w:t>
      </w:r>
      <w:r w:rsidR="001D41B6">
        <w:t>ing</w:t>
      </w:r>
      <w:r w:rsidR="00841FC7" w:rsidRPr="005764FC">
        <w:t xml:space="preserve"> vehicle</w:t>
      </w:r>
      <w:r w:rsidR="001D41B6">
        <w:t>-generated</w:t>
      </w:r>
      <w:r w:rsidR="00841FC7" w:rsidRPr="005764FC">
        <w:t xml:space="preserve"> information into smarter network management systems that can</w:t>
      </w:r>
      <w:r w:rsidR="001D41B6">
        <w:t>, in turn,</w:t>
      </w:r>
      <w:r w:rsidR="00841FC7" w:rsidRPr="005764FC">
        <w:t xml:space="preserve"> improve the overall network performance. </w:t>
      </w:r>
    </w:p>
    <w:p w14:paraId="39B455FE" w14:textId="615F4CAE" w:rsidR="00313FF1" w:rsidRPr="005764FC" w:rsidRDefault="00BC2D5C" w:rsidP="00CE0107">
      <w:pPr>
        <w:pStyle w:val="ListBullet"/>
        <w:ind w:left="357" w:hanging="357"/>
        <w:contextualSpacing/>
      </w:pPr>
      <w:r w:rsidRPr="005764FC">
        <w:rPr>
          <w:b/>
          <w:bCs/>
        </w:rPr>
        <w:t>Sustainability</w:t>
      </w:r>
      <w:r w:rsidR="00CE0107" w:rsidRPr="005764FC">
        <w:rPr>
          <w:b/>
          <w:bCs/>
        </w:rPr>
        <w:t>:</w:t>
      </w:r>
      <w:r w:rsidR="00CE0107" w:rsidRPr="005764FC">
        <w:t xml:space="preserve"> </w:t>
      </w:r>
      <w:r w:rsidR="002E413F" w:rsidRPr="005764FC">
        <w:t>Aligned to efficiency</w:t>
      </w:r>
      <w:r w:rsidR="00F779D7" w:rsidRPr="005764FC">
        <w:t xml:space="preserve">, C-ITS provisions </w:t>
      </w:r>
      <w:r w:rsidR="00FA4D7D" w:rsidRPr="005764FC">
        <w:t xml:space="preserve">services that allow vehicles and users to </w:t>
      </w:r>
      <w:r w:rsidR="0010021C" w:rsidRPr="005764FC">
        <w:t>navigate their journeys more efficiently</w:t>
      </w:r>
      <w:r w:rsidR="002E413F" w:rsidRPr="005764FC">
        <w:t xml:space="preserve">. </w:t>
      </w:r>
      <w:r w:rsidR="00FA4D7D" w:rsidRPr="005764FC">
        <w:t xml:space="preserve">In </w:t>
      </w:r>
      <w:r w:rsidR="002E413F" w:rsidRPr="005764FC">
        <w:t>Europe</w:t>
      </w:r>
      <w:r w:rsidR="00FA4D7D" w:rsidRPr="005764FC">
        <w:t xml:space="preserve">, this has been a strong driver for C-ITS </w:t>
      </w:r>
      <w:r w:rsidR="005267E5" w:rsidRPr="005764FC">
        <w:t>objectives</w:t>
      </w:r>
      <w:r w:rsidR="00A77457" w:rsidRPr="005764FC">
        <w:t xml:space="preserve"> </w:t>
      </w:r>
      <w:r w:rsidR="00DB58A5" w:rsidRPr="005764FC">
        <w:t xml:space="preserve">to contribute to the </w:t>
      </w:r>
      <w:r w:rsidR="00D27533" w:rsidRPr="005764FC">
        <w:t>‘</w:t>
      </w:r>
      <w:r w:rsidR="00A77457" w:rsidRPr="005764FC">
        <w:t xml:space="preserve">Green </w:t>
      </w:r>
      <w:r w:rsidR="00D27533" w:rsidRPr="005764FC">
        <w:t>D</w:t>
      </w:r>
      <w:r w:rsidR="00A77457" w:rsidRPr="005764FC">
        <w:t>eal</w:t>
      </w:r>
      <w:r w:rsidR="00D27533" w:rsidRPr="005764FC">
        <w:t>’</w:t>
      </w:r>
      <w:r w:rsidR="00A77457" w:rsidRPr="005764FC">
        <w:t xml:space="preserve"> </w:t>
      </w:r>
      <w:r w:rsidR="00DB58A5" w:rsidRPr="005764FC">
        <w:t>init</w:t>
      </w:r>
      <w:r w:rsidR="0010021C" w:rsidRPr="005764FC">
        <w:t>iatives</w:t>
      </w:r>
      <w:r w:rsidR="000B3024" w:rsidRPr="005764FC">
        <w:t xml:space="preserve">. </w:t>
      </w:r>
    </w:p>
    <w:p w14:paraId="3E369520" w14:textId="01FC75AE" w:rsidR="00154CA5" w:rsidRPr="005764FC" w:rsidRDefault="00BC2D5C" w:rsidP="00CE0107">
      <w:pPr>
        <w:pStyle w:val="ListBullet"/>
        <w:ind w:left="357" w:hanging="357"/>
        <w:contextualSpacing/>
        <w:rPr>
          <w:lang w:eastAsia="fr-CA"/>
        </w:rPr>
      </w:pPr>
      <w:r w:rsidRPr="005764FC">
        <w:rPr>
          <w:b/>
          <w:bCs/>
        </w:rPr>
        <w:t>Accessibility</w:t>
      </w:r>
      <w:r w:rsidR="00CE0107" w:rsidRPr="005764FC">
        <w:rPr>
          <w:b/>
          <w:bCs/>
        </w:rPr>
        <w:t>:</w:t>
      </w:r>
      <w:r w:rsidR="00CE0107" w:rsidRPr="005764FC">
        <w:t xml:space="preserve"> </w:t>
      </w:r>
      <w:r w:rsidR="00154CA5" w:rsidRPr="005764FC">
        <w:rPr>
          <w:lang w:eastAsia="fr-CA"/>
        </w:rPr>
        <w:t xml:space="preserve">Accessibility areas all have merit at a national level in promoting the deployment of C-ITS. As such, there is </w:t>
      </w:r>
      <w:r w:rsidR="00D27533" w:rsidRPr="005764FC">
        <w:rPr>
          <w:lang w:eastAsia="fr-CA"/>
        </w:rPr>
        <w:t xml:space="preserve">explicit </w:t>
      </w:r>
      <w:r w:rsidR="00DD22B5" w:rsidRPr="005764FC">
        <w:rPr>
          <w:lang w:eastAsia="fr-CA"/>
        </w:rPr>
        <w:t>preference</w:t>
      </w:r>
      <w:r w:rsidR="00154CA5" w:rsidRPr="005764FC">
        <w:rPr>
          <w:lang w:eastAsia="fr-CA"/>
        </w:rPr>
        <w:t xml:space="preserve"> but a summary of the marke</w:t>
      </w:r>
      <w:r w:rsidR="00C062B0" w:rsidRPr="005764FC">
        <w:rPr>
          <w:lang w:eastAsia="fr-CA"/>
        </w:rPr>
        <w:t>t</w:t>
      </w:r>
      <w:r w:rsidR="00DD22B5" w:rsidRPr="005764FC">
        <w:rPr>
          <w:lang w:eastAsia="fr-CA"/>
        </w:rPr>
        <w:t xml:space="preserve">s such as heavy vehicles, remote/rural and VRU’s </w:t>
      </w:r>
      <w:r w:rsidR="00E903A0" w:rsidRPr="005764FC">
        <w:rPr>
          <w:lang w:eastAsia="fr-CA"/>
        </w:rPr>
        <w:t>demonstrate the breadth of areas C-ITS can reach with the same system</w:t>
      </w:r>
      <w:r w:rsidR="00154CA5" w:rsidRPr="005764FC">
        <w:rPr>
          <w:lang w:eastAsia="fr-CA"/>
        </w:rPr>
        <w:t xml:space="preserve">. </w:t>
      </w:r>
    </w:p>
    <w:p w14:paraId="0CB5B755" w14:textId="7AC47036" w:rsidR="001E00F4" w:rsidRPr="005764FC" w:rsidRDefault="00F21C09" w:rsidP="001E00F4">
      <w:pPr>
        <w:pStyle w:val="BodyText"/>
      </w:pPr>
      <w:r w:rsidRPr="005764FC">
        <w:t xml:space="preserve">Direction </w:t>
      </w:r>
      <w:r w:rsidR="007A1DFD" w:rsidRPr="005764FC">
        <w:t>through policy is</w:t>
      </w:r>
      <w:r w:rsidR="001E00F4" w:rsidRPr="005764FC">
        <w:t xml:space="preserve"> only one element to be considered. Having an established environment for vehicles to enter encourages the assurance that vehicle manufacturers can deliver valuable services to users. The establishment of minimum viable infrastructure helps mitigate the risk of investment for vehicle manufacturers</w:t>
      </w:r>
      <w:r w:rsidR="001D41B6">
        <w:t>, who</w:t>
      </w:r>
      <w:r w:rsidR="001E00F4" w:rsidRPr="005764FC">
        <w:t xml:space="preserve"> </w:t>
      </w:r>
      <w:r w:rsidR="005E5727" w:rsidRPr="005764FC">
        <w:t>are</w:t>
      </w:r>
      <w:r w:rsidR="001D41B6">
        <w:t xml:space="preserve"> likely to be</w:t>
      </w:r>
      <w:r w:rsidR="005E5727" w:rsidRPr="005764FC">
        <w:t xml:space="preserve"> responsible for </w:t>
      </w:r>
      <w:r w:rsidR="00334DC7" w:rsidRPr="005764FC">
        <w:t>the majority</w:t>
      </w:r>
      <w:r w:rsidR="001E00F4" w:rsidRPr="005764FC">
        <w:t xml:space="preserve"> of the cost. This is often referred to as the </w:t>
      </w:r>
      <w:r w:rsidR="0032033E" w:rsidRPr="005764FC">
        <w:t>chicken-and-egg</w:t>
      </w:r>
      <w:r w:rsidR="001E00F4" w:rsidRPr="005764FC">
        <w:t xml:space="preserve"> situation where both government and industry must act to realise a viable system. </w:t>
      </w:r>
    </w:p>
    <w:p w14:paraId="2F3DE58D" w14:textId="3FF12226" w:rsidR="006C7255" w:rsidRPr="005764FC" w:rsidRDefault="006C7255" w:rsidP="006C7255">
      <w:pPr>
        <w:pStyle w:val="BodyText"/>
        <w:rPr>
          <w:b/>
          <w:lang w:eastAsia="fr-CA"/>
        </w:rPr>
      </w:pPr>
      <w:r w:rsidRPr="005764FC">
        <w:t>Focusing on urban environments first may yield benefits more quickly, with a higher chance of V2V interaction in this environment. But this is a stepping</w:t>
      </w:r>
      <w:r w:rsidR="001D41B6">
        <w:t xml:space="preserve"> </w:t>
      </w:r>
      <w:r w:rsidRPr="005764FC">
        <w:t xml:space="preserve">stone to achieving wide-scale penetration across all environments. The CBA and policy analysis supported the potential to encourage C-ITS for heavy vehicles, regional/rural and VRU environments. </w:t>
      </w:r>
    </w:p>
    <w:p w14:paraId="7D826080" w14:textId="6A4C8C77" w:rsidR="00653A2E" w:rsidRPr="005764FC" w:rsidRDefault="00771938" w:rsidP="00CE0107">
      <w:pPr>
        <w:pStyle w:val="Heading2"/>
      </w:pPr>
      <w:bookmarkStart w:id="240" w:name="_Toc97807796"/>
      <w:r w:rsidRPr="005764FC">
        <w:t>Summary of Findings</w:t>
      </w:r>
      <w:bookmarkEnd w:id="240"/>
    </w:p>
    <w:p w14:paraId="3E7D4016" w14:textId="64D9D1B0" w:rsidR="00F40E8B" w:rsidRPr="005764FC" w:rsidRDefault="006A3D51" w:rsidP="00F9607C">
      <w:pPr>
        <w:pStyle w:val="BodyText"/>
      </w:pPr>
      <w:r w:rsidRPr="005764FC">
        <w:t xml:space="preserve">Based on the policy </w:t>
      </w:r>
      <w:r w:rsidR="0071781F" w:rsidRPr="005764FC">
        <w:t>outcome, the following findings are relevant:</w:t>
      </w:r>
    </w:p>
    <w:p w14:paraId="501678A7" w14:textId="281D0D7F" w:rsidR="001112F0" w:rsidRPr="005764FC" w:rsidRDefault="001112F0" w:rsidP="001112F0">
      <w:pPr>
        <w:pStyle w:val="Caption"/>
      </w:pPr>
      <w:bookmarkStart w:id="241" w:name="_Toc97807820"/>
      <w:r w:rsidRPr="005764FC">
        <w:t xml:space="preserve">Table </w:t>
      </w:r>
      <w:r w:rsidR="009359A9" w:rsidRPr="005764FC">
        <w:fldChar w:fldCharType="begin"/>
      </w:r>
      <w:r w:rsidR="009359A9" w:rsidRPr="005764FC">
        <w:instrText xml:space="preserve"> STYLEREF 1 \s </w:instrText>
      </w:r>
      <w:r w:rsidR="009359A9" w:rsidRPr="005764FC">
        <w:fldChar w:fldCharType="separate"/>
      </w:r>
      <w:r w:rsidR="00A34B27">
        <w:rPr>
          <w:noProof/>
        </w:rPr>
        <w:t>3</w:t>
      </w:r>
      <w:r w:rsidR="009359A9" w:rsidRPr="005764FC">
        <w:fldChar w:fldCharType="end"/>
      </w:r>
      <w:r w:rsidR="009359A9" w:rsidRPr="005764FC">
        <w:t>.</w:t>
      </w:r>
      <w:r w:rsidR="009359A9" w:rsidRPr="005764FC">
        <w:fldChar w:fldCharType="begin"/>
      </w:r>
      <w:r w:rsidR="009359A9" w:rsidRPr="005764FC">
        <w:instrText xml:space="preserve"> SEQ Table \* ARABIC \s 1 </w:instrText>
      </w:r>
      <w:r w:rsidR="009359A9" w:rsidRPr="005764FC">
        <w:fldChar w:fldCharType="separate"/>
      </w:r>
      <w:r w:rsidR="00A34B27">
        <w:rPr>
          <w:noProof/>
        </w:rPr>
        <w:t>1</w:t>
      </w:r>
      <w:r w:rsidR="009359A9" w:rsidRPr="005764FC">
        <w:fldChar w:fldCharType="end"/>
      </w:r>
      <w:r w:rsidRPr="005764FC">
        <w:tab/>
      </w:r>
      <w:r w:rsidR="0054300D" w:rsidRPr="005764FC">
        <w:t>F</w:t>
      </w:r>
      <w:r w:rsidRPr="005764FC">
        <w:t>indings</w:t>
      </w:r>
      <w:bookmarkEnd w:id="241"/>
      <w:r w:rsidRPr="005764FC">
        <w:t xml:space="preserve"> </w:t>
      </w:r>
    </w:p>
    <w:tbl>
      <w:tblPr>
        <w:tblStyle w:val="Table1"/>
        <w:tblW w:w="5000" w:type="pct"/>
        <w:tblLook w:val="0620" w:firstRow="1" w:lastRow="0" w:firstColumn="0" w:lastColumn="0" w:noHBand="1" w:noVBand="1"/>
      </w:tblPr>
      <w:tblGrid>
        <w:gridCol w:w="990"/>
        <w:gridCol w:w="8757"/>
      </w:tblGrid>
      <w:tr w:rsidR="001112F0" w:rsidRPr="005764FC" w14:paraId="0EBBA3C0" w14:textId="77777777" w:rsidTr="00CE0107">
        <w:trPr>
          <w:cnfStyle w:val="100000000000" w:firstRow="1" w:lastRow="0" w:firstColumn="0" w:lastColumn="0" w:oddVBand="0" w:evenVBand="0" w:oddHBand="0" w:evenHBand="0" w:firstRowFirstColumn="0" w:firstRowLastColumn="0" w:lastRowFirstColumn="0" w:lastRowLastColumn="0"/>
          <w:cantSplit/>
          <w:tblHeader/>
        </w:trPr>
        <w:tc>
          <w:tcPr>
            <w:tcW w:w="508" w:type="pct"/>
          </w:tcPr>
          <w:p w14:paraId="091F82ED" w14:textId="77777777" w:rsidR="001112F0" w:rsidRPr="005764FC" w:rsidRDefault="001112F0" w:rsidP="00CE0107">
            <w:pPr>
              <w:pStyle w:val="TableHeading"/>
              <w:jc w:val="center"/>
              <w:rPr>
                <w:lang w:eastAsia="fr-CA"/>
              </w:rPr>
            </w:pPr>
            <w:r w:rsidRPr="005764FC">
              <w:rPr>
                <w:lang w:eastAsia="fr-CA"/>
              </w:rPr>
              <w:t>Number</w:t>
            </w:r>
          </w:p>
        </w:tc>
        <w:tc>
          <w:tcPr>
            <w:tcW w:w="4492" w:type="pct"/>
          </w:tcPr>
          <w:p w14:paraId="18EE72ED" w14:textId="77777777" w:rsidR="001112F0" w:rsidRPr="005764FC" w:rsidRDefault="001112F0" w:rsidP="00CE0107">
            <w:pPr>
              <w:pStyle w:val="TableHeading"/>
              <w:rPr>
                <w:lang w:eastAsia="fr-CA"/>
              </w:rPr>
            </w:pPr>
            <w:r w:rsidRPr="005764FC">
              <w:rPr>
                <w:lang w:eastAsia="fr-CA"/>
              </w:rPr>
              <w:t>Finding</w:t>
            </w:r>
          </w:p>
        </w:tc>
      </w:tr>
      <w:tr w:rsidR="00BF463A" w:rsidRPr="005764FC" w14:paraId="2576723C" w14:textId="77777777" w:rsidTr="00203C7A">
        <w:trPr>
          <w:cantSplit/>
        </w:trPr>
        <w:tc>
          <w:tcPr>
            <w:tcW w:w="5000" w:type="pct"/>
            <w:gridSpan w:val="2"/>
            <w:shd w:val="clear" w:color="auto" w:fill="D8E6F0" w:themeFill="accent2"/>
          </w:tcPr>
          <w:p w14:paraId="1E365563" w14:textId="041EDBBC" w:rsidR="00BF463A" w:rsidRPr="005764FC" w:rsidRDefault="00BF463A" w:rsidP="00CE0107">
            <w:pPr>
              <w:pStyle w:val="TableTextBold"/>
              <w:rPr>
                <w:bCs/>
                <w:lang w:eastAsia="fr-CA"/>
              </w:rPr>
            </w:pPr>
            <w:r w:rsidRPr="005764FC">
              <w:rPr>
                <w:bCs/>
                <w:lang w:eastAsia="fr-CA"/>
              </w:rPr>
              <w:t xml:space="preserve">Government leadership and </w:t>
            </w:r>
            <w:r w:rsidR="009D686C" w:rsidRPr="005764FC">
              <w:rPr>
                <w:bCs/>
                <w:lang w:eastAsia="fr-CA"/>
              </w:rPr>
              <w:t>direction</w:t>
            </w:r>
          </w:p>
        </w:tc>
      </w:tr>
      <w:tr w:rsidR="00A04973" w:rsidRPr="005764FC" w14:paraId="25E0515A" w14:textId="77777777" w:rsidTr="00CE0107">
        <w:trPr>
          <w:cantSplit/>
        </w:trPr>
        <w:tc>
          <w:tcPr>
            <w:tcW w:w="508" w:type="pct"/>
          </w:tcPr>
          <w:p w14:paraId="4F85B253" w14:textId="181852F5" w:rsidR="00A04973" w:rsidRPr="005764FC" w:rsidRDefault="00A04973" w:rsidP="00A04973">
            <w:pPr>
              <w:pStyle w:val="TableText"/>
              <w:jc w:val="center"/>
              <w:rPr>
                <w:lang w:eastAsia="fr-CA"/>
              </w:rPr>
            </w:pPr>
            <w:r w:rsidRPr="005764FC">
              <w:rPr>
                <w:lang w:eastAsia="fr-CA"/>
              </w:rPr>
              <w:t>1</w:t>
            </w:r>
          </w:p>
        </w:tc>
        <w:tc>
          <w:tcPr>
            <w:tcW w:w="4492" w:type="pct"/>
          </w:tcPr>
          <w:p w14:paraId="5716EF1F" w14:textId="60CCF4B5" w:rsidR="00A04973" w:rsidRPr="005764FC" w:rsidRDefault="00A04973" w:rsidP="00A04973">
            <w:pPr>
              <w:pStyle w:val="TableText"/>
              <w:rPr>
                <w:lang w:eastAsia="fr-CA"/>
              </w:rPr>
            </w:pPr>
            <w:r w:rsidRPr="005764FC">
              <w:rPr>
                <w:lang w:eastAsia="fr-CA"/>
              </w:rPr>
              <w:t>The benefits that can be delivered by C‑ITS have been shown to target strategic priorities of the National Land Transport Technology Action Plan – safety, efficiency, sustainability and accessibility.</w:t>
            </w:r>
          </w:p>
        </w:tc>
      </w:tr>
      <w:tr w:rsidR="00A04973" w:rsidRPr="005764FC" w14:paraId="16260415" w14:textId="77777777" w:rsidTr="00CE0107">
        <w:trPr>
          <w:cantSplit/>
        </w:trPr>
        <w:tc>
          <w:tcPr>
            <w:tcW w:w="508" w:type="pct"/>
          </w:tcPr>
          <w:p w14:paraId="299DC269" w14:textId="44A32268" w:rsidR="00A04973" w:rsidRPr="005764FC" w:rsidRDefault="00A04973" w:rsidP="00A04973">
            <w:pPr>
              <w:pStyle w:val="TableText"/>
              <w:jc w:val="center"/>
              <w:rPr>
                <w:lang w:eastAsia="fr-CA"/>
              </w:rPr>
            </w:pPr>
            <w:r w:rsidRPr="005764FC">
              <w:rPr>
                <w:lang w:eastAsia="fr-CA"/>
              </w:rPr>
              <w:t>2</w:t>
            </w:r>
          </w:p>
        </w:tc>
        <w:tc>
          <w:tcPr>
            <w:tcW w:w="4492" w:type="pct"/>
          </w:tcPr>
          <w:p w14:paraId="24381262" w14:textId="6189CEC2" w:rsidR="00A04973" w:rsidRPr="005764FC" w:rsidRDefault="00A04973" w:rsidP="00A04973">
            <w:pPr>
              <w:pStyle w:val="TableText"/>
              <w:rPr>
                <w:lang w:eastAsia="fr-CA"/>
              </w:rPr>
            </w:pPr>
            <w:r w:rsidRPr="005764FC">
              <w:rPr>
                <w:lang w:eastAsia="fr-CA"/>
              </w:rPr>
              <w:t>Deployment supported by government-led</w:t>
            </w:r>
            <w:r w:rsidRPr="005764FC" w:rsidDel="002C0AE1">
              <w:rPr>
                <w:lang w:eastAsia="fr-CA"/>
              </w:rPr>
              <w:t xml:space="preserve"> </w:t>
            </w:r>
            <w:r w:rsidRPr="005764FC">
              <w:rPr>
                <w:lang w:eastAsia="fr-CA"/>
              </w:rPr>
              <w:t>infrastructure (central or roadside or both) presented economically sustainable options with BCRs ranging between 1.4 and 2.9 while a vehicle-to-vehicle only deployment was unsustainable (BCR 0.57) within a 10-year period.</w:t>
            </w:r>
          </w:p>
        </w:tc>
      </w:tr>
      <w:tr w:rsidR="00A04973" w:rsidRPr="005764FC" w14:paraId="3222AB3E" w14:textId="77777777" w:rsidTr="00CE0107">
        <w:trPr>
          <w:cantSplit/>
        </w:trPr>
        <w:tc>
          <w:tcPr>
            <w:tcW w:w="508" w:type="pct"/>
          </w:tcPr>
          <w:p w14:paraId="4B77623C" w14:textId="36A46F19" w:rsidR="00A04973" w:rsidRPr="005764FC" w:rsidRDefault="00A04973" w:rsidP="00A04973">
            <w:pPr>
              <w:pStyle w:val="TableText"/>
              <w:jc w:val="center"/>
              <w:rPr>
                <w:lang w:eastAsia="fr-CA"/>
              </w:rPr>
            </w:pPr>
            <w:r w:rsidRPr="005764FC">
              <w:rPr>
                <w:lang w:eastAsia="fr-CA"/>
              </w:rPr>
              <w:t>3</w:t>
            </w:r>
          </w:p>
        </w:tc>
        <w:tc>
          <w:tcPr>
            <w:tcW w:w="4492" w:type="pct"/>
          </w:tcPr>
          <w:p w14:paraId="3E007203" w14:textId="04CA0EED" w:rsidR="00A04973" w:rsidRPr="005764FC" w:rsidRDefault="00A04973" w:rsidP="00A04973">
            <w:pPr>
              <w:pStyle w:val="TableText"/>
              <w:rPr>
                <w:lang w:eastAsia="fr-CA"/>
              </w:rPr>
            </w:pPr>
            <w:r w:rsidRPr="005764FC">
              <w:rPr>
                <w:lang w:eastAsia="fr-CA"/>
              </w:rPr>
              <w:t>Government leadership based on a hybrid (both long-range and short-range distance communications) national deployment is likely to achieve the greatest benefits and encourage accessibility in both urban and rural environments.</w:t>
            </w:r>
          </w:p>
        </w:tc>
      </w:tr>
      <w:tr w:rsidR="00A04973" w:rsidRPr="005764FC" w14:paraId="5B6DDEB1" w14:textId="77777777" w:rsidTr="00CE0107">
        <w:trPr>
          <w:cantSplit/>
        </w:trPr>
        <w:tc>
          <w:tcPr>
            <w:tcW w:w="508" w:type="pct"/>
          </w:tcPr>
          <w:p w14:paraId="77102E4E" w14:textId="0732F667" w:rsidR="00A04973" w:rsidRPr="005764FC" w:rsidRDefault="00A04973" w:rsidP="00A04973">
            <w:pPr>
              <w:pStyle w:val="TableText"/>
              <w:jc w:val="center"/>
              <w:rPr>
                <w:lang w:eastAsia="fr-CA"/>
              </w:rPr>
            </w:pPr>
            <w:r w:rsidRPr="005764FC">
              <w:rPr>
                <w:lang w:eastAsia="fr-CA"/>
              </w:rPr>
              <w:t>4</w:t>
            </w:r>
          </w:p>
        </w:tc>
        <w:tc>
          <w:tcPr>
            <w:tcW w:w="4492" w:type="pct"/>
          </w:tcPr>
          <w:p w14:paraId="42CD5CCC" w14:textId="52744CFF" w:rsidR="00A04973" w:rsidRPr="005764FC" w:rsidRDefault="00A04973" w:rsidP="00A04973">
            <w:pPr>
              <w:pStyle w:val="TableText"/>
              <w:rPr>
                <w:lang w:eastAsia="fr-CA"/>
              </w:rPr>
            </w:pPr>
            <w:r w:rsidRPr="005764FC">
              <w:rPr>
                <w:lang w:eastAsia="fr-CA"/>
              </w:rPr>
              <w:t>Government investment in enabling infrastructure (SCMS, central and roadside stations), of between 1</w:t>
            </w:r>
            <w:r w:rsidR="00B546E1" w:rsidRPr="005764FC">
              <w:rPr>
                <w:lang w:eastAsia="fr-CA"/>
              </w:rPr>
              <w:t>–</w:t>
            </w:r>
            <w:r w:rsidRPr="005764FC">
              <w:rPr>
                <w:lang w:eastAsia="fr-CA"/>
              </w:rPr>
              <w:t>7</w:t>
            </w:r>
            <w:r w:rsidR="00B546E1" w:rsidRPr="005764FC">
              <w:rPr>
                <w:lang w:eastAsia="fr-CA"/>
              </w:rPr>
              <w:t xml:space="preserve"> per cent</w:t>
            </w:r>
            <w:r w:rsidRPr="005764FC">
              <w:rPr>
                <w:lang w:eastAsia="fr-CA"/>
              </w:rPr>
              <w:t xml:space="preserve"> of the total cost, leverages the vehicle manufacturers investment (93</w:t>
            </w:r>
            <w:r w:rsidR="00B546E1" w:rsidRPr="005764FC">
              <w:rPr>
                <w:lang w:eastAsia="fr-CA"/>
              </w:rPr>
              <w:t>–</w:t>
            </w:r>
            <w:r w:rsidRPr="005764FC">
              <w:rPr>
                <w:lang w:eastAsia="fr-CA"/>
              </w:rPr>
              <w:t>99</w:t>
            </w:r>
            <w:r w:rsidR="00B546E1" w:rsidRPr="005764FC">
              <w:rPr>
                <w:lang w:eastAsia="fr-CA"/>
              </w:rPr>
              <w:t xml:space="preserve"> per cent</w:t>
            </w:r>
            <w:r w:rsidRPr="005764FC">
              <w:rPr>
                <w:lang w:eastAsia="fr-CA"/>
              </w:rPr>
              <w:t>) in achieving the significant public interest benefits possible.</w:t>
            </w:r>
          </w:p>
        </w:tc>
      </w:tr>
      <w:tr w:rsidR="00A04973" w:rsidRPr="005764FC" w14:paraId="7A257D98" w14:textId="77777777" w:rsidTr="00CE0107">
        <w:trPr>
          <w:cantSplit/>
        </w:trPr>
        <w:tc>
          <w:tcPr>
            <w:tcW w:w="508" w:type="pct"/>
          </w:tcPr>
          <w:p w14:paraId="21050B50" w14:textId="7950A825" w:rsidR="00A04973" w:rsidRPr="005764FC" w:rsidRDefault="00A04973" w:rsidP="00A04973">
            <w:pPr>
              <w:pStyle w:val="TableText"/>
              <w:jc w:val="center"/>
              <w:rPr>
                <w:lang w:eastAsia="fr-CA"/>
              </w:rPr>
            </w:pPr>
            <w:r w:rsidRPr="005764FC">
              <w:rPr>
                <w:lang w:eastAsia="fr-CA"/>
              </w:rPr>
              <w:t>5</w:t>
            </w:r>
          </w:p>
        </w:tc>
        <w:tc>
          <w:tcPr>
            <w:tcW w:w="4492" w:type="pct"/>
          </w:tcPr>
          <w:p w14:paraId="598FBBD3" w14:textId="47CB0379" w:rsidR="00A04973" w:rsidRPr="005764FC" w:rsidRDefault="00DD74C4" w:rsidP="00A04973">
            <w:pPr>
              <w:pStyle w:val="TableText"/>
              <w:rPr>
                <w:lang w:eastAsia="fr-CA"/>
              </w:rPr>
            </w:pPr>
            <w:r w:rsidRPr="005764FC">
              <w:rPr>
                <w:lang w:eastAsia="fr-CA"/>
              </w:rPr>
              <w:t>Heavy vehicles were found to have the strongest benefit-cost ratio</w:t>
            </w:r>
            <w:r>
              <w:rPr>
                <w:lang w:eastAsia="fr-CA"/>
              </w:rPr>
              <w:t>,</w:t>
            </w:r>
            <w:r w:rsidRPr="005764FC">
              <w:rPr>
                <w:lang w:eastAsia="fr-CA"/>
              </w:rPr>
              <w:t xml:space="preserve"> </w:t>
            </w:r>
            <w:r>
              <w:rPr>
                <w:lang w:eastAsia="fr-CA"/>
              </w:rPr>
              <w:t>due to higher vehicle operating costs and therefore increased benefits resulting from cost-efficiencies in targeted deployment.</w:t>
            </w:r>
          </w:p>
        </w:tc>
      </w:tr>
      <w:tr w:rsidR="00A04973" w:rsidRPr="005764FC" w14:paraId="738FFCBF" w14:textId="77777777" w:rsidTr="00CE0107">
        <w:trPr>
          <w:cantSplit/>
        </w:trPr>
        <w:tc>
          <w:tcPr>
            <w:tcW w:w="508" w:type="pct"/>
          </w:tcPr>
          <w:p w14:paraId="0B50184C" w14:textId="74C1428F" w:rsidR="00A04973" w:rsidRPr="005764FC" w:rsidRDefault="00A04973" w:rsidP="00A04973">
            <w:pPr>
              <w:pStyle w:val="TableText"/>
              <w:jc w:val="center"/>
              <w:rPr>
                <w:lang w:eastAsia="fr-CA"/>
              </w:rPr>
            </w:pPr>
            <w:r w:rsidRPr="005764FC">
              <w:rPr>
                <w:lang w:eastAsia="fr-CA"/>
              </w:rPr>
              <w:t>6</w:t>
            </w:r>
          </w:p>
        </w:tc>
        <w:tc>
          <w:tcPr>
            <w:tcW w:w="4492" w:type="pct"/>
          </w:tcPr>
          <w:p w14:paraId="1AC0DAA0" w14:textId="26A7FCA6" w:rsidR="00A04973" w:rsidRPr="005764FC" w:rsidRDefault="00A04973" w:rsidP="00A04973">
            <w:pPr>
              <w:pStyle w:val="TableText"/>
              <w:rPr>
                <w:lang w:eastAsia="fr-CA"/>
              </w:rPr>
            </w:pPr>
            <w:r w:rsidRPr="005764FC">
              <w:rPr>
                <w:lang w:eastAsia="fr-CA"/>
              </w:rPr>
              <w:t>Continued research and trialling are required to overcome the economic and scalability challenges for delivering beneficial C-ITS technology solutions to vulnerable road users.</w:t>
            </w:r>
          </w:p>
        </w:tc>
      </w:tr>
      <w:tr w:rsidR="00F9262B" w:rsidRPr="005764FC" w14:paraId="0CBA107B" w14:textId="77777777" w:rsidTr="00203C7A">
        <w:trPr>
          <w:cantSplit/>
        </w:trPr>
        <w:tc>
          <w:tcPr>
            <w:tcW w:w="5000" w:type="pct"/>
            <w:gridSpan w:val="2"/>
            <w:shd w:val="clear" w:color="auto" w:fill="D8E6F0" w:themeFill="accent2"/>
          </w:tcPr>
          <w:p w14:paraId="4642D389" w14:textId="77777777" w:rsidR="00F9262B" w:rsidRPr="005764FC" w:rsidRDefault="00F9262B" w:rsidP="00CE3124">
            <w:pPr>
              <w:pStyle w:val="TableTextBold"/>
              <w:keepNext/>
              <w:rPr>
                <w:bCs/>
                <w:lang w:eastAsia="fr-CA"/>
              </w:rPr>
            </w:pPr>
            <w:r w:rsidRPr="005764FC">
              <w:rPr>
                <w:bCs/>
                <w:lang w:eastAsia="fr-CA"/>
              </w:rPr>
              <w:t>Standardisation</w:t>
            </w:r>
          </w:p>
        </w:tc>
      </w:tr>
      <w:tr w:rsidR="00A04973" w:rsidRPr="005764FC" w14:paraId="1CD77F2B" w14:textId="77777777" w:rsidTr="00CE0107">
        <w:trPr>
          <w:cantSplit/>
        </w:trPr>
        <w:tc>
          <w:tcPr>
            <w:tcW w:w="508" w:type="pct"/>
          </w:tcPr>
          <w:p w14:paraId="48989C36" w14:textId="4E8D9912" w:rsidR="00A04973" w:rsidRPr="005764FC" w:rsidRDefault="00A04973" w:rsidP="00CE3124">
            <w:pPr>
              <w:pStyle w:val="TableText"/>
              <w:keepNext/>
              <w:jc w:val="center"/>
              <w:rPr>
                <w:lang w:eastAsia="fr-CA"/>
              </w:rPr>
            </w:pPr>
            <w:r w:rsidRPr="005764FC">
              <w:rPr>
                <w:lang w:eastAsia="fr-CA"/>
              </w:rPr>
              <w:t>7</w:t>
            </w:r>
          </w:p>
        </w:tc>
        <w:tc>
          <w:tcPr>
            <w:tcW w:w="4492" w:type="pct"/>
          </w:tcPr>
          <w:p w14:paraId="21AD9FC8" w14:textId="201DD036" w:rsidR="00A04973" w:rsidRPr="005764FC" w:rsidRDefault="00A04973" w:rsidP="00CE3124">
            <w:pPr>
              <w:pStyle w:val="TableText"/>
              <w:keepNext/>
              <w:rPr>
                <w:lang w:eastAsia="fr-CA"/>
              </w:rPr>
            </w:pPr>
            <w:r w:rsidRPr="005764FC">
              <w:rPr>
                <w:lang w:eastAsia="fr-CA"/>
              </w:rPr>
              <w:t>Standardisation is essential to achieve the level of interoperability required to realise the full benefits of C‑ITS.</w:t>
            </w:r>
          </w:p>
        </w:tc>
      </w:tr>
      <w:tr w:rsidR="00A04973" w:rsidRPr="005764FC" w14:paraId="280602A8" w14:textId="77777777" w:rsidTr="00CE0107">
        <w:trPr>
          <w:cantSplit/>
        </w:trPr>
        <w:tc>
          <w:tcPr>
            <w:tcW w:w="508" w:type="pct"/>
          </w:tcPr>
          <w:p w14:paraId="1236615A" w14:textId="71C6D8BE" w:rsidR="00A04973" w:rsidRPr="005764FC" w:rsidRDefault="00A04973" w:rsidP="00A04973">
            <w:pPr>
              <w:pStyle w:val="TableText"/>
              <w:jc w:val="center"/>
              <w:rPr>
                <w:lang w:eastAsia="fr-CA"/>
              </w:rPr>
            </w:pPr>
            <w:r w:rsidRPr="005764FC">
              <w:rPr>
                <w:lang w:eastAsia="fr-CA"/>
              </w:rPr>
              <w:t>8</w:t>
            </w:r>
          </w:p>
        </w:tc>
        <w:tc>
          <w:tcPr>
            <w:tcW w:w="4492" w:type="pct"/>
          </w:tcPr>
          <w:p w14:paraId="4B416D2C" w14:textId="688C543B" w:rsidR="00A04973" w:rsidRPr="005764FC" w:rsidRDefault="00A04973" w:rsidP="00A04973">
            <w:pPr>
              <w:pStyle w:val="TableText"/>
              <w:rPr>
                <w:lang w:eastAsia="fr-CA"/>
              </w:rPr>
            </w:pPr>
            <w:r w:rsidRPr="005764FC">
              <w:rPr>
                <w:lang w:eastAsia="fr-CA"/>
              </w:rPr>
              <w:t xml:space="preserve">A consistent suite of standards (based on an international standards region) is needed to efficiently harmonise standards, specifications and guidelines, given that complexity increases as large-scale deployment evolves. </w:t>
            </w:r>
          </w:p>
        </w:tc>
      </w:tr>
      <w:tr w:rsidR="00A04973" w:rsidRPr="005764FC" w14:paraId="3F2B239F" w14:textId="77777777" w:rsidTr="00CE0107">
        <w:trPr>
          <w:cantSplit/>
        </w:trPr>
        <w:tc>
          <w:tcPr>
            <w:tcW w:w="508" w:type="pct"/>
          </w:tcPr>
          <w:p w14:paraId="09A0C06D" w14:textId="0989EC69" w:rsidR="00A04973" w:rsidRPr="005764FC" w:rsidRDefault="00A04973" w:rsidP="00A04973">
            <w:pPr>
              <w:pStyle w:val="TableText"/>
              <w:jc w:val="center"/>
              <w:rPr>
                <w:lang w:eastAsia="fr-CA"/>
              </w:rPr>
            </w:pPr>
            <w:r w:rsidRPr="005764FC">
              <w:rPr>
                <w:lang w:eastAsia="fr-CA"/>
              </w:rPr>
              <w:t>9</w:t>
            </w:r>
          </w:p>
        </w:tc>
        <w:tc>
          <w:tcPr>
            <w:tcW w:w="4492" w:type="pct"/>
          </w:tcPr>
          <w:p w14:paraId="7702BD75" w14:textId="6766C606" w:rsidR="00A04973" w:rsidRPr="005764FC" w:rsidRDefault="00A04973" w:rsidP="00A04973">
            <w:pPr>
              <w:pStyle w:val="TableText"/>
              <w:rPr>
                <w:lang w:eastAsia="fr-CA"/>
              </w:rPr>
            </w:pPr>
            <w:r w:rsidRPr="005764FC">
              <w:rPr>
                <w:lang w:eastAsia="fr-CA"/>
              </w:rPr>
              <w:t xml:space="preserve">Europe </w:t>
            </w:r>
            <w:r w:rsidRPr="004404AA">
              <w:rPr>
                <w:lang w:eastAsia="fr-CA"/>
              </w:rPr>
              <w:t xml:space="preserve">has the most advanced and comprehensive set of standards and guidelines for deployment which are aligned to existing </w:t>
            </w:r>
            <w:r w:rsidR="00B73A1B" w:rsidRPr="004404AA">
              <w:rPr>
                <w:lang w:eastAsia="fr-CA"/>
              </w:rPr>
              <w:t xml:space="preserve">Australian </w:t>
            </w:r>
            <w:r w:rsidRPr="004404AA">
              <w:rPr>
                <w:lang w:eastAsia="fr-CA"/>
              </w:rPr>
              <w:t xml:space="preserve">vehicle standards through WP.29 and </w:t>
            </w:r>
            <w:r w:rsidR="00B73A1B" w:rsidRPr="004404AA">
              <w:rPr>
                <w:lang w:eastAsia="fr-CA"/>
              </w:rPr>
              <w:t xml:space="preserve">Australian </w:t>
            </w:r>
            <w:r w:rsidRPr="004404AA">
              <w:rPr>
                <w:lang w:eastAsia="fr-CA"/>
              </w:rPr>
              <w:t>vehicle manufacturer preference</w:t>
            </w:r>
            <w:r w:rsidR="00B73A1B" w:rsidRPr="004404AA">
              <w:rPr>
                <w:lang w:eastAsia="fr-CA"/>
              </w:rPr>
              <w:t xml:space="preserve"> (as stated through FCAI).</w:t>
            </w:r>
            <w:r w:rsidRPr="004404AA">
              <w:rPr>
                <w:lang w:eastAsia="fr-CA"/>
              </w:rPr>
              <w:t xml:space="preserve"> Europe is focusing effort now on implementing the standards consistently across all suppliers (government</w:t>
            </w:r>
            <w:r w:rsidRPr="005764FC">
              <w:rPr>
                <w:lang w:eastAsia="fr-CA"/>
              </w:rPr>
              <w:t xml:space="preserve"> and industry).</w:t>
            </w:r>
          </w:p>
        </w:tc>
      </w:tr>
      <w:tr w:rsidR="00A04973" w:rsidRPr="005764FC" w14:paraId="4745200E" w14:textId="77777777" w:rsidTr="00CE0107">
        <w:trPr>
          <w:cantSplit/>
        </w:trPr>
        <w:tc>
          <w:tcPr>
            <w:tcW w:w="508" w:type="pct"/>
          </w:tcPr>
          <w:p w14:paraId="750256D0" w14:textId="0E68D0FE" w:rsidR="00A04973" w:rsidRPr="005764FC" w:rsidRDefault="00A04973" w:rsidP="00A04973">
            <w:pPr>
              <w:pStyle w:val="TableText"/>
              <w:jc w:val="center"/>
              <w:rPr>
                <w:lang w:eastAsia="fr-CA"/>
              </w:rPr>
            </w:pPr>
            <w:r w:rsidRPr="005764FC">
              <w:rPr>
                <w:lang w:eastAsia="fr-CA"/>
              </w:rPr>
              <w:t>10</w:t>
            </w:r>
          </w:p>
        </w:tc>
        <w:tc>
          <w:tcPr>
            <w:tcW w:w="4492" w:type="pct"/>
          </w:tcPr>
          <w:p w14:paraId="75C95169" w14:textId="657394EC" w:rsidR="00A04973" w:rsidRPr="005764FC" w:rsidRDefault="00A04973" w:rsidP="00A04973">
            <w:pPr>
              <w:pStyle w:val="TableText"/>
              <w:rPr>
                <w:lang w:eastAsia="fr-CA"/>
              </w:rPr>
            </w:pPr>
            <w:r w:rsidRPr="005764FC">
              <w:rPr>
                <w:lang w:eastAsia="fr-CA"/>
              </w:rPr>
              <w:t>The ISO/CEN “Cooperative intelligent transport systems (C-ITS) Guidelines on the usage of standards”</w:t>
            </w:r>
            <w:r w:rsidRPr="005764FC">
              <w:t xml:space="preserve"> </w:t>
            </w:r>
            <w:r w:rsidRPr="005764FC">
              <w:rPr>
                <w:lang w:eastAsia="fr-CA"/>
              </w:rPr>
              <w:t>provides the most comprehensive collation of a standards suite identified in the analysis.</w:t>
            </w:r>
          </w:p>
        </w:tc>
      </w:tr>
      <w:tr w:rsidR="00A04973" w:rsidRPr="005764FC" w14:paraId="587F2316" w14:textId="77777777" w:rsidTr="00CE0107">
        <w:trPr>
          <w:cantSplit/>
        </w:trPr>
        <w:tc>
          <w:tcPr>
            <w:tcW w:w="508" w:type="pct"/>
          </w:tcPr>
          <w:p w14:paraId="41EB9D1E" w14:textId="0FBC5B12" w:rsidR="00A04973" w:rsidRPr="005764FC" w:rsidRDefault="00A04973" w:rsidP="00A04973">
            <w:pPr>
              <w:pStyle w:val="TableText"/>
              <w:jc w:val="center"/>
              <w:rPr>
                <w:lang w:eastAsia="fr-CA"/>
              </w:rPr>
            </w:pPr>
            <w:r w:rsidRPr="005764FC">
              <w:rPr>
                <w:lang w:eastAsia="fr-CA"/>
              </w:rPr>
              <w:t>11</w:t>
            </w:r>
          </w:p>
        </w:tc>
        <w:tc>
          <w:tcPr>
            <w:tcW w:w="4492" w:type="pct"/>
          </w:tcPr>
          <w:p w14:paraId="06F74E2F" w14:textId="0B57040A" w:rsidR="00A04973" w:rsidRPr="005764FC" w:rsidRDefault="00A04973" w:rsidP="00A04973">
            <w:pPr>
              <w:pStyle w:val="TableText"/>
              <w:rPr>
                <w:b/>
                <w:bCs/>
                <w:lang w:eastAsia="fr-CA"/>
              </w:rPr>
            </w:pPr>
            <w:r w:rsidRPr="005764FC">
              <w:rPr>
                <w:lang w:eastAsia="fr-CA"/>
              </w:rPr>
              <w:t>Insights and learnings from other markets outside of Europe are beneficial to improve C-ITS deployment and should be considered within a governance framework that assesses the impacts of full harmonisation to European standards for delivery in Australia.</w:t>
            </w:r>
          </w:p>
        </w:tc>
      </w:tr>
      <w:tr w:rsidR="00F9262B" w:rsidRPr="005764FC" w14:paraId="39F28145" w14:textId="77777777" w:rsidTr="00203C7A">
        <w:trPr>
          <w:cantSplit/>
        </w:trPr>
        <w:tc>
          <w:tcPr>
            <w:tcW w:w="5000" w:type="pct"/>
            <w:gridSpan w:val="2"/>
            <w:shd w:val="clear" w:color="auto" w:fill="D8E6F0" w:themeFill="accent2"/>
          </w:tcPr>
          <w:p w14:paraId="03038ADA" w14:textId="77777777" w:rsidR="00F9262B" w:rsidRPr="005764FC" w:rsidRDefault="00F9262B" w:rsidP="00F9262B">
            <w:pPr>
              <w:pStyle w:val="TableTextBold"/>
              <w:rPr>
                <w:bCs/>
                <w:lang w:eastAsia="fr-CA"/>
              </w:rPr>
            </w:pPr>
            <w:r w:rsidRPr="005764FC">
              <w:rPr>
                <w:bCs/>
                <w:lang w:eastAsia="fr-CA"/>
              </w:rPr>
              <w:t>Short-range Communications</w:t>
            </w:r>
          </w:p>
        </w:tc>
      </w:tr>
      <w:tr w:rsidR="001F4363" w:rsidRPr="005764FC" w14:paraId="67B6266A" w14:textId="77777777" w:rsidTr="00CE0107">
        <w:trPr>
          <w:cantSplit/>
        </w:trPr>
        <w:tc>
          <w:tcPr>
            <w:tcW w:w="508" w:type="pct"/>
          </w:tcPr>
          <w:p w14:paraId="65939813" w14:textId="1740D765" w:rsidR="001F4363" w:rsidRPr="005764FC" w:rsidRDefault="001F4363" w:rsidP="001F4363">
            <w:pPr>
              <w:pStyle w:val="TableText"/>
              <w:jc w:val="center"/>
              <w:rPr>
                <w:lang w:eastAsia="fr-CA"/>
              </w:rPr>
            </w:pPr>
            <w:r w:rsidRPr="005764FC">
              <w:rPr>
                <w:lang w:eastAsia="fr-CA"/>
              </w:rPr>
              <w:t>12</w:t>
            </w:r>
          </w:p>
        </w:tc>
        <w:tc>
          <w:tcPr>
            <w:tcW w:w="4492" w:type="pct"/>
          </w:tcPr>
          <w:p w14:paraId="6A3E00EB" w14:textId="0B357CF2" w:rsidR="001F4363" w:rsidRPr="005764FC" w:rsidRDefault="001F4363" w:rsidP="001F4363">
            <w:pPr>
              <w:pStyle w:val="TableText"/>
              <w:rPr>
                <w:lang w:eastAsia="fr-CA"/>
              </w:rPr>
            </w:pPr>
            <w:r w:rsidRPr="005764FC">
              <w:rPr>
                <w:lang w:eastAsia="fr-CA"/>
              </w:rPr>
              <w:t xml:space="preserve">Prioritising support for a single short-range communications standard will encourage uptake and achieve maximum benefits given by interoperability. Mixed technology delivering the same services will </w:t>
            </w:r>
            <w:r w:rsidR="00FD6A05">
              <w:rPr>
                <w:lang w:eastAsia="fr-CA"/>
              </w:rPr>
              <w:t xml:space="preserve">more than </w:t>
            </w:r>
            <w:r w:rsidRPr="005764FC">
              <w:rPr>
                <w:lang w:eastAsia="fr-CA"/>
              </w:rPr>
              <w:t xml:space="preserve">halve the CBA benefits due to splitting the vehicle market into two halves which cannot interact with each other.  </w:t>
            </w:r>
          </w:p>
        </w:tc>
      </w:tr>
      <w:tr w:rsidR="003A0E71" w:rsidRPr="005764FC" w14:paraId="25311626" w14:textId="77777777" w:rsidTr="00C25A10">
        <w:trPr>
          <w:cantSplit/>
        </w:trPr>
        <w:tc>
          <w:tcPr>
            <w:tcW w:w="508" w:type="pct"/>
          </w:tcPr>
          <w:p w14:paraId="3D3B4A91" w14:textId="77777777" w:rsidR="003A0E71" w:rsidRPr="005764FC" w:rsidRDefault="003A0E71" w:rsidP="00C25A10">
            <w:pPr>
              <w:pStyle w:val="TableText"/>
              <w:jc w:val="center"/>
              <w:rPr>
                <w:lang w:eastAsia="fr-CA"/>
              </w:rPr>
            </w:pPr>
            <w:r w:rsidRPr="005764FC">
              <w:rPr>
                <w:lang w:eastAsia="fr-CA"/>
              </w:rPr>
              <w:t>13</w:t>
            </w:r>
          </w:p>
        </w:tc>
        <w:tc>
          <w:tcPr>
            <w:tcW w:w="4492" w:type="pct"/>
          </w:tcPr>
          <w:p w14:paraId="26A864D5" w14:textId="1041FDC6" w:rsidR="003A0E71" w:rsidRPr="005764FC" w:rsidRDefault="003A0E71" w:rsidP="00C25A10">
            <w:pPr>
              <w:pStyle w:val="TableText"/>
              <w:rPr>
                <w:lang w:eastAsia="fr-CA"/>
              </w:rPr>
            </w:pPr>
            <w:r w:rsidRPr="005764FC">
              <w:rPr>
                <w:lang w:eastAsia="fr-CA"/>
              </w:rPr>
              <w:t xml:space="preserve">Dedicated Short-range Communications (DSRC) is </w:t>
            </w:r>
            <w:r w:rsidR="00317F6E">
              <w:rPr>
                <w:lang w:eastAsia="fr-CA"/>
              </w:rPr>
              <w:t xml:space="preserve">currently </w:t>
            </w:r>
            <w:r w:rsidRPr="005764FC">
              <w:rPr>
                <w:lang w:eastAsia="fr-CA"/>
              </w:rPr>
              <w:t>the most mature technology for short-range communication deployment, has been used in all Australian pilots</w:t>
            </w:r>
            <w:r w:rsidR="00FD6A05" w:rsidRPr="00A50C5C">
              <w:rPr>
                <w:lang w:eastAsia="fr-CA"/>
              </w:rPr>
              <w:t>,</w:t>
            </w:r>
            <w:r w:rsidRPr="005764FC">
              <w:rPr>
                <w:lang w:eastAsia="fr-CA"/>
              </w:rPr>
              <w:t xml:space="preserve"> and is prioritised for the European uptake of safety-related use cases. </w:t>
            </w:r>
          </w:p>
        </w:tc>
      </w:tr>
      <w:tr w:rsidR="003A0E71" w:rsidRPr="005764FC" w14:paraId="4DC5A161" w14:textId="77777777" w:rsidTr="00C25A10">
        <w:trPr>
          <w:cantSplit/>
        </w:trPr>
        <w:tc>
          <w:tcPr>
            <w:tcW w:w="508" w:type="pct"/>
          </w:tcPr>
          <w:p w14:paraId="672B7051" w14:textId="77777777" w:rsidR="003A0E71" w:rsidRPr="005764FC" w:rsidRDefault="003A0E71" w:rsidP="00C25A10">
            <w:pPr>
              <w:pStyle w:val="TableText"/>
              <w:jc w:val="center"/>
              <w:rPr>
                <w:lang w:eastAsia="fr-CA"/>
              </w:rPr>
            </w:pPr>
            <w:r w:rsidRPr="005764FC">
              <w:rPr>
                <w:lang w:eastAsia="fr-CA"/>
              </w:rPr>
              <w:t>14</w:t>
            </w:r>
          </w:p>
        </w:tc>
        <w:tc>
          <w:tcPr>
            <w:tcW w:w="4492" w:type="pct"/>
          </w:tcPr>
          <w:p w14:paraId="0880BC54" w14:textId="2910A94B" w:rsidR="003A0E71" w:rsidRPr="005764FC" w:rsidRDefault="003A0E71" w:rsidP="00C25A10">
            <w:pPr>
              <w:pStyle w:val="TableText"/>
              <w:rPr>
                <w:lang w:eastAsia="fr-CA"/>
              </w:rPr>
            </w:pPr>
            <w:r w:rsidRPr="005764FC">
              <w:rPr>
                <w:lang w:eastAsia="fr-CA"/>
              </w:rPr>
              <w:t xml:space="preserve">The progress of Cellular-V2X (C-V2X) should continue to be monitored for its potential to improve road safety and efficiency targets where the benefits of providing shared and nationally interoperable digital systems are not degraded. </w:t>
            </w:r>
          </w:p>
        </w:tc>
      </w:tr>
      <w:tr w:rsidR="003A0E71" w:rsidRPr="005764FC" w14:paraId="35E13862" w14:textId="77777777" w:rsidTr="00C25A10">
        <w:trPr>
          <w:cantSplit/>
        </w:trPr>
        <w:tc>
          <w:tcPr>
            <w:tcW w:w="508" w:type="pct"/>
          </w:tcPr>
          <w:p w14:paraId="31CCEF4A" w14:textId="77777777" w:rsidR="003A0E71" w:rsidRPr="005764FC" w:rsidRDefault="003A0E71" w:rsidP="00C25A10">
            <w:pPr>
              <w:pStyle w:val="TableText"/>
              <w:jc w:val="center"/>
              <w:rPr>
                <w:lang w:eastAsia="fr-CA"/>
              </w:rPr>
            </w:pPr>
            <w:r w:rsidRPr="005764FC">
              <w:rPr>
                <w:lang w:eastAsia="fr-CA"/>
              </w:rPr>
              <w:t>15</w:t>
            </w:r>
          </w:p>
        </w:tc>
        <w:tc>
          <w:tcPr>
            <w:tcW w:w="4492" w:type="pct"/>
          </w:tcPr>
          <w:p w14:paraId="1E04B6B0" w14:textId="245CB479" w:rsidR="003A0E71" w:rsidRPr="005764FC" w:rsidRDefault="003A0E71" w:rsidP="00C25A10">
            <w:pPr>
              <w:pStyle w:val="TableText"/>
              <w:rPr>
                <w:lang w:eastAsia="fr-CA"/>
              </w:rPr>
            </w:pPr>
            <w:r w:rsidRPr="005764FC">
              <w:rPr>
                <w:lang w:eastAsia="fr-CA"/>
              </w:rPr>
              <w:t xml:space="preserve">Full scale deployment delays have not been due to the short-range communication method but rather </w:t>
            </w:r>
            <w:r w:rsidR="00FD6A05">
              <w:rPr>
                <w:lang w:eastAsia="fr-CA"/>
              </w:rPr>
              <w:t>due</w:t>
            </w:r>
            <w:r w:rsidRPr="005764FC">
              <w:rPr>
                <w:lang w:eastAsia="fr-CA"/>
              </w:rPr>
              <w:t xml:space="preserve"> to solving challenges in delivering an operational ecosystem (such as user interaction and acceptance, business models with new interactions and processes, data readiness, security, </w:t>
            </w:r>
            <w:r w:rsidR="00FD6A05">
              <w:rPr>
                <w:lang w:eastAsia="fr-CA"/>
              </w:rPr>
              <w:t>etc.</w:t>
            </w:r>
            <w:r w:rsidR="00FD6A05" w:rsidRPr="005764FC">
              <w:rPr>
                <w:lang w:eastAsia="fr-CA"/>
              </w:rPr>
              <w:t>).</w:t>
            </w:r>
          </w:p>
        </w:tc>
      </w:tr>
    </w:tbl>
    <w:p w14:paraId="18E574FE" w14:textId="77777777" w:rsidR="00582669" w:rsidRPr="005764FC" w:rsidRDefault="00582669" w:rsidP="00CE0107">
      <w:pPr>
        <w:pStyle w:val="BodyText"/>
      </w:pPr>
    </w:p>
    <w:p w14:paraId="5BBF0D5E" w14:textId="30A60B84" w:rsidR="000B5924" w:rsidRPr="005764FC" w:rsidRDefault="000B5924" w:rsidP="00CE0107">
      <w:pPr>
        <w:pStyle w:val="Heading1"/>
      </w:pPr>
      <w:bookmarkStart w:id="242" w:name="_Toc50040172"/>
      <w:bookmarkStart w:id="243" w:name="_Toc50040173"/>
      <w:bookmarkStart w:id="244" w:name="_Toc50040174"/>
      <w:bookmarkStart w:id="245" w:name="_Toc50040175"/>
      <w:bookmarkStart w:id="246" w:name="_Ref87341893"/>
      <w:bookmarkStart w:id="247" w:name="_Toc94536707"/>
      <w:bookmarkStart w:id="248" w:name="_Toc94453160"/>
      <w:bookmarkStart w:id="249" w:name="_Toc97807797"/>
      <w:bookmarkEnd w:id="147"/>
      <w:bookmarkEnd w:id="148"/>
      <w:bookmarkEnd w:id="149"/>
      <w:bookmarkEnd w:id="242"/>
      <w:bookmarkEnd w:id="243"/>
      <w:bookmarkEnd w:id="244"/>
      <w:bookmarkEnd w:id="245"/>
      <w:r w:rsidRPr="005764FC">
        <w:t xml:space="preserve">Principles For </w:t>
      </w:r>
      <w:r w:rsidR="006C3EFF" w:rsidRPr="005764FC">
        <w:t>National Approach</w:t>
      </w:r>
      <w:bookmarkEnd w:id="246"/>
      <w:bookmarkEnd w:id="247"/>
      <w:bookmarkEnd w:id="248"/>
      <w:bookmarkEnd w:id="249"/>
      <w:r w:rsidRPr="005764FC">
        <w:t xml:space="preserve"> </w:t>
      </w:r>
    </w:p>
    <w:p w14:paraId="3A3DC3E2" w14:textId="7742DB77" w:rsidR="007D4835" w:rsidRPr="005764FC" w:rsidRDefault="007D4835" w:rsidP="00A87F03">
      <w:pPr>
        <w:pStyle w:val="BodyText"/>
      </w:pPr>
      <w:r w:rsidRPr="005764FC">
        <w:t>A</w:t>
      </w:r>
      <w:r w:rsidR="003F3F5A" w:rsidRPr="005764FC">
        <w:t>s found from the policy analysis, a</w:t>
      </w:r>
      <w:r w:rsidRPr="005764FC">
        <w:t xml:space="preserve"> nationally consistent </w:t>
      </w:r>
      <w:r w:rsidR="00962F01" w:rsidRPr="005764FC">
        <w:t xml:space="preserve">approach </w:t>
      </w:r>
      <w:r w:rsidR="0006211E" w:rsidRPr="005764FC">
        <w:t xml:space="preserve">to </w:t>
      </w:r>
      <w:r w:rsidR="00695648" w:rsidRPr="005764FC">
        <w:t>C</w:t>
      </w:r>
      <w:r w:rsidR="008A3437" w:rsidRPr="005764FC">
        <w:t>‑ITS</w:t>
      </w:r>
      <w:r w:rsidR="005F7003" w:rsidRPr="005764FC">
        <w:t xml:space="preserve"> </w:t>
      </w:r>
      <w:r w:rsidR="00EB4C42" w:rsidRPr="005764FC">
        <w:t xml:space="preserve">is </w:t>
      </w:r>
      <w:r w:rsidR="00157117" w:rsidRPr="005764FC">
        <w:t xml:space="preserve">needed </w:t>
      </w:r>
      <w:r w:rsidR="00EB4C42" w:rsidRPr="005764FC">
        <w:t xml:space="preserve">to move </w:t>
      </w:r>
      <w:r w:rsidR="00F91F57" w:rsidRPr="005764FC">
        <w:t xml:space="preserve">to </w:t>
      </w:r>
      <w:r w:rsidR="00F14E01" w:rsidRPr="005764FC">
        <w:t xml:space="preserve">a market that allows industry to deploy </w:t>
      </w:r>
      <w:r w:rsidR="00157117" w:rsidRPr="005764FC">
        <w:t xml:space="preserve">at-scale </w:t>
      </w:r>
      <w:r w:rsidR="00811A2A" w:rsidRPr="005764FC">
        <w:t xml:space="preserve">with certainty. </w:t>
      </w:r>
      <w:r w:rsidR="00832E22" w:rsidRPr="005764FC">
        <w:t>Defin</w:t>
      </w:r>
      <w:r w:rsidR="00800A86" w:rsidRPr="005764FC">
        <w:t>ing</w:t>
      </w:r>
      <w:r w:rsidR="00832E22" w:rsidRPr="005764FC">
        <w:t xml:space="preserve"> and support</w:t>
      </w:r>
      <w:r w:rsidR="00800A86" w:rsidRPr="005764FC">
        <w:t>ing</w:t>
      </w:r>
      <w:r w:rsidR="00832E22" w:rsidRPr="005764FC">
        <w:t xml:space="preserve"> common priorities </w:t>
      </w:r>
      <w:r w:rsidR="00800A86" w:rsidRPr="005764FC">
        <w:t xml:space="preserve">between government, </w:t>
      </w:r>
      <w:r w:rsidR="001F31E4" w:rsidRPr="005764FC">
        <w:t>industry</w:t>
      </w:r>
      <w:r w:rsidR="0010715D" w:rsidRPr="005764FC">
        <w:t>,</w:t>
      </w:r>
      <w:r w:rsidR="00800A86" w:rsidRPr="005764FC">
        <w:t xml:space="preserve"> and users </w:t>
      </w:r>
      <w:r w:rsidR="002D4E37" w:rsidRPr="005764FC">
        <w:t xml:space="preserve">is </w:t>
      </w:r>
      <w:r w:rsidR="00EB334B" w:rsidRPr="005764FC">
        <w:t xml:space="preserve">essential to ensure the right </w:t>
      </w:r>
      <w:r w:rsidR="0057145E" w:rsidRPr="005764FC">
        <w:t>aspects of a foundational C</w:t>
      </w:r>
      <w:r w:rsidR="008A3437" w:rsidRPr="005764FC">
        <w:t>‑ITS</w:t>
      </w:r>
      <w:r w:rsidR="0057145E" w:rsidRPr="005764FC">
        <w:t xml:space="preserve"> ecosystem </w:t>
      </w:r>
      <w:r w:rsidR="000267BE" w:rsidRPr="005764FC">
        <w:t>is</w:t>
      </w:r>
      <w:r w:rsidR="0057145E" w:rsidRPr="005764FC">
        <w:t xml:space="preserve"> in </w:t>
      </w:r>
      <w:r w:rsidR="00761570" w:rsidRPr="005764FC">
        <w:t>place</w:t>
      </w:r>
      <w:r w:rsidR="008B1327" w:rsidRPr="005764FC">
        <w:t>.</w:t>
      </w:r>
      <w:r w:rsidR="008072D0" w:rsidRPr="005764FC">
        <w:t xml:space="preserve"> </w:t>
      </w:r>
      <w:r w:rsidR="008A3437" w:rsidRPr="005764FC">
        <w:t>C‑</w:t>
      </w:r>
      <w:r w:rsidR="002A5B68" w:rsidRPr="005764FC">
        <w:t xml:space="preserve">ITS should complement other national </w:t>
      </w:r>
      <w:r w:rsidR="00007765" w:rsidRPr="005764FC">
        <w:t>transport strategies and benefit enhanc</w:t>
      </w:r>
      <w:r w:rsidR="00C445F7" w:rsidRPr="005764FC">
        <w:t>ed</w:t>
      </w:r>
      <w:r w:rsidR="00007765" w:rsidRPr="005764FC">
        <w:t xml:space="preserve"> </w:t>
      </w:r>
      <w:r w:rsidR="001174A5" w:rsidRPr="005764FC">
        <w:t xml:space="preserve">transport systems rather than </w:t>
      </w:r>
      <w:r w:rsidR="003C5316" w:rsidRPr="005764FC">
        <w:t xml:space="preserve">representing </w:t>
      </w:r>
      <w:r w:rsidR="001174A5" w:rsidRPr="005764FC">
        <w:t>a</w:t>
      </w:r>
      <w:r w:rsidR="00D5424C" w:rsidRPr="005764FC">
        <w:t xml:space="preserve"> competi</w:t>
      </w:r>
      <w:r w:rsidR="001174A5" w:rsidRPr="005764FC">
        <w:t xml:space="preserve">ng solution. </w:t>
      </w:r>
    </w:p>
    <w:p w14:paraId="2FA8FE2A" w14:textId="2E1DD299" w:rsidR="00800126" w:rsidRPr="005764FC" w:rsidRDefault="00D5424C" w:rsidP="00A87F03">
      <w:pPr>
        <w:pStyle w:val="BodyText"/>
      </w:pPr>
      <w:r w:rsidRPr="005764FC">
        <w:t>From the findings, f</w:t>
      </w:r>
      <w:r w:rsidR="00600AC4" w:rsidRPr="005764FC">
        <w:t xml:space="preserve">ive </w:t>
      </w:r>
      <w:r w:rsidR="00C555A1" w:rsidRPr="005764FC">
        <w:t xml:space="preserve">principles </w:t>
      </w:r>
      <w:r w:rsidR="00530039" w:rsidRPr="005764FC">
        <w:t xml:space="preserve">are </w:t>
      </w:r>
      <w:r w:rsidRPr="005764FC">
        <w:t xml:space="preserve">identified </w:t>
      </w:r>
      <w:r w:rsidR="009F3FCC" w:rsidRPr="005764FC">
        <w:t xml:space="preserve">as </w:t>
      </w:r>
      <w:r w:rsidR="002074C5" w:rsidRPr="005764FC">
        <w:t>effective</w:t>
      </w:r>
      <w:r w:rsidR="009F3FCC" w:rsidRPr="005764FC">
        <w:t xml:space="preserve"> </w:t>
      </w:r>
      <w:r w:rsidR="007B1A2C" w:rsidRPr="005764FC">
        <w:t xml:space="preserve">strategies </w:t>
      </w:r>
      <w:r w:rsidR="00776F47" w:rsidRPr="005764FC">
        <w:t xml:space="preserve">to </w:t>
      </w:r>
      <w:r w:rsidR="002A2C65" w:rsidRPr="005764FC">
        <w:t xml:space="preserve">guide </w:t>
      </w:r>
      <w:r w:rsidR="008E5587" w:rsidRPr="005764FC">
        <w:t xml:space="preserve">national </w:t>
      </w:r>
      <w:r w:rsidR="00C364A9" w:rsidRPr="005764FC">
        <w:t>consistency</w:t>
      </w:r>
      <w:r w:rsidR="006C3177" w:rsidRPr="005764FC">
        <w:t>:</w:t>
      </w:r>
    </w:p>
    <w:p w14:paraId="7CBDDA0B" w14:textId="5B640D13" w:rsidR="00161B0C" w:rsidRPr="005764FC" w:rsidRDefault="005345DD" w:rsidP="00227049">
      <w:pPr>
        <w:pStyle w:val="Image"/>
      </w:pPr>
      <w:r w:rsidRPr="005764FC">
        <w:rPr>
          <w:noProof/>
          <w:lang w:eastAsia="en-AU"/>
        </w:rPr>
        <w:drawing>
          <wp:inline distT="0" distB="0" distL="0" distR="0" wp14:anchorId="51B98A57" wp14:editId="55C7ACE2">
            <wp:extent cx="6122670" cy="4030980"/>
            <wp:effectExtent l="0" t="0" r="0" b="7620"/>
            <wp:docPr id="252" name="Picture 252" descr="Figure 4.1 visualizes the principles with each principle having an accompanying carto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2670" cy="4030980"/>
                    </a:xfrm>
                    <a:prstGeom prst="rect">
                      <a:avLst/>
                    </a:prstGeom>
                    <a:noFill/>
                    <a:ln>
                      <a:noFill/>
                    </a:ln>
                  </pic:spPr>
                </pic:pic>
              </a:graphicData>
            </a:graphic>
          </wp:inline>
        </w:drawing>
      </w:r>
    </w:p>
    <w:p w14:paraId="76FB5006" w14:textId="6AC1A0B9" w:rsidR="00161B0C" w:rsidRPr="005764FC" w:rsidRDefault="00CE0107" w:rsidP="00CE0107">
      <w:pPr>
        <w:pStyle w:val="Caption"/>
        <w:keepNext w:val="0"/>
      </w:pPr>
      <w:bookmarkStart w:id="250" w:name="_Toc97807843"/>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4</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w:t>
      </w:r>
      <w:r w:rsidR="00287C9E" w:rsidRPr="005764FC">
        <w:fldChar w:fldCharType="end"/>
      </w:r>
      <w:r w:rsidRPr="005764FC">
        <w:tab/>
      </w:r>
      <w:r w:rsidR="00227049" w:rsidRPr="005764FC">
        <w:t>Princip</w:t>
      </w:r>
      <w:r w:rsidR="00B8705C" w:rsidRPr="005764FC">
        <w:t>les</w:t>
      </w:r>
      <w:r w:rsidR="00227049" w:rsidRPr="005764FC">
        <w:t xml:space="preserve"> for national approach</w:t>
      </w:r>
      <w:bookmarkEnd w:id="250"/>
    </w:p>
    <w:p w14:paraId="6898FACF" w14:textId="77777777" w:rsidR="00CE0107" w:rsidRPr="005764FC" w:rsidRDefault="00CE0107" w:rsidP="00CE0107">
      <w:pPr>
        <w:pStyle w:val="BodyText"/>
        <w:rPr>
          <w:lang w:eastAsia="fr-CA"/>
        </w:rPr>
      </w:pPr>
    </w:p>
    <w:p w14:paraId="130CD30E" w14:textId="5229B9D8" w:rsidR="00227049" w:rsidRPr="005764FC" w:rsidRDefault="00227049">
      <w:pPr>
        <w:rPr>
          <w:lang w:eastAsia="fr-CA"/>
        </w:rPr>
      </w:pPr>
      <w:r w:rsidRPr="005764FC">
        <w:rPr>
          <w:lang w:eastAsia="fr-CA"/>
        </w:rPr>
        <w:br w:type="page"/>
      </w:r>
    </w:p>
    <w:p w14:paraId="22F225F8" w14:textId="23E8D367" w:rsidR="006E5644" w:rsidRPr="005764FC" w:rsidRDefault="006E5644" w:rsidP="00227049">
      <w:pPr>
        <w:pStyle w:val="Heading2"/>
        <w:numPr>
          <w:ilvl w:val="0"/>
          <w:numId w:val="0"/>
        </w:numPr>
        <w:ind w:left="1134" w:hanging="1134"/>
      </w:pPr>
      <w:bookmarkStart w:id="251" w:name="_Toc94536708"/>
      <w:bookmarkStart w:id="252" w:name="_Toc94453161"/>
      <w:bookmarkStart w:id="253" w:name="_Toc97807798"/>
      <w:r w:rsidRPr="005764FC">
        <w:t>A.</w:t>
      </w:r>
      <w:r w:rsidR="00227049" w:rsidRPr="005764FC">
        <w:tab/>
      </w:r>
      <w:bookmarkEnd w:id="251"/>
      <w:bookmarkEnd w:id="252"/>
      <w:r w:rsidR="00C44A59" w:rsidRPr="005764FC">
        <w:t>Engagement between governments and industry (specifically vehicle manufacturers), and agreement built on shared understanding of issues, are key to developing an interoperable C-ITS ecosystem</w:t>
      </w:r>
      <w:bookmarkEnd w:id="253"/>
    </w:p>
    <w:p w14:paraId="2095287E" w14:textId="0E3FB3E4" w:rsidR="00A31A04" w:rsidRPr="005764FC" w:rsidRDefault="00A31A04" w:rsidP="00E92390">
      <w:pPr>
        <w:pStyle w:val="BodyText"/>
        <w:rPr>
          <w:b/>
          <w:i/>
        </w:rPr>
      </w:pPr>
      <w:r w:rsidRPr="005764FC">
        <w:rPr>
          <w:b/>
          <w:i/>
        </w:rPr>
        <w:t>Action: Build and maintain a framework for engagement and agreement</w:t>
      </w:r>
    </w:p>
    <w:p w14:paraId="168A6ACB" w14:textId="77DD5A8E" w:rsidR="00A87F03" w:rsidRPr="005764FC" w:rsidRDefault="00A87F03" w:rsidP="00A265CB">
      <w:pPr>
        <w:pStyle w:val="BodyText"/>
        <w:rPr>
          <w:lang w:eastAsia="fr-CA"/>
        </w:rPr>
      </w:pPr>
      <w:r w:rsidRPr="005764FC">
        <w:rPr>
          <w:lang w:eastAsia="fr-CA"/>
        </w:rPr>
        <w:t>Most road authorities focus on the systems and services required to provi</w:t>
      </w:r>
      <w:r w:rsidR="00530039" w:rsidRPr="005764FC">
        <w:rPr>
          <w:lang w:eastAsia="fr-CA"/>
        </w:rPr>
        <w:t>de</w:t>
      </w:r>
      <w:r w:rsidRPr="005764FC">
        <w:rPr>
          <w:lang w:eastAsia="fr-CA"/>
        </w:rPr>
        <w:t xml:space="preserve"> </w:t>
      </w:r>
      <w:r w:rsidR="006B703E" w:rsidRPr="005764FC">
        <w:rPr>
          <w:lang w:eastAsia="fr-CA"/>
        </w:rPr>
        <w:t>ITS</w:t>
      </w:r>
      <w:r w:rsidRPr="005764FC">
        <w:rPr>
          <w:lang w:eastAsia="fr-CA"/>
        </w:rPr>
        <w:t>. However, in a C</w:t>
      </w:r>
      <w:r w:rsidR="008A3437" w:rsidRPr="005764FC">
        <w:rPr>
          <w:lang w:eastAsia="fr-CA"/>
        </w:rPr>
        <w:t>‑</w:t>
      </w:r>
      <w:r w:rsidRPr="005764FC">
        <w:rPr>
          <w:lang w:eastAsia="fr-CA"/>
        </w:rPr>
        <w:t>ITS world</w:t>
      </w:r>
      <w:r w:rsidR="00530039" w:rsidRPr="005764FC">
        <w:rPr>
          <w:lang w:eastAsia="fr-CA"/>
        </w:rPr>
        <w:t>,</w:t>
      </w:r>
      <w:r w:rsidRPr="005764FC">
        <w:rPr>
          <w:lang w:eastAsia="fr-CA"/>
        </w:rPr>
        <w:t xml:space="preserve"> this focus will be coupled with a need to </w:t>
      </w:r>
      <w:r w:rsidR="000E2ED7" w:rsidRPr="005764FC">
        <w:rPr>
          <w:lang w:eastAsia="fr-CA"/>
        </w:rPr>
        <w:t>intr</w:t>
      </w:r>
      <w:r w:rsidR="00430FA7" w:rsidRPr="005764FC">
        <w:rPr>
          <w:lang w:eastAsia="fr-CA"/>
        </w:rPr>
        <w:t xml:space="preserve">insically </w:t>
      </w:r>
      <w:r w:rsidRPr="005764FC">
        <w:rPr>
          <w:lang w:eastAsia="fr-CA"/>
        </w:rPr>
        <w:t>understand the user and vehicle elements. System success will be influenced by extended complexity in the user, society, political, vehicle and technologies space</w:t>
      </w:r>
      <w:r w:rsidR="00530039" w:rsidRPr="005764FC">
        <w:rPr>
          <w:lang w:eastAsia="fr-CA"/>
        </w:rPr>
        <w:t>s</w:t>
      </w:r>
      <w:r w:rsidRPr="005764FC">
        <w:rPr>
          <w:lang w:eastAsia="fr-CA"/>
        </w:rPr>
        <w:t>. Appropriate controls such as policy, standards, compliance frameworks, regulation</w:t>
      </w:r>
      <w:r w:rsidR="00530039" w:rsidRPr="005764FC">
        <w:rPr>
          <w:lang w:eastAsia="fr-CA"/>
        </w:rPr>
        <w:t>,</w:t>
      </w:r>
      <w:r w:rsidRPr="005764FC">
        <w:rPr>
          <w:lang w:eastAsia="fr-CA"/>
        </w:rPr>
        <w:t xml:space="preserve"> and data frameworks </w:t>
      </w:r>
      <w:r w:rsidR="0017054E" w:rsidRPr="005764FC">
        <w:rPr>
          <w:lang w:eastAsia="fr-CA"/>
        </w:rPr>
        <w:t xml:space="preserve">will </w:t>
      </w:r>
      <w:r w:rsidRPr="005764FC">
        <w:rPr>
          <w:lang w:eastAsia="fr-CA"/>
        </w:rPr>
        <w:t xml:space="preserve">provide confidence that intended outcomes </w:t>
      </w:r>
      <w:r w:rsidR="0017054E" w:rsidRPr="005764FC">
        <w:rPr>
          <w:lang w:eastAsia="fr-CA"/>
        </w:rPr>
        <w:t xml:space="preserve">will be </w:t>
      </w:r>
      <w:r w:rsidRPr="005764FC">
        <w:rPr>
          <w:lang w:eastAsia="fr-CA"/>
        </w:rPr>
        <w:t>achieved.</w:t>
      </w:r>
      <w:r w:rsidRPr="005764FC">
        <w:rPr>
          <w:b/>
          <w:bCs/>
          <w:lang w:eastAsia="fr-CA"/>
        </w:rPr>
        <w:t xml:space="preserve"> </w:t>
      </w:r>
    </w:p>
    <w:p w14:paraId="5C574D9D" w14:textId="3E3AA672" w:rsidR="00230AC8" w:rsidRPr="00D60ADF" w:rsidRDefault="00230AC8" w:rsidP="00234E04">
      <w:pPr>
        <w:pStyle w:val="Heading3"/>
        <w:numPr>
          <w:ilvl w:val="0"/>
          <w:numId w:val="0"/>
        </w:numPr>
        <w:ind w:left="1134" w:hanging="1134"/>
        <w:rPr>
          <w:sz w:val="22"/>
        </w:rPr>
      </w:pPr>
      <w:r w:rsidRPr="00D60ADF">
        <w:rPr>
          <w:sz w:val="22"/>
        </w:rPr>
        <w:t xml:space="preserve">The </w:t>
      </w:r>
      <w:r w:rsidR="0017054E" w:rsidRPr="00D60ADF">
        <w:rPr>
          <w:sz w:val="22"/>
        </w:rPr>
        <w:t>user, industry, government relationship</w:t>
      </w:r>
    </w:p>
    <w:p w14:paraId="64F3CBB0" w14:textId="3A1B3EEE" w:rsidR="00BA5A6F" w:rsidRPr="005764FC" w:rsidRDefault="00CE31DE" w:rsidP="00BA5A6F">
      <w:pPr>
        <w:pStyle w:val="BodyText"/>
      </w:pPr>
      <w:r w:rsidRPr="005764FC">
        <w:t>A</w:t>
      </w:r>
      <w:r w:rsidR="001F6B00" w:rsidRPr="005764FC">
        <w:t xml:space="preserve">ppropriate </w:t>
      </w:r>
      <w:r w:rsidR="00AA6E3B" w:rsidRPr="005764FC">
        <w:t xml:space="preserve">C‑ITS </w:t>
      </w:r>
      <w:r w:rsidR="001F6B00" w:rsidRPr="005764FC">
        <w:t>deployment require</w:t>
      </w:r>
      <w:r w:rsidR="00B00905" w:rsidRPr="005764FC">
        <w:t>s align</w:t>
      </w:r>
      <w:r w:rsidR="00D0715F" w:rsidRPr="005764FC">
        <w:t>ment</w:t>
      </w:r>
      <w:r w:rsidR="005105BD" w:rsidRPr="005764FC">
        <w:t xml:space="preserve"> and enduring collaboration </w:t>
      </w:r>
      <w:r w:rsidR="00D0715F" w:rsidRPr="005764FC">
        <w:t xml:space="preserve">between many parties. Widespread deployment involves </w:t>
      </w:r>
      <w:r w:rsidR="00654212" w:rsidRPr="005764FC">
        <w:t xml:space="preserve">a broad group of stakeholders across </w:t>
      </w:r>
      <w:r w:rsidR="001D2B5B" w:rsidRPr="005764FC">
        <w:t>all levels of government, multiple industry sectors</w:t>
      </w:r>
      <w:r w:rsidR="00B833F8" w:rsidRPr="005764FC">
        <w:t>,</w:t>
      </w:r>
      <w:r w:rsidR="00654212" w:rsidRPr="005764FC">
        <w:t xml:space="preserve"> </w:t>
      </w:r>
      <w:r w:rsidR="0079434A" w:rsidRPr="005764FC">
        <w:t xml:space="preserve">including vehicle </w:t>
      </w:r>
      <w:r w:rsidR="007B031B" w:rsidRPr="005764FC">
        <w:t>manufacturers</w:t>
      </w:r>
      <w:r w:rsidR="0079434A" w:rsidRPr="005764FC">
        <w:t xml:space="preserve"> and a wide range of technology</w:t>
      </w:r>
      <w:r w:rsidR="007B031B" w:rsidRPr="005764FC">
        <w:t>, service</w:t>
      </w:r>
      <w:r w:rsidR="0079434A" w:rsidRPr="005764FC">
        <w:t xml:space="preserve"> </w:t>
      </w:r>
      <w:r w:rsidR="00377000" w:rsidRPr="005764FC">
        <w:t xml:space="preserve">and data </w:t>
      </w:r>
      <w:r w:rsidR="007B031B" w:rsidRPr="005764FC">
        <w:t>pr</w:t>
      </w:r>
      <w:r w:rsidR="00BB0E82" w:rsidRPr="005764FC">
        <w:t>oviders</w:t>
      </w:r>
      <w:r w:rsidR="00377000" w:rsidRPr="005764FC">
        <w:t xml:space="preserve"> </w:t>
      </w:r>
      <w:r w:rsidR="00654212" w:rsidRPr="005764FC">
        <w:t xml:space="preserve">and end-users. </w:t>
      </w:r>
      <w:r w:rsidR="00722CC0" w:rsidRPr="005764FC">
        <w:t xml:space="preserve">Enduring and effective collaboration is essential to meeting </w:t>
      </w:r>
      <w:r w:rsidR="00B833F8" w:rsidRPr="005764FC">
        <w:t>these groups’</w:t>
      </w:r>
      <w:r w:rsidR="00722CC0" w:rsidRPr="005764FC">
        <w:t xml:space="preserve"> diverse needs and </w:t>
      </w:r>
      <w:r w:rsidR="008C16B5" w:rsidRPr="005764FC">
        <w:t>quickly realising the benefits of C</w:t>
      </w:r>
      <w:r w:rsidR="008A3437" w:rsidRPr="005764FC">
        <w:t>‑ITS</w:t>
      </w:r>
      <w:r w:rsidR="00DC1BC6" w:rsidRPr="005764FC">
        <w:t xml:space="preserve">. </w:t>
      </w:r>
      <w:r w:rsidR="00817083" w:rsidRPr="005764FC">
        <w:t>A robust, transparent</w:t>
      </w:r>
      <w:r w:rsidR="00F22AC6" w:rsidRPr="005764FC">
        <w:t xml:space="preserve"> governance</w:t>
      </w:r>
      <w:r w:rsidR="00817083" w:rsidRPr="005764FC">
        <w:t xml:space="preserve"> framework will encourage collaboration </w:t>
      </w:r>
      <w:r w:rsidR="00447229" w:rsidRPr="005764FC">
        <w:t xml:space="preserve">through effective communication, </w:t>
      </w:r>
      <w:r w:rsidR="00B833F8" w:rsidRPr="005764FC">
        <w:t xml:space="preserve">help </w:t>
      </w:r>
      <w:r w:rsidR="00447229" w:rsidRPr="005764FC">
        <w:t>defin</w:t>
      </w:r>
      <w:r w:rsidR="00B833F8" w:rsidRPr="005764FC">
        <w:t>e</w:t>
      </w:r>
      <w:r w:rsidR="00447229" w:rsidRPr="005764FC">
        <w:t xml:space="preserve"> roles and responsibilities</w:t>
      </w:r>
      <w:r w:rsidR="00B833F8" w:rsidRPr="005764FC">
        <w:t>,</w:t>
      </w:r>
      <w:r w:rsidR="00447229" w:rsidRPr="005764FC">
        <w:t xml:space="preserve"> and provide clear direction to all stakeholders. </w:t>
      </w:r>
      <w:r w:rsidR="00FA0CDA" w:rsidRPr="005764FC">
        <w:t xml:space="preserve">For industry, vehicle manufacturers should be prioritised due to their relative high investment cost and being the essential link to the user experience. </w:t>
      </w:r>
    </w:p>
    <w:tbl>
      <w:tblPr>
        <w:tblStyle w:val="PullOutBoxTable"/>
        <w:tblpPr w:leftFromText="180" w:rightFromText="180" w:vertAnchor="text" w:tblpXSpec="right" w:tblpY="1"/>
        <w:tblOverlap w:val="never"/>
        <w:tblW w:w="4536" w:type="dxa"/>
        <w:jc w:val="right"/>
        <w:tblInd w:w="0" w:type="dxa"/>
        <w:tblLook w:val="0600" w:firstRow="0" w:lastRow="0" w:firstColumn="0" w:lastColumn="0" w:noHBand="1" w:noVBand="1"/>
      </w:tblPr>
      <w:tblGrid>
        <w:gridCol w:w="4536"/>
      </w:tblGrid>
      <w:tr w:rsidR="00C01AA5" w:rsidRPr="005764FC" w14:paraId="423A4E0C" w14:textId="77777777" w:rsidTr="008864B6">
        <w:trPr>
          <w:jc w:val="right"/>
        </w:trPr>
        <w:tc>
          <w:tcPr>
            <w:tcW w:w="5000" w:type="pct"/>
            <w:shd w:val="clear" w:color="auto" w:fill="E4E8EC" w:themeFill="accent3" w:themeFillTint="1A"/>
          </w:tcPr>
          <w:p w14:paraId="7E41638B" w14:textId="77777777" w:rsidR="00C01AA5" w:rsidRPr="005764FC" w:rsidRDefault="00C01AA5" w:rsidP="008864B6">
            <w:pPr>
              <w:pStyle w:val="PullOutBoxHeading"/>
            </w:pPr>
            <w:r w:rsidRPr="005764FC">
              <w:t>THE RAIL GAUGE CHALLENGE</w:t>
            </w:r>
          </w:p>
          <w:p w14:paraId="2D94D84A" w14:textId="3DD2FB29" w:rsidR="00C01AA5" w:rsidRPr="005764FC" w:rsidRDefault="00C01AA5" w:rsidP="008864B6">
            <w:pPr>
              <w:pStyle w:val="PullOutBoxBodyText"/>
            </w:pPr>
            <w:r w:rsidRPr="005764FC">
              <w:t>Mismatched communication types and data standards between regions would impact on all users – in particular interstate truck operations</w:t>
            </w:r>
            <w:r w:rsidR="000B3024" w:rsidRPr="005764FC">
              <w:t xml:space="preserve">. </w:t>
            </w:r>
            <w:r w:rsidRPr="005764FC">
              <w:t>Different standards would be difficult to reconcile</w:t>
            </w:r>
            <w:r w:rsidR="000B3024" w:rsidRPr="005764FC">
              <w:t xml:space="preserve">. </w:t>
            </w:r>
            <w:r w:rsidRPr="005764FC">
              <w:t>The implementation of C-ITS in heavy vehicles could be compared to the different rail gauges in each state that plagued long-haul train operations Australia-wide</w:t>
            </w:r>
            <w:r w:rsidR="000B3024" w:rsidRPr="005764FC">
              <w:t xml:space="preserve">. </w:t>
            </w:r>
          </w:p>
        </w:tc>
      </w:tr>
    </w:tbl>
    <w:p w14:paraId="03434AB1" w14:textId="0F08B673" w:rsidR="00084303" w:rsidRPr="00D60ADF" w:rsidRDefault="00131A9C" w:rsidP="00234E04">
      <w:pPr>
        <w:pStyle w:val="Heading3"/>
        <w:numPr>
          <w:ilvl w:val="0"/>
          <w:numId w:val="0"/>
        </w:numPr>
        <w:ind w:left="1134" w:hanging="1134"/>
        <w:rPr>
          <w:sz w:val="22"/>
        </w:rPr>
      </w:pPr>
      <w:r w:rsidRPr="00D60ADF">
        <w:rPr>
          <w:sz w:val="22"/>
        </w:rPr>
        <w:t>National</w:t>
      </w:r>
      <w:r w:rsidR="00BA5A6F" w:rsidRPr="00D60ADF">
        <w:rPr>
          <w:sz w:val="22"/>
        </w:rPr>
        <w:t xml:space="preserve"> </w:t>
      </w:r>
      <w:r w:rsidR="0017054E" w:rsidRPr="00D60ADF">
        <w:rPr>
          <w:sz w:val="22"/>
        </w:rPr>
        <w:t>a</w:t>
      </w:r>
      <w:r w:rsidR="00BA5A6F" w:rsidRPr="00D60ADF">
        <w:rPr>
          <w:sz w:val="22"/>
        </w:rPr>
        <w:t>greement</w:t>
      </w:r>
    </w:p>
    <w:p w14:paraId="053741C6" w14:textId="6B81E7DA" w:rsidR="00BA5A6F" w:rsidRPr="005764FC" w:rsidRDefault="00BA5A6F" w:rsidP="00BA5A6F">
      <w:pPr>
        <w:pStyle w:val="BodyText"/>
      </w:pPr>
      <w:r w:rsidRPr="005764FC">
        <w:t xml:space="preserve">National consistency is essential to avoid market fragmentation and </w:t>
      </w:r>
      <w:r w:rsidR="00B833F8" w:rsidRPr="005764FC">
        <w:t xml:space="preserve">to </w:t>
      </w:r>
      <w:r w:rsidRPr="005764FC">
        <w:t>deploy C</w:t>
      </w:r>
      <w:r w:rsidR="008A3437" w:rsidRPr="005764FC">
        <w:t>‑ITS</w:t>
      </w:r>
      <w:r w:rsidRPr="005764FC">
        <w:t xml:space="preserve"> effectively. While infrastructure deployment trajectories may occur on different timescales, efforts must seek to ensure a commonality in processes, standards</w:t>
      </w:r>
      <w:r w:rsidR="00B833F8" w:rsidRPr="005764FC">
        <w:t>,</w:t>
      </w:r>
      <w:r w:rsidRPr="005764FC">
        <w:t xml:space="preserve"> and data s</w:t>
      </w:r>
      <w:r w:rsidR="00B833F8" w:rsidRPr="005764FC">
        <w:t>o</w:t>
      </w:r>
      <w:r w:rsidRPr="005764FC">
        <w:t xml:space="preserve"> Australia</w:t>
      </w:r>
      <w:r w:rsidRPr="005764FC" w:rsidDel="00B833F8">
        <w:t xml:space="preserve"> </w:t>
      </w:r>
      <w:r w:rsidR="00B833F8" w:rsidRPr="005764FC">
        <w:t xml:space="preserve">gives industry </w:t>
      </w:r>
      <w:r w:rsidRPr="005764FC">
        <w:t>an opportunity to deploy vehicles across jurisdictions. A</w:t>
      </w:r>
      <w:r w:rsidR="009C3F4E" w:rsidRPr="005764FC">
        <w:t xml:space="preserve">gencies delivering independent solutions </w:t>
      </w:r>
      <w:r w:rsidR="00DA621A" w:rsidRPr="005764FC">
        <w:t>will increase the</w:t>
      </w:r>
      <w:r w:rsidRPr="005764FC">
        <w:t xml:space="preserve"> risk of failure. </w:t>
      </w:r>
      <w:r w:rsidR="008F5367" w:rsidRPr="005764FC">
        <w:t>V</w:t>
      </w:r>
      <w:r w:rsidRPr="005764FC">
        <w:t xml:space="preserve">ehicle manufacturers </w:t>
      </w:r>
      <w:r w:rsidR="008F5367" w:rsidRPr="005764FC">
        <w:t>will not</w:t>
      </w:r>
      <w:r w:rsidRPr="005764FC">
        <w:t xml:space="preserve"> customise</w:t>
      </w:r>
      <w:r w:rsidR="00F07436" w:rsidRPr="005764FC">
        <w:t xml:space="preserve"> systems</w:t>
      </w:r>
      <w:r w:rsidRPr="005764FC">
        <w:t xml:space="preserve"> </w:t>
      </w:r>
      <w:r w:rsidR="008F5367" w:rsidRPr="005764FC">
        <w:t>to meet</w:t>
      </w:r>
      <w:r w:rsidRPr="005764FC">
        <w:t xml:space="preserve"> differing </w:t>
      </w:r>
      <w:r w:rsidR="008F5367" w:rsidRPr="005764FC">
        <w:t>needs</w:t>
      </w:r>
      <w:r w:rsidRPr="005764FC">
        <w:t xml:space="preserve"> </w:t>
      </w:r>
      <w:r w:rsidR="008F5367" w:rsidRPr="005764FC">
        <w:t xml:space="preserve">for relatively small </w:t>
      </w:r>
      <w:r w:rsidR="00F07436" w:rsidRPr="005764FC">
        <w:t>sales volumes</w:t>
      </w:r>
      <w:r w:rsidR="00E63EB3" w:rsidRPr="005764FC">
        <w:t xml:space="preserve"> across different Australian jurisdictions</w:t>
      </w:r>
      <w:r w:rsidRPr="005764FC">
        <w:t>.</w:t>
      </w:r>
    </w:p>
    <w:p w14:paraId="079C7E36" w14:textId="77777777" w:rsidR="00BA5A6F" w:rsidRPr="00D60ADF" w:rsidRDefault="00BA5A6F" w:rsidP="00234E04">
      <w:pPr>
        <w:pStyle w:val="Heading3"/>
        <w:numPr>
          <w:ilvl w:val="0"/>
          <w:numId w:val="0"/>
        </w:numPr>
        <w:ind w:left="1134" w:hanging="1134"/>
        <w:rPr>
          <w:sz w:val="22"/>
        </w:rPr>
      </w:pPr>
      <w:r w:rsidRPr="00D60ADF">
        <w:rPr>
          <w:sz w:val="22"/>
        </w:rPr>
        <w:t>International Cooperation</w:t>
      </w:r>
    </w:p>
    <w:p w14:paraId="65D6038C" w14:textId="3C7C697E" w:rsidR="002028DC" w:rsidRPr="005764FC" w:rsidRDefault="00BA5A6F" w:rsidP="00BA5A6F">
      <w:pPr>
        <w:pStyle w:val="BodyText"/>
      </w:pPr>
      <w:r w:rsidRPr="005764FC">
        <w:t xml:space="preserve">Australia can benefit from </w:t>
      </w:r>
      <w:r w:rsidR="00462230" w:rsidRPr="005764FC">
        <w:t>significant international</w:t>
      </w:r>
      <w:r w:rsidRPr="005764FC">
        <w:t xml:space="preserve"> effort and progress. </w:t>
      </w:r>
      <w:r w:rsidR="006A348B">
        <w:t xml:space="preserve">In recognition of </w:t>
      </w:r>
      <w:r w:rsidRPr="005764FC">
        <w:t>Australia</w:t>
      </w:r>
      <w:r w:rsidR="006A348B">
        <w:t xml:space="preserve">’s </w:t>
      </w:r>
      <w:r w:rsidRPr="005764FC">
        <w:t>international standing a</w:t>
      </w:r>
      <w:r w:rsidR="002028DC" w:rsidRPr="005764FC">
        <w:t xml:space="preserve">s </w:t>
      </w:r>
      <w:r w:rsidRPr="005764FC">
        <w:t xml:space="preserve">a comparatively small market for </w:t>
      </w:r>
      <w:r w:rsidR="00C03330" w:rsidRPr="005764FC">
        <w:t>vehicle manufacturers</w:t>
      </w:r>
      <w:r w:rsidRPr="005764FC">
        <w:t xml:space="preserve"> </w:t>
      </w:r>
      <w:r w:rsidR="00ED63B7" w:rsidRPr="005764FC">
        <w:t>t</w:t>
      </w:r>
      <w:r w:rsidR="004309C5" w:rsidRPr="005764FC">
        <w:t>hat</w:t>
      </w:r>
      <w:r w:rsidR="00ED63B7" w:rsidRPr="005764FC">
        <w:t xml:space="preserve"> </w:t>
      </w:r>
      <w:r w:rsidRPr="005764FC">
        <w:t>reli</w:t>
      </w:r>
      <w:r w:rsidR="004309C5" w:rsidRPr="005764FC">
        <w:t>es</w:t>
      </w:r>
      <w:r w:rsidRPr="005764FC">
        <w:t xml:space="preserve"> </w:t>
      </w:r>
      <w:r w:rsidR="006A348B">
        <w:t xml:space="preserve">heavily </w:t>
      </w:r>
      <w:r w:rsidRPr="005764FC">
        <w:t xml:space="preserve">on </w:t>
      </w:r>
      <w:r w:rsidR="002028DC" w:rsidRPr="005764FC">
        <w:t>the</w:t>
      </w:r>
      <w:r w:rsidR="00BE4E59" w:rsidRPr="005764FC">
        <w:t xml:space="preserve"> </w:t>
      </w:r>
      <w:r w:rsidR="0016237C" w:rsidRPr="005764FC">
        <w:t>d</w:t>
      </w:r>
      <w:r w:rsidRPr="005764FC">
        <w:t xml:space="preserve">esign origins </w:t>
      </w:r>
      <w:r w:rsidR="002D476D" w:rsidRPr="005764FC">
        <w:t>driving</w:t>
      </w:r>
      <w:r w:rsidRPr="005764FC">
        <w:t xml:space="preserve"> new car sales</w:t>
      </w:r>
      <w:r w:rsidR="006A348B">
        <w:t>, c</w:t>
      </w:r>
      <w:r w:rsidRPr="005764FC">
        <w:t xml:space="preserve">ooperation and alignment </w:t>
      </w:r>
      <w:r w:rsidR="004309C5" w:rsidRPr="005764FC">
        <w:t xml:space="preserve">with </w:t>
      </w:r>
      <w:r w:rsidRPr="005764FC">
        <w:t xml:space="preserve">international deployments </w:t>
      </w:r>
      <w:r w:rsidR="00A95D45" w:rsidRPr="005764FC">
        <w:t>will</w:t>
      </w:r>
      <w:r w:rsidRPr="005764FC">
        <w:t xml:space="preserve"> help Australia progress efficient</w:t>
      </w:r>
      <w:r w:rsidR="004309C5" w:rsidRPr="005764FC">
        <w:t>ly</w:t>
      </w:r>
      <w:r w:rsidRPr="005764FC">
        <w:t xml:space="preserve"> and consistent</w:t>
      </w:r>
      <w:r w:rsidR="004309C5" w:rsidRPr="005764FC">
        <w:t xml:space="preserve">ly, </w:t>
      </w:r>
      <w:r w:rsidRPr="005764FC">
        <w:t xml:space="preserve">and encourage the import </w:t>
      </w:r>
      <w:r w:rsidR="004309C5" w:rsidRPr="005764FC">
        <w:t xml:space="preserve">to Australia </w:t>
      </w:r>
      <w:r w:rsidRPr="005764FC">
        <w:t xml:space="preserve">of internationally deployed solutions. This </w:t>
      </w:r>
      <w:r w:rsidR="00EE4AA4" w:rsidRPr="005764FC">
        <w:t>can be</w:t>
      </w:r>
      <w:r w:rsidRPr="005764FC">
        <w:t xml:space="preserve"> seen to </w:t>
      </w:r>
      <w:r w:rsidR="00EE4AA4" w:rsidRPr="005764FC">
        <w:t>progress</w:t>
      </w:r>
      <w:r w:rsidRPr="005764FC">
        <w:t xml:space="preserve"> with ANCAP guidelines</w:t>
      </w:r>
      <w:r w:rsidR="00C832B6" w:rsidRPr="005764FC">
        <w:t xml:space="preserve"> </w:t>
      </w:r>
      <w:r w:rsidR="004309C5" w:rsidRPr="005764FC">
        <w:t xml:space="preserve">that </w:t>
      </w:r>
      <w:r w:rsidR="00C832B6" w:rsidRPr="005764FC">
        <w:t>align to WP</w:t>
      </w:r>
      <w:r w:rsidR="00025098" w:rsidRPr="005764FC">
        <w:t>.</w:t>
      </w:r>
      <w:r w:rsidR="00C832B6" w:rsidRPr="005764FC">
        <w:t>29 and Euro NCAP</w:t>
      </w:r>
      <w:r w:rsidRPr="005764FC">
        <w:t xml:space="preserve">. </w:t>
      </w:r>
    </w:p>
    <w:p w14:paraId="4DBEA69A" w14:textId="77777777" w:rsidR="00196020" w:rsidRPr="00D60ADF" w:rsidRDefault="00196020" w:rsidP="00234E04">
      <w:pPr>
        <w:pStyle w:val="Heading3"/>
        <w:numPr>
          <w:ilvl w:val="0"/>
          <w:numId w:val="0"/>
        </w:numPr>
        <w:ind w:left="1134" w:hanging="1134"/>
        <w:rPr>
          <w:sz w:val="22"/>
        </w:rPr>
      </w:pPr>
      <w:r w:rsidRPr="00D60ADF">
        <w:rPr>
          <w:sz w:val="22"/>
        </w:rPr>
        <w:t xml:space="preserve">The Importance of Governance </w:t>
      </w:r>
    </w:p>
    <w:p w14:paraId="6B1C9842" w14:textId="0A6192AE" w:rsidR="00B5094B" w:rsidRPr="005764FC" w:rsidRDefault="00EA7DDE" w:rsidP="00A87F03">
      <w:pPr>
        <w:pStyle w:val="BodyText"/>
      </w:pPr>
      <w:r w:rsidRPr="005764FC">
        <w:t xml:space="preserve">Efficient and </w:t>
      </w:r>
      <w:r w:rsidR="00F62113" w:rsidRPr="005764FC">
        <w:t xml:space="preserve">mutually </w:t>
      </w:r>
      <w:r w:rsidR="00216CD5" w:rsidRPr="005764FC">
        <w:t>agreed</w:t>
      </w:r>
      <w:r w:rsidR="00A47FD7" w:rsidRPr="005764FC">
        <w:t xml:space="preserve"> </w:t>
      </w:r>
      <w:r w:rsidR="006621B2" w:rsidRPr="005764FC">
        <w:t>d</w:t>
      </w:r>
      <w:r w:rsidR="00CA2DAC" w:rsidRPr="005764FC">
        <w:t xml:space="preserve">ecision making </w:t>
      </w:r>
      <w:r w:rsidR="00216CD5" w:rsidRPr="005764FC">
        <w:t>is ess</w:t>
      </w:r>
      <w:r w:rsidR="00393914" w:rsidRPr="005764FC">
        <w:t xml:space="preserve">ential </w:t>
      </w:r>
      <w:r w:rsidR="004309C5" w:rsidRPr="005764FC">
        <w:t>for progressing</w:t>
      </w:r>
      <w:r w:rsidR="002B6F31" w:rsidRPr="005764FC">
        <w:t xml:space="preserve"> </w:t>
      </w:r>
      <w:r w:rsidR="00F62113" w:rsidRPr="005764FC">
        <w:t>C</w:t>
      </w:r>
      <w:r w:rsidR="008A3437" w:rsidRPr="005764FC">
        <w:t>‑ITS</w:t>
      </w:r>
      <w:r w:rsidR="00F62113" w:rsidRPr="005764FC">
        <w:t xml:space="preserve"> </w:t>
      </w:r>
      <w:r w:rsidR="00D86ADF" w:rsidRPr="005764FC">
        <w:t xml:space="preserve">deployment. </w:t>
      </w:r>
      <w:r w:rsidR="00F62113" w:rsidRPr="005764FC">
        <w:t>As</w:t>
      </w:r>
      <w:r w:rsidR="004E6D26" w:rsidRPr="005764FC">
        <w:t xml:space="preserve"> an ecosystem, </w:t>
      </w:r>
      <w:r w:rsidR="002940B5" w:rsidRPr="005764FC">
        <w:t xml:space="preserve">there is </w:t>
      </w:r>
      <w:r w:rsidR="00F62113" w:rsidRPr="005764FC">
        <w:t>a need for</w:t>
      </w:r>
      <w:r w:rsidR="002940B5" w:rsidRPr="005764FC">
        <w:t xml:space="preserve"> evolution </w:t>
      </w:r>
      <w:r w:rsidR="000310DA" w:rsidRPr="005764FC">
        <w:t xml:space="preserve">and </w:t>
      </w:r>
      <w:r w:rsidR="005D3504" w:rsidRPr="005764FC">
        <w:t xml:space="preserve">determination </w:t>
      </w:r>
      <w:r w:rsidR="008C06C1" w:rsidRPr="005764FC">
        <w:t xml:space="preserve">where </w:t>
      </w:r>
      <w:r w:rsidR="000C2659" w:rsidRPr="005764FC">
        <w:t xml:space="preserve">each aspect </w:t>
      </w:r>
      <w:r w:rsidR="005F00AB" w:rsidRPr="005764FC">
        <w:t xml:space="preserve">can </w:t>
      </w:r>
      <w:r w:rsidR="00E701AA" w:rsidRPr="005764FC">
        <w:t xml:space="preserve">be </w:t>
      </w:r>
      <w:r w:rsidR="004309C5" w:rsidRPr="005764FC">
        <w:t>either</w:t>
      </w:r>
      <w:r w:rsidR="00E701AA" w:rsidRPr="005764FC">
        <w:t xml:space="preserve"> </w:t>
      </w:r>
      <w:r w:rsidR="000C2659" w:rsidRPr="005764FC">
        <w:t xml:space="preserve">left </w:t>
      </w:r>
      <w:r w:rsidR="00E701AA" w:rsidRPr="005764FC">
        <w:t>open to implementation</w:t>
      </w:r>
      <w:r w:rsidR="004309C5" w:rsidRPr="005764FC">
        <w:t>,</w:t>
      </w:r>
      <w:r w:rsidR="00E701AA" w:rsidRPr="005764FC">
        <w:t xml:space="preserve"> or </w:t>
      </w:r>
      <w:r w:rsidR="00AC2E3C" w:rsidRPr="005764FC">
        <w:t xml:space="preserve">fully defined </w:t>
      </w:r>
      <w:r w:rsidR="003417DF" w:rsidRPr="005764FC">
        <w:t>with</w:t>
      </w:r>
      <w:r w:rsidR="00D90E70" w:rsidRPr="005764FC">
        <w:t xml:space="preserve"> </w:t>
      </w:r>
      <w:r w:rsidR="00AE5B5B" w:rsidRPr="005764FC">
        <w:t>commonality</w:t>
      </w:r>
      <w:r w:rsidR="00643984" w:rsidRPr="005764FC">
        <w:t xml:space="preserve"> for </w:t>
      </w:r>
      <w:r w:rsidR="004D12B7" w:rsidRPr="005764FC">
        <w:t xml:space="preserve">interoperability. </w:t>
      </w:r>
      <w:r w:rsidR="00B5094B" w:rsidRPr="005764FC">
        <w:t>To support such decisions, a robust governance model</w:t>
      </w:r>
      <w:r w:rsidR="00CC0E5E" w:rsidRPr="005764FC">
        <w:t xml:space="preserve"> </w:t>
      </w:r>
      <w:r w:rsidR="0077626F" w:rsidRPr="005764FC">
        <w:t>(identifying and describing relevant working groups and steering committees)</w:t>
      </w:r>
      <w:r w:rsidR="00CC0E5E" w:rsidRPr="005764FC">
        <w:t xml:space="preserve"> is </w:t>
      </w:r>
      <w:r w:rsidR="004309C5" w:rsidRPr="005764FC">
        <w:t xml:space="preserve">needed </w:t>
      </w:r>
      <w:r w:rsidR="00CC0E5E" w:rsidRPr="005764FC">
        <w:t xml:space="preserve">to enable effective, authoritative decision making that recognises </w:t>
      </w:r>
      <w:r w:rsidR="004309C5" w:rsidRPr="005764FC">
        <w:t>all stakeholders’</w:t>
      </w:r>
      <w:r w:rsidR="00CC0E5E" w:rsidRPr="005764FC">
        <w:t xml:space="preserve"> diverse needs </w:t>
      </w:r>
      <w:r w:rsidR="00CE5EDC" w:rsidRPr="005764FC">
        <w:t xml:space="preserve">and </w:t>
      </w:r>
      <w:r w:rsidR="00FA0406" w:rsidRPr="005764FC">
        <w:t>appreciates the</w:t>
      </w:r>
      <w:r w:rsidR="008614C2" w:rsidRPr="005764FC">
        <w:t xml:space="preserve">ir </w:t>
      </w:r>
      <w:r w:rsidR="00EF7123" w:rsidRPr="005764FC">
        <w:t xml:space="preserve">relevance and </w:t>
      </w:r>
      <w:r w:rsidR="008614C2" w:rsidRPr="005764FC">
        <w:t>import</w:t>
      </w:r>
      <w:r w:rsidR="0077626F" w:rsidRPr="005764FC">
        <w:t>ance to different decisions</w:t>
      </w:r>
      <w:r w:rsidR="00CC0E5E" w:rsidRPr="005764FC">
        <w:t xml:space="preserve">. </w:t>
      </w:r>
    </w:p>
    <w:p w14:paraId="7F95CA1E" w14:textId="26D02D7E" w:rsidR="00730FDF" w:rsidRPr="005764FC" w:rsidRDefault="008F79D8" w:rsidP="008F79D8">
      <w:pPr>
        <w:pStyle w:val="Heading2"/>
        <w:numPr>
          <w:ilvl w:val="0"/>
          <w:numId w:val="0"/>
        </w:numPr>
        <w:ind w:left="1134" w:hanging="1134"/>
      </w:pPr>
      <w:bookmarkStart w:id="254" w:name="_Toc94536709"/>
      <w:bookmarkStart w:id="255" w:name="_Toc94453162"/>
      <w:bookmarkStart w:id="256" w:name="_Toc97807799"/>
      <w:r w:rsidRPr="005764FC">
        <w:t>B.</w:t>
      </w:r>
      <w:r w:rsidR="00C01AA5" w:rsidRPr="005764FC">
        <w:tab/>
      </w:r>
      <w:bookmarkEnd w:id="254"/>
      <w:bookmarkEnd w:id="255"/>
      <w:r w:rsidR="00C44A59" w:rsidRPr="005764FC">
        <w:t>Uplifting digital capability in people and infrastructure will support informed agencies, service providers and road users</w:t>
      </w:r>
      <w:bookmarkEnd w:id="256"/>
    </w:p>
    <w:p w14:paraId="3077F03D" w14:textId="77777777" w:rsidR="00730FDF" w:rsidRPr="005764FC" w:rsidRDefault="00730FDF" w:rsidP="00730FDF">
      <w:pPr>
        <w:pStyle w:val="BodyText"/>
        <w:rPr>
          <w:b/>
          <w:i/>
        </w:rPr>
      </w:pPr>
      <w:r w:rsidRPr="005764FC">
        <w:rPr>
          <w:b/>
          <w:i/>
        </w:rPr>
        <w:t>Action: Build digital capability to support and use future in-vehicle technology</w:t>
      </w:r>
    </w:p>
    <w:p w14:paraId="04481A12" w14:textId="01FBB990" w:rsidR="00730FDF" w:rsidRPr="005764FC" w:rsidRDefault="00730FDF" w:rsidP="00730FDF">
      <w:pPr>
        <w:pStyle w:val="BodyText"/>
      </w:pPr>
      <w:r w:rsidRPr="005764FC">
        <w:t>Existing in-vehicle solutions provide approximate, contextual advisory information about a limited number of non-safety critical events. To grow the benefits of C‑ITS, government</w:t>
      </w:r>
      <w:r w:rsidR="006A348B">
        <w:t>s</w:t>
      </w:r>
      <w:r w:rsidRPr="005764FC">
        <w:t xml:space="preserve"> and industry must </w:t>
      </w:r>
      <w:r w:rsidR="006A348B">
        <w:t>uplift digitalisation in</w:t>
      </w:r>
      <w:r w:rsidR="006A348B" w:rsidRPr="005764FC">
        <w:t xml:space="preserve"> </w:t>
      </w:r>
      <w:r w:rsidRPr="005764FC">
        <w:t>their processes</w:t>
      </w:r>
      <w:r w:rsidR="006A348B">
        <w:t xml:space="preserve"> and approaches,</w:t>
      </w:r>
      <w:r w:rsidRPr="005764FC">
        <w:t xml:space="preserve"> to generate information that delivers a capable ecosystem. This effort benefits government agencies by creating smarter roads and greater digital capability regardless of the future direction of C‑ITS</w:t>
      </w:r>
      <w:r w:rsidR="000B3024" w:rsidRPr="005764FC">
        <w:t xml:space="preserve">. </w:t>
      </w:r>
      <w:r w:rsidRPr="005764FC">
        <w:t>Recent development in technology and processes including machine learning drive this development allowing insight to be gleaned from large data sets</w:t>
      </w:r>
      <w:r w:rsidR="000B3024" w:rsidRPr="005764FC">
        <w:t xml:space="preserve">. </w:t>
      </w:r>
    </w:p>
    <w:p w14:paraId="4C3ACBAA" w14:textId="77777777" w:rsidR="00730FDF" w:rsidRPr="00D60ADF" w:rsidRDefault="00730FDF" w:rsidP="00234E04">
      <w:pPr>
        <w:pStyle w:val="Heading3"/>
        <w:numPr>
          <w:ilvl w:val="0"/>
          <w:numId w:val="0"/>
        </w:numPr>
        <w:rPr>
          <w:rFonts w:cstheme="majorHAnsi"/>
          <w:sz w:val="22"/>
          <w:szCs w:val="22"/>
        </w:rPr>
      </w:pPr>
      <w:r w:rsidRPr="00D60ADF">
        <w:rPr>
          <w:rFonts w:cstheme="majorHAnsi"/>
          <w:sz w:val="22"/>
          <w:szCs w:val="22"/>
        </w:rPr>
        <w:t>Performance benefit of C</w:t>
      </w:r>
      <w:r w:rsidRPr="00D60ADF">
        <w:rPr>
          <w:rFonts w:ascii="Cambria Math" w:hAnsi="Cambria Math" w:cs="Cambria Math"/>
          <w:sz w:val="22"/>
          <w:szCs w:val="22"/>
        </w:rPr>
        <w:t>‑</w:t>
      </w:r>
      <w:r w:rsidRPr="00D60ADF">
        <w:rPr>
          <w:rFonts w:cstheme="majorHAnsi"/>
          <w:sz w:val="22"/>
          <w:szCs w:val="22"/>
        </w:rPr>
        <w:t>ITS requirements</w:t>
      </w:r>
    </w:p>
    <w:p w14:paraId="06A4148C" w14:textId="6B7B90EB" w:rsidR="00730FDF" w:rsidRPr="005764FC" w:rsidRDefault="00730FDF" w:rsidP="00234E04">
      <w:pPr>
        <w:pStyle w:val="BodyText"/>
      </w:pPr>
      <w:r w:rsidRPr="005764FC">
        <w:t xml:space="preserve">C‑ITS provides an avenue to improve transport data quality, which will benefit road users and road operators. There is potential for other solutions and other future technology to influence road safety, efficiency, and sustainability; however, C‑ITS benefits from being guided by interoperability in an </w:t>
      </w:r>
      <w:r w:rsidR="001F31E4" w:rsidRPr="005764FC">
        <w:t>ecosystem and</w:t>
      </w:r>
      <w:r w:rsidRPr="005764FC">
        <w:t xml:space="preserve"> has been tested and improved for more than a decade. </w:t>
      </w:r>
    </w:p>
    <w:p w14:paraId="3EAFDD29" w14:textId="77777777" w:rsidR="00730FDF" w:rsidRPr="00234E04" w:rsidRDefault="00730FDF" w:rsidP="00234E04">
      <w:pPr>
        <w:pStyle w:val="Heading3"/>
        <w:numPr>
          <w:ilvl w:val="0"/>
          <w:numId w:val="0"/>
        </w:numPr>
        <w:ind w:left="1134" w:hanging="1134"/>
        <w:rPr>
          <w:sz w:val="22"/>
        </w:rPr>
      </w:pPr>
      <w:r w:rsidRPr="00234E04">
        <w:rPr>
          <w:sz w:val="22"/>
        </w:rPr>
        <w:t>Uplift in data readiness needed</w:t>
      </w:r>
    </w:p>
    <w:p w14:paraId="7BC445DB" w14:textId="49DFE3C1" w:rsidR="00730FDF" w:rsidRPr="005764FC" w:rsidRDefault="00730FDF" w:rsidP="00234E04">
      <w:pPr>
        <w:pStyle w:val="BodyText"/>
      </w:pPr>
      <w:r w:rsidRPr="005764FC">
        <w:t>Data accuracy, reliability, timeliness, completeness, and consistency is critical for vehicles to correctly interpret the data and deliver highly contextual alerts to drivers. Each agency has varying levels of data readiness to enable the appropriate performance level for C‑ITS operation. From the trials and analysis to date, much work appears needed to improve and prepare this data for vehicle consumption.</w:t>
      </w:r>
      <w:r w:rsidR="00C14108" w:rsidRPr="005764FC">
        <w:t xml:space="preserve"> </w:t>
      </w:r>
      <w:r w:rsidR="00162547" w:rsidRPr="005764FC">
        <w:t>This</w:t>
      </w:r>
      <w:r w:rsidR="00C14108" w:rsidRPr="005764FC">
        <w:t xml:space="preserve"> uplift of data quality and capacity to share information is a big task</w:t>
      </w:r>
      <w:r w:rsidR="00162547" w:rsidRPr="005764FC">
        <w:t xml:space="preserve"> and one that is iterative</w:t>
      </w:r>
      <w:r w:rsidR="00C14108" w:rsidRPr="005764FC">
        <w:t xml:space="preserve">. </w:t>
      </w:r>
      <w:r w:rsidR="0054522B" w:rsidRPr="005764FC">
        <w:t xml:space="preserve">Most agencies have strategies and </w:t>
      </w:r>
      <w:r w:rsidR="00162547" w:rsidRPr="005764FC">
        <w:t>projects</w:t>
      </w:r>
      <w:r w:rsidR="00C14108" w:rsidRPr="005764FC">
        <w:t xml:space="preserve"> </w:t>
      </w:r>
      <w:r w:rsidR="00162547" w:rsidRPr="005764FC">
        <w:t>to deliver new</w:t>
      </w:r>
      <w:r w:rsidR="00C14108" w:rsidRPr="005764FC">
        <w:t xml:space="preserve"> </w:t>
      </w:r>
      <w:r w:rsidR="00162547" w:rsidRPr="005764FC">
        <w:t xml:space="preserve">data </w:t>
      </w:r>
      <w:r w:rsidR="00C14108" w:rsidRPr="005764FC">
        <w:t xml:space="preserve">services by cloud-based providers. </w:t>
      </w:r>
      <w:r w:rsidR="0095744D" w:rsidRPr="005764FC">
        <w:t>Work done</w:t>
      </w:r>
      <w:r w:rsidR="00C14108" w:rsidRPr="005764FC">
        <w:t xml:space="preserve"> to </w:t>
      </w:r>
      <w:r w:rsidR="009B3A28" w:rsidRPr="005764FC">
        <w:t xml:space="preserve">agree </w:t>
      </w:r>
      <w:r w:rsidR="00C14108" w:rsidRPr="005764FC">
        <w:t xml:space="preserve">nationally </w:t>
      </w:r>
      <w:r w:rsidR="009B3A28" w:rsidRPr="005764FC">
        <w:t>to</w:t>
      </w:r>
      <w:r w:rsidR="00C14108" w:rsidRPr="005764FC">
        <w:t xml:space="preserve"> data standards</w:t>
      </w:r>
      <w:r w:rsidR="0095744D" w:rsidRPr="005764FC">
        <w:t xml:space="preserve"> and </w:t>
      </w:r>
      <w:r w:rsidR="00B47473" w:rsidRPr="005764FC">
        <w:t>share learnings will lessen the burden for each region</w:t>
      </w:r>
      <w:r w:rsidR="000B3024" w:rsidRPr="005764FC">
        <w:t xml:space="preserve">. </w:t>
      </w:r>
    </w:p>
    <w:tbl>
      <w:tblPr>
        <w:tblStyle w:val="PullOutBoxTable"/>
        <w:tblpPr w:leftFromText="180" w:rightFromText="180" w:vertAnchor="text" w:tblpXSpec="right" w:tblpY="1"/>
        <w:tblOverlap w:val="never"/>
        <w:tblW w:w="4536" w:type="dxa"/>
        <w:jc w:val="right"/>
        <w:tblInd w:w="0" w:type="dxa"/>
        <w:tblLook w:val="0600" w:firstRow="0" w:lastRow="0" w:firstColumn="0" w:lastColumn="0" w:noHBand="1" w:noVBand="1"/>
      </w:tblPr>
      <w:tblGrid>
        <w:gridCol w:w="4536"/>
      </w:tblGrid>
      <w:tr w:rsidR="00730FDF" w:rsidRPr="005764FC" w14:paraId="05D83599" w14:textId="77777777" w:rsidTr="008864B6">
        <w:trPr>
          <w:jc w:val="right"/>
        </w:trPr>
        <w:tc>
          <w:tcPr>
            <w:tcW w:w="5000" w:type="pct"/>
            <w:shd w:val="clear" w:color="auto" w:fill="E4E8EC" w:themeFill="accent3" w:themeFillTint="1A"/>
          </w:tcPr>
          <w:p w14:paraId="36908D13" w14:textId="09C3265A" w:rsidR="00730FDF" w:rsidRPr="005764FC" w:rsidRDefault="00730FDF" w:rsidP="00234E04">
            <w:pPr>
              <w:pStyle w:val="PullOutBoxHeading"/>
            </w:pPr>
            <w:r w:rsidRPr="005764FC">
              <w:t xml:space="preserve">CASE EXample </w:t>
            </w:r>
            <w:r w:rsidR="00DA1B28" w:rsidRPr="005764FC">
              <w:t>–</w:t>
            </w:r>
            <w:r w:rsidRPr="005764FC">
              <w:t xml:space="preserve"> </w:t>
            </w:r>
            <w:r w:rsidR="00DA1B28" w:rsidRPr="005764FC">
              <w:t>CAVI</w:t>
            </w:r>
            <w:r w:rsidR="00C14108" w:rsidRPr="005764FC">
              <w:t>’s</w:t>
            </w:r>
            <w:r w:rsidR="00DA1B28" w:rsidRPr="005764FC">
              <w:t xml:space="preserve"> </w:t>
            </w:r>
            <w:r w:rsidR="00C14108" w:rsidRPr="005764FC">
              <w:t>C-ITS</w:t>
            </w:r>
            <w:r w:rsidR="00DA1B28" w:rsidRPr="005764FC">
              <w:t xml:space="preserve"> Pilot</w:t>
            </w:r>
          </w:p>
          <w:p w14:paraId="6280E4D9" w14:textId="77777777" w:rsidR="00730FDF" w:rsidRPr="005764FC" w:rsidRDefault="00730FDF" w:rsidP="00234E04">
            <w:pPr>
              <w:pStyle w:val="PullOutBoxBodyText"/>
            </w:pPr>
            <w:r w:rsidRPr="005764FC">
              <w:t xml:space="preserve">The Ipswich Connected Vehicle Pilot (ICVP) has demonstrated it is possible to improve the quality of government data and systems to give a high level of user acceptance in C‑ITS solutions. </w:t>
            </w:r>
          </w:p>
        </w:tc>
      </w:tr>
    </w:tbl>
    <w:p w14:paraId="1D69F7C9" w14:textId="3C70E966" w:rsidR="00C01AA5" w:rsidRPr="00234E04" w:rsidRDefault="00C01AA5" w:rsidP="00234E04">
      <w:pPr>
        <w:pStyle w:val="Heading3"/>
        <w:numPr>
          <w:ilvl w:val="0"/>
          <w:numId w:val="0"/>
        </w:numPr>
        <w:ind w:left="1134" w:hanging="1134"/>
        <w:rPr>
          <w:sz w:val="22"/>
        </w:rPr>
      </w:pPr>
      <w:r w:rsidRPr="00234E04">
        <w:rPr>
          <w:sz w:val="22"/>
        </w:rPr>
        <w:t>Data readiness – skills</w:t>
      </w:r>
    </w:p>
    <w:p w14:paraId="528CDD1D" w14:textId="4D6456FD" w:rsidR="00730FDF" w:rsidRPr="005764FC" w:rsidRDefault="00730FDF" w:rsidP="00730FDF">
      <w:pPr>
        <w:pStyle w:val="BodyText"/>
      </w:pPr>
      <w:r w:rsidRPr="005764FC">
        <w:t xml:space="preserve">Government agencies should look to ways of building capability into their existing systems to support C‑ITS. Examples include generating high accuracy spatial and temporal information related to events within traffic management systems. Agencies should look to benefit from the lessons learnt nationally and internationally to lower the cost and risk profile. </w:t>
      </w:r>
    </w:p>
    <w:p w14:paraId="010B73A9" w14:textId="77777777" w:rsidR="00730FDF" w:rsidRPr="005764FC" w:rsidRDefault="00730FDF" w:rsidP="00730FDF">
      <w:pPr>
        <w:pStyle w:val="BodyText"/>
      </w:pPr>
    </w:p>
    <w:p w14:paraId="1077DFFE" w14:textId="6C5A174B" w:rsidR="00C01AA5" w:rsidRPr="005764FC" w:rsidRDefault="00C01AA5">
      <w:r w:rsidRPr="005764FC">
        <w:br w:type="page"/>
      </w:r>
    </w:p>
    <w:p w14:paraId="6FAFB72B" w14:textId="22509228" w:rsidR="006F413C" w:rsidRPr="005764FC" w:rsidRDefault="00A96A8C" w:rsidP="008213B5">
      <w:pPr>
        <w:pStyle w:val="Heading2"/>
        <w:numPr>
          <w:ilvl w:val="0"/>
          <w:numId w:val="0"/>
        </w:numPr>
        <w:ind w:left="1134" w:hanging="1134"/>
      </w:pPr>
      <w:bookmarkStart w:id="257" w:name="_Toc94536710"/>
      <w:bookmarkStart w:id="258" w:name="_Toc94453163"/>
      <w:bookmarkStart w:id="259" w:name="_Toc97807800"/>
      <w:r w:rsidRPr="005764FC">
        <w:t>C.</w:t>
      </w:r>
      <w:r w:rsidR="00C01AA5" w:rsidRPr="005764FC">
        <w:tab/>
      </w:r>
      <w:bookmarkEnd w:id="257"/>
      <w:bookmarkEnd w:id="258"/>
      <w:r w:rsidR="00C44A59" w:rsidRPr="005764FC">
        <w:t>Standards combined with infrastructure availability provide a platform for interoperability and long-term operational deployment</w:t>
      </w:r>
      <w:bookmarkEnd w:id="259"/>
    </w:p>
    <w:p w14:paraId="00C8B3A4" w14:textId="4CC0EAAC" w:rsidR="000574B0" w:rsidRPr="005764FC" w:rsidRDefault="006F413C" w:rsidP="00A87F03">
      <w:pPr>
        <w:pStyle w:val="BodyText"/>
        <w:rPr>
          <w:b/>
          <w:i/>
        </w:rPr>
      </w:pPr>
      <w:r w:rsidRPr="005764FC">
        <w:rPr>
          <w:b/>
          <w:i/>
        </w:rPr>
        <w:t xml:space="preserve">Action: </w:t>
      </w:r>
      <w:r w:rsidR="00283060" w:rsidRPr="005764FC">
        <w:rPr>
          <w:b/>
          <w:i/>
        </w:rPr>
        <w:t xml:space="preserve">Establish shared </w:t>
      </w:r>
      <w:r w:rsidR="00AC6F8C" w:rsidRPr="005764FC">
        <w:rPr>
          <w:b/>
          <w:i/>
        </w:rPr>
        <w:t>standards</w:t>
      </w:r>
      <w:r w:rsidR="00283060" w:rsidRPr="005764FC">
        <w:rPr>
          <w:b/>
          <w:i/>
        </w:rPr>
        <w:t xml:space="preserve"> framework and grow data maturity</w:t>
      </w:r>
    </w:p>
    <w:p w14:paraId="5B91ED2C" w14:textId="2EA9C5D3" w:rsidR="00F960C1" w:rsidRPr="003848A7" w:rsidRDefault="00F960C1" w:rsidP="00A87F03">
      <w:pPr>
        <w:pStyle w:val="BodyText"/>
      </w:pPr>
      <w:r w:rsidRPr="005764FC">
        <w:t xml:space="preserve">A </w:t>
      </w:r>
      <w:r w:rsidR="004754C4" w:rsidRPr="005764FC">
        <w:t>standards</w:t>
      </w:r>
      <w:r w:rsidRPr="005764FC">
        <w:t xml:space="preserve"> framework is essential to share information between parties in the ecosystem </w:t>
      </w:r>
      <w:r w:rsidR="008F48B3" w:rsidRPr="005764FC">
        <w:t xml:space="preserve">in a trusted, secure, real-time </w:t>
      </w:r>
      <w:r w:rsidR="00CF7B66" w:rsidRPr="005764FC">
        <w:t xml:space="preserve">environment. </w:t>
      </w:r>
      <w:r w:rsidR="00140341" w:rsidRPr="005764FC">
        <w:t>Data is a critical asset in C</w:t>
      </w:r>
      <w:r w:rsidR="008A3437" w:rsidRPr="005764FC">
        <w:t>‑ITS</w:t>
      </w:r>
      <w:r w:rsidR="00140341" w:rsidRPr="005764FC">
        <w:t xml:space="preserve">. It </w:t>
      </w:r>
      <w:r w:rsidR="00F04058" w:rsidRPr="005764FC">
        <w:t>can</w:t>
      </w:r>
      <w:r w:rsidR="00140341" w:rsidRPr="005764FC">
        <w:t xml:space="preserve"> be valuable for many users but can also impede interoperability of use cases if not well defined. </w:t>
      </w:r>
      <w:r w:rsidR="0089406B" w:rsidRPr="005764FC">
        <w:t xml:space="preserve">Access to information is essential </w:t>
      </w:r>
      <w:r w:rsidR="00F04058" w:rsidRPr="005764FC">
        <w:t xml:space="preserve">for </w:t>
      </w:r>
      <w:r w:rsidR="0089406B" w:rsidRPr="005764FC">
        <w:t>many services</w:t>
      </w:r>
      <w:r w:rsidR="00F04058" w:rsidRPr="005764FC">
        <w:t>:</w:t>
      </w:r>
      <w:r w:rsidR="00AA3A88" w:rsidRPr="005764FC">
        <w:t xml:space="preserve"> u</w:t>
      </w:r>
      <w:r w:rsidR="00E37F1C" w:rsidRPr="005764FC">
        <w:t xml:space="preserve">sing common data formats </w:t>
      </w:r>
      <w:r w:rsidR="0052253D" w:rsidRPr="005764FC">
        <w:t xml:space="preserve">and consistent communication technology </w:t>
      </w:r>
      <w:r w:rsidR="00F04058" w:rsidRPr="005764FC">
        <w:t xml:space="preserve">increases </w:t>
      </w:r>
      <w:r w:rsidR="00E37F1C" w:rsidRPr="005764FC">
        <w:t>the ability to scale and enhance the e</w:t>
      </w:r>
      <w:r w:rsidR="00E37F1C" w:rsidRPr="003848A7">
        <w:t>cosystem</w:t>
      </w:r>
      <w:r w:rsidR="006C01FD" w:rsidRPr="003848A7">
        <w:t>.</w:t>
      </w:r>
    </w:p>
    <w:p w14:paraId="3F520C13" w14:textId="0B9FB3AF" w:rsidR="00101CF6" w:rsidRPr="00234E04" w:rsidRDefault="00101CF6" w:rsidP="00234E04">
      <w:pPr>
        <w:pStyle w:val="Heading3"/>
        <w:numPr>
          <w:ilvl w:val="0"/>
          <w:numId w:val="0"/>
        </w:numPr>
        <w:ind w:left="1134" w:hanging="1134"/>
        <w:rPr>
          <w:sz w:val="22"/>
        </w:rPr>
      </w:pPr>
      <w:r w:rsidRPr="00234E04">
        <w:rPr>
          <w:sz w:val="22"/>
        </w:rPr>
        <w:t xml:space="preserve">Technology Neutral </w:t>
      </w:r>
      <w:r w:rsidR="006E0FC4" w:rsidRPr="00234E04">
        <w:rPr>
          <w:sz w:val="22"/>
        </w:rPr>
        <w:t>Interoperability</w:t>
      </w:r>
    </w:p>
    <w:p w14:paraId="60B3C444" w14:textId="77777777" w:rsidR="00214042" w:rsidRPr="005764FC" w:rsidRDefault="006E0FC4" w:rsidP="00234E04">
      <w:pPr>
        <w:pStyle w:val="BodyText"/>
      </w:pPr>
      <w:r w:rsidRPr="005764FC">
        <w:t xml:space="preserve">Interoperability will encourage new users, and technology </w:t>
      </w:r>
      <w:r w:rsidR="00AA4386" w:rsidRPr="005764FC">
        <w:t xml:space="preserve">will </w:t>
      </w:r>
      <w:r w:rsidRPr="005764FC">
        <w:t>allow providers to continue improv</w:t>
      </w:r>
      <w:r w:rsidR="00AA4386" w:rsidRPr="005764FC">
        <w:t>ing</w:t>
      </w:r>
      <w:r w:rsidRPr="005764FC">
        <w:t xml:space="preserve"> functionality. </w:t>
      </w:r>
      <w:r w:rsidR="008A3437" w:rsidRPr="005764FC">
        <w:t>C‑</w:t>
      </w:r>
      <w:r w:rsidRPr="005764FC">
        <w:t xml:space="preserve">ITS is </w:t>
      </w:r>
      <w:r w:rsidR="0045348F" w:rsidRPr="005764FC">
        <w:t>designed to be scalable</w:t>
      </w:r>
      <w:r w:rsidRPr="005764FC">
        <w:t xml:space="preserve"> from foundational systems. This is one of the major differences </w:t>
      </w:r>
      <w:r w:rsidR="00AA4386" w:rsidRPr="005764FC">
        <w:t xml:space="preserve">from </w:t>
      </w:r>
      <w:r w:rsidRPr="005764FC">
        <w:t>other connected vehicle technologies where the solution is customised for a specific use, impacting a small ecosystem of systems and partners. As such</w:t>
      </w:r>
      <w:r w:rsidR="00DF596F" w:rsidRPr="005764FC">
        <w:t>,</w:t>
      </w:r>
      <w:r w:rsidRPr="005764FC">
        <w:t xml:space="preserve"> the difficulty for C</w:t>
      </w:r>
      <w:r w:rsidR="008A3437" w:rsidRPr="005764FC">
        <w:t>‑ITS</w:t>
      </w:r>
      <w:r w:rsidRPr="005764FC">
        <w:t xml:space="preserve"> becomes </w:t>
      </w:r>
      <w:r w:rsidR="008E7D93" w:rsidRPr="005764FC">
        <w:t>the</w:t>
      </w:r>
      <w:r w:rsidRPr="005764FC">
        <w:t xml:space="preserve"> initial deployment of a foundational system</w:t>
      </w:r>
      <w:r w:rsidR="00AC498B" w:rsidRPr="005764FC">
        <w:t>,</w:t>
      </w:r>
      <w:r w:rsidRPr="005764FC">
        <w:t xml:space="preserve"> which will see benefits and cost efficiencies flow downstream for a much wider set of uses. </w:t>
      </w:r>
      <w:r w:rsidR="003A719B" w:rsidRPr="005764FC">
        <w:t>While n</w:t>
      </w:r>
      <w:r w:rsidRPr="005764FC">
        <w:t>on-C</w:t>
      </w:r>
      <w:r w:rsidR="008A3437" w:rsidRPr="005764FC">
        <w:t>‑</w:t>
      </w:r>
      <w:r w:rsidRPr="005764FC">
        <w:t xml:space="preserve">ITS implementations </w:t>
      </w:r>
      <w:r w:rsidR="003A719B" w:rsidRPr="005764FC">
        <w:t xml:space="preserve">are </w:t>
      </w:r>
      <w:r w:rsidRPr="005764FC">
        <w:t>common</w:t>
      </w:r>
      <w:r w:rsidR="008E7D93" w:rsidRPr="005764FC">
        <w:t>,</w:t>
      </w:r>
      <w:r w:rsidRPr="005764FC">
        <w:t xml:space="preserve"> </w:t>
      </w:r>
      <w:r w:rsidR="003A719B" w:rsidRPr="005764FC">
        <w:t xml:space="preserve">they </w:t>
      </w:r>
      <w:r w:rsidRPr="005764FC">
        <w:t>tend to be targeted at specific issue</w:t>
      </w:r>
      <w:r w:rsidR="003A719B" w:rsidRPr="005764FC">
        <w:t>s</w:t>
      </w:r>
      <w:r w:rsidRPr="005764FC">
        <w:t xml:space="preserve"> or user group</w:t>
      </w:r>
      <w:r w:rsidR="003A719B" w:rsidRPr="005764FC">
        <w:t>s</w:t>
      </w:r>
      <w:r w:rsidRPr="005764FC">
        <w:t xml:space="preserve">. </w:t>
      </w:r>
      <w:r w:rsidR="002C5E1E" w:rsidRPr="005764FC">
        <w:t>Non-C</w:t>
      </w:r>
      <w:r w:rsidR="008A3437" w:rsidRPr="005764FC">
        <w:t>‑</w:t>
      </w:r>
      <w:r w:rsidR="002C5E1E" w:rsidRPr="005764FC">
        <w:t xml:space="preserve">ITS implementations </w:t>
      </w:r>
      <w:r w:rsidR="00D50847" w:rsidRPr="005764FC">
        <w:t>can</w:t>
      </w:r>
      <w:r w:rsidRPr="005764FC">
        <w:t xml:space="preserve"> connect information to vehicles using other systems</w:t>
      </w:r>
      <w:r w:rsidR="00D6670D" w:rsidRPr="005764FC">
        <w:t xml:space="preserve">, and these systems </w:t>
      </w:r>
      <w:r w:rsidRPr="005764FC">
        <w:t xml:space="preserve">do not </w:t>
      </w:r>
      <w:r w:rsidR="00D6670D" w:rsidRPr="005764FC">
        <w:t xml:space="preserve">typically </w:t>
      </w:r>
      <w:r w:rsidRPr="005764FC">
        <w:t>interact with each other.</w:t>
      </w:r>
      <w:r w:rsidR="00236156" w:rsidRPr="005764FC">
        <w:t xml:space="preserve"> </w:t>
      </w:r>
    </w:p>
    <w:p w14:paraId="08BD0104" w14:textId="29251EB4" w:rsidR="006E0FC4" w:rsidRPr="005764FC" w:rsidRDefault="00D52537" w:rsidP="00234E04">
      <w:pPr>
        <w:pStyle w:val="BodyText"/>
      </w:pPr>
      <w:r w:rsidRPr="005764FC">
        <w:t xml:space="preserve">Day 1 and 1.5 </w:t>
      </w:r>
      <w:r w:rsidR="00E84666" w:rsidRPr="005764FC">
        <w:t xml:space="preserve">deployment </w:t>
      </w:r>
      <w:r w:rsidR="00083593" w:rsidRPr="005764FC">
        <w:t>(</w:t>
      </w:r>
      <w:r w:rsidR="00E84666" w:rsidRPr="005764FC">
        <w:t>e.g.</w:t>
      </w:r>
      <w:r w:rsidR="00BD7768" w:rsidRPr="005764FC">
        <w:t>,</w:t>
      </w:r>
      <w:r w:rsidR="00E84666" w:rsidRPr="005764FC">
        <w:t xml:space="preserve"> safety</w:t>
      </w:r>
      <w:r w:rsidR="00BD7768" w:rsidRPr="005764FC">
        <w:t>-</w:t>
      </w:r>
      <w:r w:rsidR="00E84666" w:rsidRPr="005764FC">
        <w:t xml:space="preserve">related applications) </w:t>
      </w:r>
      <w:r w:rsidRPr="005764FC">
        <w:t xml:space="preserve">requires interoperability that will only be achieved by selecting </w:t>
      </w:r>
      <w:r w:rsidR="00AA1EA5" w:rsidRPr="005764FC">
        <w:t>technology.</w:t>
      </w:r>
      <w:r w:rsidR="00083593" w:rsidRPr="005764FC">
        <w:t xml:space="preserve"> This appears to </w:t>
      </w:r>
      <w:r w:rsidR="007B304E" w:rsidRPr="005764FC">
        <w:t>still</w:t>
      </w:r>
      <w:r w:rsidR="00083593" w:rsidRPr="005764FC">
        <w:t xml:space="preserve"> be </w:t>
      </w:r>
      <w:r w:rsidR="00BD7768" w:rsidRPr="005764FC">
        <w:t>DSRC</w:t>
      </w:r>
      <w:r w:rsidR="000D469E" w:rsidRPr="005764FC">
        <w:t xml:space="preserve"> (I</w:t>
      </w:r>
      <w:r w:rsidR="00AF38C7" w:rsidRPr="005764FC">
        <w:t>TS-G5)</w:t>
      </w:r>
      <w:r w:rsidR="00B43AAB" w:rsidRPr="005764FC">
        <w:t xml:space="preserve"> providing the clearest ability for </w:t>
      </w:r>
      <w:r w:rsidR="00E3109D" w:rsidRPr="005764FC">
        <w:t>competitive solutions to be delivered in the wider ecosystem</w:t>
      </w:r>
      <w:r w:rsidR="005D72EF" w:rsidRPr="005764FC">
        <w:t xml:space="preserve"> using investments in infrastructure</w:t>
      </w:r>
      <w:r w:rsidR="00424225" w:rsidRPr="005764FC">
        <w:t xml:space="preserve">. </w:t>
      </w:r>
      <w:r w:rsidR="00B461EE" w:rsidRPr="005764FC">
        <w:t xml:space="preserve">Technology neutral solutions </w:t>
      </w:r>
      <w:r w:rsidR="00251DB6" w:rsidRPr="005764FC">
        <w:t xml:space="preserve">(using </w:t>
      </w:r>
      <w:r w:rsidR="007B304E" w:rsidRPr="005764FC">
        <w:t xml:space="preserve">DSRC </w:t>
      </w:r>
      <w:r w:rsidR="00251DB6" w:rsidRPr="005764FC">
        <w:t>or C</w:t>
      </w:r>
      <w:r w:rsidR="00CE3124">
        <w:noBreakHyphen/>
      </w:r>
      <w:r w:rsidR="00251DB6" w:rsidRPr="005764FC">
        <w:t xml:space="preserve">V2X) should be encouraged to deliver </w:t>
      </w:r>
      <w:r w:rsidR="002624F3" w:rsidRPr="005764FC">
        <w:t xml:space="preserve">wider benefits where interoperability is not essential. </w:t>
      </w:r>
    </w:p>
    <w:p w14:paraId="2C4A7A47" w14:textId="77777777" w:rsidR="00282B34" w:rsidRPr="00234E04" w:rsidRDefault="00282B34" w:rsidP="00234E04">
      <w:pPr>
        <w:pStyle w:val="Heading3"/>
        <w:numPr>
          <w:ilvl w:val="0"/>
          <w:numId w:val="0"/>
        </w:numPr>
        <w:ind w:left="1134" w:hanging="1134"/>
        <w:rPr>
          <w:sz w:val="22"/>
        </w:rPr>
      </w:pPr>
      <w:r w:rsidRPr="00234E04">
        <w:rPr>
          <w:sz w:val="22"/>
        </w:rPr>
        <w:t>Get the data right to allow evolution in Use Cases and Bundles</w:t>
      </w:r>
    </w:p>
    <w:p w14:paraId="27575676" w14:textId="77777777" w:rsidR="00420855" w:rsidRPr="005764FC" w:rsidRDefault="00420855" w:rsidP="00234E04">
      <w:pPr>
        <w:pStyle w:val="BodyText"/>
      </w:pPr>
      <w:r w:rsidRPr="005764FC">
        <w:t xml:space="preserve">There is an interrelationship between use cases, bundles and data: </w:t>
      </w:r>
    </w:p>
    <w:p w14:paraId="5C9CA849" w14:textId="4528D884" w:rsidR="00420855" w:rsidRPr="005764FC" w:rsidRDefault="00066645" w:rsidP="00234E04">
      <w:pPr>
        <w:pStyle w:val="ListBullet"/>
        <w:ind w:left="357" w:hanging="357"/>
        <w:contextualSpacing/>
      </w:pPr>
      <w:r w:rsidRPr="005764FC">
        <w:t>U</w:t>
      </w:r>
      <w:r w:rsidR="00C01AA5" w:rsidRPr="005764FC">
        <w:t>se</w:t>
      </w:r>
      <w:r w:rsidR="00420855" w:rsidRPr="005764FC">
        <w:t xml:space="preserve"> cases provide the concept, but become the industry’s realm to deliver</w:t>
      </w:r>
      <w:r w:rsidRPr="005764FC">
        <w:t>.</w:t>
      </w:r>
    </w:p>
    <w:p w14:paraId="00F0D3F0" w14:textId="6290EC2E" w:rsidR="00420855" w:rsidRPr="005764FC" w:rsidRDefault="00066645" w:rsidP="00234E04">
      <w:pPr>
        <w:pStyle w:val="ListBullet"/>
        <w:ind w:left="357" w:hanging="357"/>
        <w:contextualSpacing/>
      </w:pPr>
      <w:r w:rsidRPr="005764FC">
        <w:t>B</w:t>
      </w:r>
      <w:r w:rsidR="00C01AA5" w:rsidRPr="005764FC">
        <w:t>undles</w:t>
      </w:r>
      <w:r w:rsidR="00420855" w:rsidRPr="005764FC">
        <w:t xml:space="preserve"> are a good way of identifying similarities and target areas</w:t>
      </w:r>
      <w:r w:rsidRPr="005764FC">
        <w:t>.</w:t>
      </w:r>
    </w:p>
    <w:p w14:paraId="4041BEC6" w14:textId="61130247" w:rsidR="00282B34" w:rsidRPr="005764FC" w:rsidRDefault="00066645" w:rsidP="00234E04">
      <w:pPr>
        <w:pStyle w:val="ListBullet"/>
        <w:ind w:left="357" w:hanging="357"/>
        <w:contextualSpacing/>
      </w:pPr>
      <w:r w:rsidRPr="005764FC">
        <w:t>D</w:t>
      </w:r>
      <w:r w:rsidR="00C01AA5" w:rsidRPr="005764FC">
        <w:t>ata</w:t>
      </w:r>
      <w:r w:rsidR="00420855" w:rsidRPr="005764FC">
        <w:t xml:space="preserve"> is the key interface between groups (e.g., government to/from industry).</w:t>
      </w:r>
    </w:p>
    <w:p w14:paraId="3540889F" w14:textId="51D2B01E" w:rsidR="00282B34" w:rsidRPr="005764FC" w:rsidRDefault="00282B34" w:rsidP="00234E04">
      <w:pPr>
        <w:pStyle w:val="BodyText"/>
      </w:pPr>
      <w:r w:rsidRPr="005764FC">
        <w:t xml:space="preserve">Use cases are important to understand how solutions can be developed across ecosystem actors and systems. Bundles are used to help link use cases with commonalities together. They are essential to assessing costs, benefits, risks and capability. This can be complex in an ecosystem with different views on what is important, and </w:t>
      </w:r>
      <w:r w:rsidR="00903E88" w:rsidRPr="005764FC">
        <w:t xml:space="preserve">the </w:t>
      </w:r>
      <w:r w:rsidRPr="005764FC">
        <w:t xml:space="preserve">use cases </w:t>
      </w:r>
      <w:r w:rsidR="00903E88" w:rsidRPr="005764FC">
        <w:t xml:space="preserve">that </w:t>
      </w:r>
      <w:r w:rsidRPr="005764FC">
        <w:t>are of interest. Alternatives often exist to individual use cases, but C‑ITS provides most benefit in establishing common, interoperable connectivity with many vehicles. This allows scale in the numbers of users reached and the ability to leverage many use cases (bundling) with the same technology.</w:t>
      </w:r>
      <w:r w:rsidR="00AE49C0" w:rsidRPr="005764FC">
        <w:t xml:space="preserve"> Focusing on standards that provide consistent data, allows use cases or bundles of use cases to evolve</w:t>
      </w:r>
      <w:r w:rsidR="00CC409E" w:rsidRPr="005764FC">
        <w:t xml:space="preserve"> for </w:t>
      </w:r>
      <w:r w:rsidR="00010AA0" w:rsidRPr="005764FC">
        <w:t xml:space="preserve">the </w:t>
      </w:r>
      <w:r w:rsidR="00646423" w:rsidRPr="005764FC">
        <w:t>end user</w:t>
      </w:r>
      <w:r w:rsidR="00010AA0" w:rsidRPr="005764FC">
        <w:t>s</w:t>
      </w:r>
      <w:r w:rsidR="00646423" w:rsidRPr="005764FC">
        <w:t xml:space="preserve"> </w:t>
      </w:r>
      <w:r w:rsidR="00CC409E" w:rsidRPr="005764FC">
        <w:t xml:space="preserve">benefit. </w:t>
      </w:r>
    </w:p>
    <w:p w14:paraId="2BF09169" w14:textId="77777777" w:rsidR="0019371C" w:rsidRPr="00234E04" w:rsidRDefault="0019371C" w:rsidP="00234E04">
      <w:pPr>
        <w:pStyle w:val="Heading3"/>
        <w:numPr>
          <w:ilvl w:val="0"/>
          <w:numId w:val="0"/>
        </w:numPr>
        <w:ind w:left="1134" w:hanging="1134"/>
        <w:rPr>
          <w:sz w:val="22"/>
        </w:rPr>
      </w:pPr>
      <w:r w:rsidRPr="00234E04">
        <w:rPr>
          <w:sz w:val="22"/>
        </w:rPr>
        <w:t xml:space="preserve">Consistency is critical </w:t>
      </w:r>
    </w:p>
    <w:p w14:paraId="47074010" w14:textId="77777777" w:rsidR="0019371C" w:rsidRPr="005764FC" w:rsidRDefault="0019371C" w:rsidP="00234E04">
      <w:pPr>
        <w:pStyle w:val="BodyText"/>
      </w:pPr>
      <w:r w:rsidRPr="005764FC">
        <w:t xml:space="preserve">It is essential that Australian deployment provides technical certainty. Completed pilots and learnings that focus on large scale deployment of mature C‑ITS aspects should be key considerations, including the following areas: </w:t>
      </w:r>
    </w:p>
    <w:p w14:paraId="7C317442" w14:textId="0AEE70CC" w:rsidR="0019371C" w:rsidRPr="005764FC" w:rsidRDefault="0019371C" w:rsidP="00234E04">
      <w:pPr>
        <w:pStyle w:val="ListBullet"/>
        <w:ind w:left="357" w:hanging="357"/>
        <w:contextualSpacing/>
      </w:pPr>
      <w:r w:rsidRPr="005764FC">
        <w:t>A known security model and system that ensures all equipment is under the same security and privacy arrangement which conform</w:t>
      </w:r>
      <w:r w:rsidR="004A4E36" w:rsidRPr="005764FC">
        <w:t>s</w:t>
      </w:r>
      <w:r w:rsidRPr="005764FC">
        <w:t xml:space="preserve"> to </w:t>
      </w:r>
      <w:r w:rsidR="004A4E36" w:rsidRPr="005764FC">
        <w:t xml:space="preserve">federal </w:t>
      </w:r>
      <w:r w:rsidRPr="005764FC">
        <w:t xml:space="preserve">and </w:t>
      </w:r>
      <w:r w:rsidR="004A4E36" w:rsidRPr="005764FC">
        <w:t>state government privacy</w:t>
      </w:r>
      <w:r w:rsidRPr="005764FC">
        <w:t xml:space="preserve"> law and principles </w:t>
      </w:r>
    </w:p>
    <w:p w14:paraId="10460F00" w14:textId="6B974567" w:rsidR="0019371C" w:rsidRPr="005764FC" w:rsidRDefault="0019371C" w:rsidP="00234E04">
      <w:pPr>
        <w:pStyle w:val="ListBullet"/>
        <w:ind w:left="357" w:hanging="357"/>
        <w:contextualSpacing/>
      </w:pPr>
      <w:r w:rsidRPr="005764FC">
        <w:t xml:space="preserve">Short-range communications with proven benefits for highly dynamic, low latency use cases </w:t>
      </w:r>
    </w:p>
    <w:p w14:paraId="6ABA32C3" w14:textId="2F46DF45" w:rsidR="0019371C" w:rsidRPr="005764FC" w:rsidRDefault="0019371C" w:rsidP="00234E04">
      <w:pPr>
        <w:pStyle w:val="ListBullet"/>
        <w:ind w:left="357" w:hanging="357"/>
        <w:contextualSpacing/>
      </w:pPr>
      <w:r w:rsidRPr="005764FC">
        <w:t xml:space="preserve">Established systems, standards, and processes for sharing data between central systems </w:t>
      </w:r>
    </w:p>
    <w:p w14:paraId="4C86AABB" w14:textId="34EC7F76" w:rsidR="0019371C" w:rsidRPr="005764FC" w:rsidRDefault="0019371C" w:rsidP="00234E04">
      <w:pPr>
        <w:pStyle w:val="ListBullet"/>
        <w:ind w:left="357" w:hanging="357"/>
        <w:contextualSpacing/>
      </w:pPr>
      <w:r w:rsidRPr="005764FC">
        <w:t xml:space="preserve">Continued enhanced ability to reach vehicles </w:t>
      </w:r>
      <w:r w:rsidR="003919BE" w:rsidRPr="005764FC">
        <w:t xml:space="preserve">for </w:t>
      </w:r>
      <w:r w:rsidR="004F066C" w:rsidRPr="005764FC">
        <w:t xml:space="preserve">non-time critical applications </w:t>
      </w:r>
      <w:r w:rsidRPr="005764FC">
        <w:t xml:space="preserve">using established long-range communications (3G/4G/5G). Continuing cellular coverage expansion including considering the potential for Low-Earth Orbit (LEO) satellite solutions to extend a network of communication provide </w:t>
      </w:r>
      <w:r w:rsidR="00BA267D" w:rsidRPr="005764FC">
        <w:t xml:space="preserve">non time critical </w:t>
      </w:r>
      <w:r w:rsidRPr="005764FC">
        <w:t xml:space="preserve">connectivity in remote locations. These improvements and </w:t>
      </w:r>
      <w:r w:rsidR="0029151D" w:rsidRPr="005764FC">
        <w:t>roll out</w:t>
      </w:r>
      <w:r w:rsidRPr="005764FC">
        <w:t xml:space="preserve"> in the physical communication layer strengthen the need for better quality data on our road network. </w:t>
      </w:r>
    </w:p>
    <w:p w14:paraId="10EBA47E" w14:textId="3341F923" w:rsidR="000A6C34" w:rsidRPr="00234E04" w:rsidRDefault="000A6C34" w:rsidP="00234E04">
      <w:pPr>
        <w:pStyle w:val="Heading3"/>
        <w:numPr>
          <w:ilvl w:val="0"/>
          <w:numId w:val="0"/>
        </w:numPr>
        <w:ind w:left="1134" w:hanging="1134"/>
        <w:rPr>
          <w:sz w:val="22"/>
        </w:rPr>
      </w:pPr>
      <w:r w:rsidRPr="00234E04">
        <w:rPr>
          <w:sz w:val="22"/>
        </w:rPr>
        <w:t xml:space="preserve">Provision of </w:t>
      </w:r>
      <w:r w:rsidR="00776535" w:rsidRPr="00234E04">
        <w:rPr>
          <w:sz w:val="22"/>
        </w:rPr>
        <w:t>infrastructure data</w:t>
      </w:r>
    </w:p>
    <w:p w14:paraId="21F87A45" w14:textId="32B699E3" w:rsidR="000927AD" w:rsidRPr="005764FC" w:rsidRDefault="008434C8" w:rsidP="00234E04">
      <w:pPr>
        <w:pStyle w:val="BodyText"/>
      </w:pPr>
      <w:r w:rsidRPr="005764FC">
        <w:t xml:space="preserve">A common framework </w:t>
      </w:r>
      <w:r w:rsidR="00E41B30" w:rsidRPr="005764FC">
        <w:t xml:space="preserve">built off European standards and implementation </w:t>
      </w:r>
      <w:r w:rsidR="00D6670D" w:rsidRPr="005764FC">
        <w:t xml:space="preserve">should be established </w:t>
      </w:r>
      <w:r w:rsidRPr="005764FC">
        <w:t>for sharing information from road agencies</w:t>
      </w:r>
      <w:r w:rsidR="00D6670D" w:rsidRPr="005764FC">
        <w:t>,</w:t>
      </w:r>
      <w:r w:rsidRPr="005764FC">
        <w:t xml:space="preserve"> </w:t>
      </w:r>
      <w:r w:rsidR="002478FA" w:rsidRPr="005764FC">
        <w:t>such that</w:t>
      </w:r>
      <w:r w:rsidR="00CB3266" w:rsidRPr="005764FC">
        <w:t xml:space="preserve">: </w:t>
      </w:r>
    </w:p>
    <w:p w14:paraId="4E751FFA" w14:textId="765BCBED" w:rsidR="00CB3266" w:rsidRPr="005764FC" w:rsidRDefault="00257C75" w:rsidP="00234E04">
      <w:pPr>
        <w:pStyle w:val="ListBullet"/>
        <w:ind w:left="357" w:hanging="357"/>
        <w:contextualSpacing/>
      </w:pPr>
      <w:r w:rsidRPr="005764FC">
        <w:t xml:space="preserve">Agencies </w:t>
      </w:r>
      <w:r w:rsidR="008935C9" w:rsidRPr="005764FC">
        <w:t>ha</w:t>
      </w:r>
      <w:r w:rsidR="00E748C8" w:rsidRPr="005764FC">
        <w:t>ve</w:t>
      </w:r>
      <w:r w:rsidR="008935C9" w:rsidRPr="005764FC">
        <w:t xml:space="preserve"> a common understanding of what is needed for each message set/use case</w:t>
      </w:r>
      <w:r w:rsidR="00C01AA5" w:rsidRPr="005764FC">
        <w:t>.</w:t>
      </w:r>
    </w:p>
    <w:p w14:paraId="4382364E" w14:textId="5FEBE223" w:rsidR="008935C9" w:rsidRPr="005764FC" w:rsidRDefault="008935C9" w:rsidP="00234E04">
      <w:pPr>
        <w:pStyle w:val="ListBullet"/>
        <w:ind w:left="357" w:hanging="357"/>
        <w:contextualSpacing/>
      </w:pPr>
      <w:r w:rsidRPr="005764FC">
        <w:t xml:space="preserve">Vehicles and other </w:t>
      </w:r>
      <w:r w:rsidR="00D23F71" w:rsidRPr="005764FC">
        <w:t xml:space="preserve">users can develop and test </w:t>
      </w:r>
      <w:r w:rsidR="00ED59D3" w:rsidRPr="005764FC">
        <w:t xml:space="preserve">solutions </w:t>
      </w:r>
      <w:r w:rsidR="005A4DB0" w:rsidRPr="005764FC">
        <w:t xml:space="preserve">with </w:t>
      </w:r>
      <w:r w:rsidR="00857083" w:rsidRPr="005764FC">
        <w:t xml:space="preserve">Australia-wide data format </w:t>
      </w:r>
      <w:r w:rsidR="005A4DB0" w:rsidRPr="005764FC">
        <w:t>certainty</w:t>
      </w:r>
      <w:r w:rsidR="00A378DF" w:rsidRPr="005764FC">
        <w:t xml:space="preserve">. </w:t>
      </w:r>
    </w:p>
    <w:p w14:paraId="6667DECB" w14:textId="7ED2B143" w:rsidR="00970DE6" w:rsidRPr="005764FC" w:rsidRDefault="00560AC0" w:rsidP="00234E04">
      <w:pPr>
        <w:pStyle w:val="BodyText"/>
      </w:pPr>
      <w:r w:rsidRPr="005764FC">
        <w:t xml:space="preserve">Agencies can use </w:t>
      </w:r>
      <w:r w:rsidR="00964F80" w:rsidRPr="005764FC">
        <w:t>p</w:t>
      </w:r>
      <w:r w:rsidR="00837B01" w:rsidRPr="005764FC">
        <w:t>roject</w:t>
      </w:r>
      <w:r w:rsidR="00964F80" w:rsidRPr="005764FC">
        <w:t xml:space="preserve"> finding</w:t>
      </w:r>
      <w:r w:rsidR="00837B01" w:rsidRPr="005764FC">
        <w:t xml:space="preserve">s such as </w:t>
      </w:r>
      <w:r w:rsidR="000B7818" w:rsidRPr="005764FC">
        <w:t xml:space="preserve">those described in the </w:t>
      </w:r>
      <w:r w:rsidR="00837B01" w:rsidRPr="005764FC">
        <w:t>Austroads</w:t>
      </w:r>
      <w:r w:rsidR="00344602" w:rsidRPr="005764FC">
        <w:t xml:space="preserve"> RADCAV </w:t>
      </w:r>
      <w:sdt>
        <w:sdtPr>
          <w:id w:val="-817186444"/>
          <w:citation/>
        </w:sdtPr>
        <w:sdtContent>
          <w:r w:rsidR="002C1357">
            <w:fldChar w:fldCharType="begin"/>
          </w:r>
          <w:r w:rsidR="002C1357">
            <w:instrText xml:space="preserve">CITATION Aus21 \n  \l 3081 </w:instrText>
          </w:r>
          <w:r w:rsidR="002C1357">
            <w:fldChar w:fldCharType="separate"/>
          </w:r>
          <w:r w:rsidR="001428F9">
            <w:rPr>
              <w:noProof/>
            </w:rPr>
            <w:t>(Road Authority Data for Connected and Automated Vehicles: Guidance for Agency Data Provision to Connected and Automated Vehicles, 2021)</w:t>
          </w:r>
          <w:r w:rsidR="002C1357">
            <w:fldChar w:fldCharType="end"/>
          </w:r>
        </w:sdtContent>
      </w:sdt>
      <w:r w:rsidR="000913B4" w:rsidRPr="005764FC">
        <w:t xml:space="preserve"> </w:t>
      </w:r>
      <w:r w:rsidR="00344602" w:rsidRPr="005764FC">
        <w:t xml:space="preserve">report </w:t>
      </w:r>
      <w:r w:rsidR="008E0065" w:rsidRPr="005764FC">
        <w:t xml:space="preserve">to </w:t>
      </w:r>
      <w:r w:rsidR="00F3097E" w:rsidRPr="005764FC">
        <w:t xml:space="preserve">move toward these objectives. </w:t>
      </w:r>
    </w:p>
    <w:p w14:paraId="22B15B72" w14:textId="29074CA9" w:rsidR="00970DE6" w:rsidRPr="005764FC" w:rsidRDefault="00D12E3D" w:rsidP="00234E04">
      <w:pPr>
        <w:pStyle w:val="BodyText"/>
      </w:pPr>
      <w:r w:rsidRPr="005764FC">
        <w:t xml:space="preserve">A framework </w:t>
      </w:r>
      <w:r w:rsidR="00964F80" w:rsidRPr="005764FC">
        <w:t xml:space="preserve">is </w:t>
      </w:r>
      <w:r w:rsidRPr="005764FC">
        <w:t>need</w:t>
      </w:r>
      <w:r w:rsidR="00964F80" w:rsidRPr="005764FC">
        <w:t>ed</w:t>
      </w:r>
      <w:r w:rsidRPr="005764FC">
        <w:t xml:space="preserve"> </w:t>
      </w:r>
      <w:r w:rsidR="00964F80" w:rsidRPr="005764FC">
        <w:t xml:space="preserve">for </w:t>
      </w:r>
      <w:r w:rsidRPr="005764FC">
        <w:t>shar</w:t>
      </w:r>
      <w:r w:rsidR="00964F80" w:rsidRPr="005764FC">
        <w:t>ing</w:t>
      </w:r>
      <w:r w:rsidRPr="005764FC">
        <w:t xml:space="preserve"> information from central systems to others. </w:t>
      </w:r>
      <w:r w:rsidR="001C75EE" w:rsidRPr="005764FC">
        <w:t>A n</w:t>
      </w:r>
      <w:r w:rsidR="00970DE6" w:rsidRPr="005764FC">
        <w:t xml:space="preserve">ational </w:t>
      </w:r>
      <w:r w:rsidRPr="005764FC">
        <w:t>d</w:t>
      </w:r>
      <w:r w:rsidR="00970DE6" w:rsidRPr="005764FC">
        <w:t xml:space="preserve">ata </w:t>
      </w:r>
      <w:r w:rsidRPr="005764FC">
        <w:t>e</w:t>
      </w:r>
      <w:r w:rsidR="00970DE6" w:rsidRPr="005764FC">
        <w:t>xchange</w:t>
      </w:r>
      <w:r w:rsidR="001C75EE" w:rsidRPr="005764FC">
        <w:t xml:space="preserve"> must be determined based on the needs of each state </w:t>
      </w:r>
      <w:r w:rsidR="00CD1F3C" w:rsidRPr="005764FC">
        <w:t xml:space="preserve">and the complexity </w:t>
      </w:r>
      <w:r w:rsidR="00DC727F" w:rsidRPr="005764FC">
        <w:t xml:space="preserve">of </w:t>
      </w:r>
      <w:r w:rsidR="00DE3F58" w:rsidRPr="005764FC">
        <w:t>over 20 differen</w:t>
      </w:r>
      <w:r w:rsidR="00DC727F" w:rsidRPr="005764FC">
        <w:t>t</w:t>
      </w:r>
      <w:r w:rsidR="00DE3F58" w:rsidRPr="005764FC">
        <w:t xml:space="preserve"> overseas vehicle manufacturers. In Europe, a </w:t>
      </w:r>
      <w:r w:rsidR="00AE0B43" w:rsidRPr="005764FC">
        <w:t xml:space="preserve">National Access Point (NAP) system has been mandated to </w:t>
      </w:r>
      <w:r w:rsidR="002D77BD" w:rsidRPr="005764FC">
        <w:t>share information between countries</w:t>
      </w:r>
      <w:r w:rsidR="004F408F" w:rsidRPr="005764FC">
        <w:rPr>
          <w:rStyle w:val="FootnoteReference"/>
        </w:rPr>
        <w:footnoteReference w:id="15"/>
      </w:r>
      <w:r w:rsidR="00964F80" w:rsidRPr="005764FC">
        <w:t>. H</w:t>
      </w:r>
      <w:r w:rsidR="006C2D28" w:rsidRPr="005764FC">
        <w:t>owever</w:t>
      </w:r>
      <w:r w:rsidR="00964F80" w:rsidRPr="005764FC">
        <w:t>,</w:t>
      </w:r>
      <w:r w:rsidR="006C2D28" w:rsidRPr="005764FC">
        <w:t xml:space="preserve"> </w:t>
      </w:r>
      <w:r w:rsidR="00E009DA" w:rsidRPr="005764FC">
        <w:t>consideration needs to be give</w:t>
      </w:r>
      <w:r w:rsidR="007C7A1C" w:rsidRPr="005764FC">
        <w:t>n</w:t>
      </w:r>
      <w:r w:rsidR="00E009DA" w:rsidRPr="005764FC">
        <w:t xml:space="preserve"> to the</w:t>
      </w:r>
      <w:r w:rsidR="006C2D28" w:rsidRPr="005764FC">
        <w:t xml:space="preserve"> model </w:t>
      </w:r>
      <w:r w:rsidR="008F783F" w:rsidRPr="005764FC">
        <w:t xml:space="preserve">of exchange used </w:t>
      </w:r>
      <w:r w:rsidR="007C7A1C" w:rsidRPr="005764FC">
        <w:t xml:space="preserve">in Australia </w:t>
      </w:r>
      <w:r w:rsidR="008F783F" w:rsidRPr="005764FC">
        <w:t>given the</w:t>
      </w:r>
      <w:r w:rsidR="00207D04" w:rsidRPr="005764FC">
        <w:t xml:space="preserve"> existing traffic management systems and </w:t>
      </w:r>
      <w:r w:rsidR="009B745C" w:rsidRPr="005764FC">
        <w:t xml:space="preserve">communication networks. </w:t>
      </w:r>
    </w:p>
    <w:p w14:paraId="1642DFF1" w14:textId="12728286" w:rsidR="007A4677" w:rsidRPr="00234E04" w:rsidRDefault="0075226C" w:rsidP="00234E04">
      <w:pPr>
        <w:pStyle w:val="Heading3"/>
        <w:numPr>
          <w:ilvl w:val="0"/>
          <w:numId w:val="0"/>
        </w:numPr>
        <w:ind w:left="1134" w:hanging="1134"/>
        <w:rPr>
          <w:sz w:val="22"/>
        </w:rPr>
      </w:pPr>
      <w:r w:rsidRPr="00234E04">
        <w:rPr>
          <w:sz w:val="22"/>
        </w:rPr>
        <w:t xml:space="preserve">Two-way </w:t>
      </w:r>
      <w:r w:rsidR="007A4677" w:rsidRPr="00234E04">
        <w:rPr>
          <w:sz w:val="22"/>
        </w:rPr>
        <w:t>sharing o</w:t>
      </w:r>
      <w:r w:rsidR="00F32F09" w:rsidRPr="00234E04">
        <w:rPr>
          <w:sz w:val="22"/>
        </w:rPr>
        <w:t>f</w:t>
      </w:r>
      <w:r w:rsidR="007A4677" w:rsidRPr="00234E04">
        <w:rPr>
          <w:sz w:val="22"/>
        </w:rPr>
        <w:t xml:space="preserve"> data</w:t>
      </w:r>
      <w:r w:rsidR="004C792E" w:rsidRPr="00234E04">
        <w:rPr>
          <w:sz w:val="22"/>
        </w:rPr>
        <w:t xml:space="preserve"> and vehicle generated data</w:t>
      </w:r>
    </w:p>
    <w:p w14:paraId="2A1AE7A3" w14:textId="69575B6A" w:rsidR="00560093" w:rsidRPr="005764FC" w:rsidRDefault="00632CD8" w:rsidP="00A87F03">
      <w:pPr>
        <w:pStyle w:val="BodyText"/>
      </w:pPr>
      <w:r w:rsidRPr="005764FC">
        <w:t>The two-way capability of C</w:t>
      </w:r>
      <w:r w:rsidR="008A3437" w:rsidRPr="005764FC">
        <w:t>‑</w:t>
      </w:r>
      <w:r w:rsidRPr="005764FC">
        <w:t>ITS is expected to be beneficial to Australia in creating dynamic data capture of road network</w:t>
      </w:r>
      <w:r w:rsidR="00652A90" w:rsidRPr="005764FC">
        <w:t xml:space="preserve"> operation</w:t>
      </w:r>
      <w:r w:rsidRPr="005764FC">
        <w:t>, understanding of high-risk locations</w:t>
      </w:r>
      <w:r w:rsidR="00652A90" w:rsidRPr="005764FC">
        <w:t>,</w:t>
      </w:r>
      <w:r w:rsidRPr="005764FC">
        <w:t xml:space="preserve"> and identifying issues on roads. </w:t>
      </w:r>
      <w:r w:rsidR="00CC41C2" w:rsidRPr="005764FC">
        <w:t xml:space="preserve">Providing vehicle-generated data would add </w:t>
      </w:r>
      <w:r w:rsidR="00C35C7A" w:rsidRPr="005764FC">
        <w:t xml:space="preserve">to </w:t>
      </w:r>
      <w:r w:rsidR="00CC41C2" w:rsidRPr="005764FC">
        <w:t xml:space="preserve">the benefits of C‑ITS for agencies operating road networks. </w:t>
      </w:r>
      <w:r w:rsidRPr="005764FC">
        <w:t xml:space="preserve">However, </w:t>
      </w:r>
      <w:r w:rsidR="00C73262" w:rsidRPr="005764FC">
        <w:t xml:space="preserve">at this time </w:t>
      </w:r>
      <w:r w:rsidRPr="005764FC">
        <w:t>Australia has no regulation</w:t>
      </w:r>
      <w:r w:rsidR="001C0FCB" w:rsidRPr="005764FC">
        <w:t xml:space="preserve"> or </w:t>
      </w:r>
      <w:r w:rsidR="004F0E0C" w:rsidRPr="005764FC">
        <w:t xml:space="preserve">agreed process </w:t>
      </w:r>
      <w:r w:rsidR="001C0FCB" w:rsidRPr="005764FC">
        <w:t>which could</w:t>
      </w:r>
      <w:r w:rsidR="00620DEC" w:rsidRPr="005764FC">
        <w:t xml:space="preserve"> result </w:t>
      </w:r>
      <w:r w:rsidR="004F0E0C" w:rsidRPr="005764FC">
        <w:t xml:space="preserve">in </w:t>
      </w:r>
      <w:r w:rsidRPr="005764FC">
        <w:t xml:space="preserve">vehicle manufacturers </w:t>
      </w:r>
      <w:r w:rsidR="004F0E0C" w:rsidRPr="005764FC">
        <w:t>consistently sharing</w:t>
      </w:r>
      <w:r w:rsidRPr="005764FC">
        <w:t xml:space="preserve"> vehicle-generated </w:t>
      </w:r>
      <w:r w:rsidR="00964F80" w:rsidRPr="005764FC">
        <w:t>data</w:t>
      </w:r>
      <w:r w:rsidR="004F0E0C" w:rsidRPr="005764FC">
        <w:t xml:space="preserve"> in an agreed format</w:t>
      </w:r>
      <w:r w:rsidR="00964F80" w:rsidRPr="005764FC">
        <w:t xml:space="preserve">, as </w:t>
      </w:r>
      <w:r w:rsidR="008C35D9" w:rsidRPr="005764FC">
        <w:t xml:space="preserve">they do </w:t>
      </w:r>
      <w:r w:rsidR="00964F80" w:rsidRPr="005764FC">
        <w:t>in</w:t>
      </w:r>
      <w:r w:rsidRPr="005764FC">
        <w:t xml:space="preserve"> Europe. </w:t>
      </w:r>
      <w:r w:rsidR="00683319" w:rsidRPr="005764FC">
        <w:t xml:space="preserve">This appears to be gaining momentum </w:t>
      </w:r>
      <w:r w:rsidR="00F210FC" w:rsidRPr="005764FC">
        <w:t>through NTC</w:t>
      </w:r>
      <w:r w:rsidR="007F3307">
        <w:t xml:space="preserve"> </w:t>
      </w:r>
      <w:sdt>
        <w:sdtPr>
          <w:id w:val="1823699754"/>
          <w:citation/>
        </w:sdtPr>
        <w:sdtContent>
          <w:r w:rsidR="007F3307">
            <w:fldChar w:fldCharType="begin"/>
          </w:r>
          <w:r w:rsidR="007F3307">
            <w:instrText xml:space="preserve">CITATION NTC20 \n  \t  \l 3081 </w:instrText>
          </w:r>
          <w:r w:rsidR="007F3307">
            <w:fldChar w:fldCharType="separate"/>
          </w:r>
          <w:r w:rsidR="001428F9">
            <w:rPr>
              <w:noProof/>
            </w:rPr>
            <w:t>(2020)</w:t>
          </w:r>
          <w:r w:rsidR="007F3307">
            <w:fldChar w:fldCharType="end"/>
          </w:r>
        </w:sdtContent>
      </w:sdt>
      <w:r w:rsidR="00F210FC" w:rsidRPr="005764FC">
        <w:t xml:space="preserve"> policy paper</w:t>
      </w:r>
      <w:r w:rsidR="008C35D9" w:rsidRPr="005764FC">
        <w:t xml:space="preserve">, </w:t>
      </w:r>
      <w:r w:rsidR="00A172BA">
        <w:t>“</w:t>
      </w:r>
      <w:r w:rsidR="008C35D9" w:rsidRPr="005764FC">
        <w:t>Government Access To Vehicle-Generated Data</w:t>
      </w:r>
      <w:r w:rsidR="00A172BA">
        <w:t>”</w:t>
      </w:r>
      <w:r w:rsidR="00CF5C42">
        <w:t xml:space="preserve"> and recent establishment of a joint industry-government National Vehicle Data Working Group</w:t>
      </w:r>
      <w:r w:rsidR="008C35D9" w:rsidRPr="005764FC">
        <w:t>,</w:t>
      </w:r>
      <w:r w:rsidR="00F210FC" w:rsidRPr="005764FC">
        <w:t xml:space="preserve"> </w:t>
      </w:r>
      <w:r w:rsidR="008C35D9" w:rsidRPr="005764FC">
        <w:t xml:space="preserve">and </w:t>
      </w:r>
      <w:r w:rsidR="00B963A2" w:rsidRPr="005764FC">
        <w:t xml:space="preserve">the upcoming </w:t>
      </w:r>
      <w:r w:rsidR="007E3AE7" w:rsidRPr="005764FC">
        <w:t xml:space="preserve">Austroads </w:t>
      </w:r>
      <w:sdt>
        <w:sdtPr>
          <w:id w:val="-1411156425"/>
          <w:citation/>
        </w:sdtPr>
        <w:sdtContent>
          <w:r w:rsidR="00043BF3">
            <w:fldChar w:fldCharType="begin"/>
          </w:r>
          <w:r w:rsidR="00043BF3">
            <w:instrText xml:space="preserve">CITATION Aus22 \n  \t  \l 3081 </w:instrText>
          </w:r>
          <w:r w:rsidR="00043BF3">
            <w:fldChar w:fldCharType="separate"/>
          </w:r>
          <w:r w:rsidR="001428F9">
            <w:rPr>
              <w:noProof/>
            </w:rPr>
            <w:t>(2022)</w:t>
          </w:r>
          <w:r w:rsidR="00043BF3">
            <w:fldChar w:fldCharType="end"/>
          </w:r>
        </w:sdtContent>
      </w:sdt>
      <w:r w:rsidR="007E3AE7" w:rsidRPr="005764FC">
        <w:t xml:space="preserve"> </w:t>
      </w:r>
      <w:r w:rsidR="00B963A2" w:rsidRPr="005764FC">
        <w:t>project</w:t>
      </w:r>
      <w:r w:rsidR="007E3AE7" w:rsidRPr="005764FC">
        <w:t xml:space="preserve"> seeking </w:t>
      </w:r>
      <w:r w:rsidR="00483354" w:rsidRPr="005764FC">
        <w:t xml:space="preserve">to trial </w:t>
      </w:r>
      <w:r w:rsidR="00770D6B" w:rsidRPr="005764FC">
        <w:t>an exchange</w:t>
      </w:r>
      <w:r w:rsidR="00483354" w:rsidRPr="005764FC">
        <w:t xml:space="preserve"> of vehicle generated data </w:t>
      </w:r>
      <w:r w:rsidR="00770D6B" w:rsidRPr="005764FC">
        <w:t>with</w:t>
      </w:r>
      <w:r w:rsidR="00483354" w:rsidRPr="005764FC">
        <w:t xml:space="preserve"> road agencies</w:t>
      </w:r>
      <w:r w:rsidR="008C35D9" w:rsidRPr="005764FC">
        <w:t>.</w:t>
      </w:r>
    </w:p>
    <w:p w14:paraId="689A75EA" w14:textId="17A8C081" w:rsidR="00C01AA5" w:rsidRPr="005764FC" w:rsidRDefault="00C01AA5">
      <w:r w:rsidRPr="005764FC">
        <w:br w:type="page"/>
      </w:r>
    </w:p>
    <w:p w14:paraId="4B42BE72" w14:textId="10DC6CB1" w:rsidR="00DD58A2" w:rsidRPr="005764FC" w:rsidRDefault="00A96A8C" w:rsidP="00C47DBD">
      <w:pPr>
        <w:pStyle w:val="Heading2"/>
        <w:numPr>
          <w:ilvl w:val="0"/>
          <w:numId w:val="0"/>
        </w:numPr>
        <w:ind w:left="1134" w:hanging="1134"/>
      </w:pPr>
      <w:bookmarkStart w:id="260" w:name="_Toc94536711"/>
      <w:bookmarkStart w:id="261" w:name="_Toc94453164"/>
      <w:bookmarkStart w:id="262" w:name="_Toc97807801"/>
      <w:r w:rsidRPr="005764FC">
        <w:t>D</w:t>
      </w:r>
      <w:r w:rsidR="0072043E" w:rsidRPr="005764FC">
        <w:t>.</w:t>
      </w:r>
      <w:r w:rsidR="00C01AA5" w:rsidRPr="005764FC">
        <w:tab/>
      </w:r>
      <w:bookmarkEnd w:id="260"/>
      <w:bookmarkEnd w:id="261"/>
      <w:r w:rsidR="00C44A59" w:rsidRPr="005764FC">
        <w:t>Early focus on specific public benefit use cases can realise targeted benefits and help accelerate establishment of the ecosystem</w:t>
      </w:r>
      <w:bookmarkEnd w:id="262"/>
    </w:p>
    <w:p w14:paraId="33EB60A4" w14:textId="424E056A" w:rsidR="0072043E" w:rsidRPr="005764FC" w:rsidRDefault="00DD58A2" w:rsidP="00A87F03">
      <w:pPr>
        <w:pStyle w:val="BodyText"/>
        <w:rPr>
          <w:b/>
          <w:i/>
        </w:rPr>
      </w:pPr>
      <w:r w:rsidRPr="005764FC">
        <w:rPr>
          <w:b/>
          <w:i/>
        </w:rPr>
        <w:t>Action:</w:t>
      </w:r>
      <w:r w:rsidR="0072043E" w:rsidRPr="005764FC">
        <w:rPr>
          <w:b/>
          <w:i/>
        </w:rPr>
        <w:t xml:space="preserve"> Establish deployment models that focus on specific market segments to realise targeted benefits</w:t>
      </w:r>
    </w:p>
    <w:p w14:paraId="24EBA133" w14:textId="165EE304" w:rsidR="003F68C1" w:rsidRPr="005764FC" w:rsidRDefault="00906745" w:rsidP="00A87F03">
      <w:pPr>
        <w:pStyle w:val="BodyText"/>
      </w:pPr>
      <w:r w:rsidRPr="005764FC">
        <w:t xml:space="preserve">The policy analysis identified </w:t>
      </w:r>
      <w:r w:rsidR="004B1466" w:rsidRPr="005764FC">
        <w:t xml:space="preserve">the </w:t>
      </w:r>
      <w:r w:rsidR="0032033E" w:rsidRPr="005764FC">
        <w:t>chicken-and-egg</w:t>
      </w:r>
      <w:r w:rsidR="004B1466" w:rsidRPr="005764FC">
        <w:t xml:space="preserve"> dilemma as a </w:t>
      </w:r>
      <w:r w:rsidR="00170B68" w:rsidRPr="005764FC">
        <w:t xml:space="preserve">situation impacting C-ITS where the projected benefits are clear for both government and </w:t>
      </w:r>
      <w:r w:rsidR="002D6C32" w:rsidRPr="005764FC">
        <w:t>industry,</w:t>
      </w:r>
      <w:r w:rsidR="00170B68" w:rsidRPr="005764FC">
        <w:t xml:space="preserve"> </w:t>
      </w:r>
      <w:r w:rsidR="00A9382A" w:rsidRPr="005764FC">
        <w:t>however, are dependent on each other (</w:t>
      </w:r>
      <w:r w:rsidR="002D6C32" w:rsidRPr="005764FC">
        <w:t xml:space="preserve">established infrastructure and vehicle fleet respectively). To break this situation, </w:t>
      </w:r>
      <w:r w:rsidR="00F747F0" w:rsidRPr="005764FC">
        <w:t xml:space="preserve">strategic interventions can be employed </w:t>
      </w:r>
      <w:r w:rsidR="007F42CC" w:rsidRPr="005764FC">
        <w:t>utilising market segments to build early benefits and gain momentum for ongoing wider deployment</w:t>
      </w:r>
      <w:r w:rsidR="00A00490" w:rsidRPr="005764FC">
        <w:t>.</w:t>
      </w:r>
    </w:p>
    <w:p w14:paraId="07C9CF90" w14:textId="77777777" w:rsidR="00B24AE7" w:rsidRPr="00234E04" w:rsidRDefault="00B24AE7" w:rsidP="00234E04">
      <w:pPr>
        <w:pStyle w:val="Heading3"/>
        <w:numPr>
          <w:ilvl w:val="0"/>
          <w:numId w:val="0"/>
        </w:numPr>
        <w:ind w:left="1134" w:hanging="1134"/>
        <w:rPr>
          <w:sz w:val="20"/>
          <w:szCs w:val="20"/>
        </w:rPr>
      </w:pPr>
      <w:r w:rsidRPr="00234E04">
        <w:rPr>
          <w:sz w:val="20"/>
          <w:szCs w:val="20"/>
        </w:rPr>
        <w:t>Realising Benefits</w:t>
      </w:r>
    </w:p>
    <w:p w14:paraId="64F03474" w14:textId="72393479" w:rsidR="006D452B" w:rsidRPr="005764FC" w:rsidRDefault="006D452B" w:rsidP="00234E04">
      <w:pPr>
        <w:pStyle w:val="BodyText"/>
      </w:pPr>
      <w:r w:rsidRPr="005764FC">
        <w:t>The following principles should be considered for targeting early benefits relating to the priority land transport technology issues:</w:t>
      </w:r>
    </w:p>
    <w:p w14:paraId="58356ADD" w14:textId="6AF2BDA2" w:rsidR="00DC04FC" w:rsidRPr="005764FC" w:rsidRDefault="00B24AE7" w:rsidP="00234E04">
      <w:pPr>
        <w:pStyle w:val="ListBullet"/>
      </w:pPr>
      <w:r w:rsidRPr="005764FC">
        <w:t xml:space="preserve">Safety use cases are likely to provide the most </w:t>
      </w:r>
      <w:r w:rsidR="00CF446C" w:rsidRPr="005764FC">
        <w:t>measurable benefits in a relatively short time</w:t>
      </w:r>
      <w:r w:rsidR="00EA1897" w:rsidRPr="005764FC">
        <w:t xml:space="preserve"> </w:t>
      </w:r>
      <w:r w:rsidR="00CF446C" w:rsidRPr="005764FC">
        <w:t xml:space="preserve">frame </w:t>
      </w:r>
      <w:r w:rsidR="008821A7" w:rsidRPr="005764FC">
        <w:t xml:space="preserve">regardless of deployment environment </w:t>
      </w:r>
      <w:r w:rsidR="00725CC9" w:rsidRPr="005764FC">
        <w:t xml:space="preserve">or user </w:t>
      </w:r>
      <w:r w:rsidR="009C7844" w:rsidRPr="005764FC">
        <w:t>group and</w:t>
      </w:r>
      <w:r w:rsidR="00CF446C" w:rsidRPr="005764FC">
        <w:t xml:space="preserve"> should be promoted by g</w:t>
      </w:r>
      <w:r w:rsidRPr="005764FC">
        <w:t>ov</w:t>
      </w:r>
      <w:r w:rsidR="00CF446C" w:rsidRPr="005764FC">
        <w:t>ernment</w:t>
      </w:r>
      <w:r w:rsidR="009E21CE" w:rsidRPr="005764FC">
        <w:t>s</w:t>
      </w:r>
      <w:r w:rsidR="00CF446C" w:rsidRPr="005764FC">
        <w:t>.</w:t>
      </w:r>
      <w:r w:rsidRPr="005764FC">
        <w:t xml:space="preserve"> </w:t>
      </w:r>
      <w:r w:rsidR="000C0A4D" w:rsidRPr="005764FC">
        <w:t xml:space="preserve">These will form the basis of </w:t>
      </w:r>
      <w:r w:rsidR="00907C8C" w:rsidRPr="005764FC">
        <w:t>‘</w:t>
      </w:r>
      <w:r w:rsidR="000C0A4D" w:rsidRPr="005764FC">
        <w:t>no regrets</w:t>
      </w:r>
      <w:r w:rsidR="00907C8C" w:rsidRPr="005764FC">
        <w:t>’</w:t>
      </w:r>
      <w:r w:rsidR="000C0A4D" w:rsidRPr="005764FC">
        <w:t xml:space="preserve"> decision making</w:t>
      </w:r>
      <w:r w:rsidR="00C01AA5" w:rsidRPr="005764FC">
        <w:t>.</w:t>
      </w:r>
    </w:p>
    <w:p w14:paraId="3404C4BA" w14:textId="20BB73F5" w:rsidR="00AA742F" w:rsidRPr="005764FC" w:rsidRDefault="00B24AE7" w:rsidP="00234E04">
      <w:pPr>
        <w:pStyle w:val="ListBullet"/>
      </w:pPr>
      <w:r w:rsidRPr="005764FC">
        <w:t xml:space="preserve">Efficiency </w:t>
      </w:r>
      <w:r w:rsidR="00475527" w:rsidRPr="005764FC">
        <w:t>use cases a</w:t>
      </w:r>
      <w:r w:rsidR="004A29BC" w:rsidRPr="005764FC">
        <w:t>im to resolve issues with congestion</w:t>
      </w:r>
      <w:r w:rsidR="00A5246B" w:rsidRPr="005764FC">
        <w:t>,</w:t>
      </w:r>
      <w:r w:rsidR="00394278" w:rsidRPr="005764FC">
        <w:t xml:space="preserve"> </w:t>
      </w:r>
      <w:r w:rsidR="00A5246B" w:rsidRPr="005764FC">
        <w:t>travel time</w:t>
      </w:r>
      <w:r w:rsidR="00907C8C" w:rsidRPr="005764FC">
        <w:t>,</w:t>
      </w:r>
      <w:r w:rsidR="00475527" w:rsidRPr="005764FC">
        <w:t xml:space="preserve"> </w:t>
      </w:r>
      <w:r w:rsidR="00394278" w:rsidRPr="005764FC">
        <w:t>and routing</w:t>
      </w:r>
      <w:r w:rsidR="00907C8C" w:rsidRPr="005764FC">
        <w:t>.</w:t>
      </w:r>
      <w:r w:rsidR="000E65D0" w:rsidRPr="005764FC">
        <w:t xml:space="preserve"> </w:t>
      </w:r>
      <w:r w:rsidR="00907C8C" w:rsidRPr="005764FC">
        <w:t>W</w:t>
      </w:r>
      <w:r w:rsidR="006904BE" w:rsidRPr="005764FC">
        <w:t xml:space="preserve">hile </w:t>
      </w:r>
      <w:r w:rsidR="00907C8C" w:rsidRPr="005764FC">
        <w:t xml:space="preserve">they have </w:t>
      </w:r>
      <w:r w:rsidR="00F959B0" w:rsidRPr="005764FC">
        <w:t xml:space="preserve">previously </w:t>
      </w:r>
      <w:r w:rsidR="006904BE" w:rsidRPr="005764FC">
        <w:t xml:space="preserve">been a lower priority for analysis in pilots, </w:t>
      </w:r>
      <w:r w:rsidR="00A0783B" w:rsidRPr="005764FC">
        <w:t>they offer</w:t>
      </w:r>
      <w:r w:rsidR="006904BE" w:rsidRPr="005764FC">
        <w:t xml:space="preserve"> significant </w:t>
      </w:r>
      <w:r w:rsidR="00F959B0" w:rsidRPr="005764FC">
        <w:t xml:space="preserve">opportunity </w:t>
      </w:r>
      <w:r w:rsidR="00D87DBA" w:rsidRPr="005764FC">
        <w:t>for C</w:t>
      </w:r>
      <w:r w:rsidR="008A3437" w:rsidRPr="005764FC">
        <w:t>‑ITS</w:t>
      </w:r>
      <w:r w:rsidR="00D87DBA" w:rsidRPr="005764FC">
        <w:t xml:space="preserve"> to deliver </w:t>
      </w:r>
      <w:r w:rsidR="00A0783B" w:rsidRPr="005764FC">
        <w:t xml:space="preserve">compelling </w:t>
      </w:r>
      <w:r w:rsidR="00B60A54" w:rsidRPr="005764FC">
        <w:t>benefits</w:t>
      </w:r>
      <w:r w:rsidR="00BD0AFE" w:rsidRPr="005764FC">
        <w:t xml:space="preserve"> to end users</w:t>
      </w:r>
      <w:r w:rsidR="00C34EC2" w:rsidRPr="005764FC">
        <w:t xml:space="preserve"> utilising vehicle generated data and new analytical technologies such as artificial intelligence</w:t>
      </w:r>
      <w:r w:rsidR="00B10D4E" w:rsidRPr="005764FC">
        <w:t xml:space="preserve">. </w:t>
      </w:r>
    </w:p>
    <w:p w14:paraId="113D1894" w14:textId="3E020913" w:rsidR="00AA742F" w:rsidRPr="005764FC" w:rsidRDefault="00AA742F" w:rsidP="00234E04">
      <w:pPr>
        <w:pStyle w:val="ListBullet"/>
      </w:pPr>
      <w:r w:rsidRPr="005764FC">
        <w:t xml:space="preserve">Sustainability </w:t>
      </w:r>
      <w:r w:rsidR="001E3269" w:rsidRPr="005764FC">
        <w:t>–</w:t>
      </w:r>
      <w:r w:rsidRPr="005764FC">
        <w:t xml:space="preserve"> a long-term secondary </w:t>
      </w:r>
      <w:r w:rsidR="00A0783B" w:rsidRPr="005764FC">
        <w:t xml:space="preserve">C‑ITS </w:t>
      </w:r>
      <w:r w:rsidRPr="005764FC">
        <w:t>benefit</w:t>
      </w:r>
      <w:r w:rsidR="00AA1D13" w:rsidRPr="005764FC">
        <w:t xml:space="preserve"> </w:t>
      </w:r>
      <w:r w:rsidR="001E3269" w:rsidRPr="005764FC">
        <w:t>–</w:t>
      </w:r>
      <w:r w:rsidR="00AA1D13" w:rsidRPr="005764FC">
        <w:t xml:space="preserve"> has </w:t>
      </w:r>
      <w:r w:rsidR="001E3269" w:rsidRPr="005764FC">
        <w:t>become a</w:t>
      </w:r>
      <w:r w:rsidR="003C5806" w:rsidRPr="005764FC">
        <w:t xml:space="preserve"> greater</w:t>
      </w:r>
      <w:r w:rsidR="00AA1D13" w:rsidRPr="005764FC">
        <w:t xml:space="preserve"> </w:t>
      </w:r>
      <w:r w:rsidR="003C5806" w:rsidRPr="005764FC">
        <w:t xml:space="preserve">focus </w:t>
      </w:r>
      <w:r w:rsidR="00AA1D13" w:rsidRPr="005764FC">
        <w:t xml:space="preserve">in </w:t>
      </w:r>
      <w:r w:rsidR="00BD0AFE" w:rsidRPr="005764FC">
        <w:t xml:space="preserve">many Australian </w:t>
      </w:r>
      <w:r w:rsidR="006D452B" w:rsidRPr="005764FC">
        <w:t>agencies</w:t>
      </w:r>
      <w:r w:rsidR="00AA1D13" w:rsidRPr="005764FC">
        <w:t>.</w:t>
      </w:r>
      <w:r w:rsidRPr="005764FC">
        <w:t xml:space="preserve"> </w:t>
      </w:r>
      <w:r w:rsidR="006D452B" w:rsidRPr="005764FC">
        <w:t>The provision of C-ITS information allows vehicles and users to optimise their travel with a greater understanding of their upcoming road environment</w:t>
      </w:r>
      <w:r w:rsidR="000B3024" w:rsidRPr="005764FC">
        <w:t xml:space="preserve">. </w:t>
      </w:r>
    </w:p>
    <w:tbl>
      <w:tblPr>
        <w:tblStyle w:val="PullOutBoxTable"/>
        <w:tblpPr w:leftFromText="180" w:rightFromText="180" w:vertAnchor="text" w:tblpXSpec="right" w:tblpY="1"/>
        <w:tblOverlap w:val="never"/>
        <w:tblW w:w="4536" w:type="dxa"/>
        <w:jc w:val="right"/>
        <w:tblInd w:w="0" w:type="dxa"/>
        <w:tblLook w:val="0600" w:firstRow="0" w:lastRow="0" w:firstColumn="0" w:lastColumn="0" w:noHBand="1" w:noVBand="1"/>
      </w:tblPr>
      <w:tblGrid>
        <w:gridCol w:w="4536"/>
      </w:tblGrid>
      <w:tr w:rsidR="00D8270F" w:rsidRPr="005764FC" w14:paraId="2C69DD70" w14:textId="77777777" w:rsidTr="008864B6">
        <w:trPr>
          <w:jc w:val="right"/>
        </w:trPr>
        <w:tc>
          <w:tcPr>
            <w:tcW w:w="5000" w:type="pct"/>
            <w:shd w:val="clear" w:color="auto" w:fill="E4E8EC" w:themeFill="accent3" w:themeFillTint="1A"/>
          </w:tcPr>
          <w:p w14:paraId="6D0BCCC5" w14:textId="5932027A" w:rsidR="00D8270F" w:rsidRPr="005764FC" w:rsidRDefault="00D8270F" w:rsidP="00234E04">
            <w:pPr>
              <w:pStyle w:val="PullOutBoxHeading"/>
            </w:pPr>
            <w:r w:rsidRPr="005764FC">
              <w:t xml:space="preserve">CASE ExampLe: Kickstarting </w:t>
            </w:r>
            <w:r w:rsidR="00437105" w:rsidRPr="005764FC">
              <w:t xml:space="preserve">deployment </w:t>
            </w:r>
          </w:p>
          <w:p w14:paraId="78BB8CC9" w14:textId="5D7DE56E" w:rsidR="00D8270F" w:rsidRPr="005764FC" w:rsidRDefault="00D8270F" w:rsidP="00234E04">
            <w:pPr>
              <w:pStyle w:val="PullOutBoxBodyText"/>
            </w:pPr>
            <w:r w:rsidRPr="005764FC">
              <w:t>An industry partner providing C</w:t>
            </w:r>
            <w:r w:rsidR="008A3437" w:rsidRPr="005764FC">
              <w:t>‑ITS</w:t>
            </w:r>
            <w:r w:rsidRPr="005764FC">
              <w:t xml:space="preserve"> as standard to its customers (road users) helps with normalising the acceptance of the technology.</w:t>
            </w:r>
          </w:p>
          <w:p w14:paraId="4E14F886" w14:textId="2C787AD5" w:rsidR="00D8270F" w:rsidRPr="005764FC" w:rsidRDefault="00D8270F" w:rsidP="00234E04">
            <w:pPr>
              <w:pStyle w:val="PullOutBoxBodyText"/>
            </w:pPr>
            <w:r w:rsidRPr="005764FC">
              <w:t>Volkswagen in Europe are delivering C</w:t>
            </w:r>
            <w:r w:rsidR="008A3437" w:rsidRPr="005764FC">
              <w:t>‑ITS</w:t>
            </w:r>
            <w:r w:rsidRPr="005764FC">
              <w:t xml:space="preserve"> as standard in the Golf 8, ID.3 and ID.4 models. Along with other manufacturer efforts, </w:t>
            </w:r>
            <w:r w:rsidRPr="005764FC">
              <w:rPr>
                <w:b/>
                <w:bCs/>
              </w:rPr>
              <w:t>Europe ha</w:t>
            </w:r>
            <w:r w:rsidR="009A1157" w:rsidRPr="005764FC">
              <w:rPr>
                <w:b/>
                <w:bCs/>
              </w:rPr>
              <w:t>s</w:t>
            </w:r>
            <w:r w:rsidRPr="005764FC">
              <w:rPr>
                <w:b/>
                <w:bCs/>
              </w:rPr>
              <w:t xml:space="preserve"> more than 500,000 C</w:t>
            </w:r>
            <w:r w:rsidR="008A3437" w:rsidRPr="005764FC">
              <w:rPr>
                <w:b/>
                <w:bCs/>
              </w:rPr>
              <w:t>‑ITS</w:t>
            </w:r>
            <w:r w:rsidRPr="005764FC">
              <w:rPr>
                <w:b/>
                <w:bCs/>
              </w:rPr>
              <w:t xml:space="preserve"> equipped vehicles on the road</w:t>
            </w:r>
          </w:p>
          <w:p w14:paraId="158F101D" w14:textId="14AF3820" w:rsidR="00D8270F" w:rsidRPr="005764FC" w:rsidRDefault="00D8270F" w:rsidP="00234E04">
            <w:pPr>
              <w:pStyle w:val="Source"/>
            </w:pPr>
            <w:r w:rsidRPr="005764FC">
              <w:t>Source:</w:t>
            </w:r>
            <w:r w:rsidRPr="005764FC">
              <w:tab/>
              <w:t>C-Roads: C</w:t>
            </w:r>
            <w:r w:rsidR="008A3437" w:rsidRPr="005764FC">
              <w:t>‑ITS</w:t>
            </w:r>
            <w:r w:rsidRPr="005764FC">
              <w:t xml:space="preserve"> in Europe is reality today</w:t>
            </w:r>
          </w:p>
        </w:tc>
      </w:tr>
    </w:tbl>
    <w:p w14:paraId="06181EA2" w14:textId="025E2A20" w:rsidR="00CE1386" w:rsidRPr="00234E04" w:rsidRDefault="00C42DE3" w:rsidP="00234E04">
      <w:pPr>
        <w:pStyle w:val="Heading3"/>
        <w:numPr>
          <w:ilvl w:val="0"/>
          <w:numId w:val="0"/>
        </w:numPr>
        <w:rPr>
          <w:sz w:val="20"/>
        </w:rPr>
      </w:pPr>
      <w:r w:rsidRPr="00234E04">
        <w:rPr>
          <w:sz w:val="20"/>
        </w:rPr>
        <w:t xml:space="preserve">Targeting </w:t>
      </w:r>
      <w:r w:rsidR="00CE1386" w:rsidRPr="00234E04">
        <w:rPr>
          <w:sz w:val="20"/>
        </w:rPr>
        <w:t>user groups can focus service</w:t>
      </w:r>
      <w:r w:rsidR="00234E04" w:rsidRPr="00234E04">
        <w:rPr>
          <w:sz w:val="20"/>
        </w:rPr>
        <w:t xml:space="preserve"> </w:t>
      </w:r>
      <w:r w:rsidR="00CE1386" w:rsidRPr="00234E04">
        <w:rPr>
          <w:sz w:val="20"/>
        </w:rPr>
        <w:t>delivery</w:t>
      </w:r>
      <w:r w:rsidR="00193677" w:rsidRPr="00234E04">
        <w:rPr>
          <w:sz w:val="20"/>
        </w:rPr>
        <w:t xml:space="preserve"> to achieve national objectives</w:t>
      </w:r>
    </w:p>
    <w:p w14:paraId="654E110F" w14:textId="54CB53CF" w:rsidR="00C42DE3" w:rsidRPr="005764FC" w:rsidRDefault="00CE1386" w:rsidP="00234E04">
      <w:pPr>
        <w:pStyle w:val="ListBullet"/>
        <w:numPr>
          <w:ilvl w:val="0"/>
          <w:numId w:val="0"/>
        </w:numPr>
      </w:pPr>
      <w:r w:rsidRPr="005764FC">
        <w:t>Whil</w:t>
      </w:r>
      <w:r w:rsidR="003C5806" w:rsidRPr="005764FC">
        <w:t>e</w:t>
      </w:r>
      <w:r w:rsidRPr="005764FC">
        <w:t xml:space="preserve"> long</w:t>
      </w:r>
      <w:r w:rsidR="003C5806" w:rsidRPr="005764FC">
        <w:t>-</w:t>
      </w:r>
      <w:r w:rsidRPr="005764FC">
        <w:t>term C</w:t>
      </w:r>
      <w:r w:rsidR="008A3437" w:rsidRPr="005764FC">
        <w:t>‑</w:t>
      </w:r>
      <w:r w:rsidRPr="005764FC">
        <w:t xml:space="preserve">ITS deployment is intended to benefit all user groups, </w:t>
      </w:r>
      <w:r w:rsidR="003C5806" w:rsidRPr="005764FC">
        <w:t xml:space="preserve">major </w:t>
      </w:r>
      <w:r w:rsidRPr="005764FC">
        <w:t xml:space="preserve">safety benefits can be realised relatively quickly by </w:t>
      </w:r>
      <w:r w:rsidR="003C5806" w:rsidRPr="005764FC">
        <w:t xml:space="preserve">initially </w:t>
      </w:r>
      <w:r w:rsidRPr="005764FC">
        <w:t>targeting freight and rural user</w:t>
      </w:r>
      <w:r w:rsidR="00193677" w:rsidRPr="005764FC">
        <w:t>s</w:t>
      </w:r>
      <w:r w:rsidRPr="005764FC">
        <w:t xml:space="preserve">. This will </w:t>
      </w:r>
      <w:r w:rsidR="003C5806" w:rsidRPr="005764FC">
        <w:t xml:space="preserve">enable </w:t>
      </w:r>
      <w:r w:rsidRPr="005764FC">
        <w:t xml:space="preserve">government to influence benefits in alignment with strategic national objectives. </w:t>
      </w:r>
      <w:r w:rsidR="008A3437" w:rsidRPr="005764FC">
        <w:t>C‑</w:t>
      </w:r>
      <w:r w:rsidR="002258AE" w:rsidRPr="005764FC">
        <w:t xml:space="preserve">ITS </w:t>
      </w:r>
      <w:r w:rsidR="00E86346" w:rsidRPr="005764FC">
        <w:t>creates</w:t>
      </w:r>
      <w:r w:rsidR="005D2C87" w:rsidRPr="005764FC">
        <w:t xml:space="preserve"> </w:t>
      </w:r>
      <w:r w:rsidR="00E86346" w:rsidRPr="005764FC">
        <w:t>opportunit</w:t>
      </w:r>
      <w:r w:rsidR="000176B0" w:rsidRPr="005764FC">
        <w:t>y</w:t>
      </w:r>
      <w:r w:rsidR="00E86346" w:rsidRPr="005764FC">
        <w:t xml:space="preserve"> to</w:t>
      </w:r>
      <w:r w:rsidR="00C17344" w:rsidRPr="005764FC">
        <w:t xml:space="preserve"> </w:t>
      </w:r>
      <w:r w:rsidR="003C1182" w:rsidRPr="005764FC">
        <w:t>target safety</w:t>
      </w:r>
      <w:r w:rsidR="003C5806" w:rsidRPr="005764FC">
        <w:t>-</w:t>
      </w:r>
      <w:r w:rsidR="003C1182" w:rsidRPr="005764FC">
        <w:t>critical measures more effectively than traditional ITS</w:t>
      </w:r>
      <w:r w:rsidR="00ED1CC6" w:rsidRPr="005764FC">
        <w:t>,</w:t>
      </w:r>
      <w:r w:rsidR="003C1182" w:rsidRPr="005764FC">
        <w:t xml:space="preserve"> such as</w:t>
      </w:r>
      <w:r w:rsidR="00C17344" w:rsidRPr="005764FC">
        <w:t xml:space="preserve"> </w:t>
      </w:r>
      <w:r w:rsidR="005D2C87" w:rsidRPr="005764FC">
        <w:t>benefit</w:t>
      </w:r>
      <w:r w:rsidR="009D37AD" w:rsidRPr="005764FC">
        <w:t>s to</w:t>
      </w:r>
      <w:r w:rsidR="005D2C87" w:rsidRPr="005764FC">
        <w:t xml:space="preserve"> </w:t>
      </w:r>
      <w:r w:rsidR="005C1BAB" w:rsidRPr="005764FC">
        <w:t>VRUs</w:t>
      </w:r>
      <w:r w:rsidR="00C17344" w:rsidRPr="005764FC">
        <w:t>.</w:t>
      </w:r>
      <w:r w:rsidRPr="005764FC">
        <w:t xml:space="preserve"> </w:t>
      </w:r>
    </w:p>
    <w:p w14:paraId="0A63110E" w14:textId="1586894D" w:rsidR="008462E5" w:rsidRPr="00234E04" w:rsidRDefault="008462E5" w:rsidP="00234E04">
      <w:pPr>
        <w:pStyle w:val="Heading3"/>
        <w:numPr>
          <w:ilvl w:val="0"/>
          <w:numId w:val="0"/>
        </w:numPr>
        <w:rPr>
          <w:sz w:val="20"/>
        </w:rPr>
      </w:pPr>
      <w:r w:rsidRPr="00234E04">
        <w:rPr>
          <w:sz w:val="20"/>
        </w:rPr>
        <w:t xml:space="preserve">Complementary services and benefits to current </w:t>
      </w:r>
      <w:r w:rsidR="002B4298" w:rsidRPr="00234E04">
        <w:rPr>
          <w:sz w:val="20"/>
        </w:rPr>
        <w:t>solutions</w:t>
      </w:r>
    </w:p>
    <w:p w14:paraId="0379E748" w14:textId="09DBD56C" w:rsidR="002E7A3F" w:rsidRPr="005764FC" w:rsidRDefault="00DB2B3E" w:rsidP="00234E04">
      <w:pPr>
        <w:pStyle w:val="BodyText"/>
      </w:pPr>
      <w:r w:rsidRPr="005764FC">
        <w:t xml:space="preserve">Many vehicle manufacturers are beginning to </w:t>
      </w:r>
      <w:r w:rsidR="00A650E5" w:rsidRPr="005764FC">
        <w:t>deliver connected (</w:t>
      </w:r>
      <w:r w:rsidR="00BD0AFE" w:rsidRPr="005764FC">
        <w:t xml:space="preserve">via </w:t>
      </w:r>
      <w:r w:rsidR="00A650E5" w:rsidRPr="005764FC">
        <w:t xml:space="preserve">long range communications) vehicles to Australia and </w:t>
      </w:r>
      <w:r w:rsidR="00213F61" w:rsidRPr="005764FC">
        <w:t xml:space="preserve">enabling connected services </w:t>
      </w:r>
      <w:r w:rsidR="00F71B22" w:rsidRPr="005764FC">
        <w:t xml:space="preserve">managed within their </w:t>
      </w:r>
      <w:r w:rsidR="00BD0AFE" w:rsidRPr="005764FC">
        <w:t>own brand ecosystems</w:t>
      </w:r>
      <w:r w:rsidR="00E145BC" w:rsidRPr="005764FC">
        <w:t xml:space="preserve">. </w:t>
      </w:r>
      <w:r w:rsidR="00A04064" w:rsidRPr="005764FC">
        <w:t xml:space="preserve">These </w:t>
      </w:r>
      <w:r w:rsidR="00A93D02" w:rsidRPr="005764FC">
        <w:t xml:space="preserve">services </w:t>
      </w:r>
      <w:r w:rsidR="00697992" w:rsidRPr="005764FC">
        <w:t xml:space="preserve">provide </w:t>
      </w:r>
      <w:r w:rsidR="00BA3D8C" w:rsidRPr="005764FC">
        <w:t xml:space="preserve">services </w:t>
      </w:r>
      <w:r w:rsidR="00A2091C" w:rsidRPr="005764FC">
        <w:t xml:space="preserve">for comfort and </w:t>
      </w:r>
      <w:r w:rsidR="00697992" w:rsidRPr="005764FC">
        <w:t xml:space="preserve">convenience </w:t>
      </w:r>
      <w:r w:rsidR="001C01AD" w:rsidRPr="005764FC">
        <w:t xml:space="preserve">such </w:t>
      </w:r>
      <w:r w:rsidR="00214D16" w:rsidRPr="005764FC">
        <w:t xml:space="preserve">as </w:t>
      </w:r>
      <w:r w:rsidR="007B064F" w:rsidRPr="005764FC">
        <w:t>remote-control</w:t>
      </w:r>
      <w:r w:rsidR="001C01AD" w:rsidRPr="005764FC">
        <w:t xml:space="preserve"> </w:t>
      </w:r>
      <w:r w:rsidR="00BD0AFE" w:rsidRPr="005764FC">
        <w:t xml:space="preserve">driving </w:t>
      </w:r>
      <w:r w:rsidR="00D13AAA" w:rsidRPr="005764FC">
        <w:t>capability</w:t>
      </w:r>
      <w:r w:rsidR="008F327E" w:rsidRPr="005764FC">
        <w:t xml:space="preserve"> </w:t>
      </w:r>
      <w:r w:rsidR="00B91147" w:rsidRPr="005764FC">
        <w:t xml:space="preserve">and emergency assistance services </w:t>
      </w:r>
      <w:r w:rsidR="00214D16" w:rsidRPr="005764FC">
        <w:t>(</w:t>
      </w:r>
      <w:r w:rsidR="00F20F8E" w:rsidRPr="005764FC">
        <w:t>e.g.,</w:t>
      </w:r>
      <w:r w:rsidR="00B91147" w:rsidRPr="005764FC">
        <w:t xml:space="preserve"> e-call</w:t>
      </w:r>
      <w:r w:rsidR="000F3049">
        <w:t>-like services</w:t>
      </w:r>
      <w:r w:rsidR="00214D16" w:rsidRPr="005764FC">
        <w:t>)</w:t>
      </w:r>
      <w:r w:rsidR="002B7927" w:rsidRPr="005764FC">
        <w:t xml:space="preserve">. </w:t>
      </w:r>
      <w:r w:rsidR="008A3437" w:rsidRPr="005764FC">
        <w:t>C‑</w:t>
      </w:r>
      <w:r w:rsidR="001D5C98" w:rsidRPr="005764FC">
        <w:t xml:space="preserve">ITS </w:t>
      </w:r>
      <w:r w:rsidR="00451965" w:rsidRPr="005764FC">
        <w:t xml:space="preserve">should aim to leverage </w:t>
      </w:r>
      <w:r w:rsidR="00C654FB" w:rsidRPr="005764FC">
        <w:t xml:space="preserve">existing and emerging </w:t>
      </w:r>
      <w:r w:rsidR="00A44DD0" w:rsidRPr="005764FC">
        <w:t>technology (</w:t>
      </w:r>
      <w:r w:rsidR="00BD0AFE" w:rsidRPr="005764FC">
        <w:t>i.e.</w:t>
      </w:r>
      <w:r w:rsidR="00D21B9B" w:rsidRPr="005764FC">
        <w:t>,</w:t>
      </w:r>
      <w:r w:rsidR="00386D46" w:rsidRPr="005764FC">
        <w:t xml:space="preserve"> SIM car</w:t>
      </w:r>
      <w:r w:rsidR="00182AB7" w:rsidRPr="005764FC">
        <w:t>d</w:t>
      </w:r>
      <w:r w:rsidR="003E183E" w:rsidRPr="005764FC">
        <w:t>s</w:t>
      </w:r>
      <w:r w:rsidR="00182AB7" w:rsidRPr="005764FC">
        <w:t xml:space="preserve"> in vehicles) to </w:t>
      </w:r>
      <w:r w:rsidR="00AA742F" w:rsidRPr="005764FC">
        <w:t xml:space="preserve">provide safety and efficiency use cases. </w:t>
      </w:r>
      <w:r w:rsidR="007034C1" w:rsidRPr="005764FC">
        <w:t xml:space="preserve">This approach </w:t>
      </w:r>
      <w:r w:rsidR="003E183E" w:rsidRPr="005764FC">
        <w:t>helps</w:t>
      </w:r>
      <w:r w:rsidR="007034C1" w:rsidRPr="005764FC">
        <w:t xml:space="preserve"> </w:t>
      </w:r>
      <w:r w:rsidR="00987BEC" w:rsidRPr="005764FC">
        <w:t>maintain an</w:t>
      </w:r>
      <w:r w:rsidR="00214D16" w:rsidRPr="005764FC">
        <w:t>d</w:t>
      </w:r>
      <w:r w:rsidR="00987BEC" w:rsidRPr="005764FC">
        <w:t xml:space="preserve"> understand the broader suite of services being offered to road users</w:t>
      </w:r>
      <w:r w:rsidR="003C6EC2" w:rsidRPr="005764FC">
        <w:t>,</w:t>
      </w:r>
      <w:r w:rsidR="00987BEC" w:rsidRPr="005764FC">
        <w:t xml:space="preserve"> and </w:t>
      </w:r>
      <w:r w:rsidR="003C6EC2" w:rsidRPr="005764FC">
        <w:t>creates</w:t>
      </w:r>
      <w:r w:rsidR="00987BEC" w:rsidRPr="005764FC">
        <w:t xml:space="preserve"> </w:t>
      </w:r>
      <w:r w:rsidR="00520110" w:rsidRPr="005764FC">
        <w:t xml:space="preserve">an avenue for managing </w:t>
      </w:r>
      <w:r w:rsidR="00CA5609" w:rsidRPr="005764FC">
        <w:t>priority use cases (such as safety</w:t>
      </w:r>
      <w:r w:rsidR="003C6EC2" w:rsidRPr="005764FC">
        <w:t>-</w:t>
      </w:r>
      <w:r w:rsidR="00CA5609" w:rsidRPr="005764FC">
        <w:t xml:space="preserve">critical warnings over </w:t>
      </w:r>
      <w:r w:rsidR="00CF5E05" w:rsidRPr="005764FC">
        <w:t xml:space="preserve">general information </w:t>
      </w:r>
      <w:r w:rsidR="0099159E" w:rsidRPr="005764FC">
        <w:t>notifications)</w:t>
      </w:r>
      <w:r w:rsidR="00214D16" w:rsidRPr="005764FC">
        <w:t>.</w:t>
      </w:r>
    </w:p>
    <w:p w14:paraId="4FE9F66E" w14:textId="77777777" w:rsidR="00A75900" w:rsidRPr="00234E04" w:rsidRDefault="00A75900" w:rsidP="00234E04">
      <w:pPr>
        <w:pStyle w:val="Heading3"/>
        <w:numPr>
          <w:ilvl w:val="0"/>
          <w:numId w:val="0"/>
        </w:numPr>
        <w:rPr>
          <w:sz w:val="20"/>
        </w:rPr>
      </w:pPr>
      <w:r w:rsidRPr="00234E04">
        <w:rPr>
          <w:sz w:val="20"/>
        </w:rPr>
        <w:t>Consider the environment (rural vs urban)</w:t>
      </w:r>
    </w:p>
    <w:p w14:paraId="5D9FADCE" w14:textId="12FC89DF" w:rsidR="00A75900" w:rsidRPr="005764FC" w:rsidRDefault="00A75900" w:rsidP="00234E04">
      <w:pPr>
        <w:pStyle w:val="ListBullet"/>
        <w:keepNext/>
        <w:numPr>
          <w:ilvl w:val="0"/>
          <w:numId w:val="0"/>
        </w:numPr>
      </w:pPr>
      <w:r w:rsidRPr="005764FC">
        <w:t>Considerations applying to rural environments differ from those in urban areas. Typically, a rural environment has the following characteristics:</w:t>
      </w:r>
    </w:p>
    <w:p w14:paraId="51DB9B7D" w14:textId="6983968F" w:rsidR="00A75900" w:rsidRPr="005764FC" w:rsidRDefault="00066645" w:rsidP="00234E04">
      <w:pPr>
        <w:pStyle w:val="ListBullet"/>
        <w:keepNext/>
        <w:ind w:left="357" w:hanging="357"/>
        <w:contextualSpacing/>
      </w:pPr>
      <w:r w:rsidRPr="005764FC">
        <w:t>H</w:t>
      </w:r>
      <w:r w:rsidR="004B31D0" w:rsidRPr="005764FC">
        <w:t>igher</w:t>
      </w:r>
      <w:r w:rsidR="00A75900" w:rsidRPr="005764FC">
        <w:t xml:space="preserve"> percentage of fatal crashes</w:t>
      </w:r>
    </w:p>
    <w:p w14:paraId="70E8FA93" w14:textId="60898B10" w:rsidR="00A75900" w:rsidRPr="005764FC" w:rsidRDefault="00066645" w:rsidP="00234E04">
      <w:pPr>
        <w:pStyle w:val="ListBullet"/>
        <w:ind w:left="357" w:hanging="357"/>
        <w:contextualSpacing/>
      </w:pPr>
      <w:r w:rsidRPr="005764FC">
        <w:t>L</w:t>
      </w:r>
      <w:r w:rsidR="004B31D0" w:rsidRPr="005764FC">
        <w:t>ow</w:t>
      </w:r>
      <w:r w:rsidR="00A75900" w:rsidRPr="005764FC">
        <w:t xml:space="preserve"> traffic volumes and consequently low congestion</w:t>
      </w:r>
    </w:p>
    <w:p w14:paraId="34E1D662" w14:textId="56E423C9" w:rsidR="00A75900" w:rsidRPr="005764FC" w:rsidRDefault="00066645" w:rsidP="00234E04">
      <w:pPr>
        <w:pStyle w:val="ListBullet"/>
        <w:ind w:left="357" w:hanging="357"/>
        <w:contextualSpacing/>
      </w:pPr>
      <w:r w:rsidRPr="005764FC">
        <w:t>L</w:t>
      </w:r>
      <w:r w:rsidR="004B31D0" w:rsidRPr="005764FC">
        <w:t>ow</w:t>
      </w:r>
      <w:r w:rsidR="00A75900" w:rsidRPr="005764FC">
        <w:t xml:space="preserve"> availability of power beyond town centres </w:t>
      </w:r>
    </w:p>
    <w:p w14:paraId="56EA468A" w14:textId="6B127B57" w:rsidR="00A75900" w:rsidRPr="005764FC" w:rsidRDefault="002609A2" w:rsidP="00234E04">
      <w:pPr>
        <w:pStyle w:val="ListBullet"/>
        <w:ind w:left="357" w:hanging="357"/>
        <w:contextualSpacing/>
      </w:pPr>
      <w:r w:rsidRPr="005764FC">
        <w:t>P</w:t>
      </w:r>
      <w:r w:rsidR="004B31D0" w:rsidRPr="005764FC">
        <w:t>oor</w:t>
      </w:r>
      <w:r w:rsidR="00A75900" w:rsidRPr="005764FC">
        <w:t xml:space="preserve"> continuous cellular coverage </w:t>
      </w:r>
    </w:p>
    <w:p w14:paraId="74A10D46" w14:textId="0B0808D7" w:rsidR="00A75900" w:rsidRPr="005764FC" w:rsidRDefault="00562A3F" w:rsidP="00234E04">
      <w:pPr>
        <w:pStyle w:val="BodyText"/>
      </w:pPr>
      <w:r w:rsidRPr="005764FC">
        <w:t>Due</w:t>
      </w:r>
      <w:r w:rsidR="00DB5183" w:rsidRPr="005764FC">
        <w:t xml:space="preserve"> to less traffic volume (and therefore </w:t>
      </w:r>
      <w:r w:rsidR="00F41692" w:rsidRPr="005764FC">
        <w:t xml:space="preserve">vehicle </w:t>
      </w:r>
      <w:r w:rsidR="00DB5183" w:rsidRPr="005764FC">
        <w:t xml:space="preserve">sales) in rural </w:t>
      </w:r>
      <w:r w:rsidRPr="005764FC">
        <w:t xml:space="preserve">locations it is assumed that there will be less focus </w:t>
      </w:r>
      <w:r w:rsidR="00EB4D64" w:rsidRPr="005764FC">
        <w:t>for industry</w:t>
      </w:r>
      <w:r w:rsidR="000F3049">
        <w:t xml:space="preserve"> in</w:t>
      </w:r>
      <w:r w:rsidR="00EB4D64" w:rsidRPr="005764FC">
        <w:t xml:space="preserve"> providing a </w:t>
      </w:r>
      <w:r w:rsidR="00F41692" w:rsidRPr="005764FC">
        <w:t>cost-effective</w:t>
      </w:r>
      <w:r w:rsidR="00EB4D64" w:rsidRPr="005764FC">
        <w:t xml:space="preserve"> solution.</w:t>
      </w:r>
      <w:r w:rsidR="003507C8" w:rsidRPr="005764FC">
        <w:t xml:space="preserve"> The lower </w:t>
      </w:r>
      <w:r w:rsidR="00623E47" w:rsidRPr="005764FC">
        <w:t xml:space="preserve">potential </w:t>
      </w:r>
      <w:r w:rsidR="003507C8" w:rsidRPr="005764FC">
        <w:t xml:space="preserve">market penetration, coupled </w:t>
      </w:r>
      <w:r w:rsidR="00086B84" w:rsidRPr="005764FC">
        <w:t>with a higher crash risk (500</w:t>
      </w:r>
      <w:r w:rsidR="00B546E1" w:rsidRPr="005764FC">
        <w:t>–</w:t>
      </w:r>
      <w:r w:rsidR="00086B84" w:rsidRPr="005764FC">
        <w:t>1000</w:t>
      </w:r>
      <w:r w:rsidR="00B546E1" w:rsidRPr="005764FC">
        <w:t xml:space="preserve"> per cent</w:t>
      </w:r>
      <w:r w:rsidR="00EE5FBF" w:rsidRPr="005764FC">
        <w:t xml:space="preserve"> </w:t>
      </w:r>
      <w:r w:rsidR="005D24F5" w:rsidRPr="005764FC">
        <w:t xml:space="preserve">more for regional and remote respectively) </w:t>
      </w:r>
      <w:r w:rsidR="006B393A" w:rsidRPr="005764FC">
        <w:t xml:space="preserve">may </w:t>
      </w:r>
      <w:r w:rsidR="00E34DD5" w:rsidRPr="005764FC">
        <w:t>warrant</w:t>
      </w:r>
      <w:r w:rsidR="00C61456" w:rsidRPr="005764FC">
        <w:t xml:space="preserve"> government support </w:t>
      </w:r>
      <w:r w:rsidR="00A75900" w:rsidRPr="005764FC">
        <w:t xml:space="preserve">to </w:t>
      </w:r>
      <w:r w:rsidR="00F169C3" w:rsidRPr="005764FC">
        <w:t>en</w:t>
      </w:r>
      <w:r w:rsidR="00C61456" w:rsidRPr="005764FC">
        <w:t>courage</w:t>
      </w:r>
      <w:r w:rsidR="00A75900" w:rsidRPr="005764FC">
        <w:t xml:space="preserve"> uptake for this market segment to realise the significant societal benefits</w:t>
      </w:r>
      <w:r w:rsidR="00993637" w:rsidRPr="005764FC">
        <w:t xml:space="preserve"> sooner</w:t>
      </w:r>
      <w:r w:rsidR="00A75900" w:rsidRPr="005764FC">
        <w:t xml:space="preserve">. </w:t>
      </w:r>
    </w:p>
    <w:p w14:paraId="1EDFAB09" w14:textId="4D60894B" w:rsidR="00CC6745" w:rsidRPr="00234E04" w:rsidRDefault="00CC6745" w:rsidP="00234E04">
      <w:pPr>
        <w:pStyle w:val="Heading3"/>
        <w:numPr>
          <w:ilvl w:val="0"/>
          <w:numId w:val="0"/>
        </w:numPr>
        <w:rPr>
          <w:sz w:val="20"/>
        </w:rPr>
      </w:pPr>
      <w:r w:rsidRPr="00234E04">
        <w:rPr>
          <w:sz w:val="20"/>
        </w:rPr>
        <w:t>Support major vehicle suppliers in delivering benefits to Australian road users</w:t>
      </w:r>
    </w:p>
    <w:p w14:paraId="3F700062" w14:textId="2EAAA92C" w:rsidR="00730FDF" w:rsidRPr="005764FC" w:rsidRDefault="00895D7A" w:rsidP="00234E04">
      <w:pPr>
        <w:pStyle w:val="BodyText"/>
      </w:pPr>
      <w:r w:rsidRPr="005764FC">
        <w:t xml:space="preserve">Nineteen vehicle manufacturers supply </w:t>
      </w:r>
      <w:r w:rsidR="00F11C6F" w:rsidRPr="005764FC">
        <w:t>95</w:t>
      </w:r>
      <w:r w:rsidR="006B4DBA" w:rsidRPr="005764FC">
        <w:t xml:space="preserve"> per cent</w:t>
      </w:r>
      <w:r w:rsidR="00F11C6F" w:rsidRPr="005764FC">
        <w:t xml:space="preserve"> of the Australian market</w:t>
      </w:r>
      <w:r w:rsidR="00B82E07" w:rsidRPr="005764FC">
        <w:t xml:space="preserve">. </w:t>
      </w:r>
      <w:r w:rsidR="00B343EF" w:rsidRPr="005764FC">
        <w:t>I</w:t>
      </w:r>
      <w:r w:rsidR="006D709B" w:rsidRPr="005764FC">
        <w:t xml:space="preserve">nterest </w:t>
      </w:r>
      <w:r w:rsidR="00B343EF" w:rsidRPr="005764FC">
        <w:t>from</w:t>
      </w:r>
      <w:r w:rsidR="006D709B" w:rsidRPr="005764FC">
        <w:t xml:space="preserve"> </w:t>
      </w:r>
      <w:r w:rsidR="00B343EF" w:rsidRPr="005764FC">
        <w:t xml:space="preserve">large vehicle manufacturers should be supported </w:t>
      </w:r>
      <w:r w:rsidR="00723153" w:rsidRPr="005764FC">
        <w:t>and encouraged to provide C</w:t>
      </w:r>
      <w:r w:rsidR="008A3437" w:rsidRPr="005764FC">
        <w:t>‑ITS</w:t>
      </w:r>
      <w:r w:rsidR="00723153" w:rsidRPr="005764FC">
        <w:t xml:space="preserve"> as standard </w:t>
      </w:r>
      <w:r w:rsidR="00B343EF" w:rsidRPr="005764FC">
        <w:t xml:space="preserve">to </w:t>
      </w:r>
      <w:r w:rsidR="00503448" w:rsidRPr="005764FC">
        <w:t xml:space="preserve">increase the </w:t>
      </w:r>
      <w:r w:rsidR="00EA4610" w:rsidRPr="005764FC">
        <w:t>market penetration of vehicles</w:t>
      </w:r>
      <w:r w:rsidR="00E25B3E" w:rsidRPr="005764FC">
        <w:t xml:space="preserve"> to m</w:t>
      </w:r>
      <w:r w:rsidR="00777C08" w:rsidRPr="005764FC">
        <w:t>ore</w:t>
      </w:r>
      <w:r w:rsidR="00E25B3E" w:rsidRPr="005764FC">
        <w:t xml:space="preserve"> Australi</w:t>
      </w:r>
      <w:r w:rsidR="00215C8C" w:rsidRPr="005764FC">
        <w:t>ans</w:t>
      </w:r>
      <w:r w:rsidR="00777C08" w:rsidRPr="005764FC">
        <w:t>,</w:t>
      </w:r>
      <w:r w:rsidR="00FE44DE" w:rsidRPr="005764FC">
        <w:t xml:space="preserve"> </w:t>
      </w:r>
      <w:r w:rsidR="00777C08" w:rsidRPr="005764FC">
        <w:t>speeding up</w:t>
      </w:r>
      <w:r w:rsidR="00AD3CBC" w:rsidRPr="005764FC">
        <w:t xml:space="preserve"> and increasing</w:t>
      </w:r>
      <w:r w:rsidR="00FE44DE" w:rsidRPr="005764FC">
        <w:t xml:space="preserve"> benefits realisation</w:t>
      </w:r>
      <w:r w:rsidR="00EA4610" w:rsidRPr="005764FC">
        <w:t xml:space="preserve">. </w:t>
      </w:r>
    </w:p>
    <w:p w14:paraId="0B8AD0A9" w14:textId="77777777" w:rsidR="00084BA4" w:rsidRPr="00234E04" w:rsidRDefault="00084BA4" w:rsidP="00234E04">
      <w:pPr>
        <w:pStyle w:val="Heading3"/>
        <w:numPr>
          <w:ilvl w:val="0"/>
          <w:numId w:val="0"/>
        </w:numPr>
      </w:pPr>
      <w:r w:rsidRPr="00234E04">
        <w:rPr>
          <w:sz w:val="20"/>
        </w:rPr>
        <w:t>Mobile phones and aftermarket equipment</w:t>
      </w:r>
    </w:p>
    <w:p w14:paraId="67739FB6" w14:textId="429333A3" w:rsidR="00084BA4" w:rsidRPr="005764FC" w:rsidRDefault="00084BA4" w:rsidP="00084BA4">
      <w:pPr>
        <w:pStyle w:val="BodyText"/>
      </w:pPr>
      <w:r w:rsidRPr="005764FC">
        <w:t>While the primary analysis and benefits focus on the introduction of C‑ITS-equipped new vehicles, there is an opportunity to provide C‑ITS-provisioned data to other end-user interfaces. Aftermarket devices provide industry an opportunity to sell equipment that can be retrofitted into current vehicles and provide C‑ITS information/use cases to road users. Further, an opportunity exists to provide</w:t>
      </w:r>
      <w:r w:rsidR="00BE70EA" w:rsidRPr="005764FC">
        <w:t xml:space="preserve"> </w:t>
      </w:r>
      <w:r w:rsidRPr="005764FC">
        <w:t xml:space="preserve">C‑ITS data </w:t>
      </w:r>
      <w:r w:rsidR="00FE3F13" w:rsidRPr="005764FC">
        <w:t xml:space="preserve">services </w:t>
      </w:r>
      <w:r w:rsidR="007B21CA" w:rsidRPr="005764FC">
        <w:t>(i.e. a</w:t>
      </w:r>
      <w:r w:rsidR="00FE3F13" w:rsidRPr="005764FC">
        <w:t xml:space="preserve"> sub</w:t>
      </w:r>
      <w:r w:rsidR="00F83513" w:rsidRPr="005764FC">
        <w:t xml:space="preserve">set of C-ITS services) </w:t>
      </w:r>
      <w:r w:rsidRPr="005764FC">
        <w:t xml:space="preserve">to existing mobile phone applications so large user groups can benefit rapidly from the improved services offered. </w:t>
      </w:r>
      <w:r w:rsidR="00100F29" w:rsidRPr="005764FC">
        <w:t>While t</w:t>
      </w:r>
      <w:r w:rsidR="00B07024" w:rsidRPr="005764FC">
        <w:t xml:space="preserve">hese </w:t>
      </w:r>
      <w:r w:rsidR="00C94AFA" w:rsidRPr="005764FC">
        <w:t xml:space="preserve">options </w:t>
      </w:r>
      <w:r w:rsidR="007D4F8E" w:rsidRPr="005764FC">
        <w:t xml:space="preserve">are </w:t>
      </w:r>
      <w:r w:rsidR="00304EAD" w:rsidRPr="005764FC">
        <w:t>less likely to be</w:t>
      </w:r>
      <w:r w:rsidR="000F4EF1" w:rsidRPr="005764FC">
        <w:t xml:space="preserve"> as effective</w:t>
      </w:r>
      <w:r w:rsidR="00304EAD" w:rsidRPr="005764FC">
        <w:t xml:space="preserve"> as an integrated </w:t>
      </w:r>
      <w:r w:rsidR="000F4EF1" w:rsidRPr="005764FC">
        <w:t xml:space="preserve">C-ITS </w:t>
      </w:r>
      <w:r w:rsidR="00304EAD" w:rsidRPr="005764FC">
        <w:t xml:space="preserve">vehicle station, they </w:t>
      </w:r>
      <w:r w:rsidR="00C94AFA" w:rsidRPr="005764FC">
        <w:t xml:space="preserve">provide the potential to gain </w:t>
      </w:r>
      <w:r w:rsidR="004D2F24" w:rsidRPr="005764FC">
        <w:t>early</w:t>
      </w:r>
      <w:r w:rsidR="00C94AFA" w:rsidRPr="005764FC">
        <w:t xml:space="preserve"> utilisation of services and </w:t>
      </w:r>
      <w:r w:rsidR="00497123" w:rsidRPr="005764FC">
        <w:t>beg</w:t>
      </w:r>
      <w:r w:rsidR="004D2F24" w:rsidRPr="005764FC">
        <w:t>in</w:t>
      </w:r>
      <w:r w:rsidR="00497123" w:rsidRPr="005764FC">
        <w:t xml:space="preserve"> realising benefits while C-ITS equipped new vehicles progressively arrive. </w:t>
      </w:r>
    </w:p>
    <w:p w14:paraId="59C2EB6C" w14:textId="77777777" w:rsidR="00084BA4" w:rsidRPr="005764FC" w:rsidRDefault="00084BA4" w:rsidP="00084BA4">
      <w:pPr>
        <w:pStyle w:val="BodyText"/>
      </w:pPr>
    </w:p>
    <w:p w14:paraId="4F9CDB09" w14:textId="6D811597" w:rsidR="004B31D0" w:rsidRPr="005764FC" w:rsidRDefault="004B31D0">
      <w:r w:rsidRPr="005764FC">
        <w:br w:type="page"/>
      </w:r>
    </w:p>
    <w:p w14:paraId="4A091493" w14:textId="54E624EC" w:rsidR="001A240F" w:rsidRPr="005764FC" w:rsidRDefault="001A240F" w:rsidP="001A240F">
      <w:pPr>
        <w:pStyle w:val="Heading2"/>
        <w:numPr>
          <w:ilvl w:val="0"/>
          <w:numId w:val="0"/>
        </w:numPr>
        <w:ind w:left="1134" w:hanging="1134"/>
      </w:pPr>
      <w:bookmarkStart w:id="263" w:name="_Toc94536712"/>
      <w:bookmarkStart w:id="264" w:name="_Toc94453165"/>
      <w:bookmarkStart w:id="265" w:name="_Toc97807802"/>
      <w:r w:rsidRPr="005764FC">
        <w:t>E.</w:t>
      </w:r>
      <w:r w:rsidR="004B31D0" w:rsidRPr="005764FC">
        <w:tab/>
      </w:r>
      <w:bookmarkEnd w:id="263"/>
      <w:bookmarkEnd w:id="264"/>
      <w:r w:rsidR="00C44A59" w:rsidRPr="005764FC">
        <w:t>A foundational ecosystem should allow for future growth and flexibility to accommodate a range of business models</w:t>
      </w:r>
      <w:bookmarkEnd w:id="265"/>
    </w:p>
    <w:p w14:paraId="71EDAD4A" w14:textId="0EFAE3FD" w:rsidR="00730FDF" w:rsidRPr="005764FC" w:rsidRDefault="00730FDF" w:rsidP="00730FDF">
      <w:pPr>
        <w:pStyle w:val="BodyText"/>
        <w:rPr>
          <w:b/>
          <w:i/>
        </w:rPr>
      </w:pPr>
      <w:r w:rsidRPr="005764FC">
        <w:rPr>
          <w:b/>
          <w:i/>
        </w:rPr>
        <w:t>Action: Build a foundational backbone that allows future growth</w:t>
      </w:r>
    </w:p>
    <w:p w14:paraId="461DD569" w14:textId="3213F54F" w:rsidR="00730FDF" w:rsidRPr="005764FC" w:rsidRDefault="00F30237" w:rsidP="00730FDF">
      <w:pPr>
        <w:pStyle w:val="BodyText"/>
      </w:pPr>
      <w:r w:rsidRPr="005764FC">
        <w:t>The hybrid model of deployed C-ITS creates</w:t>
      </w:r>
      <w:r w:rsidR="00730FDF" w:rsidRPr="005764FC">
        <w:t xml:space="preserve"> a platform where data flows through communications protocols and paths, privacy and security are inherent in the system, and a user-accepted level of quality</w:t>
      </w:r>
      <w:r w:rsidRPr="005764FC">
        <w:t xml:space="preserve"> exists</w:t>
      </w:r>
      <w:r w:rsidR="00730FDF" w:rsidRPr="005764FC">
        <w:t>. This foundation allows expanding potential and is possible through new interfaces to users, new business models, new use cases and the existing system’s enhanced capability.</w:t>
      </w:r>
      <w:bookmarkStart w:id="266" w:name="_Toc49253757"/>
      <w:r w:rsidR="00730FDF" w:rsidRPr="005764FC">
        <w:t xml:space="preserve"> The many assumptions that have been controlled through the analysis to quantify a Day 1 ecosystem represent opportunities that can be explored as future growth of the foundational system. </w:t>
      </w:r>
    </w:p>
    <w:p w14:paraId="7D1BC194" w14:textId="77777777" w:rsidR="00730FDF" w:rsidRPr="00234E04" w:rsidRDefault="00730FDF" w:rsidP="00234E04">
      <w:pPr>
        <w:pStyle w:val="Heading3"/>
        <w:numPr>
          <w:ilvl w:val="0"/>
          <w:numId w:val="0"/>
        </w:numPr>
        <w:rPr>
          <w:sz w:val="20"/>
        </w:rPr>
      </w:pPr>
      <w:r w:rsidRPr="00234E04">
        <w:rPr>
          <w:sz w:val="20"/>
        </w:rPr>
        <w:t>Day 2, 3+ use cases</w:t>
      </w:r>
    </w:p>
    <w:p w14:paraId="2CDE5349" w14:textId="4C355CCE" w:rsidR="00730FDF" w:rsidRPr="005764FC" w:rsidRDefault="00730FDF" w:rsidP="00730FDF">
      <w:pPr>
        <w:pStyle w:val="BodyText"/>
      </w:pPr>
      <w:r w:rsidRPr="005764FC">
        <w:t xml:space="preserve">Establishing a Day 1 system creates easier justification and business cases for evolved and smarter future C‑ITS use cases. Evidence is shown where use cases have been expanded and adjusted over time by working groups such as C-Roads. This is natural given the move from theoretical use cases to trialled, tested, and operational use cases. As more complexity is added to the system (for example, the ability for vehicles to sense events and broadcast this information to others), a solid foundational system allows capability to grow. Service fragmentation makes it difficult to deliver more significant, complex systems with multiple actors. All components must build in </w:t>
      </w:r>
      <w:r w:rsidR="009777C4" w:rsidRPr="005764FC">
        <w:t>o</w:t>
      </w:r>
      <w:r w:rsidRPr="005764FC">
        <w:t xml:space="preserve">perations and </w:t>
      </w:r>
      <w:r w:rsidR="009777C4" w:rsidRPr="005764FC">
        <w:t>m</w:t>
      </w:r>
      <w:r w:rsidRPr="005764FC">
        <w:t xml:space="preserve">aintenance by design to allow benefits to progress. </w:t>
      </w:r>
    </w:p>
    <w:tbl>
      <w:tblPr>
        <w:tblStyle w:val="PullOutBoxTable"/>
        <w:tblpPr w:leftFromText="180" w:rightFromText="180" w:vertAnchor="text" w:tblpXSpec="right" w:tblpY="1"/>
        <w:tblOverlap w:val="never"/>
        <w:tblW w:w="4536" w:type="dxa"/>
        <w:jc w:val="right"/>
        <w:tblInd w:w="0" w:type="dxa"/>
        <w:tblLook w:val="0600" w:firstRow="0" w:lastRow="0" w:firstColumn="0" w:lastColumn="0" w:noHBand="1" w:noVBand="1"/>
      </w:tblPr>
      <w:tblGrid>
        <w:gridCol w:w="4536"/>
      </w:tblGrid>
      <w:tr w:rsidR="00730FDF" w:rsidRPr="005764FC" w14:paraId="16220CBC" w14:textId="77777777" w:rsidTr="008864B6">
        <w:trPr>
          <w:cantSplit/>
          <w:jc w:val="right"/>
        </w:trPr>
        <w:tc>
          <w:tcPr>
            <w:tcW w:w="5000" w:type="pct"/>
            <w:shd w:val="clear" w:color="auto" w:fill="E4E8EC" w:themeFill="accent3" w:themeFillTint="1A"/>
          </w:tcPr>
          <w:p w14:paraId="682DEF8F" w14:textId="51BE8481" w:rsidR="00730FDF" w:rsidRPr="005764FC" w:rsidRDefault="00730FDF" w:rsidP="00FA0CDA">
            <w:pPr>
              <w:pStyle w:val="PullOutBoxHeading"/>
            </w:pPr>
            <w:r w:rsidRPr="005764FC">
              <w:t>South Korea – C</w:t>
            </w:r>
            <w:r w:rsidRPr="005764FC">
              <w:rPr>
                <w:rFonts w:ascii="Cambria Math" w:hAnsi="Cambria Math" w:cs="Cambria Math"/>
              </w:rPr>
              <w:t>‑</w:t>
            </w:r>
            <w:r w:rsidRPr="005764FC">
              <w:t>ITS Strategy for AV introduction</w:t>
            </w:r>
            <w:r w:rsidR="00DE4D26">
              <w:t xml:space="preserve"> </w:t>
            </w:r>
            <w:sdt>
              <w:sdtPr>
                <w:id w:val="1827088669"/>
                <w:citation/>
              </w:sdtPr>
              <w:sdtContent>
                <w:r w:rsidR="00DE4D26">
                  <w:fldChar w:fldCharType="begin"/>
                </w:r>
                <w:r w:rsidR="00DE4D26">
                  <w:instrText xml:space="preserve"> CITATION Kor21 \l 3081 </w:instrText>
                </w:r>
                <w:r w:rsidR="00DE4D26">
                  <w:fldChar w:fldCharType="separate"/>
                </w:r>
                <w:r w:rsidR="001428F9">
                  <w:rPr>
                    <w:noProof/>
                  </w:rPr>
                  <w:t>(Korea Bizwire, 2021)</w:t>
                </w:r>
                <w:r w:rsidR="00DE4D26">
                  <w:fldChar w:fldCharType="end"/>
                </w:r>
              </w:sdtContent>
            </w:sdt>
          </w:p>
          <w:p w14:paraId="454C2B33" w14:textId="44E3EA3E" w:rsidR="00730FDF" w:rsidRPr="005764FC" w:rsidRDefault="00730FDF" w:rsidP="00FA0CDA">
            <w:pPr>
              <w:pStyle w:val="BodyText"/>
            </w:pPr>
            <w:r w:rsidRPr="005764FC">
              <w:t>South Korea is establishing strategic plans to deploy C‑ITS from 2021 to enable Level 4 automated vehicles by 2027.</w:t>
            </w:r>
          </w:p>
        </w:tc>
      </w:tr>
    </w:tbl>
    <w:p w14:paraId="334F4D88" w14:textId="77777777" w:rsidR="00730FDF" w:rsidRPr="00234E04" w:rsidRDefault="00730FDF" w:rsidP="00234E04">
      <w:pPr>
        <w:pStyle w:val="Heading3"/>
        <w:numPr>
          <w:ilvl w:val="0"/>
          <w:numId w:val="0"/>
        </w:numPr>
        <w:rPr>
          <w:sz w:val="20"/>
        </w:rPr>
      </w:pPr>
      <w:r w:rsidRPr="00234E04">
        <w:rPr>
          <w:sz w:val="20"/>
        </w:rPr>
        <w:t xml:space="preserve">Evolution of Connected and Automated Vehicles </w:t>
      </w:r>
    </w:p>
    <w:p w14:paraId="045E2DF5" w14:textId="59B1BBC6" w:rsidR="00730FDF" w:rsidRPr="005764FC" w:rsidRDefault="00730FDF" w:rsidP="00730FDF">
      <w:pPr>
        <w:pStyle w:val="ListBullet"/>
        <w:numPr>
          <w:ilvl w:val="0"/>
          <w:numId w:val="0"/>
        </w:numPr>
      </w:pPr>
      <w:r w:rsidRPr="005764FC">
        <w:t xml:space="preserve">While low levels of vehicle automation to date (SAE level 1 and 2) have already produced significant safety and efficiency benefits, there are a range of issues still to be resolved before highly automated vehicles (SAE level 3 and above) should be considered for mass deployment in anything other than relatively small operational design domains (ODD), e.g., ‘driverless shuttles’ (potentially SAE level 4 or 5) operating in low speed, relatively non-complex or controlled environments. C‑ITS is essential for realising more widespread use and higher levels of automation in the future. </w:t>
      </w:r>
    </w:p>
    <w:bookmarkEnd w:id="266"/>
    <w:p w14:paraId="57445686" w14:textId="77777777" w:rsidR="00730FDF" w:rsidRPr="00234E04" w:rsidRDefault="00730FDF" w:rsidP="00234E04">
      <w:pPr>
        <w:pStyle w:val="Heading3"/>
        <w:numPr>
          <w:ilvl w:val="0"/>
          <w:numId w:val="0"/>
        </w:numPr>
        <w:rPr>
          <w:sz w:val="20"/>
        </w:rPr>
      </w:pPr>
      <w:r w:rsidRPr="00234E04">
        <w:rPr>
          <w:sz w:val="20"/>
        </w:rPr>
        <w:t>Cost Recovery Opportunities</w:t>
      </w:r>
    </w:p>
    <w:p w14:paraId="73B827CC" w14:textId="73030591" w:rsidR="00730FDF" w:rsidRPr="005764FC" w:rsidRDefault="00730FDF" w:rsidP="00730FDF">
      <w:pPr>
        <w:pStyle w:val="BodyText"/>
      </w:pPr>
      <w:r w:rsidRPr="005764FC">
        <w:t>Trials and international deployment have shown that C‑ITS can deliver services that are rich in information and targeted to individuals. This creates an opportunity for system providers to generate a return on investment from avenues such as subscriptions and levies. Return on investment opportunities exist to recover costs incurred. As with most technologies that require infrastructure investment, there will be a range of mechanisms to recover the costs of implementation. The best way to recover these costs will be best assessed in the future as the market potential of C-ITS becomes clearer.</w:t>
      </w:r>
      <w:r w:rsidR="00636B72" w:rsidRPr="005764FC">
        <w:t xml:space="preserve"> In the meantime, typical ITS and road safety funding mechanisms should be considered in relation to delivering the positive cost-benefits projected in the CBA options. </w:t>
      </w:r>
    </w:p>
    <w:p w14:paraId="48972EBF" w14:textId="77777777" w:rsidR="00227049" w:rsidRPr="005764FC" w:rsidRDefault="00227049" w:rsidP="00227049">
      <w:pPr>
        <w:pStyle w:val="BodyText"/>
      </w:pPr>
    </w:p>
    <w:p w14:paraId="52010564" w14:textId="1A0821E3" w:rsidR="00D05266" w:rsidRPr="005764FC" w:rsidRDefault="00D05266" w:rsidP="00D05266">
      <w:pPr>
        <w:pStyle w:val="Heading1"/>
      </w:pPr>
      <w:bookmarkStart w:id="267" w:name="_Toc94536713"/>
      <w:bookmarkStart w:id="268" w:name="_Toc94453166"/>
      <w:bookmarkStart w:id="269" w:name="_Toc97807803"/>
      <w:bookmarkEnd w:id="61"/>
      <w:bookmarkEnd w:id="62"/>
      <w:r w:rsidRPr="005764FC">
        <w:t xml:space="preserve">The </w:t>
      </w:r>
      <w:r w:rsidR="00D318C4" w:rsidRPr="005764FC">
        <w:t>R</w:t>
      </w:r>
      <w:r w:rsidRPr="005764FC">
        <w:t xml:space="preserve">oad </w:t>
      </w:r>
      <w:r w:rsidR="00D318C4" w:rsidRPr="005764FC">
        <w:t>A</w:t>
      </w:r>
      <w:r w:rsidRPr="005764FC">
        <w:t>head</w:t>
      </w:r>
      <w:bookmarkEnd w:id="267"/>
      <w:bookmarkEnd w:id="268"/>
      <w:bookmarkEnd w:id="269"/>
    </w:p>
    <w:p w14:paraId="32EC9EED" w14:textId="6D9B47E3" w:rsidR="00826800" w:rsidRPr="005764FC" w:rsidRDefault="0060420C" w:rsidP="00A87F03">
      <w:pPr>
        <w:pStyle w:val="BodyText"/>
      </w:pPr>
      <w:r w:rsidRPr="005764FC">
        <w:t>The principles highlight a need</w:t>
      </w:r>
      <w:r w:rsidR="002A16C0" w:rsidRPr="005764FC">
        <w:t xml:space="preserve"> to </w:t>
      </w:r>
      <w:r w:rsidR="00682E02" w:rsidRPr="005764FC">
        <w:rPr>
          <w:iCs/>
        </w:rPr>
        <w:t>kickstart</w:t>
      </w:r>
      <w:r w:rsidR="002A16C0" w:rsidRPr="005764FC">
        <w:t xml:space="preserve"> the process</w:t>
      </w:r>
      <w:r w:rsidR="00F0750B" w:rsidRPr="005764FC">
        <w:t xml:space="preserve"> of C</w:t>
      </w:r>
      <w:r w:rsidR="008A3437" w:rsidRPr="005764FC">
        <w:t>‑ITS</w:t>
      </w:r>
      <w:r w:rsidR="00F0750B" w:rsidRPr="005764FC">
        <w:t xml:space="preserve"> deployment given the </w:t>
      </w:r>
      <w:r w:rsidR="00823958" w:rsidRPr="005764FC">
        <w:t xml:space="preserve">ecosystem’s </w:t>
      </w:r>
      <w:r w:rsidR="00F0750B" w:rsidRPr="005764FC">
        <w:t>complexity</w:t>
      </w:r>
      <w:r w:rsidR="002A16C0" w:rsidRPr="005764FC">
        <w:t xml:space="preserve">. </w:t>
      </w:r>
      <w:r w:rsidR="00EB18F1" w:rsidRPr="005764FC">
        <w:t>A</w:t>
      </w:r>
      <w:r w:rsidR="002A16C0" w:rsidRPr="005764FC">
        <w:t xml:space="preserve">ctions and activities should </w:t>
      </w:r>
      <w:r w:rsidR="005B0C4D" w:rsidRPr="005764FC">
        <w:t>be prioritised</w:t>
      </w:r>
      <w:r w:rsidR="002A16C0" w:rsidRPr="005764FC">
        <w:t xml:space="preserve"> to develop a viable C</w:t>
      </w:r>
      <w:r w:rsidR="008A3437" w:rsidRPr="005764FC">
        <w:t>‑ITS</w:t>
      </w:r>
      <w:r w:rsidR="002A16C0" w:rsidRPr="005764FC">
        <w:t xml:space="preserve"> ecosystem</w:t>
      </w:r>
      <w:r w:rsidR="00EE0611" w:rsidRPr="005764FC">
        <w:t xml:space="preserve"> through a national </w:t>
      </w:r>
      <w:r w:rsidR="003B3BF6" w:rsidRPr="005764FC">
        <w:t>framework</w:t>
      </w:r>
      <w:r w:rsidR="002A16C0" w:rsidRPr="005764FC">
        <w:t>. Action</w:t>
      </w:r>
      <w:r w:rsidR="001D7326" w:rsidRPr="005764FC">
        <w:t>s</w:t>
      </w:r>
      <w:r w:rsidR="002A16C0" w:rsidRPr="005764FC">
        <w:t xml:space="preserve"> range from leadership, </w:t>
      </w:r>
      <w:r w:rsidR="00D30899" w:rsidRPr="005764FC">
        <w:t>p</w:t>
      </w:r>
      <w:r w:rsidR="006B465F" w:rsidRPr="005764FC">
        <w:t>olicy</w:t>
      </w:r>
      <w:r w:rsidR="00D30899" w:rsidRPr="005764FC">
        <w:t>, consider</w:t>
      </w:r>
      <w:r w:rsidR="00823958" w:rsidRPr="005764FC">
        <w:t xml:space="preserve">ing </w:t>
      </w:r>
      <w:r w:rsidR="00D30899" w:rsidRPr="005764FC">
        <w:t>common use cases and user need</w:t>
      </w:r>
      <w:r w:rsidR="00823958" w:rsidRPr="005764FC">
        <w:t>s</w:t>
      </w:r>
      <w:r w:rsidR="00D30899" w:rsidRPr="005764FC">
        <w:t xml:space="preserve">, </w:t>
      </w:r>
      <w:r w:rsidR="005000E2" w:rsidRPr="005764FC">
        <w:t>to invest</w:t>
      </w:r>
      <w:r w:rsidR="00823958" w:rsidRPr="005764FC">
        <w:t>ing</w:t>
      </w:r>
      <w:r w:rsidR="005000E2" w:rsidRPr="005764FC">
        <w:t xml:space="preserve"> in </w:t>
      </w:r>
      <w:r w:rsidR="005B68F9" w:rsidRPr="005764FC">
        <w:t>data management</w:t>
      </w:r>
      <w:r w:rsidR="00595DFA" w:rsidRPr="005764FC">
        <w:t xml:space="preserve">, </w:t>
      </w:r>
      <w:r w:rsidR="005B68F9" w:rsidRPr="005764FC">
        <w:t>systems</w:t>
      </w:r>
      <w:r w:rsidR="00085278" w:rsidRPr="005764FC">
        <w:t>,</w:t>
      </w:r>
      <w:r w:rsidR="005B68F9" w:rsidRPr="005764FC">
        <w:t xml:space="preserve"> and </w:t>
      </w:r>
      <w:r w:rsidR="006B465F" w:rsidRPr="005764FC">
        <w:t>infrastructure</w:t>
      </w:r>
      <w:r w:rsidR="005B68F9" w:rsidRPr="005764FC">
        <w:t xml:space="preserve">. </w:t>
      </w:r>
      <w:r w:rsidR="005E0EDA" w:rsidRPr="005764FC">
        <w:t>C</w:t>
      </w:r>
      <w:r w:rsidR="00F052E6" w:rsidRPr="005764FC">
        <w:t xml:space="preserve">lear leadership and broad agreement on approach </w:t>
      </w:r>
      <w:r w:rsidR="004D5D70" w:rsidRPr="005764FC">
        <w:t>will help</w:t>
      </w:r>
      <w:r w:rsidR="00F052E6" w:rsidRPr="005764FC">
        <w:t xml:space="preserve"> </w:t>
      </w:r>
      <w:r w:rsidR="004D5D70" w:rsidRPr="005764FC">
        <w:t xml:space="preserve">support </w:t>
      </w:r>
      <w:r w:rsidR="00F052E6" w:rsidRPr="005764FC">
        <w:t>vehicle manufacturers</w:t>
      </w:r>
      <w:r w:rsidR="004D5D70" w:rsidRPr="005764FC">
        <w:t xml:space="preserve">’ decisions </w:t>
      </w:r>
      <w:r w:rsidR="00F052E6" w:rsidRPr="005764FC">
        <w:t>to</w:t>
      </w:r>
      <w:r w:rsidR="004D5D70" w:rsidRPr="005764FC">
        <w:t xml:space="preserve"> confidently</w:t>
      </w:r>
      <w:r w:rsidR="00F052E6" w:rsidRPr="005764FC">
        <w:t xml:space="preserve"> </w:t>
      </w:r>
      <w:r w:rsidR="00706996" w:rsidRPr="005764FC">
        <w:t>bring C</w:t>
      </w:r>
      <w:r w:rsidR="008A3437" w:rsidRPr="005764FC">
        <w:t>‑ITS</w:t>
      </w:r>
      <w:r w:rsidR="00706996" w:rsidRPr="005764FC">
        <w:t xml:space="preserve"> services and systems to </w:t>
      </w:r>
      <w:r w:rsidR="00F052E6" w:rsidRPr="005764FC">
        <w:t>Australia</w:t>
      </w:r>
      <w:r w:rsidR="00823958" w:rsidRPr="005764FC">
        <w:t>’s</w:t>
      </w:r>
      <w:r w:rsidR="00F052E6" w:rsidRPr="005764FC">
        <w:t xml:space="preserve"> vehicle</w:t>
      </w:r>
      <w:r w:rsidR="00706996" w:rsidRPr="005764FC">
        <w:t xml:space="preserve"> fleet.</w:t>
      </w:r>
    </w:p>
    <w:p w14:paraId="1F6CF5F2" w14:textId="06096C85" w:rsidR="004D537D" w:rsidRPr="005764FC" w:rsidRDefault="002E7EF1" w:rsidP="00A87F03">
      <w:pPr>
        <w:pStyle w:val="BodyText"/>
      </w:pPr>
      <w:r w:rsidRPr="005764FC">
        <w:t xml:space="preserve">The </w:t>
      </w:r>
      <w:r w:rsidR="00823958" w:rsidRPr="005764FC">
        <w:t>‘</w:t>
      </w:r>
      <w:r w:rsidRPr="005764FC">
        <w:t>no regrets</w:t>
      </w:r>
      <w:r w:rsidR="00823958" w:rsidRPr="005764FC">
        <w:t>’</w:t>
      </w:r>
      <w:r w:rsidRPr="005764FC">
        <w:t xml:space="preserve"> principles </w:t>
      </w:r>
      <w:r w:rsidR="009A7D30" w:rsidRPr="005764FC">
        <w:t xml:space="preserve">for a national approach </w:t>
      </w:r>
      <w:r w:rsidR="00706996" w:rsidRPr="005764FC">
        <w:t>focus on</w:t>
      </w:r>
      <w:r w:rsidR="009A7D30" w:rsidRPr="005764FC">
        <w:t xml:space="preserve"> </w:t>
      </w:r>
      <w:r w:rsidR="0072548F" w:rsidRPr="005764FC">
        <w:t>building a</w:t>
      </w:r>
      <w:r w:rsidR="00725236" w:rsidRPr="005764FC">
        <w:t xml:space="preserve">n ecosystem </w:t>
      </w:r>
      <w:r w:rsidR="00043C9E" w:rsidRPr="005764FC">
        <w:t>to</w:t>
      </w:r>
      <w:r w:rsidR="003C749B" w:rsidRPr="005764FC">
        <w:t xml:space="preserve"> </w:t>
      </w:r>
      <w:r w:rsidR="00A604EA" w:rsidRPr="005764FC">
        <w:t xml:space="preserve">deliver </w:t>
      </w:r>
      <w:r w:rsidR="00EB21D6" w:rsidRPr="005764FC">
        <w:t xml:space="preserve">benefits now while </w:t>
      </w:r>
      <w:r w:rsidR="0050445B" w:rsidRPr="005764FC">
        <w:t>adapting to</w:t>
      </w:r>
      <w:r w:rsidR="00823958" w:rsidRPr="005764FC">
        <w:t xml:space="preserve"> </w:t>
      </w:r>
      <w:r w:rsidR="003C749B" w:rsidRPr="005764FC">
        <w:t xml:space="preserve">changes </w:t>
      </w:r>
      <w:r w:rsidR="0050445B" w:rsidRPr="005764FC">
        <w:t>in</w:t>
      </w:r>
      <w:r w:rsidR="00823958" w:rsidRPr="005764FC">
        <w:t xml:space="preserve"> </w:t>
      </w:r>
      <w:r w:rsidR="003C749B" w:rsidRPr="005764FC">
        <w:t>user need</w:t>
      </w:r>
      <w:r w:rsidR="00823958" w:rsidRPr="005764FC">
        <w:t>s</w:t>
      </w:r>
      <w:r w:rsidR="003C749B" w:rsidRPr="005764FC">
        <w:t>, technology</w:t>
      </w:r>
      <w:r w:rsidR="00823958" w:rsidRPr="005764FC">
        <w:t>,</w:t>
      </w:r>
      <w:r w:rsidR="003C749B" w:rsidRPr="005764FC">
        <w:t xml:space="preserve"> or the potential of new business models </w:t>
      </w:r>
      <w:r w:rsidR="0050445B" w:rsidRPr="005764FC">
        <w:t>that</w:t>
      </w:r>
      <w:r w:rsidR="00E268F1" w:rsidRPr="005764FC">
        <w:t xml:space="preserve"> </w:t>
      </w:r>
      <w:r w:rsidR="00273727" w:rsidRPr="005764FC">
        <w:t xml:space="preserve">achieve the outcomes sought. </w:t>
      </w:r>
      <w:r w:rsidR="009723E2" w:rsidRPr="005764FC">
        <w:t xml:space="preserve">This concept of </w:t>
      </w:r>
      <w:r w:rsidR="005F47C9" w:rsidRPr="005764FC">
        <w:t xml:space="preserve">defining </w:t>
      </w:r>
      <w:r w:rsidR="00406BFE" w:rsidRPr="005764FC">
        <w:t xml:space="preserve">a base system and </w:t>
      </w:r>
      <w:r w:rsidR="00A8487E" w:rsidRPr="005764FC">
        <w:t xml:space="preserve">allowing for </w:t>
      </w:r>
      <w:r w:rsidR="009723E2" w:rsidRPr="005764FC">
        <w:t xml:space="preserve">evolution </w:t>
      </w:r>
      <w:r w:rsidR="00A8487E" w:rsidRPr="005764FC">
        <w:t xml:space="preserve">is </w:t>
      </w:r>
      <w:r w:rsidR="00823958" w:rsidRPr="005764FC">
        <w:t xml:space="preserve">illustrated </w:t>
      </w:r>
      <w:r w:rsidR="008C6282" w:rsidRPr="005764FC">
        <w:t>in</w:t>
      </w:r>
      <w:r w:rsidR="00870A8D" w:rsidRPr="005764FC">
        <w:t xml:space="preserve"> </w:t>
      </w:r>
      <w:r w:rsidR="00870A8D" w:rsidRPr="005764FC">
        <w:fldChar w:fldCharType="begin" w:fldLock="1"/>
      </w:r>
      <w:r w:rsidR="00870A8D" w:rsidRPr="005764FC">
        <w:instrText xml:space="preserve"> REF _Ref87284712 \h </w:instrText>
      </w:r>
      <w:r w:rsidR="00870A8D" w:rsidRPr="005764FC">
        <w:fldChar w:fldCharType="separate"/>
      </w:r>
      <w:r w:rsidR="00A34B27" w:rsidRPr="005764FC">
        <w:t xml:space="preserve">Figure </w:t>
      </w:r>
      <w:r w:rsidR="00A34B27">
        <w:rPr>
          <w:noProof/>
        </w:rPr>
        <w:t>5</w:t>
      </w:r>
      <w:r w:rsidR="00A34B27" w:rsidRPr="005764FC">
        <w:t>.</w:t>
      </w:r>
      <w:r w:rsidR="00A34B27">
        <w:rPr>
          <w:noProof/>
        </w:rPr>
        <w:t>1</w:t>
      </w:r>
      <w:r w:rsidR="00870A8D" w:rsidRPr="005764FC">
        <w:fldChar w:fldCharType="end"/>
      </w:r>
      <w:r w:rsidR="00870A8D" w:rsidRPr="005764FC">
        <w:t>.</w:t>
      </w:r>
    </w:p>
    <w:p w14:paraId="36422B1E" w14:textId="0F4BA066" w:rsidR="00870A8D" w:rsidRPr="005764FC" w:rsidRDefault="0033546B" w:rsidP="004B31D0">
      <w:pPr>
        <w:pStyle w:val="Image"/>
      </w:pPr>
      <w:r w:rsidRPr="005764FC">
        <w:rPr>
          <w:noProof/>
          <w:lang w:eastAsia="en-AU"/>
        </w:rPr>
        <w:drawing>
          <wp:inline distT="0" distB="0" distL="0" distR="0" wp14:anchorId="29E487AE" wp14:editId="598A8B87">
            <wp:extent cx="6122670" cy="2918460"/>
            <wp:effectExtent l="0" t="0" r="0" b="0"/>
            <wp:docPr id="253" name="Picture 253" descr="Figure 5.1 shows a graphic of the process of deploying C-ITS as a pipeline or cone where the current state (shown as a Venn diagram within the cone) progresses to the future state (shown as a Venn diagram at the end of the cone). It shows that some vehicle connectivity use cases initially outside of C-ITS will remain there, and some will be incorporated into C-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2670" cy="2918460"/>
                    </a:xfrm>
                    <a:prstGeom prst="rect">
                      <a:avLst/>
                    </a:prstGeom>
                    <a:noFill/>
                    <a:ln>
                      <a:noFill/>
                    </a:ln>
                  </pic:spPr>
                </pic:pic>
              </a:graphicData>
            </a:graphic>
          </wp:inline>
        </w:drawing>
      </w:r>
    </w:p>
    <w:p w14:paraId="235993E8" w14:textId="777904CF" w:rsidR="003E645C" w:rsidRPr="005764FC" w:rsidRDefault="00870A8D" w:rsidP="0064289D">
      <w:pPr>
        <w:pStyle w:val="Caption"/>
        <w:keepNext w:val="0"/>
      </w:pPr>
      <w:bookmarkStart w:id="270" w:name="_Ref87284712"/>
      <w:bookmarkStart w:id="271" w:name="_Ref87384228"/>
      <w:bookmarkStart w:id="272" w:name="_Toc97807844"/>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5</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1</w:t>
      </w:r>
      <w:r w:rsidR="00287C9E" w:rsidRPr="005764FC">
        <w:fldChar w:fldCharType="end"/>
      </w:r>
      <w:bookmarkEnd w:id="270"/>
      <w:r w:rsidRPr="005764FC">
        <w:tab/>
      </w:r>
      <w:r w:rsidR="003C50FF" w:rsidRPr="005764FC">
        <w:t xml:space="preserve">Connected </w:t>
      </w:r>
      <w:r w:rsidR="00681E29" w:rsidRPr="005764FC">
        <w:t>v</w:t>
      </w:r>
      <w:r w:rsidR="003C50FF" w:rsidRPr="005764FC">
        <w:t>ehicle</w:t>
      </w:r>
      <w:r w:rsidRPr="005764FC">
        <w:t xml:space="preserve"> </w:t>
      </w:r>
      <w:r w:rsidR="00681E29" w:rsidRPr="005764FC">
        <w:t>c</w:t>
      </w:r>
      <w:r w:rsidRPr="005764FC">
        <w:t xml:space="preserve">one of </w:t>
      </w:r>
      <w:r w:rsidR="00681E29" w:rsidRPr="005764FC">
        <w:t>u</w:t>
      </w:r>
      <w:r w:rsidRPr="005764FC">
        <w:t>ncertainty</w:t>
      </w:r>
      <w:r w:rsidR="00681E29" w:rsidRPr="005764FC">
        <w:t xml:space="preserve"> and potential of backbone deployment</w:t>
      </w:r>
      <w:bookmarkEnd w:id="271"/>
      <w:bookmarkEnd w:id="272"/>
      <w:r w:rsidR="00681E29" w:rsidRPr="005764FC">
        <w:t xml:space="preserve"> </w:t>
      </w:r>
    </w:p>
    <w:p w14:paraId="3DBE2E6B" w14:textId="67F9A807" w:rsidR="00273727" w:rsidRPr="005764FC" w:rsidRDefault="009237C8" w:rsidP="00A87F03">
      <w:pPr>
        <w:pStyle w:val="BodyText"/>
      </w:pPr>
      <w:r w:rsidRPr="005764FC">
        <w:t>Key c</w:t>
      </w:r>
      <w:r w:rsidR="0043321A" w:rsidRPr="005764FC">
        <w:t>ons</w:t>
      </w:r>
      <w:r w:rsidR="00F27120" w:rsidRPr="005764FC">
        <w:t xml:space="preserve">iderations </w:t>
      </w:r>
      <w:r w:rsidR="003C50FF" w:rsidRPr="005764FC">
        <w:t>regarding uncertainty for connected vehicles</w:t>
      </w:r>
      <w:r w:rsidR="00FA6F85" w:rsidRPr="005764FC">
        <w:t xml:space="preserve"> outlined in </w:t>
      </w:r>
      <w:r w:rsidR="00FA6F85" w:rsidRPr="005764FC">
        <w:fldChar w:fldCharType="begin" w:fldLock="1"/>
      </w:r>
      <w:r w:rsidR="00FA6F85" w:rsidRPr="005764FC">
        <w:instrText xml:space="preserve"> REF _Ref87284712 \h </w:instrText>
      </w:r>
      <w:r w:rsidR="00FA6F85" w:rsidRPr="005764FC">
        <w:fldChar w:fldCharType="separate"/>
      </w:r>
      <w:r w:rsidR="00A34B27" w:rsidRPr="005764FC">
        <w:t xml:space="preserve">Figure </w:t>
      </w:r>
      <w:r w:rsidR="00A34B27">
        <w:rPr>
          <w:noProof/>
        </w:rPr>
        <w:t>5</w:t>
      </w:r>
      <w:r w:rsidR="00A34B27" w:rsidRPr="005764FC">
        <w:t>.</w:t>
      </w:r>
      <w:r w:rsidR="00A34B27">
        <w:rPr>
          <w:noProof/>
        </w:rPr>
        <w:t>1</w:t>
      </w:r>
      <w:r w:rsidR="00FA6F85" w:rsidRPr="005764FC">
        <w:fldChar w:fldCharType="end"/>
      </w:r>
      <w:r w:rsidR="003C50FF" w:rsidRPr="005764FC">
        <w:t>:</w:t>
      </w:r>
    </w:p>
    <w:p w14:paraId="58BD21C9" w14:textId="1775D58C" w:rsidR="007C7145" w:rsidRPr="005764FC" w:rsidRDefault="00FA6F85" w:rsidP="00854A66">
      <w:pPr>
        <w:pStyle w:val="ListBullet"/>
      </w:pPr>
      <w:r w:rsidRPr="005764FC">
        <w:t>P</w:t>
      </w:r>
      <w:r w:rsidR="00854A66" w:rsidRPr="005764FC">
        <w:t xml:space="preserve">ossible futures for connected vehicles from today on the left-hand side to all possible futures on the right-hand side of the cone. Potential </w:t>
      </w:r>
      <w:r w:rsidR="009623B8" w:rsidRPr="005764FC">
        <w:t xml:space="preserve">first available </w:t>
      </w:r>
      <w:r w:rsidR="00854A66" w:rsidRPr="005764FC">
        <w:t xml:space="preserve">services </w:t>
      </w:r>
      <w:r w:rsidR="008C16FB" w:rsidRPr="005764FC">
        <w:t>that address</w:t>
      </w:r>
      <w:r w:rsidR="00854A66" w:rsidRPr="005764FC">
        <w:t xml:space="preserve"> </w:t>
      </w:r>
      <w:r w:rsidR="00E42445" w:rsidRPr="005764FC">
        <w:t xml:space="preserve">the specific needs of a narrow but viable set of users - </w:t>
      </w:r>
      <w:r w:rsidR="00854A66" w:rsidRPr="005764FC">
        <w:t>such as urban or freight C</w:t>
      </w:r>
      <w:r w:rsidR="008A3437" w:rsidRPr="005764FC">
        <w:t>‑ITS</w:t>
      </w:r>
      <w:r w:rsidR="00854A66" w:rsidRPr="005764FC">
        <w:t xml:space="preserve"> implementation are realised </w:t>
      </w:r>
      <w:r w:rsidR="004C0DC6" w:rsidRPr="005764FC">
        <w:t>earlier</w:t>
      </w:r>
      <w:r w:rsidR="004B31D0" w:rsidRPr="005764FC">
        <w:t>.</w:t>
      </w:r>
    </w:p>
    <w:p w14:paraId="1B809ABA" w14:textId="5BDA33E7" w:rsidR="009623B8" w:rsidRPr="005764FC" w:rsidRDefault="009623B8" w:rsidP="009623B8">
      <w:pPr>
        <w:pStyle w:val="ListBullet"/>
      </w:pPr>
      <w:r w:rsidRPr="005764FC">
        <w:t>The growth capability is present with a foundations system encouraging uptake of C</w:t>
      </w:r>
      <w:r w:rsidR="008A3437" w:rsidRPr="005764FC">
        <w:t>‑ITS</w:t>
      </w:r>
      <w:r w:rsidRPr="005764FC">
        <w:t xml:space="preserve"> equipped vehicles and other C</w:t>
      </w:r>
      <w:r w:rsidR="008A3437" w:rsidRPr="005764FC">
        <w:t>‑ITS</w:t>
      </w:r>
      <w:r w:rsidRPr="005764FC">
        <w:t xml:space="preserve"> services utilising the core elements</w:t>
      </w:r>
      <w:r w:rsidR="004B31D0" w:rsidRPr="005764FC">
        <w:t>.</w:t>
      </w:r>
    </w:p>
    <w:p w14:paraId="59E0A51E" w14:textId="0AE2479B" w:rsidR="00854A66" w:rsidRPr="005764FC" w:rsidRDefault="00507F4A" w:rsidP="00854A66">
      <w:pPr>
        <w:pStyle w:val="ListBullet"/>
      </w:pPr>
      <w:r w:rsidRPr="005764FC">
        <w:t xml:space="preserve">Solutions that </w:t>
      </w:r>
      <w:r w:rsidR="00B35797" w:rsidRPr="005764FC">
        <w:t>are delivered outside of the C</w:t>
      </w:r>
      <w:r w:rsidR="008A3437" w:rsidRPr="005764FC">
        <w:t>‑ITS</w:t>
      </w:r>
      <w:r w:rsidR="00B35797" w:rsidRPr="005764FC">
        <w:t xml:space="preserve"> </w:t>
      </w:r>
      <w:r w:rsidR="00DF65E5" w:rsidRPr="005764FC">
        <w:t>ecosystem</w:t>
      </w:r>
      <w:r w:rsidR="00B456E4" w:rsidRPr="005764FC">
        <w:t xml:space="preserve"> </w:t>
      </w:r>
      <w:r w:rsidR="00961B49" w:rsidRPr="005764FC">
        <w:t>initially</w:t>
      </w:r>
      <w:r w:rsidR="00DF65E5" w:rsidRPr="005764FC">
        <w:t xml:space="preserve"> </w:t>
      </w:r>
      <w:r w:rsidR="00836391" w:rsidRPr="005764FC">
        <w:t xml:space="preserve">can be incorporated </w:t>
      </w:r>
      <w:r w:rsidR="00854A66" w:rsidRPr="005764FC">
        <w:t xml:space="preserve">into a future </w:t>
      </w:r>
      <w:r w:rsidR="00003CFB" w:rsidRPr="005764FC">
        <w:t>large-scale</w:t>
      </w:r>
      <w:r w:rsidR="005576EA" w:rsidRPr="005764FC">
        <w:t xml:space="preserve"> deployment</w:t>
      </w:r>
      <w:r w:rsidR="00F457F1" w:rsidRPr="005764FC">
        <w:t xml:space="preserve"> if a </w:t>
      </w:r>
      <w:r w:rsidR="00706996" w:rsidRPr="005764FC">
        <w:t>robust</w:t>
      </w:r>
      <w:r w:rsidR="00F457F1" w:rsidRPr="005764FC">
        <w:t xml:space="preserve"> framework </w:t>
      </w:r>
      <w:r w:rsidR="00A6506C" w:rsidRPr="005764FC">
        <w:t>exists</w:t>
      </w:r>
      <w:r w:rsidR="00854A66" w:rsidRPr="005764FC">
        <w:t>.</w:t>
      </w:r>
      <w:r w:rsidR="00A6506C" w:rsidRPr="005764FC">
        <w:t xml:space="preserve"> There </w:t>
      </w:r>
      <w:r w:rsidR="00A11F2F" w:rsidRPr="005764FC">
        <w:t>may be</w:t>
      </w:r>
      <w:r w:rsidR="00A6506C" w:rsidRPr="005764FC">
        <w:t xml:space="preserve"> other solutions which will deliver benefits to road users </w:t>
      </w:r>
      <w:r w:rsidR="00D607EE" w:rsidRPr="005764FC">
        <w:t>while</w:t>
      </w:r>
      <w:r w:rsidR="00A6506C" w:rsidRPr="005764FC">
        <w:t xml:space="preserve"> never </w:t>
      </w:r>
      <w:r w:rsidR="00003CFB" w:rsidRPr="005764FC">
        <w:t>form</w:t>
      </w:r>
      <w:r w:rsidR="00D607EE" w:rsidRPr="005764FC">
        <w:t>ing</w:t>
      </w:r>
      <w:r w:rsidR="00003CFB" w:rsidRPr="005764FC">
        <w:t xml:space="preserve"> part of the C</w:t>
      </w:r>
      <w:r w:rsidR="008A3437" w:rsidRPr="005764FC">
        <w:t>‑ITS</w:t>
      </w:r>
      <w:r w:rsidR="00003CFB" w:rsidRPr="005764FC">
        <w:t xml:space="preserve"> ecosystem</w:t>
      </w:r>
      <w:r w:rsidR="004B31D0" w:rsidRPr="005764FC">
        <w:t>.</w:t>
      </w:r>
    </w:p>
    <w:p w14:paraId="78C0B1B0" w14:textId="7B393BBD" w:rsidR="00F62D7C" w:rsidRPr="005764FC" w:rsidRDefault="008E5D66" w:rsidP="00A11F2F">
      <w:pPr>
        <w:pStyle w:val="ListBullet"/>
      </w:pPr>
      <w:r w:rsidRPr="005764FC">
        <w:t>A no</w:t>
      </w:r>
      <w:r w:rsidR="00273727" w:rsidRPr="005764FC">
        <w:t xml:space="preserve"> regrets</w:t>
      </w:r>
      <w:r w:rsidRPr="005764FC">
        <w:t xml:space="preserve"> pathway to developing a C</w:t>
      </w:r>
      <w:r w:rsidR="008A3437" w:rsidRPr="005764FC">
        <w:t>‑ITS</w:t>
      </w:r>
      <w:r w:rsidR="00E2122A" w:rsidRPr="005764FC">
        <w:t xml:space="preserve"> ecosystem</w:t>
      </w:r>
      <w:r w:rsidR="00273727" w:rsidRPr="005764FC">
        <w:t xml:space="preserve"> </w:t>
      </w:r>
      <w:r w:rsidR="00D8351B" w:rsidRPr="005764FC">
        <w:t>would shift development from the left</w:t>
      </w:r>
      <w:r w:rsidR="00273727" w:rsidRPr="005764FC">
        <w:t xml:space="preserve"> </w:t>
      </w:r>
      <w:r w:rsidR="00E4074C" w:rsidRPr="005764FC">
        <w:t xml:space="preserve">to the right of the cone </w:t>
      </w:r>
      <w:r w:rsidR="00273727" w:rsidRPr="005764FC">
        <w:t xml:space="preserve">and </w:t>
      </w:r>
      <w:r w:rsidR="00C17CC9" w:rsidRPr="005764FC">
        <w:t>consider</w:t>
      </w:r>
      <w:r w:rsidR="00F4602B" w:rsidRPr="005764FC">
        <w:t>s</w:t>
      </w:r>
      <w:r w:rsidR="00273727" w:rsidRPr="005764FC">
        <w:t xml:space="preserve"> movement towards the preferable future</w:t>
      </w:r>
      <w:r w:rsidR="00F57944" w:rsidRPr="005764FC">
        <w:t>. This preferable future</w:t>
      </w:r>
      <w:r w:rsidR="0028599C" w:rsidRPr="005764FC">
        <w:t xml:space="preserve"> </w:t>
      </w:r>
      <w:r w:rsidR="008F1BA4" w:rsidRPr="005764FC">
        <w:t>can</w:t>
      </w:r>
      <w:r w:rsidR="0028599C" w:rsidRPr="005764FC">
        <w:t xml:space="preserve"> return benefits to the end users, the community and be attractive </w:t>
      </w:r>
      <w:r w:rsidR="00842BA7" w:rsidRPr="005764FC">
        <w:t>to all parties involved in the ecosystem, particularly re</w:t>
      </w:r>
      <w:r w:rsidR="001F7A43" w:rsidRPr="005764FC">
        <w:t xml:space="preserve">cognising the need for </w:t>
      </w:r>
      <w:r w:rsidR="00DF1ADC" w:rsidRPr="005764FC">
        <w:t>private industry to understand the potential and establish viable business models</w:t>
      </w:r>
      <w:r w:rsidR="00273727" w:rsidRPr="005764FC">
        <w:t>.</w:t>
      </w:r>
    </w:p>
    <w:p w14:paraId="4B08B2E9" w14:textId="6A077571" w:rsidR="003F43CA" w:rsidRPr="005764FC" w:rsidRDefault="008B4EEE" w:rsidP="00346DC3">
      <w:pPr>
        <w:pStyle w:val="Heading2"/>
      </w:pPr>
      <w:bookmarkStart w:id="273" w:name="_Toc94536714"/>
      <w:bookmarkStart w:id="274" w:name="_Toc94453167"/>
      <w:bookmarkStart w:id="275" w:name="_Toc97807804"/>
      <w:r w:rsidRPr="005764FC">
        <w:t xml:space="preserve">National </w:t>
      </w:r>
      <w:r w:rsidR="00E655D2" w:rsidRPr="005764FC">
        <w:t>Framework and Shared Understanding</w:t>
      </w:r>
      <w:bookmarkEnd w:id="273"/>
      <w:bookmarkEnd w:id="274"/>
      <w:bookmarkEnd w:id="275"/>
    </w:p>
    <w:tbl>
      <w:tblPr>
        <w:tblStyle w:val="PullOutBoxTable"/>
        <w:tblpPr w:leftFromText="180" w:rightFromText="180" w:vertAnchor="text" w:tblpXSpec="right" w:tblpY="1"/>
        <w:tblOverlap w:val="never"/>
        <w:tblW w:w="4536" w:type="dxa"/>
        <w:jc w:val="right"/>
        <w:tblInd w:w="0" w:type="dxa"/>
        <w:tblLook w:val="0600" w:firstRow="0" w:lastRow="0" w:firstColumn="0" w:lastColumn="0" w:noHBand="1" w:noVBand="1"/>
      </w:tblPr>
      <w:tblGrid>
        <w:gridCol w:w="4536"/>
      </w:tblGrid>
      <w:tr w:rsidR="00970510" w:rsidRPr="005764FC" w14:paraId="1E8BEA04" w14:textId="77777777" w:rsidTr="008864B6">
        <w:trPr>
          <w:jc w:val="right"/>
        </w:trPr>
        <w:tc>
          <w:tcPr>
            <w:tcW w:w="5000" w:type="pct"/>
            <w:shd w:val="clear" w:color="auto" w:fill="E4E8EC" w:themeFill="accent3" w:themeFillTint="1A"/>
          </w:tcPr>
          <w:p w14:paraId="77E64C31" w14:textId="43A024D9" w:rsidR="00970510" w:rsidRPr="005764FC" w:rsidRDefault="00FB1C61" w:rsidP="00970510">
            <w:pPr>
              <w:pStyle w:val="PullOutBoxHeading"/>
            </w:pPr>
            <w:r w:rsidRPr="005764FC">
              <w:t>A Common Language</w:t>
            </w:r>
          </w:p>
          <w:p w14:paraId="5017FEA1" w14:textId="4565A81B" w:rsidR="0073753D" w:rsidRPr="005764FC" w:rsidRDefault="00BB397F" w:rsidP="00C935B9">
            <w:pPr>
              <w:pStyle w:val="PullOutBoxBodyText"/>
            </w:pPr>
            <w:r w:rsidRPr="005764FC">
              <w:t>The benefits of C</w:t>
            </w:r>
            <w:r w:rsidR="008A3437" w:rsidRPr="005764FC">
              <w:t>‑ITS</w:t>
            </w:r>
            <w:r w:rsidRPr="005764FC">
              <w:t xml:space="preserve"> </w:t>
            </w:r>
            <w:r w:rsidR="002A2AFF" w:rsidRPr="005764FC">
              <w:t>are</w:t>
            </w:r>
            <w:r w:rsidR="00317B70" w:rsidRPr="005764FC">
              <w:t xml:space="preserve"> </w:t>
            </w:r>
            <w:r w:rsidR="00E0726B" w:rsidRPr="005764FC">
              <w:t>dependent</w:t>
            </w:r>
            <w:r w:rsidR="00317B70" w:rsidRPr="005764FC">
              <w:t xml:space="preserve"> on agreement</w:t>
            </w:r>
            <w:r w:rsidR="009E7DD4" w:rsidRPr="005764FC">
              <w:t xml:space="preserve"> between </w:t>
            </w:r>
            <w:r w:rsidR="00E0726B" w:rsidRPr="005764FC">
              <w:t xml:space="preserve">parties that </w:t>
            </w:r>
            <w:r w:rsidR="004B3737" w:rsidRPr="005764FC">
              <w:t xml:space="preserve">have had limited interaction previously. </w:t>
            </w:r>
            <w:r w:rsidR="00A11F2F" w:rsidRPr="005764FC">
              <w:t>W</w:t>
            </w:r>
            <w:r w:rsidR="00EE5573" w:rsidRPr="005764FC">
              <w:t xml:space="preserve">orking groups </w:t>
            </w:r>
            <w:r w:rsidR="006560E3" w:rsidRPr="005764FC">
              <w:t xml:space="preserve">and forums </w:t>
            </w:r>
            <w:r w:rsidR="0066751A" w:rsidRPr="005764FC">
              <w:t xml:space="preserve">are needed </w:t>
            </w:r>
            <w:r w:rsidR="006560E3" w:rsidRPr="005764FC">
              <w:t xml:space="preserve">to </w:t>
            </w:r>
            <w:r w:rsidR="00B87FD2" w:rsidRPr="005764FC">
              <w:t>build a shared understanding</w:t>
            </w:r>
            <w:r w:rsidR="00042CDD" w:rsidRPr="005764FC">
              <w:t xml:space="preserve">. </w:t>
            </w:r>
          </w:p>
          <w:p w14:paraId="557FAFE6" w14:textId="2A827BFE" w:rsidR="00C935B9" w:rsidRPr="005764FC" w:rsidRDefault="00E05951" w:rsidP="00C935B9">
            <w:pPr>
              <w:pStyle w:val="PullOutBoxBodyText"/>
            </w:pPr>
            <w:r w:rsidRPr="005764FC">
              <w:t xml:space="preserve">Misinterpretation will limit the benefits </w:t>
            </w:r>
            <w:r w:rsidR="00095B52" w:rsidRPr="005764FC">
              <w:t xml:space="preserve">and efficiencies </w:t>
            </w:r>
            <w:r w:rsidR="00A11F2F" w:rsidRPr="005764FC">
              <w:t xml:space="preserve">that would otherwise be </w:t>
            </w:r>
            <w:r w:rsidR="00095B52" w:rsidRPr="005764FC">
              <w:t xml:space="preserve">possible </w:t>
            </w:r>
            <w:r w:rsidR="00A11F2F" w:rsidRPr="005764FC">
              <w:t xml:space="preserve">when key parties recognise </w:t>
            </w:r>
            <w:r w:rsidR="005F4C08" w:rsidRPr="005764FC">
              <w:t>and work towards</w:t>
            </w:r>
            <w:r w:rsidR="00F8650C" w:rsidRPr="005764FC">
              <w:t xml:space="preserve"> a common goal. </w:t>
            </w:r>
          </w:p>
        </w:tc>
      </w:tr>
    </w:tbl>
    <w:p w14:paraId="5DB59F1E" w14:textId="44C5238D" w:rsidR="00E77BFD" w:rsidRPr="005764FC" w:rsidRDefault="00A96BBB" w:rsidP="00A87F03">
      <w:pPr>
        <w:pStyle w:val="BodyText"/>
      </w:pPr>
      <w:r w:rsidRPr="005764FC">
        <w:t>A</w:t>
      </w:r>
      <w:r w:rsidR="004816CB" w:rsidRPr="005764FC">
        <w:t xml:space="preserve"> </w:t>
      </w:r>
      <w:r w:rsidR="00126EB7" w:rsidRPr="005764FC">
        <w:t xml:space="preserve">robust </w:t>
      </w:r>
      <w:r w:rsidRPr="005764FC">
        <w:t xml:space="preserve">national </w:t>
      </w:r>
      <w:r w:rsidR="00F60303" w:rsidRPr="005764FC">
        <w:t>framework</w:t>
      </w:r>
      <w:r w:rsidR="00126EB7" w:rsidRPr="005764FC">
        <w:t xml:space="preserve"> </w:t>
      </w:r>
      <w:r w:rsidR="004D6896" w:rsidRPr="005764FC">
        <w:t>should</w:t>
      </w:r>
      <w:r w:rsidRPr="005764FC">
        <w:t xml:space="preserve"> </w:t>
      </w:r>
      <w:r w:rsidR="00B60B57" w:rsidRPr="005764FC">
        <w:t xml:space="preserve">provide initial national direction for </w:t>
      </w:r>
      <w:r w:rsidR="00126EB7" w:rsidRPr="005764FC">
        <w:t xml:space="preserve">many different </w:t>
      </w:r>
      <w:r w:rsidR="00F60303" w:rsidRPr="005764FC">
        <w:t>industries</w:t>
      </w:r>
      <w:r w:rsidR="00126EB7" w:rsidRPr="005764FC">
        <w:t xml:space="preserve">, levels of government and </w:t>
      </w:r>
      <w:r w:rsidR="00D10313" w:rsidRPr="005764FC">
        <w:t>u</w:t>
      </w:r>
      <w:r w:rsidR="00126EB7" w:rsidRPr="005764FC">
        <w:t>ser</w:t>
      </w:r>
      <w:r w:rsidR="00D10313" w:rsidRPr="005764FC">
        <w:t>s</w:t>
      </w:r>
      <w:r w:rsidR="00893983" w:rsidRPr="005764FC">
        <w:t xml:space="preserve">. </w:t>
      </w:r>
      <w:r w:rsidR="00FE09CB" w:rsidRPr="005764FC">
        <w:t>A</w:t>
      </w:r>
      <w:r w:rsidR="00592176" w:rsidRPr="005764FC">
        <w:t xml:space="preserve"> framework</w:t>
      </w:r>
      <w:r w:rsidR="001417AC" w:rsidRPr="005764FC">
        <w:t xml:space="preserve"> </w:t>
      </w:r>
      <w:r w:rsidR="00FE09CB" w:rsidRPr="005764FC">
        <w:t>need</w:t>
      </w:r>
      <w:r w:rsidR="0034741C" w:rsidRPr="005764FC">
        <w:t>s</w:t>
      </w:r>
      <w:r w:rsidR="00FE09CB" w:rsidRPr="005764FC">
        <w:t xml:space="preserve"> to be developed to meet the </w:t>
      </w:r>
      <w:r w:rsidR="00FA29BE" w:rsidRPr="005764FC">
        <w:t xml:space="preserve">needs of all key </w:t>
      </w:r>
      <w:r w:rsidR="005B7FF0" w:rsidRPr="005764FC">
        <w:t>parties</w:t>
      </w:r>
      <w:r w:rsidR="00FA29BE" w:rsidRPr="005764FC">
        <w:t xml:space="preserve"> </w:t>
      </w:r>
      <w:r w:rsidR="0034741C" w:rsidRPr="005764FC">
        <w:t xml:space="preserve">and </w:t>
      </w:r>
      <w:r w:rsidR="00FA29BE" w:rsidRPr="005764FC">
        <w:t>to</w:t>
      </w:r>
      <w:r w:rsidR="005C56DA" w:rsidRPr="005764FC">
        <w:t xml:space="preserve"> above all</w:t>
      </w:r>
      <w:r w:rsidR="0034741C" w:rsidRPr="005764FC">
        <w:t>,</w:t>
      </w:r>
      <w:r w:rsidR="00FA29BE" w:rsidRPr="005764FC">
        <w:t xml:space="preserve"> provide</w:t>
      </w:r>
      <w:r w:rsidR="005C56DA" w:rsidRPr="005764FC">
        <w:t xml:space="preserve"> certainty</w:t>
      </w:r>
      <w:r w:rsidR="00437AAA" w:rsidRPr="005764FC">
        <w:t xml:space="preserve"> which allows</w:t>
      </w:r>
      <w:r w:rsidR="005457C5" w:rsidRPr="005764FC">
        <w:t>:</w:t>
      </w:r>
    </w:p>
    <w:p w14:paraId="672463AB" w14:textId="1A06DC1E" w:rsidR="00E77BFD" w:rsidRPr="005764FC" w:rsidRDefault="004B31D0" w:rsidP="004B31D0">
      <w:pPr>
        <w:pStyle w:val="ListBullet"/>
        <w:ind w:left="357" w:hanging="357"/>
        <w:contextualSpacing/>
      </w:pPr>
      <w:r w:rsidRPr="005764FC">
        <w:t>A</w:t>
      </w:r>
      <w:r w:rsidR="00437AAA" w:rsidRPr="005764FC">
        <w:t xml:space="preserve"> detailed roadmap </w:t>
      </w:r>
      <w:r w:rsidR="005F4C08" w:rsidRPr="005764FC">
        <w:t xml:space="preserve">with objectives, </w:t>
      </w:r>
      <w:r w:rsidR="005457C5" w:rsidRPr="005764FC">
        <w:t xml:space="preserve">target state </w:t>
      </w:r>
      <w:r w:rsidR="005F4C08" w:rsidRPr="005764FC">
        <w:t xml:space="preserve">(interoperability) </w:t>
      </w:r>
      <w:r w:rsidR="005457C5" w:rsidRPr="005764FC">
        <w:t>and timeframe</w:t>
      </w:r>
      <w:r w:rsidR="005F4C08" w:rsidRPr="005764FC">
        <w:t>s</w:t>
      </w:r>
      <w:r w:rsidR="0074707F" w:rsidRPr="005764FC">
        <w:t xml:space="preserve"> to galvanise an approach to deployment</w:t>
      </w:r>
    </w:p>
    <w:p w14:paraId="5581AFEB" w14:textId="241F52F8" w:rsidR="00AE5648" w:rsidRPr="005764FC" w:rsidRDefault="004B31D0" w:rsidP="004B31D0">
      <w:pPr>
        <w:pStyle w:val="ListBullet"/>
        <w:ind w:left="357" w:hanging="357"/>
        <w:contextualSpacing/>
      </w:pPr>
      <w:r w:rsidRPr="005764FC">
        <w:t>Early</w:t>
      </w:r>
      <w:r w:rsidR="007F1C7E" w:rsidRPr="005764FC">
        <w:t xml:space="preserve"> deployments to occur </w:t>
      </w:r>
      <w:r w:rsidR="00A44062" w:rsidRPr="005764FC">
        <w:t>w</w:t>
      </w:r>
      <w:r w:rsidR="000F41A8" w:rsidRPr="005764FC">
        <w:t xml:space="preserve">ith </w:t>
      </w:r>
      <w:r w:rsidR="00AE5648" w:rsidRPr="005764FC">
        <w:t>investment confidence</w:t>
      </w:r>
      <w:r w:rsidRPr="005764FC">
        <w:t>.</w:t>
      </w:r>
    </w:p>
    <w:p w14:paraId="4D0C73FD" w14:textId="3375F1E1" w:rsidR="008166F5" w:rsidRPr="005764FC" w:rsidRDefault="004B31D0" w:rsidP="004B31D0">
      <w:pPr>
        <w:pStyle w:val="ListBullet"/>
        <w:ind w:left="357" w:hanging="357"/>
        <w:contextualSpacing/>
      </w:pPr>
      <w:r w:rsidRPr="005764FC">
        <w:t>Experts</w:t>
      </w:r>
      <w:r w:rsidR="00113B78" w:rsidRPr="005764FC">
        <w:t xml:space="preserve"> </w:t>
      </w:r>
      <w:r w:rsidR="00E83739" w:rsidRPr="005764FC">
        <w:t xml:space="preserve">to </w:t>
      </w:r>
      <w:r w:rsidR="002E0ED2" w:rsidRPr="005764FC">
        <w:t xml:space="preserve">establish </w:t>
      </w:r>
      <w:r w:rsidR="00D475AA" w:rsidRPr="005764FC">
        <w:t xml:space="preserve">delivery models </w:t>
      </w:r>
      <w:r w:rsidR="00002475" w:rsidRPr="005764FC">
        <w:t>for each aspect needed to deliver the roadmap</w:t>
      </w:r>
      <w:r w:rsidR="005412AC" w:rsidRPr="005764FC">
        <w:t xml:space="preserve"> including potential investment options</w:t>
      </w:r>
    </w:p>
    <w:p w14:paraId="3C5BD86D" w14:textId="5E97B843" w:rsidR="00506DDB" w:rsidRPr="005764FC" w:rsidRDefault="004B31D0" w:rsidP="004B31D0">
      <w:pPr>
        <w:pStyle w:val="ListBullet"/>
        <w:ind w:left="357" w:hanging="357"/>
        <w:contextualSpacing/>
      </w:pPr>
      <w:r w:rsidRPr="005764FC">
        <w:t>Industry</w:t>
      </w:r>
      <w:r w:rsidR="00E413D8" w:rsidRPr="005764FC">
        <w:t xml:space="preserve"> to validate </w:t>
      </w:r>
      <w:r w:rsidR="0079343D" w:rsidRPr="005764FC">
        <w:t xml:space="preserve">business </w:t>
      </w:r>
      <w:r w:rsidR="00DB29FB" w:rsidRPr="005764FC">
        <w:t xml:space="preserve">models and technical delivery within the </w:t>
      </w:r>
      <w:r w:rsidR="00506DDB" w:rsidRPr="005764FC">
        <w:t>Australian</w:t>
      </w:r>
      <w:r w:rsidR="005C350A" w:rsidRPr="005764FC">
        <w:t xml:space="preserve"> context</w:t>
      </w:r>
      <w:r w:rsidR="000B3024" w:rsidRPr="005764FC">
        <w:t xml:space="preserve"> </w:t>
      </w:r>
    </w:p>
    <w:tbl>
      <w:tblPr>
        <w:tblStyle w:val="PullOutBoxTable"/>
        <w:tblW w:w="9639" w:type="dxa"/>
        <w:tblInd w:w="0" w:type="dxa"/>
        <w:tblLook w:val="0600" w:firstRow="0" w:lastRow="0" w:firstColumn="0" w:lastColumn="0" w:noHBand="1" w:noVBand="1"/>
      </w:tblPr>
      <w:tblGrid>
        <w:gridCol w:w="9639"/>
      </w:tblGrid>
      <w:tr w:rsidR="008864B6" w:rsidRPr="005764FC" w14:paraId="5C42DB2B" w14:textId="77777777" w:rsidTr="004B31D0">
        <w:tc>
          <w:tcPr>
            <w:tcW w:w="5000" w:type="pct"/>
            <w:shd w:val="clear" w:color="auto" w:fill="E4E8EC" w:themeFill="accent3" w:themeFillTint="1A"/>
          </w:tcPr>
          <w:p w14:paraId="74A612D9" w14:textId="77777777" w:rsidR="008864B6" w:rsidRPr="005764FC" w:rsidRDefault="008864B6" w:rsidP="004B31D0">
            <w:pPr>
              <w:pStyle w:val="PullOutBoxHeading"/>
            </w:pPr>
            <w:r w:rsidRPr="005764FC">
              <w:t xml:space="preserve">A FRamework for all </w:t>
            </w:r>
          </w:p>
          <w:p w14:paraId="222E10AF" w14:textId="31619C21" w:rsidR="008864B6" w:rsidRPr="005764FC" w:rsidRDefault="008864B6" w:rsidP="004B31D0">
            <w:pPr>
              <w:pStyle w:val="PullOutBoxBodyText"/>
            </w:pPr>
            <w:r w:rsidRPr="005764FC">
              <w:t xml:space="preserve">Certainty of timing and intent of key actions is critical to all parties involved in the C‑ITS ecosystem. C‑ITS requires considerable effort across a wide range of factors: technology, data, user experience, strategy, processes, financial, etc. A roadmap articulating these activities along with consideration of the necessity of parallel versus sequential tasks helps understand where collaboration is needed and where blockers exist. Some examples of frameworks include Zenzic </w:t>
            </w:r>
            <w:sdt>
              <w:sdtPr>
                <w:id w:val="1333715019"/>
                <w:citation/>
              </w:sdtPr>
              <w:sdtContent>
                <w:r w:rsidR="00BB0E57">
                  <w:fldChar w:fldCharType="begin"/>
                </w:r>
                <w:r w:rsidR="00BB0E57">
                  <w:instrText xml:space="preserve">CITATION Zen21 \n  \t  \l 3081 </w:instrText>
                </w:r>
                <w:r w:rsidR="00BB0E57">
                  <w:fldChar w:fldCharType="separate"/>
                </w:r>
                <w:r w:rsidR="001428F9">
                  <w:rPr>
                    <w:noProof/>
                  </w:rPr>
                  <w:t>(2021)</w:t>
                </w:r>
                <w:r w:rsidR="00BB0E57">
                  <w:fldChar w:fldCharType="end"/>
                </w:r>
              </w:sdtContent>
            </w:sdt>
            <w:r w:rsidRPr="005764FC">
              <w:t xml:space="preserve"> in Europe and the SAE</w:t>
            </w:r>
            <w:sdt>
              <w:sdtPr>
                <w:id w:val="1402029553"/>
                <w:citation/>
              </w:sdtPr>
              <w:sdtContent>
                <w:r w:rsidR="00373905">
                  <w:fldChar w:fldCharType="begin"/>
                </w:r>
                <w:r w:rsidR="00373905">
                  <w:instrText xml:space="preserve">CITATION SAE22 \n  \t  \l 3081 </w:instrText>
                </w:r>
                <w:r w:rsidR="00373905">
                  <w:fldChar w:fldCharType="separate"/>
                </w:r>
                <w:r w:rsidR="001428F9">
                  <w:rPr>
                    <w:noProof/>
                  </w:rPr>
                  <w:t xml:space="preserve"> (2022)</w:t>
                </w:r>
                <w:r w:rsidR="00373905">
                  <w:fldChar w:fldCharType="end"/>
                </w:r>
              </w:sdtContent>
            </w:sdt>
            <w:r w:rsidRPr="005764FC">
              <w:t xml:space="preserve"> in the US . These examples help relay the volume of activities </w:t>
            </w:r>
            <w:r w:rsidR="00437F3D" w:rsidRPr="005764FC">
              <w:t>needed</w:t>
            </w:r>
            <w:r w:rsidRPr="005764FC">
              <w:t xml:space="preserve"> to achieve C‑ITS deployment. </w:t>
            </w:r>
          </w:p>
        </w:tc>
      </w:tr>
    </w:tbl>
    <w:p w14:paraId="327C05B5" w14:textId="2E06064E" w:rsidR="00FA29BE" w:rsidRPr="005764FC" w:rsidRDefault="007B4433" w:rsidP="00506DDB">
      <w:pPr>
        <w:pStyle w:val="BodyText"/>
      </w:pPr>
      <w:r w:rsidRPr="005764FC">
        <w:t xml:space="preserve">The framework should </w:t>
      </w:r>
      <w:r w:rsidR="0092471E" w:rsidRPr="005764FC">
        <w:t xml:space="preserve">leverage </w:t>
      </w:r>
      <w:r w:rsidRPr="005764FC">
        <w:t>the principles for a national approach to C</w:t>
      </w:r>
      <w:r w:rsidR="008A3437" w:rsidRPr="005764FC">
        <w:t>‑ITS</w:t>
      </w:r>
      <w:r w:rsidR="007475B5" w:rsidRPr="005764FC">
        <w:t xml:space="preserve"> outlined in Section 4</w:t>
      </w:r>
      <w:r w:rsidR="001A12C6" w:rsidRPr="005764FC">
        <w:t xml:space="preserve"> and</w:t>
      </w:r>
      <w:r w:rsidR="00337F30" w:rsidRPr="005764FC">
        <w:t xml:space="preserve"> provid</w:t>
      </w:r>
      <w:r w:rsidR="001A12C6" w:rsidRPr="005764FC">
        <w:t>e</w:t>
      </w:r>
      <w:r w:rsidR="00337F30" w:rsidRPr="005764FC">
        <w:t>:</w:t>
      </w:r>
    </w:p>
    <w:p w14:paraId="7304864C" w14:textId="14EECE5E" w:rsidR="00016B5A" w:rsidRPr="005764FC" w:rsidRDefault="00984E08" w:rsidP="00984E08">
      <w:pPr>
        <w:pStyle w:val="ListBullet"/>
      </w:pPr>
      <w:r w:rsidRPr="005764FC">
        <w:rPr>
          <w:b/>
          <w:bCs/>
        </w:rPr>
        <w:t xml:space="preserve">Clarity </w:t>
      </w:r>
      <w:r w:rsidR="00870373" w:rsidRPr="005764FC">
        <w:rPr>
          <w:b/>
          <w:bCs/>
        </w:rPr>
        <w:t>on C</w:t>
      </w:r>
      <w:r w:rsidR="008A3437" w:rsidRPr="005764FC">
        <w:rPr>
          <w:b/>
          <w:bCs/>
        </w:rPr>
        <w:t>‑ITS</w:t>
      </w:r>
      <w:r w:rsidR="00870373" w:rsidRPr="005764FC">
        <w:rPr>
          <w:b/>
          <w:bCs/>
        </w:rPr>
        <w:t xml:space="preserve"> and its potential benefits</w:t>
      </w:r>
      <w:r w:rsidR="00870373" w:rsidRPr="005764FC">
        <w:t xml:space="preserve">: </w:t>
      </w:r>
      <w:r w:rsidR="00C91D27" w:rsidRPr="005764FC">
        <w:t>through clear agreed taxonomy</w:t>
      </w:r>
      <w:r w:rsidR="00ED514E" w:rsidRPr="005764FC">
        <w:t>, terminology, references</w:t>
      </w:r>
      <w:r w:rsidR="007828BF" w:rsidRPr="005764FC">
        <w:t>, standards and exam</w:t>
      </w:r>
      <w:r w:rsidR="00CA6573" w:rsidRPr="005764FC">
        <w:t>ples</w:t>
      </w:r>
      <w:r w:rsidR="0046400B" w:rsidRPr="005764FC">
        <w:t xml:space="preserve"> the framework should align understanding of C</w:t>
      </w:r>
      <w:r w:rsidR="008A3437" w:rsidRPr="005764FC">
        <w:t>‑ITS</w:t>
      </w:r>
      <w:r w:rsidR="0046400B" w:rsidRPr="005764FC">
        <w:t xml:space="preserve"> and make understanding of it and its potential benefits </w:t>
      </w:r>
      <w:r w:rsidR="00BA091F" w:rsidRPr="005764FC">
        <w:t xml:space="preserve">easy for stakeholders of all knowledge levels as far as is reasonably practicable. </w:t>
      </w:r>
      <w:r w:rsidR="00941C7D" w:rsidRPr="005764FC">
        <w:t xml:space="preserve">Consistent and accessible knowledge sharing </w:t>
      </w:r>
      <w:r w:rsidR="0037469C" w:rsidRPr="005764FC">
        <w:t>should be facilitated by the framework to further understanding and optimise</w:t>
      </w:r>
      <w:r w:rsidR="00D23BF3" w:rsidRPr="005764FC">
        <w:t xml:space="preserve"> efforts to achieve benefits.</w:t>
      </w:r>
    </w:p>
    <w:p w14:paraId="1BB91DD1" w14:textId="363D930C" w:rsidR="00984E08" w:rsidRPr="005764FC" w:rsidRDefault="00732534" w:rsidP="00984E08">
      <w:pPr>
        <w:pStyle w:val="ListBullet"/>
      </w:pPr>
      <w:r w:rsidRPr="005764FC">
        <w:rPr>
          <w:b/>
          <w:bCs/>
        </w:rPr>
        <w:t xml:space="preserve">Clear </w:t>
      </w:r>
      <w:r w:rsidR="00434932" w:rsidRPr="005764FC">
        <w:rPr>
          <w:b/>
          <w:bCs/>
        </w:rPr>
        <w:t>governance and</w:t>
      </w:r>
      <w:r w:rsidRPr="005764FC">
        <w:rPr>
          <w:b/>
          <w:bCs/>
        </w:rPr>
        <w:t xml:space="preserve"> actions</w:t>
      </w:r>
      <w:r w:rsidRPr="005764FC">
        <w:t xml:space="preserve">: </w:t>
      </w:r>
      <w:r w:rsidR="009626A4" w:rsidRPr="005764FC">
        <w:t>activities and actions should be clearly described</w:t>
      </w:r>
      <w:r w:rsidR="00BC0E83" w:rsidRPr="005764FC">
        <w:t xml:space="preserve"> including scope, </w:t>
      </w:r>
      <w:r w:rsidR="003D1700" w:rsidRPr="005764FC">
        <w:t xml:space="preserve">objectives and context </w:t>
      </w:r>
      <w:r w:rsidR="00FC46D0" w:rsidRPr="005764FC">
        <w:t>while stating the parties</w:t>
      </w:r>
      <w:r w:rsidR="00ED2E4B" w:rsidRPr="005764FC">
        <w:t xml:space="preserve"> and persons responsible for completion. </w:t>
      </w:r>
      <w:r w:rsidR="005A57F7" w:rsidRPr="005764FC">
        <w:t xml:space="preserve">This provides accountability and encourages communication and collaboration while </w:t>
      </w:r>
      <w:r w:rsidR="00FF70E9" w:rsidRPr="005764FC">
        <w:t>avoiding duplication of effort; improving efficiency and time to benefit realisation</w:t>
      </w:r>
      <w:r w:rsidR="000B3024" w:rsidRPr="005764FC">
        <w:t xml:space="preserve">. </w:t>
      </w:r>
      <w:r w:rsidR="007C6868" w:rsidRPr="005764FC">
        <w:t xml:space="preserve"> </w:t>
      </w:r>
    </w:p>
    <w:p w14:paraId="34E8A8D4" w14:textId="4C6CEF81" w:rsidR="009E5AD0" w:rsidRPr="005764FC" w:rsidRDefault="009E5AD0" w:rsidP="00984E08">
      <w:pPr>
        <w:pStyle w:val="ListBullet"/>
      </w:pPr>
      <w:r w:rsidRPr="005764FC">
        <w:rPr>
          <w:b/>
          <w:bCs/>
        </w:rPr>
        <w:t>Flexibility</w:t>
      </w:r>
      <w:r w:rsidRPr="005764FC">
        <w:t xml:space="preserve">: recognising the rapidly evolving nature of technology and </w:t>
      </w:r>
      <w:r w:rsidR="00230554" w:rsidRPr="005764FC">
        <w:t xml:space="preserve">likely changes in use cases and user needs over time, the framework must </w:t>
      </w:r>
      <w:r w:rsidR="00165106" w:rsidRPr="005764FC">
        <w:t>be flexible and provide users with scope to respond</w:t>
      </w:r>
      <w:r w:rsidR="00F51DA2" w:rsidRPr="005764FC">
        <w:t xml:space="preserve"> to changes appropriately</w:t>
      </w:r>
      <w:r w:rsidR="00D46956" w:rsidRPr="005764FC">
        <w:t>.</w:t>
      </w:r>
    </w:p>
    <w:p w14:paraId="6E049DA7" w14:textId="1D8C7C28" w:rsidR="006A1E91" w:rsidRPr="005764FC" w:rsidRDefault="007B4433" w:rsidP="00D46956">
      <w:pPr>
        <w:pStyle w:val="ListBullet"/>
      </w:pPr>
      <w:r w:rsidRPr="005764FC">
        <w:rPr>
          <w:b/>
          <w:bCs/>
        </w:rPr>
        <w:t>R</w:t>
      </w:r>
      <w:r w:rsidR="00EF65B9" w:rsidRPr="005764FC">
        <w:rPr>
          <w:b/>
          <w:bCs/>
        </w:rPr>
        <w:t>obust compliance</w:t>
      </w:r>
      <w:r w:rsidR="00EF65B9" w:rsidRPr="005764FC">
        <w:rPr>
          <w:b/>
        </w:rPr>
        <w:t xml:space="preserve">: </w:t>
      </w:r>
      <w:r w:rsidR="006F4A2B" w:rsidRPr="005764FC">
        <w:t>t</w:t>
      </w:r>
      <w:r w:rsidR="00EF65B9" w:rsidRPr="005764FC">
        <w:t xml:space="preserve">he framework should be scaled based on </w:t>
      </w:r>
      <w:r w:rsidR="006F30E0" w:rsidRPr="005764FC">
        <w:t xml:space="preserve">a risk profile of </w:t>
      </w:r>
      <w:r w:rsidR="007552E2" w:rsidRPr="005764FC">
        <w:t>likelihood and severity</w:t>
      </w:r>
      <w:r w:rsidR="00EF65B9" w:rsidRPr="005764FC">
        <w:t xml:space="preserve"> to determine the compliance level required for each component. For example, roadside equipment, vehicle equipment and central systems operate with different requirements, each will require an appropriate, separate, </w:t>
      </w:r>
      <w:r w:rsidR="00E90471" w:rsidRPr="005764FC">
        <w:t xml:space="preserve">standardised </w:t>
      </w:r>
      <w:r w:rsidR="00EF65B9" w:rsidRPr="005764FC">
        <w:t>compliance model</w:t>
      </w:r>
      <w:r w:rsidR="00E4402F" w:rsidRPr="005764FC">
        <w:t xml:space="preserve">. </w:t>
      </w:r>
      <w:r w:rsidR="00EF65B9" w:rsidRPr="005764FC">
        <w:t xml:space="preserve">ANCAP </w:t>
      </w:r>
      <w:r w:rsidR="003E0A92" w:rsidRPr="005764FC">
        <w:t xml:space="preserve">is a good example of </w:t>
      </w:r>
      <w:r w:rsidR="00145CCF" w:rsidRPr="005764FC">
        <w:t xml:space="preserve">harmonisation </w:t>
      </w:r>
      <w:r w:rsidR="005A2992" w:rsidRPr="005764FC">
        <w:t>with alignment</w:t>
      </w:r>
      <w:r w:rsidR="00FE4A80" w:rsidRPr="005764FC">
        <w:t xml:space="preserve"> to </w:t>
      </w:r>
      <w:r w:rsidR="00E4791D" w:rsidRPr="005764FC">
        <w:t>WP29 and</w:t>
      </w:r>
      <w:r w:rsidR="00145CCF" w:rsidRPr="005764FC">
        <w:t xml:space="preserve"> Euro NCAP</w:t>
      </w:r>
      <w:r w:rsidR="00EF65B9" w:rsidRPr="005764FC">
        <w:t>.</w:t>
      </w:r>
      <w:r w:rsidR="00455F86" w:rsidRPr="005764FC">
        <w:t xml:space="preserve"> Testing required for Euro NCAP is likely to inform the compliance framework.</w:t>
      </w:r>
    </w:p>
    <w:p w14:paraId="0984805C" w14:textId="77777777" w:rsidR="00935F32" w:rsidRPr="005764FC" w:rsidRDefault="00935F32" w:rsidP="00935F32">
      <w:pPr>
        <w:pStyle w:val="Heading2"/>
      </w:pPr>
      <w:bookmarkStart w:id="276" w:name="_Toc94536715"/>
      <w:bookmarkStart w:id="277" w:name="_Toc94453168"/>
      <w:bookmarkStart w:id="278" w:name="_Toc97807805"/>
      <w:r w:rsidRPr="005764FC">
        <w:t>Technical Certainty</w:t>
      </w:r>
      <w:bookmarkEnd w:id="276"/>
      <w:bookmarkEnd w:id="277"/>
      <w:bookmarkEnd w:id="278"/>
    </w:p>
    <w:p w14:paraId="7545C4BB" w14:textId="72DDBD30" w:rsidR="00964316" w:rsidRPr="005764FC" w:rsidRDefault="00A02F83" w:rsidP="001D6FF5">
      <w:pPr>
        <w:pStyle w:val="BodyText"/>
      </w:pPr>
      <w:r w:rsidRPr="005764FC">
        <w:fldChar w:fldCharType="begin" w:fldLock="1"/>
      </w:r>
      <w:r w:rsidRPr="005764FC">
        <w:instrText xml:space="preserve"> REF _Ref94471581 \h </w:instrText>
      </w:r>
      <w:r w:rsidR="00EF4FAF" w:rsidRPr="005764FC">
        <w:instrText xml:space="preserve"> \* MERGEFORMAT </w:instrText>
      </w:r>
      <w:r w:rsidRPr="005764FC">
        <w:fldChar w:fldCharType="separate"/>
      </w:r>
      <w:r w:rsidR="00A34B27" w:rsidRPr="005764FC">
        <w:t xml:space="preserve">Table </w:t>
      </w:r>
      <w:r w:rsidR="00A34B27">
        <w:t>5</w:t>
      </w:r>
      <w:r w:rsidR="00A34B27" w:rsidRPr="005764FC">
        <w:t>.</w:t>
      </w:r>
      <w:r w:rsidR="00A34B27">
        <w:t>1</w:t>
      </w:r>
      <w:r w:rsidRPr="005764FC">
        <w:fldChar w:fldCharType="end"/>
      </w:r>
      <w:r w:rsidRPr="005764FC">
        <w:t xml:space="preserve"> outlines the next steps to be considered for each of the base technical components of the ecosystem to encourage deployment. </w:t>
      </w:r>
    </w:p>
    <w:p w14:paraId="2C9102CF" w14:textId="12125628" w:rsidR="00935F32" w:rsidRPr="005764FC" w:rsidRDefault="00935F32" w:rsidP="00935F32">
      <w:pPr>
        <w:pStyle w:val="Caption"/>
      </w:pPr>
      <w:bookmarkStart w:id="279" w:name="_Ref94471581"/>
      <w:bookmarkStart w:id="280" w:name="_Toc97807821"/>
      <w:r w:rsidRPr="005764FC">
        <w:t xml:space="preserve">Table </w:t>
      </w:r>
      <w:r w:rsidR="009359A9" w:rsidRPr="005764FC">
        <w:fldChar w:fldCharType="begin"/>
      </w:r>
      <w:r w:rsidR="009359A9" w:rsidRPr="005764FC">
        <w:instrText xml:space="preserve"> STYLEREF 1 \s </w:instrText>
      </w:r>
      <w:r w:rsidR="009359A9" w:rsidRPr="005764FC">
        <w:fldChar w:fldCharType="separate"/>
      </w:r>
      <w:r w:rsidR="00A34B27">
        <w:rPr>
          <w:noProof/>
        </w:rPr>
        <w:t>5</w:t>
      </w:r>
      <w:r w:rsidR="009359A9" w:rsidRPr="005764FC">
        <w:fldChar w:fldCharType="end"/>
      </w:r>
      <w:r w:rsidR="009359A9" w:rsidRPr="005764FC">
        <w:t>.</w:t>
      </w:r>
      <w:r w:rsidR="009359A9" w:rsidRPr="005764FC">
        <w:fldChar w:fldCharType="begin"/>
      </w:r>
      <w:r w:rsidR="009359A9" w:rsidRPr="005764FC">
        <w:instrText xml:space="preserve"> SEQ Table \* ARABIC \s 1 </w:instrText>
      </w:r>
      <w:r w:rsidR="009359A9" w:rsidRPr="005764FC">
        <w:fldChar w:fldCharType="separate"/>
      </w:r>
      <w:r w:rsidR="00A34B27">
        <w:rPr>
          <w:noProof/>
        </w:rPr>
        <w:t>1</w:t>
      </w:r>
      <w:r w:rsidR="009359A9" w:rsidRPr="005764FC">
        <w:fldChar w:fldCharType="end"/>
      </w:r>
      <w:bookmarkEnd w:id="279"/>
      <w:r w:rsidRPr="005764FC">
        <w:tab/>
        <w:t xml:space="preserve">Technical </w:t>
      </w:r>
      <w:r w:rsidR="00A02F83" w:rsidRPr="005764FC">
        <w:t>next steps</w:t>
      </w:r>
      <w:bookmarkEnd w:id="280"/>
    </w:p>
    <w:tbl>
      <w:tblPr>
        <w:tblStyle w:val="Table1"/>
        <w:tblW w:w="5000" w:type="pct"/>
        <w:tblLook w:val="0620" w:firstRow="1" w:lastRow="0" w:firstColumn="0" w:lastColumn="0" w:noHBand="1" w:noVBand="1"/>
      </w:tblPr>
      <w:tblGrid>
        <w:gridCol w:w="1557"/>
        <w:gridCol w:w="2977"/>
        <w:gridCol w:w="2977"/>
        <w:gridCol w:w="2236"/>
      </w:tblGrid>
      <w:tr w:rsidR="00795476" w:rsidRPr="005764FC" w14:paraId="323DE17E" w14:textId="77777777" w:rsidTr="00344E15">
        <w:trPr>
          <w:cnfStyle w:val="100000000000" w:firstRow="1" w:lastRow="0" w:firstColumn="0" w:lastColumn="0" w:oddVBand="0" w:evenVBand="0" w:oddHBand="0" w:evenHBand="0" w:firstRowFirstColumn="0" w:firstRowLastColumn="0" w:lastRowFirstColumn="0" w:lastRowLastColumn="0"/>
          <w:cantSplit/>
          <w:tblHeader/>
        </w:trPr>
        <w:tc>
          <w:tcPr>
            <w:tcW w:w="799" w:type="pct"/>
          </w:tcPr>
          <w:p w14:paraId="52257CF0" w14:textId="77777777" w:rsidR="00935F32" w:rsidRPr="005764FC" w:rsidRDefault="00935F32" w:rsidP="00681687">
            <w:pPr>
              <w:pStyle w:val="TableHeading"/>
              <w:rPr>
                <w:lang w:eastAsia="fr-CA"/>
              </w:rPr>
            </w:pPr>
            <w:r w:rsidRPr="005764FC">
              <w:rPr>
                <w:lang w:eastAsia="fr-CA"/>
              </w:rPr>
              <w:t>Technical Area</w:t>
            </w:r>
          </w:p>
        </w:tc>
        <w:tc>
          <w:tcPr>
            <w:tcW w:w="1527" w:type="pct"/>
          </w:tcPr>
          <w:p w14:paraId="0336F6CE" w14:textId="77777777" w:rsidR="00935F32" w:rsidRPr="005764FC" w:rsidRDefault="00935F32" w:rsidP="00681687">
            <w:pPr>
              <w:pStyle w:val="TableHeading"/>
              <w:rPr>
                <w:lang w:eastAsia="fr-CA"/>
              </w:rPr>
            </w:pPr>
            <w:r w:rsidRPr="005764FC">
              <w:rPr>
                <w:lang w:eastAsia="fr-CA"/>
              </w:rPr>
              <w:t>ReadY FOr Deployment</w:t>
            </w:r>
          </w:p>
        </w:tc>
        <w:tc>
          <w:tcPr>
            <w:tcW w:w="1527" w:type="pct"/>
          </w:tcPr>
          <w:p w14:paraId="6EA6FAB9" w14:textId="77777777" w:rsidR="00935F32" w:rsidRPr="005764FC" w:rsidRDefault="00935F32" w:rsidP="00681687">
            <w:pPr>
              <w:pStyle w:val="TableHeading"/>
              <w:rPr>
                <w:lang w:eastAsia="fr-CA"/>
              </w:rPr>
            </w:pPr>
            <w:r w:rsidRPr="005764FC">
              <w:rPr>
                <w:lang w:eastAsia="fr-CA"/>
              </w:rPr>
              <w:t>Technical Uncertainty to be resolved</w:t>
            </w:r>
          </w:p>
        </w:tc>
        <w:tc>
          <w:tcPr>
            <w:tcW w:w="1147" w:type="pct"/>
          </w:tcPr>
          <w:p w14:paraId="16ED8CC3" w14:textId="77777777" w:rsidR="00935F32" w:rsidRPr="005764FC" w:rsidRDefault="00935F32" w:rsidP="00681687">
            <w:pPr>
              <w:pStyle w:val="TableHeading"/>
              <w:rPr>
                <w:lang w:eastAsia="fr-CA"/>
              </w:rPr>
            </w:pPr>
            <w:r w:rsidRPr="005764FC">
              <w:rPr>
                <w:lang w:eastAsia="fr-CA"/>
              </w:rPr>
              <w:t>Next Steps</w:t>
            </w:r>
          </w:p>
        </w:tc>
      </w:tr>
      <w:tr w:rsidR="00935F32" w:rsidRPr="005764FC" w14:paraId="6FEE9C33" w14:textId="77777777" w:rsidTr="00344E15">
        <w:trPr>
          <w:cantSplit/>
        </w:trPr>
        <w:tc>
          <w:tcPr>
            <w:tcW w:w="799" w:type="pct"/>
          </w:tcPr>
          <w:p w14:paraId="0B0071A6" w14:textId="77777777" w:rsidR="00935F32" w:rsidRPr="005764FC" w:rsidRDefault="00935F32" w:rsidP="004B31D0">
            <w:pPr>
              <w:pStyle w:val="TableTextBold"/>
              <w:rPr>
                <w:lang w:eastAsia="fr-CA"/>
              </w:rPr>
            </w:pPr>
            <w:r w:rsidRPr="005764FC">
              <w:rPr>
                <w:lang w:eastAsia="fr-CA"/>
              </w:rPr>
              <w:t>Short-range Communications</w:t>
            </w:r>
          </w:p>
          <w:p w14:paraId="2B149CBC" w14:textId="04C0B29F" w:rsidR="00935F32" w:rsidRPr="005764FC" w:rsidRDefault="00935F32" w:rsidP="004B31D0">
            <w:pPr>
              <w:pStyle w:val="TableTextBold"/>
              <w:rPr>
                <w:lang w:eastAsia="fr-CA"/>
              </w:rPr>
            </w:pPr>
            <w:r w:rsidRPr="005764FC">
              <w:rPr>
                <w:noProof/>
              </w:rPr>
              <mc:AlternateContent>
                <mc:Choice Requires="wpg">
                  <w:drawing>
                    <wp:inline distT="0" distB="0" distL="0" distR="0" wp14:anchorId="31941BAF" wp14:editId="2C798BD0">
                      <wp:extent cx="900000" cy="576000"/>
                      <wp:effectExtent l="0" t="0" r="0" b="0"/>
                      <wp:docPr id="2143264931" name="Group 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576000"/>
                                <a:chOff x="0" y="0"/>
                                <a:chExt cx="713830" cy="458704"/>
                              </a:xfrm>
                              <a:solidFill>
                                <a:schemeClr val="accent1"/>
                              </a:solidFill>
                            </wpg:grpSpPr>
                            <pic:pic xmlns:pic="http://schemas.openxmlformats.org/drawingml/2006/picture">
                              <pic:nvPicPr>
                                <pic:cNvPr id="2143264932" name="Content Placeholder 7" descr="Car with solid fill"/>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353830" y="98704"/>
                                  <a:ext cx="360000" cy="360000"/>
                                </a:xfrm>
                                <a:prstGeom prst="rect">
                                  <a:avLst/>
                                </a:prstGeom>
                              </pic:spPr>
                            </pic:pic>
                            <pic:pic xmlns:pic="http://schemas.openxmlformats.org/drawingml/2006/picture">
                              <pic:nvPicPr>
                                <pic:cNvPr id="2143264933" name="Content Placeholder 7" descr="Car with solid fill"/>
                                <pic:cNvPicPr>
                                  <a:picLocks noChangeAspect="1"/>
                                </pic:cNvPicPr>
                              </pic:nvPicPr>
                              <pic:blipFill>
                                <a:blip r:embed="rId69">
                                  <a:extLst>
                                    <a:ext uri="{96DAC541-7B7A-43D3-8B79-37D633B846F1}">
                                      <asvg:svgBlip xmlns:asvg="http://schemas.microsoft.com/office/drawing/2016/SVG/main" r:embed="rId71"/>
                                    </a:ext>
                                  </a:extLst>
                                </a:blip>
                                <a:stretch>
                                  <a:fillRect/>
                                </a:stretch>
                              </pic:blipFill>
                              <pic:spPr>
                                <a:xfrm>
                                  <a:off x="0" y="98704"/>
                                  <a:ext cx="360000" cy="360000"/>
                                </a:xfrm>
                                <a:prstGeom prst="rect">
                                  <a:avLst/>
                                </a:prstGeom>
                              </pic:spPr>
                            </pic:pic>
                            <pic:pic xmlns:pic="http://schemas.openxmlformats.org/drawingml/2006/picture">
                              <pic:nvPicPr>
                                <pic:cNvPr id="2143264934" name="Graphic 569" descr="Wireless outlin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rot="2700000">
                                  <a:off x="423610" y="1"/>
                                  <a:ext cx="158346" cy="158346"/>
                                </a:xfrm>
                                <a:prstGeom prst="rect">
                                  <a:avLst/>
                                </a:prstGeom>
                              </pic:spPr>
                            </pic:pic>
                            <pic:pic xmlns:pic="http://schemas.openxmlformats.org/drawingml/2006/picture">
                              <pic:nvPicPr>
                                <pic:cNvPr id="2143264935" name="Graphic 570" descr="Wireless outlin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rot="2700000">
                                  <a:off x="70827" y="0"/>
                                  <a:ext cx="158346" cy="158346"/>
                                </a:xfrm>
                                <a:prstGeom prst="rect">
                                  <a:avLst/>
                                </a:prstGeom>
                              </pic:spPr>
                            </pic:pic>
                          </wpg:wgp>
                        </a:graphicData>
                      </a:graphic>
                    </wp:inline>
                  </w:drawing>
                </mc:Choice>
                <mc:Fallback>
                  <w:pict>
                    <v:group w14:anchorId="1F6C4717" id="Group 566" o:spid="_x0000_s1026" style="width:70.85pt;height:45.35pt;mso-position-horizontal-relative:char;mso-position-vertical-relative:line" coordsize="7138,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">
                      <v:shape id="Content Placeholder 7" o:spid="_x0000_s1027" type="#_x0000_t75" alt="Car with solid fill" style="position:absolute;left:3538;top:987;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">
                        <v:imagedata r:id="rId77" o:title="Car with solid fill"/>
                      </v:shape>
                      <v:shape id="Content Placeholder 7" o:spid="_x0000_s1028" type="#_x0000_t75" alt="Car with solid fill" style="position:absolute;top:987;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">
                        <v:imagedata r:id="rId77" o:title="Car with solid fill"/>
                      </v:shape>
                      <v:shape id="Graphic 569" o:spid="_x0000_s1029" type="#_x0000_t75" alt="Wireless outline" style="position:absolute;left:4236;width:1583;height:1583;rotation: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">
                        <v:imagedata r:id="rId78" o:title="Wireless outline"/>
                      </v:shape>
                      <v:shape id="Graphic 570" o:spid="_x0000_s1030" type="#_x0000_t75" alt="Wireless outline" style="position:absolute;left:708;width:1583;height:1583;rotation: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">
                        <v:imagedata r:id="rId78" o:title="Wireless outline"/>
                      </v:shape>
                      <w10:anchorlock/>
                    </v:group>
                  </w:pict>
                </mc:Fallback>
              </mc:AlternateContent>
            </w:r>
          </w:p>
        </w:tc>
        <w:tc>
          <w:tcPr>
            <w:tcW w:w="1527" w:type="pct"/>
          </w:tcPr>
          <w:p w14:paraId="50CDB150" w14:textId="727BB00B" w:rsidR="00935F32" w:rsidRPr="005764FC" w:rsidRDefault="00521887" w:rsidP="00681687">
            <w:pPr>
              <w:pStyle w:val="TableText"/>
              <w:rPr>
                <w:lang w:eastAsia="fr-CA"/>
              </w:rPr>
            </w:pPr>
            <w:r w:rsidRPr="005764FC">
              <w:rPr>
                <w:lang w:eastAsia="fr-CA"/>
              </w:rPr>
              <w:t>DSRC (ITS-G5)</w:t>
            </w:r>
            <w:r w:rsidR="00935F32" w:rsidRPr="005764FC">
              <w:rPr>
                <w:lang w:eastAsia="fr-CA"/>
              </w:rPr>
              <w:t xml:space="preserve"> is a mature communication method that has been used as the basis for trials across the world in the past 10 years including CITI, AIMES and ICVP</w:t>
            </w:r>
            <w:r w:rsidR="007475B5" w:rsidRPr="005764FC">
              <w:rPr>
                <w:lang w:eastAsia="fr-CA"/>
              </w:rPr>
              <w:t xml:space="preserve"> in Australia</w:t>
            </w:r>
            <w:r w:rsidR="00935F32" w:rsidRPr="005764FC">
              <w:rPr>
                <w:lang w:eastAsia="fr-CA"/>
              </w:rPr>
              <w:t>.</w:t>
            </w:r>
          </w:p>
        </w:tc>
        <w:tc>
          <w:tcPr>
            <w:tcW w:w="1527" w:type="pct"/>
          </w:tcPr>
          <w:p w14:paraId="7E181BCE" w14:textId="54A66277" w:rsidR="00935F32" w:rsidRPr="005764FC" w:rsidRDefault="00935F32" w:rsidP="00681687">
            <w:pPr>
              <w:pStyle w:val="TableText"/>
              <w:rPr>
                <w:lang w:eastAsia="fr-CA"/>
              </w:rPr>
            </w:pPr>
            <w:r w:rsidRPr="005764FC">
              <w:rPr>
                <w:lang w:eastAsia="fr-CA"/>
              </w:rPr>
              <w:t>Depend</w:t>
            </w:r>
            <w:r w:rsidR="00F26B46" w:rsidRPr="005764FC">
              <w:rPr>
                <w:lang w:eastAsia="fr-CA"/>
              </w:rPr>
              <w:t>ing</w:t>
            </w:r>
            <w:r w:rsidRPr="005764FC">
              <w:rPr>
                <w:lang w:eastAsia="fr-CA"/>
              </w:rPr>
              <w:t xml:space="preserve"> on national direction of alternative technology: Coexistence of multiple solutions (</w:t>
            </w:r>
            <w:r w:rsidR="00344E15" w:rsidRPr="00344E15">
              <w:rPr>
                <w:lang w:eastAsia="fr-CA"/>
              </w:rPr>
              <w:t>ITS</w:t>
            </w:r>
            <w:r w:rsidR="00344E15" w:rsidRPr="00344E15">
              <w:rPr>
                <w:lang w:eastAsia="fr-CA"/>
              </w:rPr>
              <w:noBreakHyphen/>
              <w:t>G5</w:t>
            </w:r>
            <w:r w:rsidRPr="005764FC">
              <w:rPr>
                <w:lang w:eastAsia="fr-CA"/>
              </w:rPr>
              <w:t xml:space="preserve"> and C</w:t>
            </w:r>
            <w:r w:rsidR="00344E15" w:rsidRPr="00344E15">
              <w:rPr>
                <w:lang w:eastAsia="fr-CA"/>
              </w:rPr>
              <w:t>-</w:t>
            </w:r>
            <w:r w:rsidRPr="005764FC">
              <w:rPr>
                <w:lang w:eastAsia="fr-CA"/>
              </w:rPr>
              <w:t>V2X).</w:t>
            </w:r>
            <w:r w:rsidR="00344E15" w:rsidRPr="00344E15">
              <w:rPr>
                <w:lang w:eastAsia="fr-CA"/>
              </w:rPr>
              <w:t xml:space="preserve"> This is discussed further in Section </w:t>
            </w:r>
            <w:r w:rsidR="00344E15" w:rsidRPr="00344E15">
              <w:rPr>
                <w:lang w:eastAsia="fr-CA"/>
              </w:rPr>
              <w:fldChar w:fldCharType="begin" w:fldLock="1"/>
            </w:r>
            <w:r w:rsidR="00344E15" w:rsidRPr="00344E15">
              <w:rPr>
                <w:lang w:eastAsia="fr-CA"/>
              </w:rPr>
              <w:instrText xml:space="preserve"> REF _Ref96419521 \r \h </w:instrText>
            </w:r>
            <w:r w:rsidR="00344E15" w:rsidRPr="00344E15">
              <w:rPr>
                <w:lang w:eastAsia="fr-CA"/>
              </w:rPr>
            </w:r>
            <w:r w:rsidR="00344E15" w:rsidRPr="00344E15">
              <w:rPr>
                <w:lang w:eastAsia="fr-CA"/>
              </w:rPr>
              <w:fldChar w:fldCharType="separate"/>
            </w:r>
            <w:r w:rsidR="00A34B27">
              <w:rPr>
                <w:lang w:eastAsia="fr-CA"/>
              </w:rPr>
              <w:t>1.6.3</w:t>
            </w:r>
            <w:r w:rsidR="00344E15" w:rsidRPr="00344E15">
              <w:rPr>
                <w:lang w:eastAsia="fr-CA"/>
              </w:rPr>
              <w:fldChar w:fldCharType="end"/>
            </w:r>
            <w:r w:rsidR="00344E15" w:rsidRPr="00344E15">
              <w:rPr>
                <w:lang w:eastAsia="fr-CA"/>
              </w:rPr>
              <w:t>.</w:t>
            </w:r>
          </w:p>
        </w:tc>
        <w:tc>
          <w:tcPr>
            <w:tcW w:w="1147" w:type="pct"/>
          </w:tcPr>
          <w:p w14:paraId="7DEFB48E" w14:textId="3E506B54" w:rsidR="00935F32" w:rsidRPr="005764FC" w:rsidRDefault="0039785D" w:rsidP="00681687">
            <w:pPr>
              <w:pStyle w:val="TableText"/>
              <w:rPr>
                <w:lang w:eastAsia="fr-CA"/>
              </w:rPr>
            </w:pPr>
            <w:r w:rsidRPr="005764FC">
              <w:t>The deployment of short-range communications</w:t>
            </w:r>
            <w:r w:rsidR="00A86654" w:rsidRPr="005764FC">
              <w:t xml:space="preserve"> </w:t>
            </w:r>
            <w:r w:rsidR="00554CC4" w:rsidRPr="005764FC">
              <w:rPr>
                <w:lang w:eastAsia="fr-CA"/>
              </w:rPr>
              <w:t xml:space="preserve">infrastructure that </w:t>
            </w:r>
            <w:r w:rsidR="00D24729" w:rsidRPr="005764FC">
              <w:rPr>
                <w:lang w:eastAsia="fr-CA"/>
              </w:rPr>
              <w:t xml:space="preserve">is interoperable </w:t>
            </w:r>
            <w:r w:rsidR="007475B5" w:rsidRPr="005764FC">
              <w:rPr>
                <w:lang w:eastAsia="fr-CA"/>
              </w:rPr>
              <w:t xml:space="preserve">and </w:t>
            </w:r>
            <w:r w:rsidR="00BC4069" w:rsidRPr="005764FC">
              <w:rPr>
                <w:lang w:eastAsia="fr-CA"/>
              </w:rPr>
              <w:t xml:space="preserve">supports delivery of </w:t>
            </w:r>
            <w:r w:rsidR="00426E01" w:rsidRPr="005764FC">
              <w:rPr>
                <w:lang w:eastAsia="fr-CA"/>
              </w:rPr>
              <w:t>priority benefits.</w:t>
            </w:r>
          </w:p>
        </w:tc>
      </w:tr>
      <w:tr w:rsidR="00935F32" w:rsidRPr="005764FC" w14:paraId="685FBCE6" w14:textId="77777777" w:rsidTr="00344E15">
        <w:trPr>
          <w:cantSplit/>
        </w:trPr>
        <w:tc>
          <w:tcPr>
            <w:tcW w:w="799" w:type="pct"/>
          </w:tcPr>
          <w:p w14:paraId="2FEB5108" w14:textId="77777777" w:rsidR="00935F32" w:rsidRPr="005764FC" w:rsidRDefault="00935F32" w:rsidP="004B31D0">
            <w:pPr>
              <w:pStyle w:val="TableTextBold"/>
              <w:rPr>
                <w:lang w:eastAsia="fr-CA"/>
              </w:rPr>
            </w:pPr>
            <w:r w:rsidRPr="005764FC">
              <w:rPr>
                <w:lang w:eastAsia="fr-CA"/>
              </w:rPr>
              <w:t>C‑ITS Security</w:t>
            </w:r>
          </w:p>
          <w:p w14:paraId="71906729" w14:textId="7AAEE8B5" w:rsidR="00935F32" w:rsidRPr="005764FC" w:rsidRDefault="00935F32" w:rsidP="004B31D0">
            <w:pPr>
              <w:pStyle w:val="TableTextBold"/>
              <w:rPr>
                <w:lang w:eastAsia="fr-CA"/>
              </w:rPr>
            </w:pPr>
            <w:r w:rsidRPr="005764FC">
              <w:rPr>
                <w:noProof/>
              </w:rPr>
              <w:drawing>
                <wp:inline distT="0" distB="0" distL="0" distR="0" wp14:anchorId="2B92F9A2" wp14:editId="06BF7E25">
                  <wp:extent cx="720000" cy="720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Shield Tick outline"/>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720000" cy="720000"/>
                          </a:xfrm>
                          <a:prstGeom prst="rect">
                            <a:avLst/>
                          </a:prstGeom>
                        </pic:spPr>
                      </pic:pic>
                    </a:graphicData>
                  </a:graphic>
                </wp:inline>
              </w:drawing>
            </w:r>
          </w:p>
        </w:tc>
        <w:tc>
          <w:tcPr>
            <w:tcW w:w="1527" w:type="pct"/>
          </w:tcPr>
          <w:p w14:paraId="4BD28622" w14:textId="3DB79243" w:rsidR="00935F32" w:rsidRPr="005764FC" w:rsidRDefault="00A77900" w:rsidP="00681687">
            <w:pPr>
              <w:pStyle w:val="TableText"/>
              <w:rPr>
                <w:lang w:eastAsia="fr-CA"/>
              </w:rPr>
            </w:pPr>
            <w:r w:rsidRPr="005764FC">
              <w:rPr>
                <w:lang w:eastAsia="fr-CA"/>
              </w:rPr>
              <w:t>Technical standards for a C-ITS SCMS system exist. Systems have been established in Europe and the US. An SCMS has been developed for TMR and is operating effectively in the CAVI trial in Queensland. The SCMS ensures the authenticity of communications to stop incorrect messages being sent, which is particularly necessary in relation to safety critical messages. The SCMS is also designed to provide anonymity to the vehicle and occupant.</w:t>
            </w:r>
          </w:p>
        </w:tc>
        <w:tc>
          <w:tcPr>
            <w:tcW w:w="1527" w:type="pct"/>
          </w:tcPr>
          <w:p w14:paraId="6670921A" w14:textId="58040D16" w:rsidR="00935F32" w:rsidRPr="005764FC" w:rsidRDefault="006C715E" w:rsidP="00681687">
            <w:pPr>
              <w:pStyle w:val="TableText"/>
              <w:rPr>
                <w:lang w:eastAsia="fr-CA"/>
              </w:rPr>
            </w:pPr>
            <w:r w:rsidRPr="005764FC">
              <w:t>Ensure</w:t>
            </w:r>
            <w:r w:rsidR="005B363F" w:rsidRPr="005764FC">
              <w:t xml:space="preserve"> the SCMS for Australia is </w:t>
            </w:r>
            <w:r w:rsidR="00A707A8" w:rsidRPr="005764FC">
              <w:t xml:space="preserve">built to meet the </w:t>
            </w:r>
            <w:r w:rsidRPr="005764FC">
              <w:t>security and privacy needs across Australia.</w:t>
            </w:r>
          </w:p>
        </w:tc>
        <w:tc>
          <w:tcPr>
            <w:tcW w:w="1147" w:type="pct"/>
          </w:tcPr>
          <w:p w14:paraId="07A1E1CA" w14:textId="1271713B" w:rsidR="00935F32" w:rsidRPr="005764FC" w:rsidRDefault="00157D84" w:rsidP="00681687">
            <w:pPr>
              <w:pStyle w:val="TableText"/>
            </w:pPr>
            <w:r w:rsidRPr="005764FC">
              <w:t>Unsecured communications leave the end user open to false information which could damage user trust, privacy, and experience.</w:t>
            </w:r>
            <w:r w:rsidR="007C3A58" w:rsidRPr="005764FC">
              <w:t xml:space="preserve"> </w:t>
            </w:r>
            <w:r w:rsidR="006C715E" w:rsidRPr="005764FC">
              <w:t>The</w:t>
            </w:r>
            <w:r w:rsidR="007C3A58" w:rsidRPr="005764FC">
              <w:t xml:space="preserve"> sooner the SCMS is established, the sooner </w:t>
            </w:r>
            <w:r w:rsidR="00292C34" w:rsidRPr="005764FC">
              <w:t xml:space="preserve">trusted </w:t>
            </w:r>
            <w:r w:rsidR="006C715E" w:rsidRPr="005764FC">
              <w:t>information can flow</w:t>
            </w:r>
            <w:r w:rsidR="0039785D" w:rsidRPr="005764FC">
              <w:t>.</w:t>
            </w:r>
          </w:p>
        </w:tc>
      </w:tr>
      <w:tr w:rsidR="00935F32" w:rsidRPr="005764FC" w14:paraId="7A65ED07" w14:textId="77777777" w:rsidTr="00344E15">
        <w:trPr>
          <w:cantSplit/>
        </w:trPr>
        <w:tc>
          <w:tcPr>
            <w:tcW w:w="799" w:type="pct"/>
          </w:tcPr>
          <w:p w14:paraId="3BDEBE70" w14:textId="77777777" w:rsidR="00935F32" w:rsidRPr="005764FC" w:rsidRDefault="00935F32" w:rsidP="004B31D0">
            <w:pPr>
              <w:pStyle w:val="TableTextBold"/>
              <w:rPr>
                <w:lang w:eastAsia="fr-CA"/>
              </w:rPr>
            </w:pPr>
            <w:r w:rsidRPr="005764FC">
              <w:rPr>
                <w:lang w:eastAsia="fr-CA"/>
              </w:rPr>
              <w:t>Positioning</w:t>
            </w:r>
          </w:p>
          <w:p w14:paraId="6B3CA454" w14:textId="0F42839B" w:rsidR="00935F32" w:rsidRPr="005764FC" w:rsidRDefault="00935F32" w:rsidP="004B31D0">
            <w:pPr>
              <w:pStyle w:val="TableTextBold"/>
              <w:rPr>
                <w:lang w:eastAsia="fr-CA"/>
              </w:rPr>
            </w:pPr>
            <w:r w:rsidRPr="005764FC">
              <w:rPr>
                <w:noProof/>
              </w:rPr>
              <w:drawing>
                <wp:inline distT="0" distB="0" distL="0" distR="0" wp14:anchorId="7A17338A" wp14:editId="6A61D326">
                  <wp:extent cx="720000" cy="720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ompass outline"/>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720000" cy="720000"/>
                          </a:xfrm>
                          <a:prstGeom prst="rect">
                            <a:avLst/>
                          </a:prstGeom>
                        </pic:spPr>
                      </pic:pic>
                    </a:graphicData>
                  </a:graphic>
                </wp:inline>
              </w:drawing>
            </w:r>
          </w:p>
        </w:tc>
        <w:tc>
          <w:tcPr>
            <w:tcW w:w="1527" w:type="pct"/>
          </w:tcPr>
          <w:p w14:paraId="10791BF6" w14:textId="77777777" w:rsidR="00935F32" w:rsidRPr="005764FC" w:rsidRDefault="00935F32" w:rsidP="00681687">
            <w:pPr>
              <w:pStyle w:val="TableText"/>
              <w:rPr>
                <w:lang w:eastAsia="fr-CA"/>
              </w:rPr>
            </w:pPr>
            <w:r w:rsidRPr="005764FC">
              <w:rPr>
                <w:lang w:eastAsia="fr-CA"/>
              </w:rPr>
              <w:t>10m accuracy is available as a baseline for standard available positioning systems. ICVP has proven 1m accuracy is possible using RTK augmentation.</w:t>
            </w:r>
          </w:p>
        </w:tc>
        <w:tc>
          <w:tcPr>
            <w:tcW w:w="1527" w:type="pct"/>
          </w:tcPr>
          <w:p w14:paraId="11326025" w14:textId="2958D1F6" w:rsidR="00935F32" w:rsidRPr="005764FC" w:rsidRDefault="00935F32" w:rsidP="004857D5">
            <w:pPr>
              <w:pStyle w:val="TableText"/>
              <w:rPr>
                <w:lang w:eastAsia="fr-CA"/>
              </w:rPr>
            </w:pPr>
            <w:r w:rsidRPr="005764FC">
              <w:rPr>
                <w:lang w:eastAsia="fr-CA"/>
              </w:rPr>
              <w:t xml:space="preserve">Geoscience Australia progressing to higher positioning accuracy through SBAS. This will likely </w:t>
            </w:r>
            <w:r w:rsidR="000F3049">
              <w:rPr>
                <w:lang w:eastAsia="fr-CA"/>
              </w:rPr>
              <w:t xml:space="preserve">have </w:t>
            </w:r>
            <w:r w:rsidR="00344E15" w:rsidRPr="00344E15">
              <w:rPr>
                <w:lang w:eastAsia="fr-CA"/>
              </w:rPr>
              <w:t>cost efficien</w:t>
            </w:r>
            <w:r w:rsidR="000F3049">
              <w:rPr>
                <w:lang w:eastAsia="fr-CA"/>
              </w:rPr>
              <w:t>cies in</w:t>
            </w:r>
            <w:r w:rsidR="00344E15" w:rsidRPr="00344E15">
              <w:rPr>
                <w:lang w:eastAsia="fr-CA"/>
              </w:rPr>
              <w:t xml:space="preserve"> </w:t>
            </w:r>
            <w:r w:rsidR="000F3049" w:rsidRPr="005764FC">
              <w:rPr>
                <w:lang w:eastAsia="fr-CA"/>
              </w:rPr>
              <w:t>improv</w:t>
            </w:r>
            <w:r w:rsidR="000F3049">
              <w:rPr>
                <w:lang w:eastAsia="fr-CA"/>
              </w:rPr>
              <w:t>ing</w:t>
            </w:r>
            <w:r w:rsidR="000F3049" w:rsidRPr="005764FC">
              <w:rPr>
                <w:lang w:eastAsia="fr-CA"/>
              </w:rPr>
              <w:t xml:space="preserve"> </w:t>
            </w:r>
            <w:r w:rsidRPr="005764FC">
              <w:rPr>
                <w:lang w:eastAsia="fr-CA"/>
              </w:rPr>
              <w:t>accuracy</w:t>
            </w:r>
            <w:r w:rsidR="000F3049">
              <w:rPr>
                <w:lang w:eastAsia="fr-CA"/>
              </w:rPr>
              <w:t>,</w:t>
            </w:r>
            <w:r w:rsidRPr="005764FC">
              <w:rPr>
                <w:lang w:eastAsia="fr-CA"/>
              </w:rPr>
              <w:t xml:space="preserve"> but needs testing and validation for in-vehicle systems</w:t>
            </w:r>
            <w:r w:rsidR="000B3024" w:rsidRPr="005764FC">
              <w:rPr>
                <w:lang w:eastAsia="fr-CA"/>
              </w:rPr>
              <w:t xml:space="preserve">. </w:t>
            </w:r>
            <w:r w:rsidR="00344E15" w:rsidRPr="00344E15">
              <w:rPr>
                <w:lang w:eastAsia="fr-CA"/>
              </w:rPr>
              <w:t xml:space="preserve"> </w:t>
            </w:r>
          </w:p>
        </w:tc>
        <w:tc>
          <w:tcPr>
            <w:tcW w:w="1147" w:type="pct"/>
          </w:tcPr>
          <w:p w14:paraId="549F329F" w14:textId="2D5F5CFB" w:rsidR="00935F32" w:rsidRPr="005764FC" w:rsidRDefault="00411F3C" w:rsidP="00681687">
            <w:pPr>
              <w:pStyle w:val="TableText"/>
              <w:rPr>
                <w:lang w:eastAsia="fr-CA"/>
              </w:rPr>
            </w:pPr>
            <w:r w:rsidRPr="005764FC">
              <w:t>Provide support through g</w:t>
            </w:r>
            <w:r w:rsidRPr="005764FC">
              <w:rPr>
                <w:lang w:eastAsia="fr-CA"/>
              </w:rPr>
              <w:t xml:space="preserve">uidelines, </w:t>
            </w:r>
            <w:r w:rsidR="007432AC" w:rsidRPr="005764FC">
              <w:rPr>
                <w:lang w:eastAsia="fr-CA"/>
              </w:rPr>
              <w:t xml:space="preserve">testing </w:t>
            </w:r>
            <w:r w:rsidRPr="005764FC">
              <w:rPr>
                <w:lang w:eastAsia="fr-CA"/>
              </w:rPr>
              <w:t xml:space="preserve">and infrastructure </w:t>
            </w:r>
            <w:r w:rsidR="00B26E55" w:rsidRPr="005764FC">
              <w:rPr>
                <w:lang w:eastAsia="fr-CA"/>
              </w:rPr>
              <w:t>for positioning accuracy systems</w:t>
            </w:r>
            <w:r w:rsidRPr="005764FC">
              <w:rPr>
                <w:lang w:eastAsia="fr-CA"/>
              </w:rPr>
              <w:t xml:space="preserve"> encouraging</w:t>
            </w:r>
            <w:r w:rsidR="001A5D6C" w:rsidRPr="005764FC">
              <w:rPr>
                <w:lang w:eastAsia="fr-CA"/>
              </w:rPr>
              <w:t xml:space="preserve"> higher accuracy, </w:t>
            </w:r>
            <w:r w:rsidRPr="005764FC">
              <w:rPr>
                <w:lang w:eastAsia="fr-CA"/>
              </w:rPr>
              <w:t xml:space="preserve">reliable, </w:t>
            </w:r>
            <w:r w:rsidR="00D646AE" w:rsidRPr="005764FC">
              <w:rPr>
                <w:lang w:eastAsia="fr-CA"/>
              </w:rPr>
              <w:t>cost-effective</w:t>
            </w:r>
            <w:r w:rsidR="001A5D6C" w:rsidRPr="005764FC">
              <w:rPr>
                <w:lang w:eastAsia="fr-CA"/>
              </w:rPr>
              <w:t xml:space="preserve"> solutions</w:t>
            </w:r>
            <w:r w:rsidR="00146F3F" w:rsidRPr="005764FC">
              <w:rPr>
                <w:lang w:eastAsia="fr-CA"/>
              </w:rPr>
              <w:t>.</w:t>
            </w:r>
          </w:p>
        </w:tc>
      </w:tr>
      <w:tr w:rsidR="00935F32" w:rsidRPr="005764FC" w14:paraId="2856E654" w14:textId="77777777" w:rsidTr="00344E15">
        <w:trPr>
          <w:cantSplit/>
        </w:trPr>
        <w:tc>
          <w:tcPr>
            <w:tcW w:w="799" w:type="pct"/>
          </w:tcPr>
          <w:p w14:paraId="33431BA2" w14:textId="77777777" w:rsidR="00935F32" w:rsidRPr="005764FC" w:rsidRDefault="00935F32" w:rsidP="004B31D0">
            <w:pPr>
              <w:pStyle w:val="TableTextBold"/>
              <w:rPr>
                <w:lang w:eastAsia="fr-CA"/>
              </w:rPr>
            </w:pPr>
            <w:r w:rsidRPr="005764FC">
              <w:rPr>
                <w:lang w:eastAsia="fr-CA"/>
              </w:rPr>
              <w:t>Central systems and National Data Exchange</w:t>
            </w:r>
          </w:p>
          <w:p w14:paraId="3087D385" w14:textId="75D6F8A9" w:rsidR="00935F32" w:rsidRPr="005764FC" w:rsidRDefault="00935F32" w:rsidP="004B31D0">
            <w:pPr>
              <w:pStyle w:val="TableTextBold"/>
              <w:rPr>
                <w:lang w:eastAsia="fr-CA"/>
              </w:rPr>
            </w:pPr>
            <w:r w:rsidRPr="005764FC">
              <w:rPr>
                <w:noProof/>
              </w:rPr>
              <mc:AlternateContent>
                <mc:Choice Requires="wpg">
                  <w:drawing>
                    <wp:inline distT="0" distB="0" distL="0" distR="0" wp14:anchorId="7D0598A5" wp14:editId="735DF45F">
                      <wp:extent cx="683895" cy="457200"/>
                      <wp:effectExtent l="0" t="0" r="1905" b="0"/>
                      <wp:docPr id="2143264936" name="Group 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3895" cy="457200"/>
                                <a:chOff x="0" y="129398"/>
                                <a:chExt cx="719889" cy="457200"/>
                              </a:xfrm>
                              <a:solidFill>
                                <a:schemeClr val="accent1"/>
                              </a:solidFill>
                            </wpg:grpSpPr>
                            <pic:pic xmlns:pic="http://schemas.openxmlformats.org/drawingml/2006/picture">
                              <pic:nvPicPr>
                                <pic:cNvPr id="2143264937" name="Graphic 545" descr="Cloud outline"/>
                                <pic:cNvPicPr>
                                  <a:picLocks noChangeAspect="1"/>
                                </pic:cNvPicPr>
                              </pic:nvPicPr>
                              <pic:blipFill rotWithShape="1">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rcRect l="-1" t="17972" r="16" b="18527"/>
                                <a:stretch/>
                              </pic:blipFill>
                              <pic:spPr>
                                <a:xfrm>
                                  <a:off x="0" y="129398"/>
                                  <a:ext cx="719889" cy="457200"/>
                                </a:xfrm>
                                <a:prstGeom prst="rect">
                                  <a:avLst/>
                                </a:prstGeom>
                              </pic:spPr>
                            </pic:pic>
                            <wpg:grpSp>
                              <wpg:cNvPr id="2143264938" name="Group 2143264938"/>
                              <wpg:cNvGrpSpPr/>
                              <wpg:grpSpPr>
                                <a:xfrm>
                                  <a:off x="199025" y="266118"/>
                                  <a:ext cx="273835" cy="251610"/>
                                  <a:chOff x="199025" y="266118"/>
                                  <a:chExt cx="905027" cy="832012"/>
                                </a:xfrm>
                                <a:grpFill/>
                              </wpg:grpSpPr>
                              <wps:wsp>
                                <wps:cNvPr id="2143264939" name="Freeform 403"/>
                                <wps:cNvSpPr>
                                  <a:spLocks/>
                                </wps:cNvSpPr>
                                <wps:spPr bwMode="auto">
                                  <a:xfrm>
                                    <a:off x="199025" y="266118"/>
                                    <a:ext cx="905027" cy="707050"/>
                                  </a:xfrm>
                                  <a:custGeom>
                                    <a:avLst/>
                                    <a:gdLst>
                                      <a:gd name="T0" fmla="*/ 96 w 204"/>
                                      <a:gd name="T1" fmla="*/ 3 h 152"/>
                                      <a:gd name="T2" fmla="*/ 97 w 204"/>
                                      <a:gd name="T3" fmla="*/ 7 h 152"/>
                                      <a:gd name="T4" fmla="*/ 86 w 204"/>
                                      <a:gd name="T5" fmla="*/ 13 h 152"/>
                                      <a:gd name="T6" fmla="*/ 76 w 204"/>
                                      <a:gd name="T7" fmla="*/ 24 h 152"/>
                                      <a:gd name="T8" fmla="*/ 71 w 204"/>
                                      <a:gd name="T9" fmla="*/ 15 h 152"/>
                                      <a:gd name="T10" fmla="*/ 65 w 204"/>
                                      <a:gd name="T11" fmla="*/ 19 h 152"/>
                                      <a:gd name="T12" fmla="*/ 62 w 204"/>
                                      <a:gd name="T13" fmla="*/ 22 h 152"/>
                                      <a:gd name="T14" fmla="*/ 59 w 204"/>
                                      <a:gd name="T15" fmla="*/ 26 h 152"/>
                                      <a:gd name="T16" fmla="*/ 55 w 204"/>
                                      <a:gd name="T17" fmla="*/ 33 h 152"/>
                                      <a:gd name="T18" fmla="*/ 51 w 204"/>
                                      <a:gd name="T19" fmla="*/ 30 h 152"/>
                                      <a:gd name="T20" fmla="*/ 47 w 204"/>
                                      <a:gd name="T21" fmla="*/ 38 h 152"/>
                                      <a:gd name="T22" fmla="*/ 24 w 204"/>
                                      <a:gd name="T23" fmla="*/ 50 h 152"/>
                                      <a:gd name="T24" fmla="*/ 7 w 204"/>
                                      <a:gd name="T25" fmla="*/ 60 h 152"/>
                                      <a:gd name="T26" fmla="*/ 3 w 204"/>
                                      <a:gd name="T27" fmla="*/ 68 h 152"/>
                                      <a:gd name="T28" fmla="*/ 4 w 204"/>
                                      <a:gd name="T29" fmla="*/ 82 h 152"/>
                                      <a:gd name="T30" fmla="*/ 7 w 204"/>
                                      <a:gd name="T31" fmla="*/ 91 h 152"/>
                                      <a:gd name="T32" fmla="*/ 13 w 204"/>
                                      <a:gd name="T33" fmla="*/ 106 h 152"/>
                                      <a:gd name="T34" fmla="*/ 11 w 204"/>
                                      <a:gd name="T35" fmla="*/ 121 h 152"/>
                                      <a:gd name="T36" fmla="*/ 30 w 204"/>
                                      <a:gd name="T37" fmla="*/ 125 h 152"/>
                                      <a:gd name="T38" fmla="*/ 54 w 204"/>
                                      <a:gd name="T39" fmla="*/ 121 h 152"/>
                                      <a:gd name="T40" fmla="*/ 73 w 204"/>
                                      <a:gd name="T41" fmla="*/ 112 h 152"/>
                                      <a:gd name="T42" fmla="*/ 96 w 204"/>
                                      <a:gd name="T43" fmla="*/ 111 h 152"/>
                                      <a:gd name="T44" fmla="*/ 111 w 204"/>
                                      <a:gd name="T45" fmla="*/ 121 h 152"/>
                                      <a:gd name="T46" fmla="*/ 116 w 204"/>
                                      <a:gd name="T47" fmla="*/ 125 h 152"/>
                                      <a:gd name="T48" fmla="*/ 125 w 204"/>
                                      <a:gd name="T49" fmla="*/ 120 h 152"/>
                                      <a:gd name="T50" fmla="*/ 122 w 204"/>
                                      <a:gd name="T51" fmla="*/ 129 h 152"/>
                                      <a:gd name="T52" fmla="*/ 131 w 204"/>
                                      <a:gd name="T53" fmla="*/ 132 h 152"/>
                                      <a:gd name="T54" fmla="*/ 145 w 204"/>
                                      <a:gd name="T55" fmla="*/ 147 h 152"/>
                                      <a:gd name="T56" fmla="*/ 161 w 204"/>
                                      <a:gd name="T57" fmla="*/ 145 h 152"/>
                                      <a:gd name="T58" fmla="*/ 165 w 204"/>
                                      <a:gd name="T59" fmla="*/ 149 h 152"/>
                                      <a:gd name="T60" fmla="*/ 174 w 204"/>
                                      <a:gd name="T61" fmla="*/ 145 h 152"/>
                                      <a:gd name="T62" fmla="*/ 194 w 204"/>
                                      <a:gd name="T63" fmla="*/ 118 h 152"/>
                                      <a:gd name="T64" fmla="*/ 200 w 204"/>
                                      <a:gd name="T65" fmla="*/ 108 h 152"/>
                                      <a:gd name="T66" fmla="*/ 202 w 204"/>
                                      <a:gd name="T67" fmla="*/ 96 h 152"/>
                                      <a:gd name="T68" fmla="*/ 201 w 204"/>
                                      <a:gd name="T69" fmla="*/ 83 h 152"/>
                                      <a:gd name="T70" fmla="*/ 196 w 204"/>
                                      <a:gd name="T71" fmla="*/ 70 h 152"/>
                                      <a:gd name="T72" fmla="*/ 184 w 204"/>
                                      <a:gd name="T73" fmla="*/ 59 h 152"/>
                                      <a:gd name="T74" fmla="*/ 180 w 204"/>
                                      <a:gd name="T75" fmla="*/ 50 h 152"/>
                                      <a:gd name="T76" fmla="*/ 166 w 204"/>
                                      <a:gd name="T77" fmla="*/ 36 h 152"/>
                                      <a:gd name="T78" fmla="*/ 161 w 204"/>
                                      <a:gd name="T79" fmla="*/ 20 h 152"/>
                                      <a:gd name="T80" fmla="*/ 152 w 204"/>
                                      <a:gd name="T81" fmla="*/ 8 h 152"/>
                                      <a:gd name="T82" fmla="*/ 145 w 204"/>
                                      <a:gd name="T83" fmla="*/ 6 h 152"/>
                                      <a:gd name="T84" fmla="*/ 143 w 204"/>
                                      <a:gd name="T85" fmla="*/ 16 h 152"/>
                                      <a:gd name="T86" fmla="*/ 130 w 204"/>
                                      <a:gd name="T87" fmla="*/ 31 h 152"/>
                                      <a:gd name="T88" fmla="*/ 115 w 204"/>
                                      <a:gd name="T89" fmla="*/ 17 h 152"/>
                                      <a:gd name="T90" fmla="*/ 118 w 204"/>
                                      <a:gd name="T91" fmla="*/ 11 h 152"/>
                                      <a:gd name="T92" fmla="*/ 117 w 204"/>
                                      <a:gd name="T93" fmla="*/ 8 h 152"/>
                                      <a:gd name="T94" fmla="*/ 109 w 204"/>
                                      <a:gd name="T95" fmla="*/ 7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4" h="152">
                                        <a:moveTo>
                                          <a:pt x="101" y="4"/>
                                        </a:moveTo>
                                        <a:cubicBezTo>
                                          <a:pt x="99" y="4"/>
                                          <a:pt x="98" y="2"/>
                                          <a:pt x="96" y="2"/>
                                        </a:cubicBezTo>
                                        <a:cubicBezTo>
                                          <a:pt x="95" y="1"/>
                                          <a:pt x="95" y="2"/>
                                          <a:pt x="96" y="3"/>
                                        </a:cubicBezTo>
                                        <a:cubicBezTo>
                                          <a:pt x="96" y="4"/>
                                          <a:pt x="98" y="3"/>
                                          <a:pt x="98" y="3"/>
                                        </a:cubicBezTo>
                                        <a:cubicBezTo>
                                          <a:pt x="99" y="4"/>
                                          <a:pt x="98" y="6"/>
                                          <a:pt x="99" y="6"/>
                                        </a:cubicBezTo>
                                        <a:cubicBezTo>
                                          <a:pt x="99" y="7"/>
                                          <a:pt x="98" y="7"/>
                                          <a:pt x="97" y="7"/>
                                        </a:cubicBezTo>
                                        <a:cubicBezTo>
                                          <a:pt x="96" y="8"/>
                                          <a:pt x="95" y="8"/>
                                          <a:pt x="94" y="8"/>
                                        </a:cubicBezTo>
                                        <a:cubicBezTo>
                                          <a:pt x="92" y="7"/>
                                          <a:pt x="92" y="8"/>
                                          <a:pt x="90" y="8"/>
                                        </a:cubicBezTo>
                                        <a:cubicBezTo>
                                          <a:pt x="87" y="9"/>
                                          <a:pt x="88" y="12"/>
                                          <a:pt x="86" y="13"/>
                                        </a:cubicBezTo>
                                        <a:cubicBezTo>
                                          <a:pt x="84" y="15"/>
                                          <a:pt x="83" y="18"/>
                                          <a:pt x="84" y="20"/>
                                        </a:cubicBezTo>
                                        <a:cubicBezTo>
                                          <a:pt x="86" y="23"/>
                                          <a:pt x="81" y="21"/>
                                          <a:pt x="80" y="21"/>
                                        </a:cubicBezTo>
                                        <a:cubicBezTo>
                                          <a:pt x="79" y="21"/>
                                          <a:pt x="76" y="24"/>
                                          <a:pt x="76" y="24"/>
                                        </a:cubicBezTo>
                                        <a:cubicBezTo>
                                          <a:pt x="76" y="24"/>
                                          <a:pt x="75" y="19"/>
                                          <a:pt x="74" y="18"/>
                                        </a:cubicBezTo>
                                        <a:cubicBezTo>
                                          <a:pt x="74" y="17"/>
                                          <a:pt x="73" y="17"/>
                                          <a:pt x="72" y="17"/>
                                        </a:cubicBezTo>
                                        <a:cubicBezTo>
                                          <a:pt x="71" y="16"/>
                                          <a:pt x="71" y="16"/>
                                          <a:pt x="71" y="15"/>
                                        </a:cubicBezTo>
                                        <a:cubicBezTo>
                                          <a:pt x="70" y="14"/>
                                          <a:pt x="70" y="16"/>
                                          <a:pt x="70" y="17"/>
                                        </a:cubicBezTo>
                                        <a:cubicBezTo>
                                          <a:pt x="69" y="17"/>
                                          <a:pt x="68" y="17"/>
                                          <a:pt x="68" y="16"/>
                                        </a:cubicBezTo>
                                        <a:cubicBezTo>
                                          <a:pt x="66" y="16"/>
                                          <a:pt x="67" y="20"/>
                                          <a:pt x="65" y="19"/>
                                        </a:cubicBezTo>
                                        <a:cubicBezTo>
                                          <a:pt x="65" y="19"/>
                                          <a:pt x="64" y="18"/>
                                          <a:pt x="64" y="18"/>
                                        </a:cubicBezTo>
                                        <a:cubicBezTo>
                                          <a:pt x="63" y="19"/>
                                          <a:pt x="63" y="19"/>
                                          <a:pt x="63" y="19"/>
                                        </a:cubicBezTo>
                                        <a:cubicBezTo>
                                          <a:pt x="60" y="18"/>
                                          <a:pt x="62" y="22"/>
                                          <a:pt x="62" y="22"/>
                                        </a:cubicBezTo>
                                        <a:cubicBezTo>
                                          <a:pt x="62" y="22"/>
                                          <a:pt x="60" y="22"/>
                                          <a:pt x="60" y="22"/>
                                        </a:cubicBezTo>
                                        <a:cubicBezTo>
                                          <a:pt x="60" y="23"/>
                                          <a:pt x="61" y="23"/>
                                          <a:pt x="61" y="23"/>
                                        </a:cubicBezTo>
                                        <a:cubicBezTo>
                                          <a:pt x="60" y="25"/>
                                          <a:pt x="59" y="23"/>
                                          <a:pt x="59" y="26"/>
                                        </a:cubicBezTo>
                                        <a:cubicBezTo>
                                          <a:pt x="59" y="27"/>
                                          <a:pt x="60" y="27"/>
                                          <a:pt x="60" y="28"/>
                                        </a:cubicBezTo>
                                        <a:cubicBezTo>
                                          <a:pt x="60" y="30"/>
                                          <a:pt x="53" y="26"/>
                                          <a:pt x="53" y="29"/>
                                        </a:cubicBezTo>
                                        <a:cubicBezTo>
                                          <a:pt x="53" y="30"/>
                                          <a:pt x="57" y="32"/>
                                          <a:pt x="55" y="33"/>
                                        </a:cubicBezTo>
                                        <a:cubicBezTo>
                                          <a:pt x="54" y="33"/>
                                          <a:pt x="54" y="32"/>
                                          <a:pt x="54" y="33"/>
                                        </a:cubicBezTo>
                                        <a:cubicBezTo>
                                          <a:pt x="53" y="34"/>
                                          <a:pt x="53" y="34"/>
                                          <a:pt x="52" y="33"/>
                                        </a:cubicBezTo>
                                        <a:cubicBezTo>
                                          <a:pt x="51" y="33"/>
                                          <a:pt x="52" y="31"/>
                                          <a:pt x="51" y="30"/>
                                        </a:cubicBezTo>
                                        <a:cubicBezTo>
                                          <a:pt x="50" y="28"/>
                                          <a:pt x="48" y="32"/>
                                          <a:pt x="47" y="33"/>
                                        </a:cubicBezTo>
                                        <a:cubicBezTo>
                                          <a:pt x="47" y="34"/>
                                          <a:pt x="46" y="35"/>
                                          <a:pt x="46" y="36"/>
                                        </a:cubicBezTo>
                                        <a:cubicBezTo>
                                          <a:pt x="46" y="36"/>
                                          <a:pt x="47" y="37"/>
                                          <a:pt x="47" y="38"/>
                                        </a:cubicBezTo>
                                        <a:cubicBezTo>
                                          <a:pt x="47" y="38"/>
                                          <a:pt x="45" y="40"/>
                                          <a:pt x="44" y="41"/>
                                        </a:cubicBezTo>
                                        <a:cubicBezTo>
                                          <a:pt x="41" y="44"/>
                                          <a:pt x="38" y="46"/>
                                          <a:pt x="34" y="47"/>
                                        </a:cubicBezTo>
                                        <a:cubicBezTo>
                                          <a:pt x="31" y="47"/>
                                          <a:pt x="28" y="49"/>
                                          <a:pt x="24" y="50"/>
                                        </a:cubicBezTo>
                                        <a:cubicBezTo>
                                          <a:pt x="21" y="51"/>
                                          <a:pt x="18" y="51"/>
                                          <a:pt x="15" y="53"/>
                                        </a:cubicBezTo>
                                        <a:cubicBezTo>
                                          <a:pt x="13" y="55"/>
                                          <a:pt x="12" y="55"/>
                                          <a:pt x="10" y="56"/>
                                        </a:cubicBezTo>
                                        <a:cubicBezTo>
                                          <a:pt x="9" y="57"/>
                                          <a:pt x="7" y="60"/>
                                          <a:pt x="7" y="60"/>
                                        </a:cubicBezTo>
                                        <a:cubicBezTo>
                                          <a:pt x="6" y="60"/>
                                          <a:pt x="7" y="57"/>
                                          <a:pt x="7" y="56"/>
                                        </a:cubicBezTo>
                                        <a:cubicBezTo>
                                          <a:pt x="5" y="56"/>
                                          <a:pt x="4" y="61"/>
                                          <a:pt x="4" y="61"/>
                                        </a:cubicBezTo>
                                        <a:cubicBezTo>
                                          <a:pt x="5" y="64"/>
                                          <a:pt x="3" y="65"/>
                                          <a:pt x="3" y="68"/>
                                        </a:cubicBezTo>
                                        <a:cubicBezTo>
                                          <a:pt x="3" y="69"/>
                                          <a:pt x="8" y="80"/>
                                          <a:pt x="6" y="81"/>
                                        </a:cubicBezTo>
                                        <a:cubicBezTo>
                                          <a:pt x="6" y="81"/>
                                          <a:pt x="3" y="77"/>
                                          <a:pt x="3" y="77"/>
                                        </a:cubicBezTo>
                                        <a:cubicBezTo>
                                          <a:pt x="3" y="78"/>
                                          <a:pt x="6" y="81"/>
                                          <a:pt x="4" y="82"/>
                                        </a:cubicBezTo>
                                        <a:cubicBezTo>
                                          <a:pt x="2" y="82"/>
                                          <a:pt x="2" y="77"/>
                                          <a:pt x="0" y="77"/>
                                        </a:cubicBezTo>
                                        <a:cubicBezTo>
                                          <a:pt x="0" y="77"/>
                                          <a:pt x="6" y="85"/>
                                          <a:pt x="6" y="86"/>
                                        </a:cubicBezTo>
                                        <a:cubicBezTo>
                                          <a:pt x="7" y="87"/>
                                          <a:pt x="6" y="89"/>
                                          <a:pt x="7" y="91"/>
                                        </a:cubicBezTo>
                                        <a:cubicBezTo>
                                          <a:pt x="8" y="93"/>
                                          <a:pt x="9" y="94"/>
                                          <a:pt x="10" y="96"/>
                                        </a:cubicBezTo>
                                        <a:cubicBezTo>
                                          <a:pt x="11" y="97"/>
                                          <a:pt x="11" y="100"/>
                                          <a:pt x="11" y="101"/>
                                        </a:cubicBezTo>
                                        <a:cubicBezTo>
                                          <a:pt x="11" y="103"/>
                                          <a:pt x="12" y="105"/>
                                          <a:pt x="13" y="106"/>
                                        </a:cubicBezTo>
                                        <a:cubicBezTo>
                                          <a:pt x="14" y="109"/>
                                          <a:pt x="14" y="110"/>
                                          <a:pt x="14" y="113"/>
                                        </a:cubicBezTo>
                                        <a:cubicBezTo>
                                          <a:pt x="14" y="114"/>
                                          <a:pt x="14" y="119"/>
                                          <a:pt x="14" y="119"/>
                                        </a:cubicBezTo>
                                        <a:cubicBezTo>
                                          <a:pt x="13" y="120"/>
                                          <a:pt x="12" y="120"/>
                                          <a:pt x="11" y="121"/>
                                        </a:cubicBezTo>
                                        <a:cubicBezTo>
                                          <a:pt x="10" y="124"/>
                                          <a:pt x="12" y="124"/>
                                          <a:pt x="13" y="125"/>
                                        </a:cubicBezTo>
                                        <a:cubicBezTo>
                                          <a:pt x="17" y="127"/>
                                          <a:pt x="20" y="129"/>
                                          <a:pt x="25" y="128"/>
                                        </a:cubicBezTo>
                                        <a:cubicBezTo>
                                          <a:pt x="27" y="127"/>
                                          <a:pt x="29" y="126"/>
                                          <a:pt x="30" y="125"/>
                                        </a:cubicBezTo>
                                        <a:cubicBezTo>
                                          <a:pt x="33" y="124"/>
                                          <a:pt x="32" y="125"/>
                                          <a:pt x="33" y="123"/>
                                        </a:cubicBezTo>
                                        <a:cubicBezTo>
                                          <a:pt x="35" y="121"/>
                                          <a:pt x="42" y="121"/>
                                          <a:pt x="44" y="122"/>
                                        </a:cubicBezTo>
                                        <a:cubicBezTo>
                                          <a:pt x="47" y="122"/>
                                          <a:pt x="52" y="124"/>
                                          <a:pt x="54" y="121"/>
                                        </a:cubicBezTo>
                                        <a:cubicBezTo>
                                          <a:pt x="55" y="120"/>
                                          <a:pt x="55" y="118"/>
                                          <a:pt x="57" y="117"/>
                                        </a:cubicBezTo>
                                        <a:cubicBezTo>
                                          <a:pt x="59" y="116"/>
                                          <a:pt x="61" y="115"/>
                                          <a:pt x="63" y="114"/>
                                        </a:cubicBezTo>
                                        <a:cubicBezTo>
                                          <a:pt x="66" y="112"/>
                                          <a:pt x="70" y="114"/>
                                          <a:pt x="73" y="112"/>
                                        </a:cubicBezTo>
                                        <a:cubicBezTo>
                                          <a:pt x="78" y="110"/>
                                          <a:pt x="82" y="110"/>
                                          <a:pt x="88" y="109"/>
                                        </a:cubicBezTo>
                                        <a:cubicBezTo>
                                          <a:pt x="89" y="109"/>
                                          <a:pt x="90" y="108"/>
                                          <a:pt x="92" y="108"/>
                                        </a:cubicBezTo>
                                        <a:cubicBezTo>
                                          <a:pt x="93" y="109"/>
                                          <a:pt x="95" y="110"/>
                                          <a:pt x="96" y="111"/>
                                        </a:cubicBezTo>
                                        <a:cubicBezTo>
                                          <a:pt x="97" y="111"/>
                                          <a:pt x="107" y="113"/>
                                          <a:pt x="107" y="114"/>
                                        </a:cubicBezTo>
                                        <a:cubicBezTo>
                                          <a:pt x="106" y="115"/>
                                          <a:pt x="105" y="118"/>
                                          <a:pt x="107" y="117"/>
                                        </a:cubicBezTo>
                                        <a:cubicBezTo>
                                          <a:pt x="108" y="117"/>
                                          <a:pt x="110" y="120"/>
                                          <a:pt x="111" y="121"/>
                                        </a:cubicBezTo>
                                        <a:cubicBezTo>
                                          <a:pt x="112" y="122"/>
                                          <a:pt x="112" y="123"/>
                                          <a:pt x="112" y="125"/>
                                        </a:cubicBezTo>
                                        <a:cubicBezTo>
                                          <a:pt x="113" y="126"/>
                                          <a:pt x="115" y="128"/>
                                          <a:pt x="115" y="128"/>
                                        </a:cubicBezTo>
                                        <a:cubicBezTo>
                                          <a:pt x="115" y="127"/>
                                          <a:pt x="114" y="126"/>
                                          <a:pt x="116" y="125"/>
                                        </a:cubicBezTo>
                                        <a:cubicBezTo>
                                          <a:pt x="117" y="124"/>
                                          <a:pt x="118" y="123"/>
                                          <a:pt x="120" y="122"/>
                                        </a:cubicBezTo>
                                        <a:cubicBezTo>
                                          <a:pt x="121" y="121"/>
                                          <a:pt x="126" y="116"/>
                                          <a:pt x="125" y="115"/>
                                        </a:cubicBezTo>
                                        <a:cubicBezTo>
                                          <a:pt x="126" y="117"/>
                                          <a:pt x="125" y="118"/>
                                          <a:pt x="125" y="120"/>
                                        </a:cubicBezTo>
                                        <a:cubicBezTo>
                                          <a:pt x="126" y="121"/>
                                          <a:pt x="124" y="122"/>
                                          <a:pt x="124" y="122"/>
                                        </a:cubicBezTo>
                                        <a:cubicBezTo>
                                          <a:pt x="123" y="124"/>
                                          <a:pt x="123" y="125"/>
                                          <a:pt x="123" y="126"/>
                                        </a:cubicBezTo>
                                        <a:cubicBezTo>
                                          <a:pt x="123" y="128"/>
                                          <a:pt x="119" y="129"/>
                                          <a:pt x="122" y="129"/>
                                        </a:cubicBezTo>
                                        <a:cubicBezTo>
                                          <a:pt x="126" y="129"/>
                                          <a:pt x="124" y="125"/>
                                          <a:pt x="125" y="123"/>
                                        </a:cubicBezTo>
                                        <a:cubicBezTo>
                                          <a:pt x="125" y="123"/>
                                          <a:pt x="129" y="127"/>
                                          <a:pt x="128" y="129"/>
                                        </a:cubicBezTo>
                                        <a:cubicBezTo>
                                          <a:pt x="125" y="133"/>
                                          <a:pt x="129" y="130"/>
                                          <a:pt x="131" y="132"/>
                                        </a:cubicBezTo>
                                        <a:cubicBezTo>
                                          <a:pt x="134" y="135"/>
                                          <a:pt x="134" y="136"/>
                                          <a:pt x="134" y="139"/>
                                        </a:cubicBezTo>
                                        <a:cubicBezTo>
                                          <a:pt x="133" y="142"/>
                                          <a:pt x="137" y="145"/>
                                          <a:pt x="139" y="145"/>
                                        </a:cubicBezTo>
                                        <a:cubicBezTo>
                                          <a:pt x="141" y="146"/>
                                          <a:pt x="143" y="147"/>
                                          <a:pt x="145" y="147"/>
                                        </a:cubicBezTo>
                                        <a:cubicBezTo>
                                          <a:pt x="147" y="147"/>
                                          <a:pt x="151" y="152"/>
                                          <a:pt x="153" y="151"/>
                                        </a:cubicBezTo>
                                        <a:cubicBezTo>
                                          <a:pt x="155" y="150"/>
                                          <a:pt x="157" y="149"/>
                                          <a:pt x="158" y="147"/>
                                        </a:cubicBezTo>
                                        <a:cubicBezTo>
                                          <a:pt x="158" y="147"/>
                                          <a:pt x="160" y="144"/>
                                          <a:pt x="161" y="145"/>
                                        </a:cubicBezTo>
                                        <a:cubicBezTo>
                                          <a:pt x="161" y="146"/>
                                          <a:pt x="159" y="147"/>
                                          <a:pt x="160" y="148"/>
                                        </a:cubicBezTo>
                                        <a:cubicBezTo>
                                          <a:pt x="161" y="149"/>
                                          <a:pt x="161" y="146"/>
                                          <a:pt x="162" y="146"/>
                                        </a:cubicBezTo>
                                        <a:cubicBezTo>
                                          <a:pt x="162" y="146"/>
                                          <a:pt x="164" y="149"/>
                                          <a:pt x="165" y="149"/>
                                        </a:cubicBezTo>
                                        <a:cubicBezTo>
                                          <a:pt x="165" y="150"/>
                                          <a:pt x="167" y="152"/>
                                          <a:pt x="168" y="152"/>
                                        </a:cubicBezTo>
                                        <a:cubicBezTo>
                                          <a:pt x="167" y="152"/>
                                          <a:pt x="170" y="149"/>
                                          <a:pt x="170" y="149"/>
                                        </a:cubicBezTo>
                                        <a:cubicBezTo>
                                          <a:pt x="172" y="148"/>
                                          <a:pt x="173" y="146"/>
                                          <a:pt x="174" y="145"/>
                                        </a:cubicBezTo>
                                        <a:cubicBezTo>
                                          <a:pt x="177" y="144"/>
                                          <a:pt x="185" y="146"/>
                                          <a:pt x="185" y="142"/>
                                        </a:cubicBezTo>
                                        <a:cubicBezTo>
                                          <a:pt x="186" y="137"/>
                                          <a:pt x="187" y="134"/>
                                          <a:pt x="188" y="130"/>
                                        </a:cubicBezTo>
                                        <a:cubicBezTo>
                                          <a:pt x="190" y="126"/>
                                          <a:pt x="191" y="122"/>
                                          <a:pt x="194" y="118"/>
                                        </a:cubicBezTo>
                                        <a:cubicBezTo>
                                          <a:pt x="195" y="117"/>
                                          <a:pt x="197" y="116"/>
                                          <a:pt x="198" y="114"/>
                                        </a:cubicBezTo>
                                        <a:cubicBezTo>
                                          <a:pt x="198" y="113"/>
                                          <a:pt x="198" y="113"/>
                                          <a:pt x="198" y="112"/>
                                        </a:cubicBezTo>
                                        <a:cubicBezTo>
                                          <a:pt x="199" y="111"/>
                                          <a:pt x="200" y="110"/>
                                          <a:pt x="200" y="108"/>
                                        </a:cubicBezTo>
                                        <a:cubicBezTo>
                                          <a:pt x="201" y="106"/>
                                          <a:pt x="200" y="104"/>
                                          <a:pt x="201" y="102"/>
                                        </a:cubicBezTo>
                                        <a:cubicBezTo>
                                          <a:pt x="201" y="101"/>
                                          <a:pt x="202" y="100"/>
                                          <a:pt x="202" y="99"/>
                                        </a:cubicBezTo>
                                        <a:cubicBezTo>
                                          <a:pt x="203" y="98"/>
                                          <a:pt x="201" y="97"/>
                                          <a:pt x="202" y="96"/>
                                        </a:cubicBezTo>
                                        <a:cubicBezTo>
                                          <a:pt x="203" y="95"/>
                                          <a:pt x="204" y="92"/>
                                          <a:pt x="203" y="91"/>
                                        </a:cubicBezTo>
                                        <a:cubicBezTo>
                                          <a:pt x="203" y="89"/>
                                          <a:pt x="202" y="88"/>
                                          <a:pt x="202" y="87"/>
                                        </a:cubicBezTo>
                                        <a:cubicBezTo>
                                          <a:pt x="201" y="86"/>
                                          <a:pt x="201" y="84"/>
                                          <a:pt x="201" y="83"/>
                                        </a:cubicBezTo>
                                        <a:cubicBezTo>
                                          <a:pt x="200" y="79"/>
                                          <a:pt x="203" y="77"/>
                                          <a:pt x="202" y="73"/>
                                        </a:cubicBezTo>
                                        <a:cubicBezTo>
                                          <a:pt x="202" y="74"/>
                                          <a:pt x="201" y="76"/>
                                          <a:pt x="200" y="76"/>
                                        </a:cubicBezTo>
                                        <a:cubicBezTo>
                                          <a:pt x="198" y="76"/>
                                          <a:pt x="197" y="72"/>
                                          <a:pt x="196" y="70"/>
                                        </a:cubicBezTo>
                                        <a:cubicBezTo>
                                          <a:pt x="194" y="67"/>
                                          <a:pt x="190" y="67"/>
                                          <a:pt x="190" y="62"/>
                                        </a:cubicBezTo>
                                        <a:cubicBezTo>
                                          <a:pt x="189" y="60"/>
                                          <a:pt x="188" y="60"/>
                                          <a:pt x="187" y="59"/>
                                        </a:cubicBezTo>
                                        <a:cubicBezTo>
                                          <a:pt x="185" y="58"/>
                                          <a:pt x="185" y="61"/>
                                          <a:pt x="184" y="59"/>
                                        </a:cubicBezTo>
                                        <a:cubicBezTo>
                                          <a:pt x="184" y="56"/>
                                          <a:pt x="183" y="55"/>
                                          <a:pt x="181" y="53"/>
                                        </a:cubicBezTo>
                                        <a:cubicBezTo>
                                          <a:pt x="181" y="53"/>
                                          <a:pt x="180" y="52"/>
                                          <a:pt x="180" y="51"/>
                                        </a:cubicBezTo>
                                        <a:cubicBezTo>
                                          <a:pt x="179" y="51"/>
                                          <a:pt x="180" y="49"/>
                                          <a:pt x="180" y="50"/>
                                        </a:cubicBezTo>
                                        <a:cubicBezTo>
                                          <a:pt x="178" y="48"/>
                                          <a:pt x="176" y="47"/>
                                          <a:pt x="174" y="46"/>
                                        </a:cubicBezTo>
                                        <a:cubicBezTo>
                                          <a:pt x="172" y="44"/>
                                          <a:pt x="169" y="45"/>
                                          <a:pt x="168" y="43"/>
                                        </a:cubicBezTo>
                                        <a:cubicBezTo>
                                          <a:pt x="166" y="41"/>
                                          <a:pt x="167" y="37"/>
                                          <a:pt x="166" y="36"/>
                                        </a:cubicBezTo>
                                        <a:cubicBezTo>
                                          <a:pt x="166" y="34"/>
                                          <a:pt x="166" y="32"/>
                                          <a:pt x="165" y="31"/>
                                        </a:cubicBezTo>
                                        <a:cubicBezTo>
                                          <a:pt x="164" y="30"/>
                                          <a:pt x="163" y="30"/>
                                          <a:pt x="163" y="28"/>
                                        </a:cubicBezTo>
                                        <a:cubicBezTo>
                                          <a:pt x="163" y="26"/>
                                          <a:pt x="163" y="23"/>
                                          <a:pt x="161" y="20"/>
                                        </a:cubicBezTo>
                                        <a:cubicBezTo>
                                          <a:pt x="160" y="20"/>
                                          <a:pt x="158" y="17"/>
                                          <a:pt x="158" y="18"/>
                                        </a:cubicBezTo>
                                        <a:cubicBezTo>
                                          <a:pt x="156" y="18"/>
                                          <a:pt x="156" y="19"/>
                                          <a:pt x="155" y="17"/>
                                        </a:cubicBezTo>
                                        <a:cubicBezTo>
                                          <a:pt x="153" y="15"/>
                                          <a:pt x="154" y="11"/>
                                          <a:pt x="152" y="8"/>
                                        </a:cubicBezTo>
                                        <a:cubicBezTo>
                                          <a:pt x="152" y="7"/>
                                          <a:pt x="148" y="0"/>
                                          <a:pt x="148" y="0"/>
                                        </a:cubicBezTo>
                                        <a:cubicBezTo>
                                          <a:pt x="147" y="0"/>
                                          <a:pt x="147" y="2"/>
                                          <a:pt x="147" y="3"/>
                                        </a:cubicBezTo>
                                        <a:cubicBezTo>
                                          <a:pt x="147" y="4"/>
                                          <a:pt x="146" y="5"/>
                                          <a:pt x="145" y="6"/>
                                        </a:cubicBezTo>
                                        <a:cubicBezTo>
                                          <a:pt x="145" y="6"/>
                                          <a:pt x="143" y="8"/>
                                          <a:pt x="144" y="9"/>
                                        </a:cubicBezTo>
                                        <a:cubicBezTo>
                                          <a:pt x="144" y="9"/>
                                          <a:pt x="146" y="9"/>
                                          <a:pt x="145" y="10"/>
                                        </a:cubicBezTo>
                                        <a:cubicBezTo>
                                          <a:pt x="144" y="10"/>
                                          <a:pt x="143" y="15"/>
                                          <a:pt x="143" y="16"/>
                                        </a:cubicBezTo>
                                        <a:cubicBezTo>
                                          <a:pt x="144" y="18"/>
                                          <a:pt x="144" y="20"/>
                                          <a:pt x="144" y="22"/>
                                        </a:cubicBezTo>
                                        <a:cubicBezTo>
                                          <a:pt x="143" y="26"/>
                                          <a:pt x="143" y="36"/>
                                          <a:pt x="137" y="36"/>
                                        </a:cubicBezTo>
                                        <a:cubicBezTo>
                                          <a:pt x="133" y="36"/>
                                          <a:pt x="133" y="32"/>
                                          <a:pt x="130" y="31"/>
                                        </a:cubicBezTo>
                                        <a:cubicBezTo>
                                          <a:pt x="128" y="30"/>
                                          <a:pt x="126" y="30"/>
                                          <a:pt x="124" y="28"/>
                                        </a:cubicBezTo>
                                        <a:cubicBezTo>
                                          <a:pt x="123" y="27"/>
                                          <a:pt x="112" y="21"/>
                                          <a:pt x="113" y="20"/>
                                        </a:cubicBezTo>
                                        <a:cubicBezTo>
                                          <a:pt x="113" y="19"/>
                                          <a:pt x="114" y="18"/>
                                          <a:pt x="115" y="17"/>
                                        </a:cubicBezTo>
                                        <a:cubicBezTo>
                                          <a:pt x="115" y="16"/>
                                          <a:pt x="117" y="16"/>
                                          <a:pt x="117" y="15"/>
                                        </a:cubicBezTo>
                                        <a:cubicBezTo>
                                          <a:pt x="117" y="15"/>
                                          <a:pt x="116" y="14"/>
                                          <a:pt x="116" y="13"/>
                                        </a:cubicBezTo>
                                        <a:cubicBezTo>
                                          <a:pt x="117" y="12"/>
                                          <a:pt x="117" y="12"/>
                                          <a:pt x="118" y="11"/>
                                        </a:cubicBezTo>
                                        <a:cubicBezTo>
                                          <a:pt x="118" y="10"/>
                                          <a:pt x="120" y="9"/>
                                          <a:pt x="121" y="8"/>
                                        </a:cubicBezTo>
                                        <a:cubicBezTo>
                                          <a:pt x="121" y="7"/>
                                          <a:pt x="119" y="5"/>
                                          <a:pt x="118" y="6"/>
                                        </a:cubicBezTo>
                                        <a:cubicBezTo>
                                          <a:pt x="118" y="6"/>
                                          <a:pt x="117" y="8"/>
                                          <a:pt x="117" y="8"/>
                                        </a:cubicBezTo>
                                        <a:cubicBezTo>
                                          <a:pt x="116" y="7"/>
                                          <a:pt x="116" y="7"/>
                                          <a:pt x="115" y="6"/>
                                        </a:cubicBezTo>
                                        <a:cubicBezTo>
                                          <a:pt x="115" y="5"/>
                                          <a:pt x="113" y="7"/>
                                          <a:pt x="112" y="7"/>
                                        </a:cubicBezTo>
                                        <a:cubicBezTo>
                                          <a:pt x="111" y="8"/>
                                          <a:pt x="110" y="7"/>
                                          <a:pt x="109" y="7"/>
                                        </a:cubicBezTo>
                                        <a:cubicBezTo>
                                          <a:pt x="107" y="6"/>
                                          <a:pt x="104" y="5"/>
                                          <a:pt x="101" y="4"/>
                                        </a:cubicBezTo>
                                        <a:cubicBezTo>
                                          <a:pt x="99" y="4"/>
                                          <a:pt x="103" y="5"/>
                                          <a:pt x="101" y="4"/>
                                        </a:cubicBezTo>
                                        <a:close/>
                                      </a:path>
                                    </a:pathLst>
                                  </a:custGeom>
                                  <a:grpFill/>
                                  <a:ln w="4763" cap="flat">
                                    <a:noFill/>
                                    <a:prstDash val="solid"/>
                                    <a:round/>
                                    <a:headEnd/>
                                    <a:tailEnd/>
                                  </a:ln>
                                </wps:spPr>
                                <wps:bodyPr vert="horz" wrap="square" lIns="91440" tIns="45720" rIns="91440" bIns="45720" numCol="1" anchor="t" anchorCtr="0" compatLnSpc="1">
                                  <a:prstTxWarp prst="textNoShape">
                                    <a:avLst/>
                                  </a:prstTxWarp>
                                </wps:bodyPr>
                              </wps:wsp>
                              <wps:wsp>
                                <wps:cNvPr id="2143264940" name="Freeform 482"/>
                                <wps:cNvSpPr>
                                  <a:spLocks/>
                                </wps:cNvSpPr>
                                <wps:spPr bwMode="auto">
                                  <a:xfrm>
                                    <a:off x="904280" y="1014296"/>
                                    <a:ext cx="84753" cy="83834"/>
                                  </a:xfrm>
                                  <a:custGeom>
                                    <a:avLst/>
                                    <a:gdLst>
                                      <a:gd name="T0" fmla="*/ 0 w 19"/>
                                      <a:gd name="T1" fmla="*/ 2 h 18"/>
                                      <a:gd name="T2" fmla="*/ 2 w 19"/>
                                      <a:gd name="T3" fmla="*/ 7 h 18"/>
                                      <a:gd name="T4" fmla="*/ 4 w 19"/>
                                      <a:gd name="T5" fmla="*/ 10 h 18"/>
                                      <a:gd name="T6" fmla="*/ 3 w 19"/>
                                      <a:gd name="T7" fmla="*/ 12 h 18"/>
                                      <a:gd name="T8" fmla="*/ 9 w 19"/>
                                      <a:gd name="T9" fmla="*/ 18 h 18"/>
                                      <a:gd name="T10" fmla="*/ 12 w 19"/>
                                      <a:gd name="T11" fmla="*/ 15 h 18"/>
                                      <a:gd name="T12" fmla="*/ 13 w 19"/>
                                      <a:gd name="T13" fmla="*/ 17 h 18"/>
                                      <a:gd name="T14" fmla="*/ 14 w 19"/>
                                      <a:gd name="T15" fmla="*/ 14 h 18"/>
                                      <a:gd name="T16" fmla="*/ 16 w 19"/>
                                      <a:gd name="T17" fmla="*/ 15 h 18"/>
                                      <a:gd name="T18" fmla="*/ 18 w 19"/>
                                      <a:gd name="T19" fmla="*/ 7 h 18"/>
                                      <a:gd name="T20" fmla="*/ 16 w 19"/>
                                      <a:gd name="T21" fmla="*/ 1 h 18"/>
                                      <a:gd name="T22" fmla="*/ 7 w 19"/>
                                      <a:gd name="T23" fmla="*/ 3 h 18"/>
                                      <a:gd name="T24" fmla="*/ 0 w 19"/>
                                      <a:gd name="T25" fmla="*/ 2 h 18"/>
                                      <a:gd name="T26" fmla="*/ 0 w 19"/>
                                      <a:gd name="T27"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18">
                                        <a:moveTo>
                                          <a:pt x="0" y="2"/>
                                        </a:moveTo>
                                        <a:cubicBezTo>
                                          <a:pt x="0" y="3"/>
                                          <a:pt x="2" y="6"/>
                                          <a:pt x="2" y="7"/>
                                        </a:cubicBezTo>
                                        <a:cubicBezTo>
                                          <a:pt x="3" y="8"/>
                                          <a:pt x="4" y="9"/>
                                          <a:pt x="4" y="10"/>
                                        </a:cubicBezTo>
                                        <a:cubicBezTo>
                                          <a:pt x="4" y="11"/>
                                          <a:pt x="3" y="11"/>
                                          <a:pt x="3" y="12"/>
                                        </a:cubicBezTo>
                                        <a:cubicBezTo>
                                          <a:pt x="4" y="15"/>
                                          <a:pt x="7" y="17"/>
                                          <a:pt x="9" y="18"/>
                                        </a:cubicBezTo>
                                        <a:cubicBezTo>
                                          <a:pt x="11" y="18"/>
                                          <a:pt x="11" y="16"/>
                                          <a:pt x="12" y="15"/>
                                        </a:cubicBezTo>
                                        <a:cubicBezTo>
                                          <a:pt x="12" y="15"/>
                                          <a:pt x="13" y="17"/>
                                          <a:pt x="13" y="17"/>
                                        </a:cubicBezTo>
                                        <a:cubicBezTo>
                                          <a:pt x="13" y="16"/>
                                          <a:pt x="13" y="14"/>
                                          <a:pt x="14" y="14"/>
                                        </a:cubicBezTo>
                                        <a:cubicBezTo>
                                          <a:pt x="15" y="13"/>
                                          <a:pt x="15" y="15"/>
                                          <a:pt x="16" y="15"/>
                                        </a:cubicBezTo>
                                        <a:cubicBezTo>
                                          <a:pt x="15" y="15"/>
                                          <a:pt x="18" y="8"/>
                                          <a:pt x="18" y="7"/>
                                        </a:cubicBezTo>
                                        <a:cubicBezTo>
                                          <a:pt x="18" y="6"/>
                                          <a:pt x="19" y="0"/>
                                          <a:pt x="16" y="1"/>
                                        </a:cubicBezTo>
                                        <a:cubicBezTo>
                                          <a:pt x="13" y="2"/>
                                          <a:pt x="10" y="4"/>
                                          <a:pt x="7" y="3"/>
                                        </a:cubicBezTo>
                                        <a:cubicBezTo>
                                          <a:pt x="6" y="3"/>
                                          <a:pt x="1" y="0"/>
                                          <a:pt x="0" y="2"/>
                                        </a:cubicBezTo>
                                        <a:cubicBezTo>
                                          <a:pt x="0" y="3"/>
                                          <a:pt x="1" y="0"/>
                                          <a:pt x="0" y="2"/>
                                        </a:cubicBezTo>
                                        <a:close/>
                                      </a:path>
                                    </a:pathLst>
                                  </a:custGeom>
                                  <a:grpFill/>
                                  <a:ln w="4763" cap="flat">
                                    <a:noFill/>
                                    <a:prstDash val="solid"/>
                                    <a:round/>
                                    <a:headEnd/>
                                    <a:tailEnd/>
                                  </a:ln>
                                </wps:spPr>
                                <wps:bodyPr vert="horz" wrap="square" lIns="91440" tIns="45720" rIns="91440" bIns="45720" numCol="1" anchor="t" anchorCtr="0" compatLnSpc="1">
                                  <a:prstTxWarp prst="textNoShape">
                                    <a:avLst/>
                                  </a:prstTxWarp>
                                </wps:bodyPr>
                              </wps:wsp>
                            </wpg:grpSp>
                          </wpg:wgp>
                        </a:graphicData>
                      </a:graphic>
                    </wp:inline>
                  </w:drawing>
                </mc:Choice>
                <mc:Fallback>
                  <w:pict>
                    <v:group w14:anchorId="00172C48" id="Group 544" o:spid="_x0000_s1026" style="width:53.85pt;height:36pt;mso-position-horizontal-relative:char;mso-position-vertical-relative:line" coordorigin=",1293" coordsize="7198,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">
                      <v:shape id="Graphic 545" o:spid="_x0000_s1027" type="#_x0000_t75" alt="Cloud outline" style="position:absolute;top:1293;width:719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">
                        <v:imagedata r:id="rId85" o:title="Cloud outline" croptop="11778f" cropbottom="12142f" cropleft="-1f" cropright="10f"/>
                      </v:shape>
                      <v:group id="Group 2143264938" o:spid="_x0000_s1028" style="position:absolute;left:1990;top:2661;width:2738;height:2516" coordorigin="1990,2661" coordsize="9050,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">
                        <v:shape id="Freeform 403" o:spid="_x0000_s1029" style="position:absolute;left:1990;top:2661;width:9050;height:7070;visibility:visible;mso-wrap-style:square;v-text-anchor:top" coordsize="20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" path="m101,4c99,4,98,2,96,2v-1,-1,-1,,,1c96,4,98,3,98,3v1,1,,3,1,3c99,7,98,7,97,7,96,8,95,8,94,8v-2,-1,-2,,-4,c87,9,88,12,86,13v-2,2,-3,5,-2,7c86,23,81,21,80,21v-1,,-4,3,-4,3c76,24,75,19,74,18v,-1,-1,-1,-2,-1c71,16,71,16,71,15v-1,-1,-1,1,-1,2c69,17,68,17,68,16v-2,,-1,4,-3,3c65,19,64,18,64,18v-1,1,-1,1,-1,1c60,18,62,22,62,22v,,-2,,-2,c60,23,61,23,61,23v-1,2,-2,,-2,3c59,27,60,27,60,28v,2,-7,-2,-7,1c53,30,57,32,55,33v-1,,-1,-1,-1,c53,34,53,34,52,33v-1,,,-2,-1,-3c50,28,48,32,47,33v,1,-1,2,-1,3c46,36,47,37,47,38v,,-2,2,-3,3c41,44,38,46,34,47v-3,,-6,2,-10,3c21,51,18,51,15,53v-2,2,-3,2,-5,3c9,57,7,60,7,60v-1,,,-3,,-4c5,56,4,61,4,61v1,3,-1,4,-1,7c3,69,8,80,6,81v,,-3,-4,-3,-4c3,78,6,81,4,82,2,82,2,77,,77v,,6,8,6,9c7,87,6,89,7,91v1,2,2,3,3,5c11,97,11,100,11,101v,2,1,4,2,5c14,109,14,110,14,113v,1,,6,,6c13,120,12,120,11,121v-1,3,1,3,2,4c17,127,20,129,25,128v2,-1,4,-2,5,-3c33,124,32,125,33,123v2,-2,9,-2,11,-1c47,122,52,124,54,121v1,-1,1,-3,3,-4c59,116,61,115,63,114v3,-2,7,,10,-2c78,110,82,110,88,109v1,,2,-1,4,-1c93,109,95,110,96,111v1,,11,2,11,3c106,115,105,118,107,117v1,,3,3,4,4c112,122,112,123,112,125v1,1,3,3,3,3c115,127,114,126,116,125v1,-1,2,-2,4,-3c121,121,126,116,125,115v1,2,,3,,5c126,121,124,122,124,122v-1,2,-1,3,-1,4c123,128,119,129,122,129v4,,2,-4,3,-6c125,123,129,127,128,129v-3,4,1,1,3,3c134,135,134,136,134,139v-1,3,3,6,5,6c141,146,143,147,145,147v2,,6,5,8,4c155,150,157,149,158,147v,,2,-3,3,-2c161,146,159,147,160,148v1,1,1,-2,2,-2c162,146,164,149,165,149v,1,2,3,3,3c167,152,170,149,170,149v2,-1,3,-3,4,-4c177,144,185,146,185,142v1,-5,2,-8,3,-12c190,126,191,122,194,118v1,-1,3,-2,4,-4c198,113,198,113,198,112v1,-1,2,-2,2,-4c201,106,200,104,201,102v,-1,1,-2,1,-3c203,98,201,97,202,96v1,-1,2,-4,1,-5c203,89,202,88,202,87v-1,-1,-1,-3,-1,-4c200,79,203,77,202,73v,1,-1,3,-2,3c198,76,197,72,196,70v-2,-3,-6,-3,-6,-8c189,60,188,60,187,59v-2,-1,-2,2,-3,c184,56,183,55,181,53v,,-1,-1,-1,-2c179,51,180,49,180,50v-2,-2,-4,-3,-6,-4c172,44,169,45,168,43v-2,-2,-1,-6,-2,-7c166,34,166,32,165,31v-1,-1,-2,-1,-2,-3c163,26,163,23,161,20v-1,,-3,-3,-3,-2c156,18,156,19,155,17v-2,-2,-1,-6,-3,-9c152,7,148,,148,v-1,,-1,2,-1,3c147,4,146,5,145,6v,,-2,2,-1,3c144,9,146,9,145,10v-1,,-2,5,-2,6c144,18,144,20,144,22v-1,4,-1,14,-7,14c133,36,133,32,130,31v-2,-1,-4,-1,-6,-3c123,27,112,21,113,20v,-1,1,-2,2,-3c115,16,117,16,117,15v,,-1,-1,-1,-2c117,12,117,12,118,11v,-1,2,-2,3,-3c121,7,119,5,118,6v,,-1,2,-1,2c116,7,116,7,115,6v,-1,-2,1,-3,1c111,8,110,7,109,7,107,6,104,5,101,4v-2,,2,1,,xe" filled="f" stroked="f" strokeweight=".1323mm">
                          <v:path arrowok="t" o:connecttype="custom" o:connectlocs="425895,13955;430331,32562;381531,60471;337167,111639;314985,69775;288366,88381;275057,102336;261748,120943;244002,153504;226257,139549;208511,176763;106474,232582;31055,279099;13309,316312;17746,381435;31055,423300;57673,493074;48800,562849;133092,581456;239566,562849;323858,520984;425895,516333;492441,562849;514623,581456;554551,558197;541242,600062;581169,614017;643279,683792;714262,674488;732007,693095;771935,674488;860663,548894;887281,502378;896154,446558;891718,386087;869536,325615;816299,274447;798553,232582;736444,167459;714262,93033;674334,37213;643279,27910;634406,74426;576733,144201;510187,79078;523496,51168;519060,37213;483568,32562" o:connectangles="0,0,0,0,0,0,0,0,0,0,0,0,0,0,0,0,0,0,0,0,0,0,0,0,0,0,0,0,0,0,0,0,0,0,0,0,0,0,0,0,0,0,0,0,0,0,0,0"/>
                        </v:shape>
                        <v:shape id="Freeform 482" o:spid="_x0000_s1030" style="position:absolute;left:9042;top:10142;width:848;height:839;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" path="m,2c,3,2,6,2,7v1,1,2,2,2,3c4,11,3,11,3,12v1,3,4,5,6,6c11,18,11,16,12,15v,,1,2,1,2c13,16,13,14,14,14v1,-1,1,1,2,1c15,15,18,8,18,7,18,6,19,,16,1,13,2,10,4,7,3,6,3,1,,,2,,3,1,,,2xe" filled="f" stroked="f" strokeweight=".1323mm">
                          <v:path arrowok="t" o:connecttype="custom" o:connectlocs="0,9315;8921,32602;17843,46574;13382,55889;40146,83834;53528,69862;57989,79177;62450,65204;71371,69862;80292,32602;71371,4657;31225,13972;0,9315;0,9315" o:connectangles="0,0,0,0,0,0,0,0,0,0,0,0,0,0"/>
                        </v:shape>
                      </v:group>
                      <w10:anchorlock/>
                    </v:group>
                  </w:pict>
                </mc:Fallback>
              </mc:AlternateContent>
            </w:r>
          </w:p>
        </w:tc>
        <w:tc>
          <w:tcPr>
            <w:tcW w:w="1527" w:type="pct"/>
          </w:tcPr>
          <w:p w14:paraId="65CA5B99" w14:textId="77777777" w:rsidR="00935F32" w:rsidRPr="005764FC" w:rsidRDefault="00935F32" w:rsidP="00681687">
            <w:pPr>
              <w:pStyle w:val="TableText"/>
            </w:pPr>
            <w:r w:rsidRPr="005764FC">
              <w:t>ICVP showed that this component was critical to operating, monitoring and maintaining deployment equipment.</w:t>
            </w:r>
          </w:p>
          <w:p w14:paraId="2DA360E6" w14:textId="77777777" w:rsidR="004B5CBC" w:rsidRPr="005764FC" w:rsidRDefault="00935F32" w:rsidP="00681687">
            <w:pPr>
              <w:pStyle w:val="TableText"/>
              <w:rPr>
                <w:lang w:eastAsia="fr-CA"/>
              </w:rPr>
            </w:pPr>
            <w:r w:rsidRPr="005764FC">
              <w:rPr>
                <w:lang w:eastAsia="fr-CA"/>
              </w:rPr>
              <w:t>Lexus has proven that the same vehicle can operate across-borders.</w:t>
            </w:r>
            <w:r w:rsidR="004B5CBC" w:rsidRPr="005764FC">
              <w:rPr>
                <w:lang w:eastAsia="fr-CA"/>
              </w:rPr>
              <w:t xml:space="preserve"> </w:t>
            </w:r>
          </w:p>
          <w:p w14:paraId="1F28E4F6" w14:textId="24E2D8C9" w:rsidR="00935F32" w:rsidRPr="005764FC" w:rsidRDefault="004B5CBC" w:rsidP="00681687">
            <w:pPr>
              <w:pStyle w:val="TableText"/>
              <w:rPr>
                <w:lang w:eastAsia="fr-CA"/>
              </w:rPr>
            </w:pPr>
            <w:r w:rsidRPr="005764FC">
              <w:rPr>
                <w:lang w:eastAsia="fr-CA"/>
              </w:rPr>
              <w:t>Building data lakes with open data portals is a key common area of interest for state agencies. Most agencies have sought to share datasets openly with the public in near real time:</w:t>
            </w:r>
            <w:r w:rsidRPr="005764FC" w:rsidDel="00FD2DCC">
              <w:rPr>
                <w:lang w:eastAsia="fr-CA"/>
              </w:rPr>
              <w:t xml:space="preserve"> </w:t>
            </w:r>
            <w:r w:rsidRPr="005764FC">
              <w:rPr>
                <w:lang w:eastAsia="fr-CA"/>
              </w:rPr>
              <w:t>despite limited data detail and quality.</w:t>
            </w:r>
          </w:p>
        </w:tc>
        <w:tc>
          <w:tcPr>
            <w:tcW w:w="1527" w:type="pct"/>
          </w:tcPr>
          <w:p w14:paraId="481D6642" w14:textId="77777777" w:rsidR="00935F32" w:rsidRPr="005764FC" w:rsidRDefault="00935F32" w:rsidP="00681687">
            <w:pPr>
              <w:pStyle w:val="TableText"/>
              <w:rPr>
                <w:lang w:eastAsia="fr-CA"/>
              </w:rPr>
            </w:pPr>
            <w:r w:rsidRPr="005764FC">
              <w:rPr>
                <w:lang w:eastAsia="fr-CA"/>
              </w:rPr>
              <w:t xml:space="preserve">Requires clarity in terms of national consistency with central C‑ITS systems. </w:t>
            </w:r>
          </w:p>
          <w:p w14:paraId="1B22E276" w14:textId="2AE8CCF1" w:rsidR="00935F32" w:rsidRPr="005764FC" w:rsidRDefault="00935F32" w:rsidP="00681687">
            <w:pPr>
              <w:pStyle w:val="TableText"/>
              <w:rPr>
                <w:lang w:eastAsia="fr-CA"/>
              </w:rPr>
            </w:pPr>
            <w:r w:rsidRPr="005764FC">
              <w:rPr>
                <w:lang w:eastAsia="fr-CA"/>
              </w:rPr>
              <w:t>For each relevant use case, each road operator must assess the source data needed for input into C‑ITS central systems.</w:t>
            </w:r>
          </w:p>
        </w:tc>
        <w:tc>
          <w:tcPr>
            <w:tcW w:w="1147" w:type="pct"/>
          </w:tcPr>
          <w:p w14:paraId="2B6ABA01" w14:textId="5F4B43EC" w:rsidR="00935F32" w:rsidRPr="005764FC" w:rsidRDefault="003510BA" w:rsidP="00681687">
            <w:pPr>
              <w:pStyle w:val="TableText"/>
              <w:rPr>
                <w:lang w:eastAsia="fr-CA"/>
              </w:rPr>
            </w:pPr>
            <w:r w:rsidRPr="005764FC">
              <w:rPr>
                <w:lang w:eastAsia="fr-CA"/>
              </w:rPr>
              <w:t xml:space="preserve">Prepare central systems such as traffic management centres </w:t>
            </w:r>
            <w:r w:rsidR="00BB003D" w:rsidRPr="005764FC">
              <w:rPr>
                <w:lang w:eastAsia="fr-CA"/>
              </w:rPr>
              <w:t xml:space="preserve">for the provision of event data to vehicles and receipt of </w:t>
            </w:r>
            <w:r w:rsidR="00107993" w:rsidRPr="005764FC">
              <w:rPr>
                <w:lang w:eastAsia="fr-CA"/>
              </w:rPr>
              <w:t>data</w:t>
            </w:r>
            <w:r w:rsidR="00D42439" w:rsidRPr="005764FC">
              <w:rPr>
                <w:lang w:eastAsia="fr-CA"/>
              </w:rPr>
              <w:t xml:space="preserve"> from vehicles. </w:t>
            </w:r>
          </w:p>
          <w:p w14:paraId="24569320" w14:textId="097C1F60" w:rsidR="00D42439" w:rsidRPr="005764FC" w:rsidRDefault="004877EB" w:rsidP="00681687">
            <w:pPr>
              <w:pStyle w:val="TableText"/>
              <w:rPr>
                <w:lang w:eastAsia="fr-CA"/>
              </w:rPr>
            </w:pPr>
            <w:r w:rsidRPr="005764FC">
              <w:rPr>
                <w:lang w:eastAsia="fr-CA"/>
              </w:rPr>
              <w:t xml:space="preserve">Establish the needs and </w:t>
            </w:r>
            <w:r w:rsidR="00FA47C7" w:rsidRPr="005764FC">
              <w:rPr>
                <w:lang w:eastAsia="fr-CA"/>
              </w:rPr>
              <w:t xml:space="preserve">technical </w:t>
            </w:r>
            <w:r w:rsidR="0035703B" w:rsidRPr="005764FC">
              <w:rPr>
                <w:lang w:eastAsia="fr-CA"/>
              </w:rPr>
              <w:t xml:space="preserve">requirements </w:t>
            </w:r>
            <w:r w:rsidR="00AF790F" w:rsidRPr="005764FC">
              <w:rPr>
                <w:lang w:eastAsia="fr-CA"/>
              </w:rPr>
              <w:t xml:space="preserve">for national data exchange to share information consistently from central systems. </w:t>
            </w:r>
          </w:p>
        </w:tc>
      </w:tr>
      <w:tr w:rsidR="00935F32" w:rsidRPr="005764FC" w14:paraId="6ECEEE16" w14:textId="77777777" w:rsidTr="00344E15">
        <w:trPr>
          <w:cantSplit/>
        </w:trPr>
        <w:tc>
          <w:tcPr>
            <w:tcW w:w="799" w:type="pct"/>
          </w:tcPr>
          <w:p w14:paraId="28CEE4BB" w14:textId="77777777" w:rsidR="00935F32" w:rsidRPr="005764FC" w:rsidRDefault="00935F32" w:rsidP="004B31D0">
            <w:pPr>
              <w:pStyle w:val="TableTextBold"/>
              <w:rPr>
                <w:lang w:eastAsia="fr-CA"/>
              </w:rPr>
            </w:pPr>
            <w:r w:rsidRPr="005764FC">
              <w:rPr>
                <w:lang w:eastAsia="fr-CA"/>
              </w:rPr>
              <w:t xml:space="preserve">Cellular Connectivity </w:t>
            </w:r>
          </w:p>
          <w:p w14:paraId="2429A6F6" w14:textId="17CCB809" w:rsidR="00935F32" w:rsidRPr="005764FC" w:rsidRDefault="00935F32" w:rsidP="004B31D0">
            <w:pPr>
              <w:pStyle w:val="TableTextBold"/>
              <w:rPr>
                <w:lang w:eastAsia="fr-CA"/>
              </w:rPr>
            </w:pPr>
            <w:r w:rsidRPr="005764FC">
              <w:rPr>
                <w:lang w:eastAsia="fr-CA"/>
              </w:rPr>
              <w:t>(long</w:t>
            </w:r>
            <w:r w:rsidR="00C51933" w:rsidRPr="005764FC">
              <w:rPr>
                <w:lang w:eastAsia="fr-CA"/>
              </w:rPr>
              <w:t>-</w:t>
            </w:r>
            <w:r w:rsidRPr="005764FC">
              <w:rPr>
                <w:lang w:eastAsia="fr-CA"/>
              </w:rPr>
              <w:t>range communications)</w:t>
            </w:r>
          </w:p>
          <w:p w14:paraId="6CF6FAB7" w14:textId="77777777" w:rsidR="00935F32" w:rsidRPr="005764FC" w:rsidRDefault="00935F32" w:rsidP="004B31D0">
            <w:pPr>
              <w:pStyle w:val="TableTextBold"/>
              <w:rPr>
                <w:lang w:eastAsia="fr-CA"/>
              </w:rPr>
            </w:pPr>
            <w:r w:rsidRPr="005764FC">
              <w:rPr>
                <w:noProof/>
              </w:rPr>
              <mc:AlternateContent>
                <mc:Choice Requires="wpg">
                  <w:drawing>
                    <wp:inline distT="0" distB="0" distL="0" distR="0" wp14:anchorId="43C2E9FB" wp14:editId="297ABECD">
                      <wp:extent cx="504000" cy="540000"/>
                      <wp:effectExtent l="0" t="0" r="0" b="0"/>
                      <wp:docPr id="2143264941" name="Group 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4000" cy="540000"/>
                                <a:chOff x="0" y="0"/>
                                <a:chExt cx="684000" cy="684000"/>
                              </a:xfrm>
                              <a:solidFill>
                                <a:schemeClr val="accent1"/>
                              </a:solidFill>
                            </wpg:grpSpPr>
                            <wps:wsp>
                              <wps:cNvPr id="2143264942" name="Rectangle 2143264942"/>
                              <wps:cNvSpPr/>
                              <wps:spPr>
                                <a:xfrm>
                                  <a:off x="0" y="0"/>
                                  <a:ext cx="684000" cy="68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3264943" name="Straight Connector 2143264943"/>
                              <wps:cNvCnPr>
                                <a:cxnSpLocks/>
                              </wps:cNvCnPr>
                              <wps:spPr>
                                <a:xfrm flipV="1">
                                  <a:off x="225297" y="296587"/>
                                  <a:ext cx="108000" cy="288000"/>
                                </a:xfrm>
                                <a:prstGeom prst="line">
                                  <a:avLst/>
                                </a:prstGeom>
                                <a:noFill/>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143264944" name="Straight Connector 2143264944"/>
                              <wps:cNvCnPr>
                                <a:cxnSpLocks/>
                              </wps:cNvCnPr>
                              <wps:spPr>
                                <a:xfrm flipH="1" flipV="1">
                                  <a:off x="339495" y="295762"/>
                                  <a:ext cx="109497" cy="288000"/>
                                </a:xfrm>
                                <a:prstGeom prst="line">
                                  <a:avLst/>
                                </a:prstGeom>
                                <a:noFill/>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143264945" name="Straight Connector 2143264945"/>
                              <wps:cNvCnPr>
                                <a:cxnSpLocks/>
                              </wps:cNvCnPr>
                              <wps:spPr>
                                <a:xfrm flipH="1">
                                  <a:off x="263137" y="455274"/>
                                  <a:ext cx="144000" cy="1"/>
                                </a:xfrm>
                                <a:prstGeom prst="line">
                                  <a:avLst/>
                                </a:prstGeom>
                                <a:noFill/>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143264946" name="Oval 2143264946"/>
                              <wps:cNvSpPr/>
                              <wps:spPr>
                                <a:xfrm>
                                  <a:off x="272358" y="198013"/>
                                  <a:ext cx="126470" cy="12064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3264947" name="Arc 2143264947"/>
                              <wps:cNvSpPr/>
                              <wps:spPr>
                                <a:xfrm>
                                  <a:off x="358108" y="207592"/>
                                  <a:ext cx="84381" cy="100922"/>
                                </a:xfrm>
                                <a:prstGeom prst="arc">
                                  <a:avLst>
                                    <a:gd name="adj1" fmla="val 17666624"/>
                                    <a:gd name="adj2" fmla="val 4196726"/>
                                  </a:avLst>
                                </a:prstGeom>
                                <a:noFill/>
                                <a:ln w="190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2143264948" name="Arc 2143264948"/>
                              <wps:cNvSpPr>
                                <a:spLocks noChangeAspect="1"/>
                              </wps:cNvSpPr>
                              <wps:spPr>
                                <a:xfrm>
                                  <a:off x="367460" y="163625"/>
                                  <a:ext cx="150499" cy="180000"/>
                                </a:xfrm>
                                <a:prstGeom prst="arc">
                                  <a:avLst>
                                    <a:gd name="adj1" fmla="val 17666624"/>
                                    <a:gd name="adj2" fmla="val 4196726"/>
                                  </a:avLst>
                                </a:prstGeom>
                                <a:noFill/>
                                <a:ln w="190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2143264949" name="Arc 2143264949"/>
                              <wps:cNvSpPr>
                                <a:spLocks noChangeAspect="1"/>
                              </wps:cNvSpPr>
                              <wps:spPr>
                                <a:xfrm>
                                  <a:off x="350051" y="107677"/>
                                  <a:ext cx="240798" cy="288000"/>
                                </a:xfrm>
                                <a:prstGeom prst="arc">
                                  <a:avLst>
                                    <a:gd name="adj1" fmla="val 17666624"/>
                                    <a:gd name="adj2" fmla="val 4196726"/>
                                  </a:avLst>
                                </a:prstGeom>
                                <a:noFill/>
                                <a:ln w="190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2143264950" name="Arc 2143264950"/>
                              <wps:cNvSpPr/>
                              <wps:spPr>
                                <a:xfrm flipH="1">
                                  <a:off x="228697" y="207592"/>
                                  <a:ext cx="84381" cy="100922"/>
                                </a:xfrm>
                                <a:prstGeom prst="arc">
                                  <a:avLst>
                                    <a:gd name="adj1" fmla="val 17666624"/>
                                    <a:gd name="adj2" fmla="val 4196726"/>
                                  </a:avLst>
                                </a:prstGeom>
                                <a:noFill/>
                                <a:ln w="190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2143264951" name="Arc 2143264951"/>
                              <wps:cNvSpPr>
                                <a:spLocks noChangeAspect="1"/>
                              </wps:cNvSpPr>
                              <wps:spPr>
                                <a:xfrm flipH="1">
                                  <a:off x="163510" y="171452"/>
                                  <a:ext cx="150499" cy="180000"/>
                                </a:xfrm>
                                <a:prstGeom prst="arc">
                                  <a:avLst>
                                    <a:gd name="adj1" fmla="val 17666624"/>
                                    <a:gd name="adj2" fmla="val 4196726"/>
                                  </a:avLst>
                                </a:prstGeom>
                                <a:noFill/>
                                <a:ln w="190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2143264952" name="Arc 2143264952"/>
                              <wps:cNvSpPr>
                                <a:spLocks noChangeAspect="1"/>
                              </wps:cNvSpPr>
                              <wps:spPr>
                                <a:xfrm flipH="1">
                                  <a:off x="85043" y="114053"/>
                                  <a:ext cx="240798" cy="288000"/>
                                </a:xfrm>
                                <a:prstGeom prst="arc">
                                  <a:avLst>
                                    <a:gd name="adj1" fmla="val 17666624"/>
                                    <a:gd name="adj2" fmla="val 4196726"/>
                                  </a:avLst>
                                </a:prstGeom>
                                <a:noFill/>
                                <a:ln w="190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w:pict>
                    <v:group w14:anchorId="4281DFDB" id="Group 549" o:spid="_x0000_s1026" style="width:39.7pt;height:42.5pt;mso-position-horizontal-relative:char;mso-position-vertical-relative:line" coordsize="684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">
                      <v:rect id="Rectangle 2143264942" o:spid="_x0000_s1027" style="position:absolute;width:684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" filled="f" stroked="f" strokeweight="2pt"/>
                      <v:line id="Straight Connector 2143264943" o:spid="_x0000_s1028" style="position:absolute;flip:y;visibility:visible;mso-wrap-style:square" from="2252,2965" to="3332,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" strokecolor="#f9423a [3204]" strokeweight="2.25pt">
                        <o:lock v:ext="edit" shapetype="f"/>
                      </v:line>
                      <v:line id="Straight Connector 2143264944" o:spid="_x0000_s1029" style="position:absolute;flip:x y;visibility:visible;mso-wrap-style:square" from="3394,2957" to="4489,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" strokecolor="#f9423a [3204]" strokeweight="2.25pt">
                        <o:lock v:ext="edit" shapetype="f"/>
                      </v:line>
                      <v:line id="Straight Connector 2143264945" o:spid="_x0000_s1030" style="position:absolute;flip:x;visibility:visible;mso-wrap-style:square" from="2631,4552" to="4071,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" strokecolor="#f9423a [3204]" strokeweight="2.25pt">
                        <o:lock v:ext="edit" shapetype="f"/>
                      </v:line>
                      <v:oval id="Oval 2143264946" o:spid="_x0000_s1031" style="position:absolute;left:2723;top:1980;width:1265;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" filled="f" stroked="f" strokeweight="2pt"/>
                      <v:shape id="Arc 2143264947" o:spid="_x0000_s1032" style="position:absolute;left:3581;top:2075;width:843;height:1010;visibility:visible;mso-wrap-style:square;v-text-anchor:middle" coordsize="84381,1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" path="m62342,6128nsc76352,15237,84871,33015,84360,52077,83838,71544,73997,88913,59072,96706l42191,50461,62342,6128xem62342,6128nfc76352,15237,84871,33015,84360,52077,83838,71544,73997,88913,59072,96706e" filled="f" strokecolor="#f9423a [3204]" strokeweight="1.5pt">
                        <v:path arrowok="t" o:connecttype="custom" o:connectlocs="62342,6128;84360,52077;59072,96706" o:connectangles="0,0,0"/>
                      </v:shape>
                      <v:shape id="Arc 2143264948" o:spid="_x0000_s1033" style="position:absolute;left:3674;top:1636;width:1505;height:1800;visibility:visible;mso-wrap-style:square;v-text-anchor:middle" coordsize="150499,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" path="m111190,10929nsc136177,27176,151371,58884,150460,92882v-930,34720,-18484,65700,-45102,79599l75250,90000,111190,10929xem111190,10929nfc136177,27176,151371,58884,150460,92882v-930,34720,-18484,65700,-45102,79599e" filled="f" strokecolor="#f9423a [3204]" strokeweight="1.5pt">
                        <v:path arrowok="t" o:connecttype="custom" o:connectlocs="111190,10929;150460,92882;105358,172481" o:connectangles="0,0,0"/>
                        <o:lock v:ext="edit" aspectratio="t"/>
                      </v:shape>
                      <v:shape id="Arc 2143264949" o:spid="_x0000_s1034" style="position:absolute;left:3500;top:1076;width:2408;height:2880;visibility:visible;mso-wrap-style:square;v-text-anchor:middle" coordsize="240798,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" path="m177904,17487nsc217883,43482,242193,94214,240736,148612v-1488,55551,-29573,105119,-72162,127358l120399,144000,177904,17487xem177904,17487nfc217883,43482,242193,94214,240736,148612v-1488,55551,-29573,105119,-72162,127358e" filled="f" strokecolor="#f9423a [3204]" strokeweight="1.5pt">
                        <v:path arrowok="t" o:connecttype="custom" o:connectlocs="177904,17487;240736,148612;168574,275970" o:connectangles="0,0,0"/>
                        <o:lock v:ext="edit" aspectratio="t"/>
                      </v:shape>
                      <v:shape id="Arc 2143264950" o:spid="_x0000_s1035" style="position:absolute;left:2286;top:2075;width:844;height:1010;flip:x;visibility:visible;mso-wrap-style:square;v-text-anchor:middle" coordsize="84381,1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" path="m62342,6128nsc76352,15237,84871,33015,84360,52077,83838,71544,73997,88913,59072,96706l42191,50461,62342,6128xem62342,6128nfc76352,15237,84871,33015,84360,52077,83838,71544,73997,88913,59072,96706e" filled="f" strokecolor="#f9423a [3204]" strokeweight="1.5pt">
                        <v:path arrowok="t" o:connecttype="custom" o:connectlocs="62342,6128;84360,52077;59072,96706" o:connectangles="0,0,0"/>
                      </v:shape>
                      <v:shape id="Arc 2143264951" o:spid="_x0000_s1036" style="position:absolute;left:1635;top:1714;width:1505;height:1800;flip:x;visibility:visible;mso-wrap-style:square;v-text-anchor:middle" coordsize="150499,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" path="m111190,10929nsc136177,27176,151371,58884,150460,92882v-930,34720,-18484,65700,-45102,79599l75250,90000,111190,10929xem111190,10929nfc136177,27176,151371,58884,150460,92882v-930,34720,-18484,65700,-45102,79599e" filled="f" strokecolor="#f9423a [3204]" strokeweight="1.5pt">
                        <v:path arrowok="t" o:connecttype="custom" o:connectlocs="111190,10929;150460,92882;105358,172481" o:connectangles="0,0,0"/>
                        <o:lock v:ext="edit" aspectratio="t"/>
                      </v:shape>
                      <v:shape id="Arc 2143264952" o:spid="_x0000_s1037" style="position:absolute;left:850;top:1140;width:2408;height:2880;flip:x;visibility:visible;mso-wrap-style:square;v-text-anchor:middle" coordsize="240798,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" path="m177904,17487nsc217883,43482,242193,94214,240736,148612v-1488,55551,-29573,105119,-72162,127358l120399,144000,177904,17487xem177904,17487nfc217883,43482,242193,94214,240736,148612v-1488,55551,-29573,105119,-72162,127358e" filled="f" strokecolor="#f9423a [3204]" strokeweight="1.5pt">
                        <v:path arrowok="t" o:connecttype="custom" o:connectlocs="177904,17487;240736,148612;168574,275970" o:connectangles="0,0,0"/>
                        <o:lock v:ext="edit" aspectratio="t"/>
                      </v:shape>
                      <w10:anchorlock/>
                    </v:group>
                  </w:pict>
                </mc:Fallback>
              </mc:AlternateContent>
            </w:r>
          </w:p>
        </w:tc>
        <w:tc>
          <w:tcPr>
            <w:tcW w:w="1527" w:type="pct"/>
          </w:tcPr>
          <w:p w14:paraId="59FD2608" w14:textId="77777777" w:rsidR="00935F32" w:rsidRPr="005764FC" w:rsidRDefault="00935F32" w:rsidP="00681687">
            <w:pPr>
              <w:pStyle w:val="TableText"/>
              <w:rPr>
                <w:lang w:eastAsia="fr-CA"/>
              </w:rPr>
            </w:pPr>
            <w:r w:rsidRPr="005764FC">
              <w:rPr>
                <w:lang w:eastAsia="fr-CA"/>
              </w:rPr>
              <w:t>Enough coverage to establish base cellular connectivity to vehicles across major Australian roads.</w:t>
            </w:r>
          </w:p>
        </w:tc>
        <w:tc>
          <w:tcPr>
            <w:tcW w:w="1527" w:type="pct"/>
          </w:tcPr>
          <w:p w14:paraId="5FA8DBF1" w14:textId="3C7F99F7" w:rsidR="00935F32" w:rsidRPr="005764FC" w:rsidRDefault="00093D53" w:rsidP="00681687">
            <w:pPr>
              <w:pStyle w:val="TableText"/>
              <w:rPr>
                <w:lang w:eastAsia="fr-CA"/>
              </w:rPr>
            </w:pPr>
            <w:r w:rsidRPr="00093D53">
              <w:rPr>
                <w:lang w:eastAsia="fr-CA"/>
              </w:rPr>
              <w:t xml:space="preserve">Continuity of cellular coverage for </w:t>
            </w:r>
            <w:r w:rsidR="00344E15" w:rsidRPr="00344E15">
              <w:rPr>
                <w:lang w:eastAsia="fr-CA"/>
              </w:rPr>
              <w:t>whole of journey. Particular consideration</w:t>
            </w:r>
            <w:r w:rsidR="000F3049">
              <w:rPr>
                <w:lang w:eastAsia="fr-CA"/>
              </w:rPr>
              <w:t>s for</w:t>
            </w:r>
            <w:r w:rsidR="00344E15" w:rsidRPr="00344E15">
              <w:rPr>
                <w:lang w:eastAsia="fr-CA"/>
              </w:rPr>
              <w:t xml:space="preserve"> rural and regional</w:t>
            </w:r>
            <w:r w:rsidRPr="00093D53">
              <w:rPr>
                <w:lang w:eastAsia="fr-CA"/>
              </w:rPr>
              <w:t xml:space="preserve"> travel.</w:t>
            </w:r>
          </w:p>
        </w:tc>
        <w:tc>
          <w:tcPr>
            <w:tcW w:w="1147" w:type="pct"/>
          </w:tcPr>
          <w:p w14:paraId="6C0AA0FD" w14:textId="63127F3B" w:rsidR="00935F32" w:rsidRPr="005764FC" w:rsidRDefault="003621F7" w:rsidP="00681687">
            <w:pPr>
              <w:pStyle w:val="TableText"/>
              <w:rPr>
                <w:lang w:eastAsia="fr-CA"/>
              </w:rPr>
            </w:pPr>
            <w:r w:rsidRPr="005764FC">
              <w:rPr>
                <w:lang w:eastAsia="fr-CA"/>
              </w:rPr>
              <w:t>Continue growth of the cellular network will support long-range communication services</w:t>
            </w:r>
            <w:r w:rsidR="00D01319" w:rsidRPr="005764FC">
              <w:rPr>
                <w:lang w:eastAsia="fr-CA"/>
              </w:rPr>
              <w:t xml:space="preserve"> particularly in remote areas. </w:t>
            </w:r>
            <w:r w:rsidR="0070390F">
              <w:rPr>
                <w:lang w:eastAsia="fr-CA"/>
              </w:rPr>
              <w:t xml:space="preserve">Continue monitoring LEO satellite </w:t>
            </w:r>
            <w:r w:rsidR="00537E63">
              <w:rPr>
                <w:lang w:eastAsia="fr-CA"/>
              </w:rPr>
              <w:t xml:space="preserve">development and </w:t>
            </w:r>
            <w:r w:rsidR="0070390F">
              <w:rPr>
                <w:lang w:eastAsia="fr-CA"/>
              </w:rPr>
              <w:t xml:space="preserve"> potential </w:t>
            </w:r>
            <w:r w:rsidR="00537E63">
              <w:rPr>
                <w:lang w:eastAsia="fr-CA"/>
              </w:rPr>
              <w:t>use for</w:t>
            </w:r>
            <w:r w:rsidR="0070390F">
              <w:rPr>
                <w:lang w:eastAsia="fr-CA"/>
              </w:rPr>
              <w:t xml:space="preserve"> vehicle connectivity. </w:t>
            </w:r>
          </w:p>
        </w:tc>
      </w:tr>
      <w:tr w:rsidR="00935F32" w:rsidRPr="005764FC" w14:paraId="231F56AF" w14:textId="77777777" w:rsidTr="00344E15">
        <w:trPr>
          <w:cantSplit/>
        </w:trPr>
        <w:tc>
          <w:tcPr>
            <w:tcW w:w="799" w:type="pct"/>
          </w:tcPr>
          <w:p w14:paraId="1390BCA7" w14:textId="77777777" w:rsidR="00935F32" w:rsidRPr="005764FC" w:rsidRDefault="00935F32" w:rsidP="004B31D0">
            <w:pPr>
              <w:pStyle w:val="TableTextBold"/>
              <w:rPr>
                <w:lang w:eastAsia="fr-CA"/>
              </w:rPr>
            </w:pPr>
            <w:r w:rsidRPr="005764FC">
              <w:rPr>
                <w:lang w:eastAsia="fr-CA"/>
              </w:rPr>
              <w:t>Data</w:t>
            </w:r>
          </w:p>
          <w:p w14:paraId="32A2137B" w14:textId="7B30FF6D" w:rsidR="00935F32" w:rsidRPr="005764FC" w:rsidRDefault="00935F32" w:rsidP="004B31D0">
            <w:pPr>
              <w:pStyle w:val="TableTextBold"/>
              <w:rPr>
                <w:lang w:eastAsia="fr-CA"/>
              </w:rPr>
            </w:pPr>
            <w:r w:rsidRPr="005764FC">
              <w:rPr>
                <w:noProof/>
              </w:rPr>
              <w:drawing>
                <wp:inline distT="0" distB="0" distL="0" distR="0" wp14:anchorId="68D91DD8" wp14:editId="2E56C2B9">
                  <wp:extent cx="720000" cy="720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Statistics outline"/>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720000" cy="720000"/>
                          </a:xfrm>
                          <a:prstGeom prst="rect">
                            <a:avLst/>
                          </a:prstGeom>
                        </pic:spPr>
                      </pic:pic>
                    </a:graphicData>
                  </a:graphic>
                </wp:inline>
              </w:drawing>
            </w:r>
          </w:p>
        </w:tc>
        <w:tc>
          <w:tcPr>
            <w:tcW w:w="1527" w:type="pct"/>
          </w:tcPr>
          <w:p w14:paraId="4374BEBE" w14:textId="77777777" w:rsidR="00935F32" w:rsidRPr="005764FC" w:rsidRDefault="00935F32" w:rsidP="00681687">
            <w:pPr>
              <w:pStyle w:val="TableText"/>
              <w:rPr>
                <w:lang w:eastAsia="fr-CA"/>
              </w:rPr>
            </w:pPr>
            <w:r w:rsidRPr="005764FC">
              <w:rPr>
                <w:lang w:eastAsia="fr-CA"/>
              </w:rPr>
              <w:t xml:space="preserve">Generating C‑ITS compliant messages from traffic system information and sharing these with vehicles proven in </w:t>
            </w:r>
            <w:r w:rsidR="00292C34" w:rsidRPr="005764FC">
              <w:rPr>
                <w:lang w:eastAsia="fr-CA"/>
              </w:rPr>
              <w:t>pilots</w:t>
            </w:r>
            <w:r w:rsidRPr="005764FC">
              <w:rPr>
                <w:lang w:eastAsia="fr-CA"/>
              </w:rPr>
              <w:t>.</w:t>
            </w:r>
          </w:p>
          <w:p w14:paraId="0ED23419" w14:textId="2F2BFEFF" w:rsidR="00935F32" w:rsidRPr="005764FC" w:rsidRDefault="00AA660A" w:rsidP="00681687">
            <w:pPr>
              <w:pStyle w:val="TableText"/>
              <w:rPr>
                <w:lang w:eastAsia="fr-CA"/>
              </w:rPr>
            </w:pPr>
            <w:r w:rsidRPr="005764FC">
              <w:rPr>
                <w:lang w:eastAsia="fr-CA"/>
              </w:rPr>
              <w:t>Collecting, storing and analysing data for improved transport system understanding</w:t>
            </w:r>
          </w:p>
        </w:tc>
        <w:tc>
          <w:tcPr>
            <w:tcW w:w="1527" w:type="pct"/>
          </w:tcPr>
          <w:p w14:paraId="307069DD" w14:textId="77777777" w:rsidR="00935F32" w:rsidRPr="005764FC" w:rsidRDefault="00935F32" w:rsidP="00681687">
            <w:pPr>
              <w:pStyle w:val="TableText"/>
              <w:rPr>
                <w:lang w:eastAsia="fr-CA"/>
              </w:rPr>
            </w:pPr>
            <w:r w:rsidRPr="005764FC">
              <w:rPr>
                <w:lang w:eastAsia="fr-CA"/>
              </w:rPr>
              <w:t>The data’s accuracy, reliability, timeliness, completeness, and consistency is critical to allow vehicles to correctly interpret the data in a given situation or use case, and deliver alerts to drivers in a highly contextual manner.</w:t>
            </w:r>
          </w:p>
          <w:p w14:paraId="7FB30669" w14:textId="639A1897" w:rsidR="00935F32" w:rsidRPr="005764FC" w:rsidRDefault="00935F32" w:rsidP="00B56459">
            <w:pPr>
              <w:pStyle w:val="TableText"/>
            </w:pPr>
            <w:r w:rsidRPr="005764FC">
              <w:t>C‑ITS’ two-way capability is expected to benefit Australia by creating dynamic data capture of road network operations, understanding of high-risk locations, and identifying on-road issues</w:t>
            </w:r>
            <w:r w:rsidR="00344E15" w:rsidRPr="00344E15">
              <w:t>. This</w:t>
            </w:r>
            <w:r w:rsidR="00AA660A" w:rsidRPr="005764FC">
              <w:t xml:space="preserve"> needs to be </w:t>
            </w:r>
            <w:r w:rsidR="00344E15" w:rsidRPr="00344E15">
              <w:t>considered</w:t>
            </w:r>
            <w:r w:rsidR="00B56459" w:rsidRPr="005764FC">
              <w:t xml:space="preserve"> across</w:t>
            </w:r>
            <w:r w:rsidR="001B4372" w:rsidRPr="005764FC">
              <w:t xml:space="preserve"> </w:t>
            </w:r>
            <w:r w:rsidR="007C0C2B" w:rsidRPr="005764FC">
              <w:t>regions and systems.</w:t>
            </w:r>
          </w:p>
        </w:tc>
        <w:tc>
          <w:tcPr>
            <w:tcW w:w="1147" w:type="pct"/>
          </w:tcPr>
          <w:p w14:paraId="0597C26C" w14:textId="77777777" w:rsidR="00935F32" w:rsidRPr="005764FC" w:rsidRDefault="00216594" w:rsidP="00681687">
            <w:pPr>
              <w:pStyle w:val="TableText"/>
              <w:rPr>
                <w:lang w:eastAsia="fr-CA"/>
              </w:rPr>
            </w:pPr>
            <w:r w:rsidRPr="005764FC">
              <w:rPr>
                <w:lang w:eastAsia="fr-CA"/>
              </w:rPr>
              <w:t xml:space="preserve">Build guidelines and example datasets that </w:t>
            </w:r>
            <w:r w:rsidR="00BD05FC" w:rsidRPr="005764FC">
              <w:rPr>
                <w:lang w:eastAsia="fr-CA"/>
              </w:rPr>
              <w:t xml:space="preserve">demonstrate Australia’s implementation of the standards </w:t>
            </w:r>
            <w:r w:rsidR="00786D0A" w:rsidRPr="005764FC">
              <w:rPr>
                <w:lang w:eastAsia="fr-CA"/>
              </w:rPr>
              <w:t xml:space="preserve">for national consistency. </w:t>
            </w:r>
          </w:p>
          <w:p w14:paraId="1209F597" w14:textId="5D523E53" w:rsidR="00786D0A" w:rsidRPr="005764FC" w:rsidRDefault="00F35DD5" w:rsidP="00681687">
            <w:pPr>
              <w:pStyle w:val="TableText"/>
              <w:rPr>
                <w:lang w:eastAsia="fr-CA"/>
              </w:rPr>
            </w:pPr>
            <w:r w:rsidRPr="005764FC">
              <w:rPr>
                <w:lang w:eastAsia="fr-CA"/>
              </w:rPr>
              <w:t xml:space="preserve">Get the data flowing </w:t>
            </w:r>
            <w:r w:rsidR="00310EB3" w:rsidRPr="005764FC">
              <w:rPr>
                <w:lang w:eastAsia="fr-CA"/>
              </w:rPr>
              <w:t xml:space="preserve">through the essential components </w:t>
            </w:r>
            <w:r w:rsidR="00FB46D1" w:rsidRPr="005764FC">
              <w:rPr>
                <w:lang w:eastAsia="fr-CA"/>
              </w:rPr>
              <w:t xml:space="preserve">to ensure data can be </w:t>
            </w:r>
            <w:r w:rsidR="0037368F" w:rsidRPr="005764FC">
              <w:rPr>
                <w:lang w:eastAsia="fr-CA"/>
              </w:rPr>
              <w:t xml:space="preserve">generated, </w:t>
            </w:r>
            <w:r w:rsidR="00FB46D1" w:rsidRPr="005764FC">
              <w:rPr>
                <w:lang w:eastAsia="fr-CA"/>
              </w:rPr>
              <w:t>processed, stored</w:t>
            </w:r>
            <w:r w:rsidR="00142084" w:rsidRPr="005764FC">
              <w:rPr>
                <w:lang w:eastAsia="fr-CA"/>
              </w:rPr>
              <w:t>, analysed and used</w:t>
            </w:r>
            <w:r w:rsidR="00223F42" w:rsidRPr="005764FC">
              <w:rPr>
                <w:lang w:eastAsia="fr-CA"/>
              </w:rPr>
              <w:t xml:space="preserve">. </w:t>
            </w:r>
          </w:p>
        </w:tc>
      </w:tr>
      <w:tr w:rsidR="00935F32" w:rsidRPr="005764FC" w14:paraId="47D5F054" w14:textId="77777777" w:rsidTr="00344E15">
        <w:trPr>
          <w:cantSplit/>
        </w:trPr>
        <w:tc>
          <w:tcPr>
            <w:tcW w:w="799" w:type="pct"/>
          </w:tcPr>
          <w:p w14:paraId="044D2D3A" w14:textId="77777777" w:rsidR="00935F32" w:rsidRPr="005764FC" w:rsidRDefault="00935F32" w:rsidP="004B31D0">
            <w:pPr>
              <w:pStyle w:val="TableTextBold"/>
              <w:rPr>
                <w:lang w:eastAsia="fr-CA"/>
              </w:rPr>
            </w:pPr>
            <w:r w:rsidRPr="005764FC">
              <w:rPr>
                <w:lang w:eastAsia="fr-CA"/>
              </w:rPr>
              <w:t>Standards</w:t>
            </w:r>
          </w:p>
          <w:p w14:paraId="1FCCBFA5" w14:textId="51BE87B8" w:rsidR="00935F32" w:rsidRPr="005764FC" w:rsidRDefault="00935F32" w:rsidP="004B31D0">
            <w:pPr>
              <w:pStyle w:val="TableTextBold"/>
              <w:rPr>
                <w:lang w:eastAsia="fr-CA"/>
              </w:rPr>
            </w:pPr>
            <w:r w:rsidRPr="005764FC">
              <w:rPr>
                <w:noProof/>
              </w:rPr>
              <w:drawing>
                <wp:inline distT="0" distB="0" distL="0" distR="0" wp14:anchorId="740C7EF5" wp14:editId="31418137">
                  <wp:extent cx="750498" cy="750498"/>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Closed book outline"/>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751423" cy="751423"/>
                          </a:xfrm>
                          <a:prstGeom prst="rect">
                            <a:avLst/>
                          </a:prstGeom>
                        </pic:spPr>
                      </pic:pic>
                    </a:graphicData>
                  </a:graphic>
                </wp:inline>
              </w:drawing>
            </w:r>
          </w:p>
        </w:tc>
        <w:tc>
          <w:tcPr>
            <w:tcW w:w="1527" w:type="pct"/>
          </w:tcPr>
          <w:p w14:paraId="0CE0F1EA" w14:textId="77777777" w:rsidR="00935F32" w:rsidRPr="005764FC" w:rsidRDefault="00935F32" w:rsidP="00681687">
            <w:pPr>
              <w:pStyle w:val="TableText"/>
              <w:rPr>
                <w:lang w:eastAsia="fr-CA"/>
              </w:rPr>
            </w:pPr>
            <w:r w:rsidRPr="005764FC">
              <w:rPr>
                <w:lang w:eastAsia="fr-CA"/>
              </w:rPr>
              <w:t xml:space="preserve">Both European and US standards suites contain a core set of message standards that Australia can adopt. </w:t>
            </w:r>
          </w:p>
        </w:tc>
        <w:tc>
          <w:tcPr>
            <w:tcW w:w="1527" w:type="pct"/>
          </w:tcPr>
          <w:p w14:paraId="2CAD50BC" w14:textId="1C920494" w:rsidR="00935F32" w:rsidRPr="005764FC" w:rsidRDefault="00935F32" w:rsidP="00681687">
            <w:pPr>
              <w:pStyle w:val="TableText"/>
              <w:rPr>
                <w:lang w:eastAsia="fr-CA"/>
              </w:rPr>
            </w:pPr>
            <w:r w:rsidRPr="005764FC">
              <w:rPr>
                <w:lang w:eastAsia="fr-CA"/>
              </w:rPr>
              <w:t>The use of standards and agreement between users is needed to achieve the operational intent. Australia could sensibly align to one region’s standards base, thereby minimising the complexity of a national implementation. This would avert the challenges of aligning different standard sets, e.g.,</w:t>
            </w:r>
            <w:r w:rsidRPr="005764FC">
              <w:rPr>
                <w:rFonts w:ascii="Segoe UI" w:hAnsi="Segoe UI" w:cs="Segoe UI"/>
                <w:color w:val="242424"/>
                <w:sz w:val="21"/>
                <w:szCs w:val="21"/>
                <w:shd w:val="clear" w:color="auto" w:fill="FFFFFF"/>
                <w:lang w:eastAsia="en-US"/>
              </w:rPr>
              <w:t xml:space="preserve"> </w:t>
            </w:r>
            <w:r w:rsidRPr="005764FC">
              <w:rPr>
                <w:lang w:eastAsia="fr-CA"/>
              </w:rPr>
              <w:t>European Access layer with Chinese geo-networking, Japanese security and US message types</w:t>
            </w:r>
            <w:r w:rsidR="000B3024" w:rsidRPr="005764FC">
              <w:rPr>
                <w:lang w:eastAsia="fr-CA"/>
              </w:rPr>
              <w:t xml:space="preserve">. </w:t>
            </w:r>
            <w:r w:rsidRPr="005764FC">
              <w:rPr>
                <w:lang w:eastAsia="fr-CA"/>
              </w:rPr>
              <w:t xml:space="preserve"> </w:t>
            </w:r>
            <w:r w:rsidR="00344E15" w:rsidRPr="00344E15">
              <w:rPr>
                <w:lang w:eastAsia="fr-CA"/>
              </w:rPr>
              <w:t xml:space="preserve"> </w:t>
            </w:r>
          </w:p>
        </w:tc>
        <w:tc>
          <w:tcPr>
            <w:tcW w:w="1147" w:type="pct"/>
          </w:tcPr>
          <w:p w14:paraId="0FFF1504" w14:textId="702F50E5" w:rsidR="000D7CD4" w:rsidRPr="005764FC" w:rsidRDefault="007A596E" w:rsidP="00681687">
            <w:pPr>
              <w:pStyle w:val="TableText"/>
              <w:rPr>
                <w:lang w:eastAsia="fr-CA"/>
              </w:rPr>
            </w:pPr>
            <w:r w:rsidRPr="005764FC">
              <w:rPr>
                <w:lang w:eastAsia="fr-CA"/>
              </w:rPr>
              <w:t xml:space="preserve">Establish clarity on how Australia intends standards to be implemented for deployment. The policy analysis </w:t>
            </w:r>
            <w:r w:rsidR="00EF4FAF" w:rsidRPr="005764FC">
              <w:rPr>
                <w:lang w:eastAsia="fr-CA"/>
              </w:rPr>
              <w:t>determines</w:t>
            </w:r>
            <w:r w:rsidRPr="005764FC">
              <w:rPr>
                <w:lang w:eastAsia="fr-CA"/>
              </w:rPr>
              <w:t xml:space="preserve"> this should be based on the </w:t>
            </w:r>
            <w:r w:rsidR="00246AF4" w:rsidRPr="005764FC">
              <w:rPr>
                <w:lang w:eastAsia="fr-CA"/>
              </w:rPr>
              <w:t xml:space="preserve">International Standards Organisation (ISO) </w:t>
            </w:r>
            <w:r w:rsidRPr="005764FC">
              <w:rPr>
                <w:lang w:eastAsia="fr-CA"/>
              </w:rPr>
              <w:t>Europe standards guideline</w:t>
            </w:r>
            <w:r w:rsidR="00692A17" w:rsidRPr="005764FC">
              <w:rPr>
                <w:lang w:eastAsia="fr-CA"/>
              </w:rPr>
              <w:t>.</w:t>
            </w:r>
          </w:p>
        </w:tc>
      </w:tr>
    </w:tbl>
    <w:p w14:paraId="38E58D20" w14:textId="78CB5BDB" w:rsidR="00B4205D" w:rsidRPr="005764FC" w:rsidRDefault="0071684A" w:rsidP="00B4205D">
      <w:pPr>
        <w:pStyle w:val="Heading3"/>
      </w:pPr>
      <w:bookmarkStart w:id="281" w:name="_Toc94536716"/>
      <w:bookmarkStart w:id="282" w:name="_Toc94453169"/>
      <w:r w:rsidRPr="005764FC">
        <w:t xml:space="preserve">Priority Standards for </w:t>
      </w:r>
      <w:r w:rsidR="00B4205D" w:rsidRPr="005764FC">
        <w:t>Interoperability</w:t>
      </w:r>
      <w:bookmarkEnd w:id="281"/>
      <w:bookmarkEnd w:id="282"/>
    </w:p>
    <w:p w14:paraId="5963E043" w14:textId="7AB93800" w:rsidR="00B4205D" w:rsidRPr="005764FC" w:rsidRDefault="00A31D0B" w:rsidP="001148DC">
      <w:pPr>
        <w:pStyle w:val="BodyText"/>
      </w:pPr>
      <w:r w:rsidRPr="005764FC">
        <w:t xml:space="preserve">The </w:t>
      </w:r>
      <w:r w:rsidRPr="005764FC">
        <w:rPr>
          <w:i/>
        </w:rPr>
        <w:t>ISO C-ITS Guidelines on the usage of standards</w:t>
      </w:r>
      <w:r w:rsidRPr="005764FC">
        <w:t xml:space="preserve"> </w:t>
      </w:r>
      <w:sdt>
        <w:sdtPr>
          <w:id w:val="1458382325"/>
          <w:citation/>
        </w:sdtPr>
        <w:sdtContent>
          <w:r w:rsidR="00196EAE">
            <w:fldChar w:fldCharType="begin"/>
          </w:r>
          <w:r w:rsidR="003B0D75">
            <w:instrText xml:space="preserve">CITATION CEN21 \l 3081 </w:instrText>
          </w:r>
          <w:r w:rsidR="00196EAE">
            <w:fldChar w:fldCharType="separate"/>
          </w:r>
          <w:r w:rsidR="001428F9">
            <w:rPr>
              <w:noProof/>
            </w:rPr>
            <w:t>(ISO/TR21186-1, 2021)</w:t>
          </w:r>
          <w:r w:rsidR="00196EAE">
            <w:fldChar w:fldCharType="end"/>
          </w:r>
        </w:sdtContent>
      </w:sdt>
      <w:r w:rsidR="00196EAE">
        <w:t xml:space="preserve"> </w:t>
      </w:r>
      <w:r w:rsidRPr="005764FC">
        <w:t xml:space="preserve">provides a detailed </w:t>
      </w:r>
      <w:r w:rsidR="002522DD" w:rsidRPr="005764FC">
        <w:t>coverage of current standards</w:t>
      </w:r>
      <w:r w:rsidR="006902E8" w:rsidRPr="005764FC">
        <w:t xml:space="preserve"> to be implemented. T</w:t>
      </w:r>
      <w:r w:rsidR="00300E69" w:rsidRPr="005764FC">
        <w:t xml:space="preserve">he priority standards </w:t>
      </w:r>
      <w:r w:rsidR="009D5D75" w:rsidRPr="005764FC">
        <w:t xml:space="preserve">specified </w:t>
      </w:r>
      <w:r w:rsidR="007459F4" w:rsidRPr="005764FC">
        <w:t>should</w:t>
      </w:r>
      <w:r w:rsidR="00300E69" w:rsidRPr="005764FC">
        <w:t xml:space="preserve"> </w:t>
      </w:r>
      <w:r w:rsidR="00192303" w:rsidRPr="005764FC">
        <w:t xml:space="preserve">be </w:t>
      </w:r>
      <w:r w:rsidR="00EC4DA5" w:rsidRPr="005764FC">
        <w:t xml:space="preserve">based on </w:t>
      </w:r>
      <w:r w:rsidR="00187CC5" w:rsidRPr="005764FC">
        <w:t xml:space="preserve">investment cost in </w:t>
      </w:r>
      <w:r w:rsidR="00066A92" w:rsidRPr="005764FC">
        <w:t xml:space="preserve">physical </w:t>
      </w:r>
      <w:r w:rsidR="008C6CE3" w:rsidRPr="005764FC">
        <w:t xml:space="preserve">components and </w:t>
      </w:r>
      <w:r w:rsidR="00300E69" w:rsidRPr="005764FC">
        <w:t xml:space="preserve">data </w:t>
      </w:r>
      <w:r w:rsidR="004A6538" w:rsidRPr="005764FC">
        <w:t xml:space="preserve">flow </w:t>
      </w:r>
      <w:r w:rsidR="00B51688" w:rsidRPr="005764FC">
        <w:t xml:space="preserve">between systems such that </w:t>
      </w:r>
      <w:r w:rsidR="00587A8A" w:rsidRPr="005764FC">
        <w:t>data quality and assurance is maintained through to the end user</w:t>
      </w:r>
      <w:r w:rsidR="00300E69" w:rsidRPr="005764FC">
        <w:t xml:space="preserve">. </w:t>
      </w:r>
      <w:r w:rsidR="009A675B" w:rsidRPr="005764FC">
        <w:t>C</w:t>
      </w:r>
      <w:r w:rsidR="001148DC" w:rsidRPr="005764FC">
        <w:t xml:space="preserve">larity in </w:t>
      </w:r>
      <w:r w:rsidR="003167CA" w:rsidRPr="005764FC">
        <w:t xml:space="preserve">the </w:t>
      </w:r>
      <w:r w:rsidR="00C65389" w:rsidRPr="005764FC">
        <w:t xml:space="preserve">following </w:t>
      </w:r>
      <w:r w:rsidR="00446B1B" w:rsidRPr="005764FC">
        <w:t>areas from the European standards suite should be prioritised t</w:t>
      </w:r>
      <w:r w:rsidR="00470C43" w:rsidRPr="005764FC">
        <w:t>o encourage interoperability</w:t>
      </w:r>
      <w:r w:rsidR="00AD5AE7" w:rsidRPr="005764FC">
        <w:t>:</w:t>
      </w:r>
    </w:p>
    <w:p w14:paraId="64DF00AE" w14:textId="176E75BB" w:rsidR="00B4205D" w:rsidRPr="005764FC" w:rsidRDefault="00B4205D" w:rsidP="009D69C4">
      <w:pPr>
        <w:pStyle w:val="ListBullet"/>
      </w:pPr>
      <w:r w:rsidRPr="005764FC">
        <w:rPr>
          <w:b/>
          <w:bCs/>
        </w:rPr>
        <w:t xml:space="preserve">Architecture </w:t>
      </w:r>
      <w:r w:rsidRPr="005764FC">
        <w:t>defines the core components and interactions</w:t>
      </w:r>
      <w:r w:rsidR="003B340F" w:rsidRPr="005764FC">
        <w:t>. This is critical to clarify what stakeholder can expect from to interact with</w:t>
      </w:r>
      <w:r w:rsidR="00810F5F" w:rsidRPr="005764FC">
        <w:t xml:space="preserve">. </w:t>
      </w:r>
      <w:r w:rsidRPr="005764FC">
        <w:t xml:space="preserve">The essential components that make up the ecosystem </w:t>
      </w:r>
      <w:r w:rsidR="00810F5F" w:rsidRPr="005764FC">
        <w:t xml:space="preserve">are outlined in </w:t>
      </w:r>
      <w:r w:rsidR="00836435" w:rsidRPr="005764FC">
        <w:t>Section</w:t>
      </w:r>
      <w:r w:rsidR="00836435">
        <w:t>s</w:t>
      </w:r>
      <w:r w:rsidR="00836435" w:rsidRPr="005764FC">
        <w:t xml:space="preserve"> </w:t>
      </w:r>
      <w:r w:rsidR="00810F5F" w:rsidRPr="005764FC">
        <w:fldChar w:fldCharType="begin" w:fldLock="1"/>
      </w:r>
      <w:r w:rsidR="00810F5F" w:rsidRPr="005764FC">
        <w:instrText xml:space="preserve"> REF _Ref94080562 \r \h </w:instrText>
      </w:r>
      <w:r w:rsidR="00810F5F" w:rsidRPr="005764FC">
        <w:fldChar w:fldCharType="separate"/>
      </w:r>
      <w:r w:rsidR="00A34B27">
        <w:t>1.4</w:t>
      </w:r>
      <w:r w:rsidR="00810F5F" w:rsidRPr="005764FC">
        <w:fldChar w:fldCharType="end"/>
      </w:r>
      <w:r w:rsidR="00810F5F" w:rsidRPr="005764FC">
        <w:t xml:space="preserve"> and </w:t>
      </w:r>
      <w:r w:rsidR="00810F5F" w:rsidRPr="005764FC">
        <w:fldChar w:fldCharType="begin" w:fldLock="1"/>
      </w:r>
      <w:r w:rsidR="00810F5F" w:rsidRPr="005764FC">
        <w:instrText xml:space="preserve"> REF _Ref90971002 \r \h </w:instrText>
      </w:r>
      <w:r w:rsidR="00810F5F" w:rsidRPr="005764FC">
        <w:fldChar w:fldCharType="separate"/>
      </w:r>
      <w:r w:rsidR="00A34B27">
        <w:t>1.5.1</w:t>
      </w:r>
      <w:r w:rsidR="00810F5F" w:rsidRPr="005764FC">
        <w:fldChar w:fldCharType="end"/>
      </w:r>
      <w:r w:rsidR="00810F5F" w:rsidRPr="005764FC">
        <w:t xml:space="preserve">. </w:t>
      </w:r>
    </w:p>
    <w:p w14:paraId="7D197592" w14:textId="409B49C6" w:rsidR="00B4205D" w:rsidRPr="005764FC" w:rsidRDefault="00B4205D" w:rsidP="009D69C4">
      <w:pPr>
        <w:pStyle w:val="ListBullet"/>
        <w:rPr>
          <w:b/>
          <w:bCs/>
        </w:rPr>
      </w:pPr>
      <w:r w:rsidRPr="005764FC">
        <w:rPr>
          <w:b/>
          <w:bCs/>
        </w:rPr>
        <w:t xml:space="preserve">Access Layer/Physical layer </w:t>
      </w:r>
      <w:r w:rsidRPr="005764FC">
        <w:t xml:space="preserve">is the initial interface between stations and </w:t>
      </w:r>
      <w:r w:rsidR="00B900C7" w:rsidRPr="005764FC">
        <w:t xml:space="preserve">the </w:t>
      </w:r>
      <w:r w:rsidRPr="005764FC">
        <w:t>most difficult to replace.</w:t>
      </w:r>
      <w:r w:rsidR="006E6BA5" w:rsidRPr="005764FC">
        <w:t xml:space="preserve"> </w:t>
      </w:r>
      <w:r w:rsidR="00114F29" w:rsidRPr="005764FC">
        <w:t xml:space="preserve">An </w:t>
      </w:r>
      <w:r w:rsidR="005224F0" w:rsidRPr="005764FC">
        <w:t xml:space="preserve">incompatibility of standards at the access layer means there </w:t>
      </w:r>
      <w:r w:rsidR="00B163A2" w:rsidRPr="005764FC">
        <w:t xml:space="preserve">will be </w:t>
      </w:r>
      <w:r w:rsidR="00E22735" w:rsidRPr="005764FC">
        <w:t>no information received even i</w:t>
      </w:r>
      <w:r w:rsidR="00B467E5" w:rsidRPr="005764FC">
        <w:t>f subsequent layers have aligned standards.</w:t>
      </w:r>
      <w:r w:rsidR="00C40419" w:rsidRPr="005764FC">
        <w:rPr>
          <w:rStyle w:val="FootnoteReference"/>
        </w:rPr>
        <w:footnoteReference w:id="16"/>
      </w:r>
      <w:r w:rsidR="00642A6F" w:rsidRPr="005764FC">
        <w:t xml:space="preserve"> </w:t>
      </w:r>
      <w:r w:rsidR="00703D2E" w:rsidRPr="005764FC">
        <w:t xml:space="preserve">As per </w:t>
      </w:r>
      <w:r w:rsidR="008F3AF7" w:rsidRPr="005764FC">
        <w:t xml:space="preserve">section </w:t>
      </w:r>
      <w:r w:rsidR="008F3AF7" w:rsidRPr="005764FC">
        <w:fldChar w:fldCharType="begin" w:fldLock="1"/>
      </w:r>
      <w:r w:rsidR="008F3AF7" w:rsidRPr="005764FC">
        <w:instrText xml:space="preserve"> REF _Ref94470912 \r \h </w:instrText>
      </w:r>
      <w:r w:rsidR="008F3AF7" w:rsidRPr="005764FC">
        <w:fldChar w:fldCharType="separate"/>
      </w:r>
      <w:r w:rsidR="00A34B27">
        <w:t>2</w:t>
      </w:r>
      <w:r w:rsidR="008F3AF7" w:rsidRPr="005764FC">
        <w:fldChar w:fldCharType="end"/>
      </w:r>
      <w:r w:rsidR="008F3AF7" w:rsidRPr="005764FC">
        <w:t xml:space="preserve">, the </w:t>
      </w:r>
      <w:r w:rsidR="00961B42" w:rsidRPr="005764FC">
        <w:t xml:space="preserve">access technology for short-range </w:t>
      </w:r>
      <w:r w:rsidR="003E55EB" w:rsidRPr="005764FC">
        <w:t xml:space="preserve">communications should prioritise a single technology </w:t>
      </w:r>
      <w:r w:rsidRPr="005764FC" w:rsidDel="00537D94">
        <w:t xml:space="preserve">and </w:t>
      </w:r>
      <w:r w:rsidR="00D34BBC" w:rsidRPr="005764FC">
        <w:t xml:space="preserve">this </w:t>
      </w:r>
      <w:r w:rsidR="003676BA" w:rsidRPr="005764FC">
        <w:t xml:space="preserve">on the current analysis should be </w:t>
      </w:r>
      <w:r w:rsidR="00B900C7" w:rsidRPr="005764FC">
        <w:t>DSRC (</w:t>
      </w:r>
      <w:r w:rsidR="003676BA" w:rsidRPr="005764FC">
        <w:t>ITS-G5</w:t>
      </w:r>
      <w:r w:rsidR="00CA27A6" w:rsidRPr="005764FC">
        <w:t>)</w:t>
      </w:r>
      <w:r w:rsidR="003676BA" w:rsidRPr="005764FC">
        <w:t xml:space="preserve">. </w:t>
      </w:r>
    </w:p>
    <w:p w14:paraId="0FFAF84F" w14:textId="1A2BAD04" w:rsidR="001C010F" w:rsidRPr="005764FC" w:rsidRDefault="00B4205D" w:rsidP="00B4205D">
      <w:pPr>
        <w:pStyle w:val="ListBullet"/>
        <w:rPr>
          <w:b/>
        </w:rPr>
      </w:pPr>
      <w:r w:rsidRPr="005764FC">
        <w:rPr>
          <w:b/>
          <w:bCs/>
        </w:rPr>
        <w:t xml:space="preserve">Security </w:t>
      </w:r>
      <w:r w:rsidRPr="005764FC">
        <w:t xml:space="preserve">must be consistent and builds the trust layer between </w:t>
      </w:r>
      <w:r w:rsidRPr="005764FC" w:rsidDel="00B43E41">
        <w:t>stations</w:t>
      </w:r>
      <w:r w:rsidR="00B43E41" w:rsidRPr="005764FC">
        <w:t xml:space="preserve">. </w:t>
      </w:r>
      <w:r w:rsidR="0069528E" w:rsidRPr="005764FC">
        <w:t>T</w:t>
      </w:r>
      <w:r w:rsidR="005769DE" w:rsidRPr="005764FC">
        <w:t>he SCMS is the most sophisticated</w:t>
      </w:r>
      <w:r w:rsidR="0069528E" w:rsidRPr="005764FC">
        <w:t xml:space="preserve"> component of the C-ITS ecosystems and essential </w:t>
      </w:r>
      <w:r w:rsidR="00543AF9" w:rsidRPr="005764FC">
        <w:t xml:space="preserve">to </w:t>
      </w:r>
      <w:r w:rsidR="00ED757C" w:rsidRPr="005764FC">
        <w:t xml:space="preserve">trusted interoperability </w:t>
      </w:r>
      <w:r w:rsidR="00630A23" w:rsidRPr="005764FC">
        <w:t xml:space="preserve">where </w:t>
      </w:r>
      <w:r w:rsidR="001C010F" w:rsidRPr="005764FC">
        <w:t>privacy</w:t>
      </w:r>
      <w:r w:rsidR="00A76CD4" w:rsidRPr="005764FC">
        <w:t xml:space="preserve"> must be </w:t>
      </w:r>
      <w:r w:rsidR="00AA1306" w:rsidRPr="005764FC">
        <w:t>maintained,</w:t>
      </w:r>
      <w:r w:rsidR="00A76CD4" w:rsidRPr="005764FC">
        <w:t xml:space="preserve"> and </w:t>
      </w:r>
      <w:r w:rsidR="00630A23" w:rsidRPr="005764FC">
        <w:t xml:space="preserve">safety critical decisions </w:t>
      </w:r>
      <w:r w:rsidR="00A76CD4" w:rsidRPr="005764FC">
        <w:t xml:space="preserve">must be made based on the </w:t>
      </w:r>
      <w:r w:rsidR="001C010F" w:rsidRPr="005764FC">
        <w:t>data derived from others</w:t>
      </w:r>
      <w:r w:rsidR="008F548F">
        <w:t xml:space="preserve"> </w:t>
      </w:r>
      <w:sdt>
        <w:sdtPr>
          <w:id w:val="-556553029"/>
          <w:citation/>
        </w:sdtPr>
        <w:sdtContent>
          <w:r w:rsidR="008F548F">
            <w:fldChar w:fldCharType="begin"/>
          </w:r>
          <w:r w:rsidR="008F548F">
            <w:instrText xml:space="preserve"> CITATION TCA18 \l 3081 </w:instrText>
          </w:r>
          <w:r w:rsidR="008F548F">
            <w:fldChar w:fldCharType="separate"/>
          </w:r>
          <w:r w:rsidR="001428F9">
            <w:rPr>
              <w:noProof/>
            </w:rPr>
            <w:t>(TCA, 2018)</w:t>
          </w:r>
          <w:r w:rsidR="008F548F">
            <w:fldChar w:fldCharType="end"/>
          </w:r>
        </w:sdtContent>
      </w:sdt>
      <w:r w:rsidR="005769DE" w:rsidRPr="005764FC">
        <w:t>.</w:t>
      </w:r>
    </w:p>
    <w:p w14:paraId="37E478F2" w14:textId="6AAFBEAD" w:rsidR="00795551" w:rsidRPr="005764FC" w:rsidRDefault="00B4205D" w:rsidP="009D69C4">
      <w:pPr>
        <w:pStyle w:val="ListBullet"/>
      </w:pPr>
      <w:r w:rsidRPr="005764FC">
        <w:rPr>
          <w:b/>
        </w:rPr>
        <w:t>Message Sets</w:t>
      </w:r>
      <w:r w:rsidRPr="005764FC">
        <w:t>/Facilities Layer generates consistent data that stations can understand</w:t>
      </w:r>
      <w:r w:rsidR="005C21C1" w:rsidRPr="005764FC">
        <w:t xml:space="preserve">. </w:t>
      </w:r>
      <w:r w:rsidR="00761E3F" w:rsidRPr="005764FC">
        <w:t xml:space="preserve">The contents of messages </w:t>
      </w:r>
      <w:r w:rsidR="007A4721" w:rsidRPr="005764FC">
        <w:t xml:space="preserve">distributed through the ecosystem must be consistent and </w:t>
      </w:r>
      <w:r w:rsidR="004A4BDD" w:rsidRPr="005764FC">
        <w:t xml:space="preserve">sufficiently </w:t>
      </w:r>
      <w:r w:rsidR="00BE58C4" w:rsidRPr="005764FC">
        <w:t>detailed</w:t>
      </w:r>
      <w:r w:rsidR="00914CA5" w:rsidRPr="005764FC">
        <w:t xml:space="preserve"> to be meaningful to the end user. </w:t>
      </w:r>
      <w:r w:rsidR="00D5285A" w:rsidRPr="005764FC">
        <w:t xml:space="preserve">The message standards (and more specifically the data </w:t>
      </w:r>
      <w:r w:rsidR="003C539B" w:rsidRPr="005764FC">
        <w:t xml:space="preserve">specifications) determine </w:t>
      </w:r>
      <w:r w:rsidR="00BD4270" w:rsidRPr="005764FC">
        <w:t xml:space="preserve">what should be filled </w:t>
      </w:r>
      <w:r w:rsidR="00E657D8" w:rsidRPr="005764FC">
        <w:t xml:space="preserve">and </w:t>
      </w:r>
      <w:r w:rsidR="00511166" w:rsidRPr="005764FC">
        <w:t xml:space="preserve">therefore what should be expected. </w:t>
      </w:r>
      <w:r w:rsidR="00795551" w:rsidRPr="005764FC">
        <w:t xml:space="preserve">Getting the data right allows evolution in use cases and bundles to present simpler or more complex information to the </w:t>
      </w:r>
      <w:r w:rsidR="002C2DE2" w:rsidRPr="005764FC">
        <w:t>d</w:t>
      </w:r>
      <w:r w:rsidR="00795551" w:rsidRPr="005764FC">
        <w:t>river</w:t>
      </w:r>
      <w:r w:rsidR="002C2DE2" w:rsidRPr="005764FC">
        <w:t xml:space="preserve"> (or end users)</w:t>
      </w:r>
      <w:r w:rsidR="00795551" w:rsidRPr="005764FC">
        <w:t>.</w:t>
      </w:r>
    </w:p>
    <w:p w14:paraId="5B62530D" w14:textId="3CDAF768" w:rsidR="001F2740" w:rsidRPr="005764FC" w:rsidRDefault="005A07BB" w:rsidP="008D4CBC">
      <w:pPr>
        <w:pStyle w:val="Heading2"/>
      </w:pPr>
      <w:bookmarkStart w:id="283" w:name="_Toc94536717"/>
      <w:bookmarkStart w:id="284" w:name="_Toc94453170"/>
      <w:bookmarkStart w:id="285" w:name="_Toc97807806"/>
      <w:r w:rsidRPr="005764FC">
        <w:t xml:space="preserve">No </w:t>
      </w:r>
      <w:r w:rsidR="00D73094" w:rsidRPr="005764FC">
        <w:t xml:space="preserve">Regrets </w:t>
      </w:r>
      <w:r w:rsidR="00132FFA" w:rsidRPr="005764FC">
        <w:t>Use Cases</w:t>
      </w:r>
      <w:bookmarkEnd w:id="283"/>
      <w:bookmarkEnd w:id="284"/>
      <w:bookmarkEnd w:id="285"/>
    </w:p>
    <w:p w14:paraId="4550C6C7" w14:textId="437CF816" w:rsidR="0004436E" w:rsidRPr="005764FC" w:rsidRDefault="0004436E" w:rsidP="00226730">
      <w:pPr>
        <w:pStyle w:val="BodyText"/>
        <w:keepNext/>
      </w:pPr>
      <w:r w:rsidRPr="005764FC">
        <w:t xml:space="preserve">Once clear technical directions, standards and guidelines are in place it is possible to consider the potential backbone needed to support services and priority use cases. The CBA developed in this project </w:t>
      </w:r>
      <w:r w:rsidR="00E525F8" w:rsidRPr="005764FC">
        <w:t>(see</w:t>
      </w:r>
      <w:r w:rsidRPr="005764FC">
        <w:t xml:space="preserve"> Section</w:t>
      </w:r>
      <w:r w:rsidRPr="005764FC">
        <w:fldChar w:fldCharType="begin" w:fldLock="1"/>
      </w:r>
      <w:r w:rsidRPr="005764FC">
        <w:instrText xml:space="preserve"> REF _Ref90971055 \r \h </w:instrText>
      </w:r>
      <w:r w:rsidRPr="005764FC">
        <w:fldChar w:fldCharType="separate"/>
      </w:r>
      <w:r w:rsidR="00A34B27">
        <w:t>1.5.3</w:t>
      </w:r>
      <w:r w:rsidRPr="005764FC">
        <w:fldChar w:fldCharType="end"/>
      </w:r>
      <w:r w:rsidRPr="005764FC">
        <w:t xml:space="preserve"> considered bundles of use cases or priority deployment options</w:t>
      </w:r>
      <w:r w:rsidR="00E525F8" w:rsidRPr="005764FC">
        <w:t xml:space="preserve"> that are</w:t>
      </w:r>
      <w:r w:rsidRPr="005764FC">
        <w:t xml:space="preserve"> outlined in </w:t>
      </w:r>
      <w:r w:rsidRPr="005764FC">
        <w:fldChar w:fldCharType="begin" w:fldLock="1"/>
      </w:r>
      <w:r w:rsidRPr="005764FC">
        <w:instrText xml:space="preserve"> REF _Ref86648524 \h </w:instrText>
      </w:r>
      <w:r w:rsidRPr="005764FC">
        <w:fldChar w:fldCharType="separate"/>
      </w:r>
      <w:r w:rsidR="00A34B27" w:rsidRPr="005764FC">
        <w:t xml:space="preserve">Figure </w:t>
      </w:r>
      <w:r w:rsidR="00A34B27">
        <w:rPr>
          <w:noProof/>
        </w:rPr>
        <w:t>5</w:t>
      </w:r>
      <w:r w:rsidR="00A34B27" w:rsidRPr="005764FC">
        <w:t>.</w:t>
      </w:r>
      <w:r w:rsidR="00A34B27">
        <w:rPr>
          <w:noProof/>
        </w:rPr>
        <w:t>2</w:t>
      </w:r>
      <w:r w:rsidRPr="005764FC">
        <w:fldChar w:fldCharType="end"/>
      </w:r>
      <w:r w:rsidRPr="005764FC">
        <w:t xml:space="preserve"> with key components required. </w:t>
      </w:r>
    </w:p>
    <w:p w14:paraId="779738A5" w14:textId="0B6C35DE" w:rsidR="005C13F8" w:rsidRPr="005764FC" w:rsidRDefault="002B0C56" w:rsidP="004B31D0">
      <w:pPr>
        <w:pStyle w:val="Image"/>
      </w:pPr>
      <w:r w:rsidRPr="005764FC">
        <w:rPr>
          <w:noProof/>
          <w:lang w:eastAsia="en-AU"/>
        </w:rPr>
        <w:drawing>
          <wp:inline distT="0" distB="0" distL="0" distR="0" wp14:anchorId="563A1302" wp14:editId="7ED77CF4">
            <wp:extent cx="6122670" cy="4110990"/>
            <wp:effectExtent l="0" t="0" r="0" b="3810"/>
            <wp:docPr id="254" name="Picture 254" descr="figure 5.2 is a table comparing deployment models with enabling components. pie graphs are used within the table to show the level of convergence between each element when they intersect. For example, the balanced Australia wide deployment has full pie graphs for in vehicle stations, SCMS, national data exchange, central stations and cellular communications and roadside stations, in contract, the V2V centric model has full pie graphs for in vehicle stations and SCMS but partial pie graphs for the other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2670" cy="4110990"/>
                    </a:xfrm>
                    <a:prstGeom prst="rect">
                      <a:avLst/>
                    </a:prstGeom>
                    <a:noFill/>
                    <a:ln>
                      <a:noFill/>
                    </a:ln>
                  </pic:spPr>
                </pic:pic>
              </a:graphicData>
            </a:graphic>
          </wp:inline>
        </w:drawing>
      </w:r>
    </w:p>
    <w:p w14:paraId="7F65136A" w14:textId="66F57496" w:rsidR="005C13F8" w:rsidRPr="005764FC" w:rsidRDefault="005C13F8" w:rsidP="004B31D0">
      <w:pPr>
        <w:pStyle w:val="Caption"/>
        <w:keepNext w:val="0"/>
      </w:pPr>
      <w:bookmarkStart w:id="286" w:name="_Ref86648524"/>
      <w:bookmarkStart w:id="287" w:name="_Ref94487586"/>
      <w:bookmarkStart w:id="288" w:name="_Toc97807845"/>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5</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2</w:t>
      </w:r>
      <w:r w:rsidR="00287C9E" w:rsidRPr="005764FC">
        <w:fldChar w:fldCharType="end"/>
      </w:r>
      <w:bookmarkEnd w:id="286"/>
      <w:r w:rsidRPr="005764FC">
        <w:tab/>
        <w:t>Key areas of investment and options for deployment</w:t>
      </w:r>
      <w:bookmarkEnd w:id="287"/>
      <w:bookmarkEnd w:id="288"/>
    </w:p>
    <w:p w14:paraId="46477BB2" w14:textId="77777777" w:rsidR="000A64A3" w:rsidRPr="005764FC" w:rsidRDefault="000A64A3" w:rsidP="000A64A3">
      <w:pPr>
        <w:pStyle w:val="Heading3"/>
      </w:pPr>
      <w:bookmarkStart w:id="289" w:name="_Toc94536718"/>
      <w:r w:rsidRPr="005764FC">
        <w:t>Heavy Vehicle Use Cases</w:t>
      </w:r>
      <w:bookmarkEnd w:id="289"/>
      <w:r w:rsidRPr="005764FC">
        <w:t xml:space="preserve"> </w:t>
      </w:r>
    </w:p>
    <w:p w14:paraId="7F078C24" w14:textId="3C8AE43B" w:rsidR="000A64A3" w:rsidRPr="005764FC" w:rsidRDefault="000A64A3" w:rsidP="000A64A3">
      <w:pPr>
        <w:pStyle w:val="BodyText"/>
        <w:rPr>
          <w:lang w:eastAsia="fr-CA"/>
        </w:rPr>
      </w:pPr>
      <w:r w:rsidRPr="005764FC">
        <w:rPr>
          <w:lang w:eastAsia="fr-CA"/>
        </w:rPr>
        <w:t xml:space="preserve">The priority options analysis showed how the heavy vehicle user group can benefit from </w:t>
      </w:r>
      <w:r w:rsidRPr="005764FC" w:rsidDel="008A3437">
        <w:rPr>
          <w:lang w:eastAsia="fr-CA"/>
        </w:rPr>
        <w:t>C</w:t>
      </w:r>
      <w:r w:rsidRPr="005764FC">
        <w:rPr>
          <w:lang w:eastAsia="fr-CA"/>
        </w:rPr>
        <w:t>‑ITS. Heavy vehicles’ higher vehicle mass and slower braking profiles make them typically slower to respond to dynamic events</w:t>
      </w:r>
      <w:r w:rsidR="000B3024" w:rsidRPr="005764FC">
        <w:rPr>
          <w:lang w:eastAsia="fr-CA"/>
        </w:rPr>
        <w:t xml:space="preserve">. </w:t>
      </w:r>
      <w:r w:rsidRPr="005764FC">
        <w:rPr>
          <w:lang w:eastAsia="fr-CA"/>
        </w:rPr>
        <w:t xml:space="preserve">The value of time for heavy vehicle operation is also greater for the wider vehicle fleet. Providing </w:t>
      </w:r>
      <w:r w:rsidRPr="005764FC" w:rsidDel="008A3437">
        <w:rPr>
          <w:lang w:eastAsia="fr-CA"/>
        </w:rPr>
        <w:t>C</w:t>
      </w:r>
      <w:r w:rsidRPr="005764FC">
        <w:rPr>
          <w:lang w:eastAsia="fr-CA"/>
        </w:rPr>
        <w:t>‑ITS solutions for heavy vehicle</w:t>
      </w:r>
      <w:r w:rsidR="00D05564" w:rsidRPr="005764FC">
        <w:rPr>
          <w:lang w:eastAsia="fr-CA"/>
        </w:rPr>
        <w:t>s</w:t>
      </w:r>
      <w:r w:rsidRPr="005764FC">
        <w:rPr>
          <w:lang w:eastAsia="fr-CA"/>
        </w:rPr>
        <w:t xml:space="preserve"> makes drivers aware of safety risks earlier, shortening the time they need to react and possibly prevent a crash</w:t>
      </w:r>
      <w:r w:rsidR="00EA0918" w:rsidRPr="005764FC">
        <w:rPr>
          <w:lang w:eastAsia="fr-CA"/>
        </w:rPr>
        <w:t>. It</w:t>
      </w:r>
      <w:r w:rsidRPr="005764FC">
        <w:rPr>
          <w:lang w:eastAsia="fr-CA"/>
        </w:rPr>
        <w:t xml:space="preserve"> also makes the drivers aware of events on the network </w:t>
      </w:r>
      <w:r w:rsidR="00EA0918" w:rsidRPr="005764FC">
        <w:rPr>
          <w:lang w:eastAsia="fr-CA"/>
        </w:rPr>
        <w:t xml:space="preserve">that </w:t>
      </w:r>
      <w:r w:rsidRPr="005764FC">
        <w:rPr>
          <w:lang w:eastAsia="fr-CA"/>
        </w:rPr>
        <w:t>could impact or delay their journey</w:t>
      </w:r>
      <w:r w:rsidR="00EA0918" w:rsidRPr="005764FC">
        <w:rPr>
          <w:lang w:eastAsia="fr-CA"/>
        </w:rPr>
        <w:t>s</w:t>
      </w:r>
      <w:r w:rsidRPr="005764FC">
        <w:rPr>
          <w:lang w:eastAsia="fr-CA"/>
        </w:rPr>
        <w:t xml:space="preserve">. C‑ITS solutions can also </w:t>
      </w:r>
      <w:r w:rsidR="00EA0918" w:rsidRPr="005764FC">
        <w:rPr>
          <w:lang w:eastAsia="fr-CA"/>
        </w:rPr>
        <w:t xml:space="preserve">help </w:t>
      </w:r>
      <w:r w:rsidRPr="005764FC">
        <w:rPr>
          <w:lang w:eastAsia="fr-CA"/>
        </w:rPr>
        <w:t xml:space="preserve">road operators better understand corridor or network performance, which they can </w:t>
      </w:r>
      <w:r w:rsidR="00EA0918" w:rsidRPr="005764FC">
        <w:rPr>
          <w:lang w:eastAsia="fr-CA"/>
        </w:rPr>
        <w:t xml:space="preserve">proactively </w:t>
      </w:r>
      <w:r w:rsidRPr="005764FC">
        <w:rPr>
          <w:lang w:eastAsia="fr-CA"/>
        </w:rPr>
        <w:t>consider to improve road network operation for heavy vehicles or the wider vehicle fleet</w:t>
      </w:r>
      <w:r w:rsidR="000B3024" w:rsidRPr="005764FC">
        <w:rPr>
          <w:lang w:eastAsia="fr-CA"/>
        </w:rPr>
        <w:t xml:space="preserve">. </w:t>
      </w:r>
    </w:p>
    <w:p w14:paraId="5F984A45" w14:textId="739FE837" w:rsidR="000A64A3" w:rsidRDefault="000A64A3" w:rsidP="000A64A3">
      <w:pPr>
        <w:pStyle w:val="BodyText"/>
        <w:rPr>
          <w:lang w:eastAsia="fr-CA"/>
        </w:rPr>
      </w:pPr>
      <w:r w:rsidRPr="005764FC">
        <w:rPr>
          <w:lang w:eastAsia="fr-CA"/>
        </w:rPr>
        <w:t xml:space="preserve">The opportunity to support smooth vehicle movements through traffic signals is unique to </w:t>
      </w:r>
      <w:r w:rsidRPr="005764FC" w:rsidDel="008A3437">
        <w:rPr>
          <w:lang w:eastAsia="fr-CA"/>
        </w:rPr>
        <w:t>C</w:t>
      </w:r>
      <w:r w:rsidRPr="005764FC">
        <w:rPr>
          <w:lang w:eastAsia="fr-CA"/>
        </w:rPr>
        <w:t xml:space="preserve">‑ITS. The CITI heavy vehicle pilot has focused on use cases and practical application of </w:t>
      </w:r>
      <w:r w:rsidRPr="005764FC" w:rsidDel="008A3437">
        <w:rPr>
          <w:lang w:eastAsia="fr-CA"/>
        </w:rPr>
        <w:t>C</w:t>
      </w:r>
      <w:r w:rsidRPr="005764FC">
        <w:rPr>
          <w:lang w:eastAsia="fr-CA"/>
        </w:rPr>
        <w:t>‑ITS for heavy vehicles in urban and rural environments (wider Illawarra region).</w:t>
      </w:r>
    </w:p>
    <w:p w14:paraId="3CB7225B" w14:textId="146D2528" w:rsidR="00226730" w:rsidRDefault="00226730">
      <w:pPr>
        <w:rPr>
          <w:lang w:eastAsia="fr-CA"/>
        </w:rPr>
      </w:pPr>
      <w:r>
        <w:rPr>
          <w:lang w:eastAsia="fr-CA"/>
        </w:rPr>
        <w:br w:type="page"/>
      </w:r>
    </w:p>
    <w:p w14:paraId="70662962" w14:textId="77777777" w:rsidR="000A64A3" w:rsidRPr="005764FC" w:rsidRDefault="000A64A3" w:rsidP="004B31D0">
      <w:pPr>
        <w:pStyle w:val="Heading3"/>
        <w:spacing w:before="0"/>
      </w:pPr>
      <w:bookmarkStart w:id="290" w:name="_Toc94536719"/>
      <w:r w:rsidRPr="005764FC">
        <w:t>Vulnerable Road User Use Cases</w:t>
      </w:r>
      <w:bookmarkEnd w:id="290"/>
    </w:p>
    <w:tbl>
      <w:tblPr>
        <w:tblStyle w:val="PullOutBoxTable"/>
        <w:tblpPr w:leftFromText="180" w:rightFromText="180" w:vertAnchor="text" w:horzAnchor="margin" w:tblpXSpec="right" w:tblpY="113"/>
        <w:tblOverlap w:val="never"/>
        <w:tblW w:w="4536" w:type="dxa"/>
        <w:tblInd w:w="0" w:type="dxa"/>
        <w:tblLook w:val="0600" w:firstRow="0" w:lastRow="0" w:firstColumn="0" w:lastColumn="0" w:noHBand="1" w:noVBand="1"/>
      </w:tblPr>
      <w:tblGrid>
        <w:gridCol w:w="4536"/>
      </w:tblGrid>
      <w:tr w:rsidR="00226730" w:rsidRPr="005764FC" w14:paraId="28E343D0" w14:textId="77777777" w:rsidTr="00D32EA7">
        <w:tc>
          <w:tcPr>
            <w:tcW w:w="5000" w:type="pct"/>
            <w:shd w:val="clear" w:color="auto" w:fill="E4E8EC" w:themeFill="accent3" w:themeFillTint="1A"/>
          </w:tcPr>
          <w:p w14:paraId="1396DBE7" w14:textId="77777777" w:rsidR="00226730" w:rsidRPr="005764FC" w:rsidRDefault="00226730" w:rsidP="00D32EA7">
            <w:pPr>
              <w:pStyle w:val="PullOutBoxHeading"/>
            </w:pPr>
            <w:r w:rsidRPr="005764FC">
              <w:t>VRU User Story</w:t>
            </w:r>
          </w:p>
          <w:p w14:paraId="1D7EE9FD" w14:textId="77777777" w:rsidR="00226730" w:rsidRPr="005764FC" w:rsidRDefault="00226730" w:rsidP="00D32EA7">
            <w:pPr>
              <w:pStyle w:val="BodyText"/>
            </w:pPr>
            <w:r w:rsidRPr="005764FC">
              <w:t>“As a parent of school aged children, it’s reassuring to know that my kids cross busy intersections where Infrastructure-to-Vehicle technology is available to warn drivers of equipped vehicles about unexpected pedestrian movements.”</w:t>
            </w:r>
          </w:p>
        </w:tc>
      </w:tr>
    </w:tbl>
    <w:p w14:paraId="01DCDE21" w14:textId="1F58645E" w:rsidR="000A64A3" w:rsidRPr="005764FC" w:rsidRDefault="000A64A3" w:rsidP="000A64A3">
      <w:pPr>
        <w:pStyle w:val="BodyText"/>
      </w:pPr>
      <w:r w:rsidRPr="005764FC">
        <w:t xml:space="preserve">Vulnerable Road Users (VRUs) including </w:t>
      </w:r>
      <w:r w:rsidRPr="005764FC">
        <w:rPr>
          <w:lang w:eastAsia="fr-CA"/>
        </w:rPr>
        <w:t>pedestrians, bicyclists, motorcyclists and animals</w:t>
      </w:r>
      <w:r w:rsidR="008E2709" w:rsidRPr="005764FC">
        <w:rPr>
          <w:lang w:eastAsia="fr-CA"/>
        </w:rPr>
        <w:t>,</w:t>
      </w:r>
      <w:r w:rsidRPr="005764FC">
        <w:t xml:space="preserve"> have been considered in the past in a range of safety and efficiency use cases. VRU use cases continue to be of strong strategic interest as these groups are at higher risk of serious injury in a crash. </w:t>
      </w:r>
      <w:r w:rsidR="00DC7CBA" w:rsidRPr="005764FC">
        <w:t>For a range of reasons, t</w:t>
      </w:r>
      <w:r w:rsidRPr="005764FC">
        <w:t xml:space="preserve">echnical solutions targeted at VRUs are more complex than vehicle-centric solutions. As a result, there are few mature solutions. Continued Australian and international effort to provide standards and systems that improve VRUs’ safety, is bringing us closer to solutions that can be assessed for deployment. </w:t>
      </w:r>
      <w:r w:rsidR="001D266D" w:rsidRPr="005764FC">
        <w:t>Testing</w:t>
      </w:r>
      <w:r w:rsidRPr="005764FC">
        <w:t xml:space="preserve"> of </w:t>
      </w:r>
      <w:r w:rsidR="001D266D" w:rsidRPr="005764FC">
        <w:t>new VRU</w:t>
      </w:r>
      <w:r w:rsidRPr="005764FC">
        <w:t xml:space="preserve"> standards is underway in Europe.</w:t>
      </w:r>
      <w:r w:rsidRPr="005764FC">
        <w:rPr>
          <w:rStyle w:val="FootnoteReference"/>
        </w:rPr>
        <w:footnoteReference w:id="17"/>
      </w:r>
    </w:p>
    <w:p w14:paraId="11423DFB" w14:textId="12EFBD5E" w:rsidR="000A64A3" w:rsidRPr="005764FC" w:rsidRDefault="000A64A3" w:rsidP="000A64A3">
      <w:pPr>
        <w:pStyle w:val="Heading3"/>
      </w:pPr>
      <w:bookmarkStart w:id="291" w:name="_Toc94536720"/>
      <w:r w:rsidRPr="005764FC">
        <w:t>Rural Use Cases</w:t>
      </w:r>
      <w:bookmarkEnd w:id="291"/>
    </w:p>
    <w:p w14:paraId="35507D2F" w14:textId="0695116D" w:rsidR="000A64A3" w:rsidRPr="005764FC" w:rsidRDefault="000A64A3" w:rsidP="000A64A3">
      <w:pPr>
        <w:pStyle w:val="BodyText"/>
        <w:rPr>
          <w:lang w:eastAsia="fr-CA"/>
        </w:rPr>
      </w:pPr>
      <w:r w:rsidRPr="005764FC">
        <w:rPr>
          <w:lang w:eastAsia="fr-CA"/>
        </w:rPr>
        <w:t xml:space="preserve">C-ITS solutions </w:t>
      </w:r>
      <w:r w:rsidR="006B33C5" w:rsidRPr="005764FC">
        <w:rPr>
          <w:lang w:eastAsia="fr-CA"/>
        </w:rPr>
        <w:t xml:space="preserve">that </w:t>
      </w:r>
      <w:r w:rsidRPr="005764FC">
        <w:rPr>
          <w:lang w:eastAsia="fr-CA"/>
        </w:rPr>
        <w:t xml:space="preserve">can deliver benefits to rural regional road users are of particular interest from the perspective of accessibility, as outlined in Section </w:t>
      </w:r>
      <w:r w:rsidRPr="005764FC">
        <w:rPr>
          <w:lang w:eastAsia="fr-CA"/>
        </w:rPr>
        <w:fldChar w:fldCharType="begin" w:fldLock="1"/>
      </w:r>
      <w:r w:rsidRPr="005764FC">
        <w:rPr>
          <w:lang w:eastAsia="fr-CA"/>
        </w:rPr>
        <w:instrText xml:space="preserve"> REF _Ref94190396 \r \h  \* MERGEFORMAT </w:instrText>
      </w:r>
      <w:r w:rsidRPr="005764FC">
        <w:rPr>
          <w:lang w:eastAsia="fr-CA"/>
        </w:rPr>
      </w:r>
      <w:r w:rsidRPr="005764FC">
        <w:rPr>
          <w:lang w:eastAsia="fr-CA"/>
        </w:rPr>
        <w:fldChar w:fldCharType="separate"/>
      </w:r>
      <w:r w:rsidR="00A34B27">
        <w:rPr>
          <w:lang w:eastAsia="fr-CA"/>
        </w:rPr>
        <w:t>2.3.1.6</w:t>
      </w:r>
      <w:r w:rsidRPr="005764FC">
        <w:rPr>
          <w:lang w:eastAsia="fr-CA"/>
        </w:rPr>
        <w:fldChar w:fldCharType="end"/>
      </w:r>
      <w:r w:rsidR="006B33C5" w:rsidRPr="005764FC">
        <w:rPr>
          <w:lang w:eastAsia="fr-CA"/>
        </w:rPr>
        <w:t>,</w:t>
      </w:r>
      <w:r w:rsidRPr="005764FC">
        <w:rPr>
          <w:lang w:eastAsia="fr-CA"/>
        </w:rPr>
        <w:t xml:space="preserve"> and the relatively high level of harm from road crashes in comparison to urban environments</w:t>
      </w:r>
      <w:r w:rsidR="006B33C5" w:rsidRPr="005764FC">
        <w:rPr>
          <w:lang w:eastAsia="fr-CA"/>
        </w:rPr>
        <w:t>,</w:t>
      </w:r>
      <w:r w:rsidRPr="005764FC">
        <w:rPr>
          <w:lang w:eastAsia="fr-CA"/>
        </w:rPr>
        <w:t xml:space="preserve"> as outlined in Section </w:t>
      </w:r>
      <w:r w:rsidRPr="005764FC">
        <w:rPr>
          <w:lang w:eastAsia="fr-CA"/>
        </w:rPr>
        <w:fldChar w:fldCharType="begin" w:fldLock="1"/>
      </w:r>
      <w:r w:rsidRPr="005764FC">
        <w:rPr>
          <w:lang w:eastAsia="fr-CA"/>
        </w:rPr>
        <w:instrText xml:space="preserve"> REF _Ref92795162 \r \h  \* MERGEFORMAT </w:instrText>
      </w:r>
      <w:r w:rsidRPr="005764FC">
        <w:rPr>
          <w:lang w:eastAsia="fr-CA"/>
        </w:rPr>
      </w:r>
      <w:r w:rsidRPr="005764FC">
        <w:rPr>
          <w:lang w:eastAsia="fr-CA"/>
        </w:rPr>
        <w:fldChar w:fldCharType="separate"/>
      </w:r>
      <w:r w:rsidR="00A34B27">
        <w:rPr>
          <w:lang w:eastAsia="fr-CA"/>
        </w:rPr>
        <w:t>1.3</w:t>
      </w:r>
      <w:r w:rsidRPr="005764FC">
        <w:rPr>
          <w:lang w:eastAsia="fr-CA"/>
        </w:rPr>
        <w:fldChar w:fldCharType="end"/>
      </w:r>
      <w:r w:rsidRPr="005764FC">
        <w:rPr>
          <w:lang w:eastAsia="fr-CA"/>
        </w:rPr>
        <w:t xml:space="preserve">. Consideration of services </w:t>
      </w:r>
      <w:r w:rsidR="006B33C5" w:rsidRPr="005764FC">
        <w:rPr>
          <w:lang w:eastAsia="fr-CA"/>
        </w:rPr>
        <w:t xml:space="preserve">that </w:t>
      </w:r>
      <w:r w:rsidRPr="005764FC">
        <w:rPr>
          <w:lang w:eastAsia="fr-CA"/>
        </w:rPr>
        <w:t xml:space="preserve">can benefit rural </w:t>
      </w:r>
      <w:r w:rsidR="004633E4" w:rsidRPr="005764FC">
        <w:rPr>
          <w:lang w:eastAsia="fr-CA"/>
        </w:rPr>
        <w:t>(</w:t>
      </w:r>
      <w:r w:rsidRPr="005764FC">
        <w:rPr>
          <w:lang w:eastAsia="fr-CA"/>
        </w:rPr>
        <w:t xml:space="preserve">regional </w:t>
      </w:r>
      <w:r w:rsidR="004633E4" w:rsidRPr="005764FC">
        <w:rPr>
          <w:lang w:eastAsia="fr-CA"/>
        </w:rPr>
        <w:t xml:space="preserve">and remote) </w:t>
      </w:r>
      <w:r w:rsidRPr="005764FC">
        <w:rPr>
          <w:lang w:eastAsia="fr-CA"/>
        </w:rPr>
        <w:t>environment</w:t>
      </w:r>
      <w:r w:rsidR="006B33C5" w:rsidRPr="005764FC">
        <w:rPr>
          <w:lang w:eastAsia="fr-CA"/>
        </w:rPr>
        <w:t>s</w:t>
      </w:r>
      <w:r w:rsidRPr="005764FC">
        <w:rPr>
          <w:lang w:eastAsia="fr-CA"/>
        </w:rPr>
        <w:t xml:space="preserve"> will be critical in considering next steps or priority use cases</w:t>
      </w:r>
      <w:r w:rsidR="000B3024" w:rsidRPr="005764FC">
        <w:rPr>
          <w:lang w:eastAsia="fr-CA"/>
        </w:rPr>
        <w:t xml:space="preserve">. </w:t>
      </w:r>
    </w:p>
    <w:p w14:paraId="6BDF4AFD" w14:textId="53277BD2" w:rsidR="000A64A3" w:rsidRPr="005764FC" w:rsidRDefault="000A64A3" w:rsidP="000A64A3">
      <w:pPr>
        <w:pStyle w:val="BodyText"/>
      </w:pPr>
      <w:r w:rsidRPr="005764FC">
        <w:rPr>
          <w:lang w:eastAsia="fr-CA"/>
        </w:rPr>
        <w:t xml:space="preserve">ICVP and AIMES were urban focused environments. However, </w:t>
      </w:r>
      <w:r w:rsidRPr="005764FC">
        <w:t xml:space="preserve">TMR is planning on extending ICVP urban use cases out to rural environments. ‘The department is now working to extend the scope of its </w:t>
      </w:r>
      <w:r w:rsidRPr="005764FC" w:rsidDel="008A3437">
        <w:t>C</w:t>
      </w:r>
      <w:r w:rsidRPr="005764FC">
        <w:t>‑ITS services along the Bruce Highway, from the Sunshine Coast to Cairns’</w:t>
      </w:r>
      <w:sdt>
        <w:sdtPr>
          <w:id w:val="1808969799"/>
          <w:citation/>
        </w:sdtPr>
        <w:sdtContent>
          <w:r w:rsidR="000E61BC">
            <w:fldChar w:fldCharType="begin"/>
          </w:r>
          <w:r w:rsidR="000E61BC">
            <w:instrText xml:space="preserve"> CITATION MTA21 \l 3081 </w:instrText>
          </w:r>
          <w:r w:rsidR="000E61BC">
            <w:fldChar w:fldCharType="separate"/>
          </w:r>
          <w:r w:rsidR="001428F9">
            <w:rPr>
              <w:noProof/>
            </w:rPr>
            <w:t xml:space="preserve"> (MTA Queensland, 2021)</w:t>
          </w:r>
          <w:r w:rsidR="000E61BC">
            <w:fldChar w:fldCharType="end"/>
          </w:r>
        </w:sdtContent>
      </w:sdt>
      <w:r w:rsidR="000E61BC">
        <w:t>.</w:t>
      </w:r>
      <w:r w:rsidRPr="005764FC">
        <w:t xml:space="preserve"> </w:t>
      </w:r>
    </w:p>
    <w:p w14:paraId="4AE54FB9" w14:textId="15C7D363" w:rsidR="005F5284" w:rsidRPr="005764FC" w:rsidRDefault="005F5284" w:rsidP="008D4CBC">
      <w:pPr>
        <w:pStyle w:val="Heading2"/>
      </w:pPr>
      <w:bookmarkStart w:id="292" w:name="_Toc94536721"/>
      <w:bookmarkStart w:id="293" w:name="_Toc97807807"/>
      <w:bookmarkStart w:id="294" w:name="_Toc94453171"/>
      <w:r w:rsidRPr="005764FC">
        <w:t>The role of Government</w:t>
      </w:r>
      <w:bookmarkEnd w:id="292"/>
      <w:bookmarkEnd w:id="293"/>
      <w:r w:rsidR="00132FFA" w:rsidRPr="005764FC">
        <w:t xml:space="preserve"> </w:t>
      </w:r>
      <w:bookmarkEnd w:id="294"/>
    </w:p>
    <w:p w14:paraId="17E23014" w14:textId="33E6A954" w:rsidR="00102EF0" w:rsidRPr="005764FC" w:rsidRDefault="004A4E36" w:rsidP="00102EF0">
      <w:pPr>
        <w:pStyle w:val="BodyText"/>
        <w:rPr>
          <w:lang w:eastAsia="fr-CA"/>
        </w:rPr>
      </w:pPr>
      <w:r w:rsidRPr="005764FC">
        <w:rPr>
          <w:lang w:eastAsia="fr-CA"/>
        </w:rPr>
        <w:t>The federal g</w:t>
      </w:r>
      <w:r w:rsidR="00102EF0" w:rsidRPr="005764FC">
        <w:rPr>
          <w:lang w:eastAsia="fr-CA"/>
        </w:rPr>
        <w:t>overnment has a key role in unlocking and enabling C‑ITS as part of a wider ecosystem. Globally, governments have been closely involved in develop</w:t>
      </w:r>
      <w:r w:rsidR="006B33C5" w:rsidRPr="005764FC">
        <w:rPr>
          <w:lang w:eastAsia="fr-CA"/>
        </w:rPr>
        <w:t>ing</w:t>
      </w:r>
      <w:r w:rsidR="00102EF0" w:rsidRPr="005764FC">
        <w:rPr>
          <w:lang w:eastAsia="fr-CA"/>
        </w:rPr>
        <w:t xml:space="preserve"> C‑ITS because of </w:t>
      </w:r>
      <w:r w:rsidR="006B33C5" w:rsidRPr="005764FC">
        <w:rPr>
          <w:lang w:eastAsia="fr-CA"/>
        </w:rPr>
        <w:t xml:space="preserve">its </w:t>
      </w:r>
      <w:r w:rsidR="00102EF0" w:rsidRPr="005764FC">
        <w:rPr>
          <w:lang w:eastAsia="fr-CA"/>
        </w:rPr>
        <w:t xml:space="preserve">demonstrated economic benefits to the wider community. There is a need to consider early action </w:t>
      </w:r>
      <w:r w:rsidR="004857D5">
        <w:rPr>
          <w:lang w:eastAsia="fr-CA"/>
        </w:rPr>
        <w:t>by</w:t>
      </w:r>
      <w:r w:rsidR="00102EF0" w:rsidRPr="005764FC">
        <w:rPr>
          <w:lang w:eastAsia="fr-CA"/>
        </w:rPr>
        <w:t xml:space="preserve"> government</w:t>
      </w:r>
      <w:r w:rsidR="004857D5">
        <w:rPr>
          <w:lang w:eastAsia="fr-CA"/>
        </w:rPr>
        <w:t>s that is undertaken in a nationally coordinated way</w:t>
      </w:r>
      <w:r w:rsidR="00102EF0" w:rsidRPr="005764FC">
        <w:rPr>
          <w:lang w:eastAsia="fr-CA"/>
        </w:rPr>
        <w:t>: leadership and potential return on targeted investment to solve the chicken</w:t>
      </w:r>
      <w:r w:rsidR="006B33C5" w:rsidRPr="005764FC">
        <w:rPr>
          <w:lang w:eastAsia="fr-CA"/>
        </w:rPr>
        <w:t>-</w:t>
      </w:r>
      <w:r w:rsidR="00102EF0" w:rsidRPr="005764FC">
        <w:rPr>
          <w:lang w:eastAsia="fr-CA"/>
        </w:rPr>
        <w:t>and</w:t>
      </w:r>
      <w:r w:rsidR="006B33C5" w:rsidRPr="005764FC">
        <w:rPr>
          <w:lang w:eastAsia="fr-CA"/>
        </w:rPr>
        <w:t>-</w:t>
      </w:r>
      <w:r w:rsidR="00102EF0" w:rsidRPr="005764FC">
        <w:rPr>
          <w:lang w:eastAsia="fr-CA"/>
        </w:rPr>
        <w:t xml:space="preserve">egg problem discussed in Section 2.3.1.5, and </w:t>
      </w:r>
      <w:r w:rsidR="00776BFB" w:rsidRPr="005764FC">
        <w:rPr>
          <w:lang w:eastAsia="fr-CA"/>
        </w:rPr>
        <w:t>afterwards</w:t>
      </w:r>
      <w:r w:rsidR="00102EF0" w:rsidRPr="005764FC">
        <w:rPr>
          <w:lang w:eastAsia="fr-CA"/>
        </w:rPr>
        <w:t xml:space="preserve"> </w:t>
      </w:r>
      <w:r w:rsidR="00D6574A" w:rsidRPr="005764FC">
        <w:rPr>
          <w:lang w:eastAsia="fr-CA"/>
        </w:rPr>
        <w:t xml:space="preserve">to </w:t>
      </w:r>
      <w:r w:rsidR="00102EF0" w:rsidRPr="005764FC">
        <w:rPr>
          <w:lang w:eastAsia="fr-CA"/>
        </w:rPr>
        <w:t>outline who should act first to kickstart C‑ITS deployment and uptake</w:t>
      </w:r>
      <w:r w:rsidR="00D6574A" w:rsidRPr="005764FC">
        <w:rPr>
          <w:lang w:eastAsia="fr-CA"/>
        </w:rPr>
        <w:t xml:space="preserve">, </w:t>
      </w:r>
      <w:r w:rsidR="00102EF0" w:rsidRPr="005764FC">
        <w:rPr>
          <w:lang w:eastAsia="fr-CA"/>
        </w:rPr>
        <w:t xml:space="preserve">discussed in Section 5.5. </w:t>
      </w:r>
      <w:r w:rsidR="007113F4" w:rsidRPr="005764FC">
        <w:rPr>
          <w:lang w:eastAsia="fr-CA"/>
        </w:rPr>
        <w:t xml:space="preserve">This needs to </w:t>
      </w:r>
      <w:r w:rsidR="009A777E" w:rsidRPr="005764FC">
        <w:rPr>
          <w:lang w:eastAsia="fr-CA"/>
        </w:rPr>
        <w:t xml:space="preserve">include establishing the standards direction for all stakeholders to deliver to. </w:t>
      </w:r>
    </w:p>
    <w:p w14:paraId="526D6367" w14:textId="4001AA56" w:rsidR="00102EF0" w:rsidRPr="005764FC" w:rsidRDefault="00102EF0" w:rsidP="00102EF0">
      <w:pPr>
        <w:pStyle w:val="BodyText"/>
        <w:rPr>
          <w:lang w:eastAsia="fr-CA"/>
        </w:rPr>
      </w:pPr>
      <w:r w:rsidRPr="005764FC">
        <w:rPr>
          <w:lang w:eastAsia="fr-CA"/>
        </w:rPr>
        <w:t>C‑ITS requires consideration by multiple levels of government. C‑ITS roadside infrastructure is somewhat similar to existing ITS</w:t>
      </w:r>
      <w:r w:rsidR="00D6574A" w:rsidRPr="005764FC">
        <w:rPr>
          <w:lang w:eastAsia="fr-CA"/>
        </w:rPr>
        <w:t xml:space="preserve">, which road agencies </w:t>
      </w:r>
      <w:r w:rsidRPr="005764FC">
        <w:rPr>
          <w:lang w:eastAsia="fr-CA"/>
        </w:rPr>
        <w:t>can fund, deploy and manage accordingly. For example, central systems can be considered an extension of traffic management systems and roadside stations an extension of field ITS devices. Where C‑ITS is different from traditional ITS is the introduction of the vehicle into the system</w:t>
      </w:r>
      <w:r w:rsidR="00E86773" w:rsidRPr="005764FC">
        <w:rPr>
          <w:lang w:eastAsia="fr-CA"/>
        </w:rPr>
        <w:t>.</w:t>
      </w:r>
      <w:r w:rsidRPr="005764FC">
        <w:rPr>
          <w:lang w:eastAsia="fr-CA"/>
        </w:rPr>
        <w:t xml:space="preserve"> </w:t>
      </w:r>
      <w:r w:rsidR="00E86773" w:rsidRPr="005764FC">
        <w:rPr>
          <w:lang w:eastAsia="fr-CA"/>
        </w:rPr>
        <w:t>T</w:t>
      </w:r>
      <w:r w:rsidRPr="005764FC">
        <w:rPr>
          <w:lang w:eastAsia="fr-CA"/>
        </w:rPr>
        <w:t>his means that national consistency is required for vehicles to interact and operate with road agencies. A federal approach</w:t>
      </w:r>
      <w:r w:rsidR="000B3024" w:rsidRPr="005764FC">
        <w:rPr>
          <w:lang w:eastAsia="fr-CA"/>
        </w:rPr>
        <w:t>,</w:t>
      </w:r>
      <w:r w:rsidRPr="005764FC">
        <w:rPr>
          <w:lang w:eastAsia="fr-CA"/>
        </w:rPr>
        <w:t xml:space="preserve"> </w:t>
      </w:r>
      <w:r w:rsidR="000B3024" w:rsidRPr="005764FC">
        <w:rPr>
          <w:lang w:eastAsia="fr-CA"/>
        </w:rPr>
        <w:t xml:space="preserve">whereby </w:t>
      </w:r>
      <w:r w:rsidR="004A4E36" w:rsidRPr="005764FC">
        <w:rPr>
          <w:lang w:eastAsia="fr-CA"/>
        </w:rPr>
        <w:t xml:space="preserve">federal </w:t>
      </w:r>
      <w:r w:rsidRPr="005764FC">
        <w:rPr>
          <w:lang w:eastAsia="fr-CA"/>
        </w:rPr>
        <w:t xml:space="preserve">and </w:t>
      </w:r>
      <w:r w:rsidR="0022033A" w:rsidRPr="005764FC">
        <w:rPr>
          <w:lang w:eastAsia="fr-CA"/>
        </w:rPr>
        <w:t>s</w:t>
      </w:r>
      <w:r w:rsidR="00DA49F6" w:rsidRPr="005764FC">
        <w:rPr>
          <w:lang w:eastAsia="fr-CA"/>
        </w:rPr>
        <w:t xml:space="preserve">tate </w:t>
      </w:r>
      <w:r w:rsidR="0022033A" w:rsidRPr="005764FC">
        <w:rPr>
          <w:lang w:eastAsia="fr-CA"/>
        </w:rPr>
        <w:t>g</w:t>
      </w:r>
      <w:r w:rsidR="00DA49F6" w:rsidRPr="005764FC">
        <w:rPr>
          <w:lang w:eastAsia="fr-CA"/>
        </w:rPr>
        <w:t xml:space="preserve">overnments </w:t>
      </w:r>
      <w:r w:rsidR="00897674" w:rsidRPr="005764FC">
        <w:rPr>
          <w:lang w:eastAsia="fr-CA"/>
        </w:rPr>
        <w:t xml:space="preserve">work together </w:t>
      </w:r>
      <w:r w:rsidRPr="005764FC">
        <w:rPr>
          <w:lang w:eastAsia="fr-CA"/>
        </w:rPr>
        <w:t>with support from associated national bodies such as Austroads</w:t>
      </w:r>
      <w:r w:rsidR="000B3024" w:rsidRPr="005764FC">
        <w:rPr>
          <w:lang w:eastAsia="fr-CA"/>
        </w:rPr>
        <w:t>,</w:t>
      </w:r>
      <w:r w:rsidRPr="005764FC">
        <w:rPr>
          <w:lang w:eastAsia="fr-CA"/>
        </w:rPr>
        <w:t xml:space="preserve"> must provide data sharing and security frameworks that support this vehicle integration</w:t>
      </w:r>
      <w:r w:rsidR="000B3024" w:rsidRPr="005764FC">
        <w:rPr>
          <w:lang w:eastAsia="fr-CA"/>
        </w:rPr>
        <w:t xml:space="preserve">. </w:t>
      </w:r>
    </w:p>
    <w:p w14:paraId="036DD3E3" w14:textId="4949541F" w:rsidR="008D71A6" w:rsidRPr="005764FC" w:rsidRDefault="00102EF0" w:rsidP="008D71A6">
      <w:pPr>
        <w:pStyle w:val="BodyText"/>
        <w:rPr>
          <w:lang w:eastAsia="fr-CA"/>
        </w:rPr>
      </w:pPr>
      <w:r w:rsidRPr="005764FC">
        <w:rPr>
          <w:lang w:eastAsia="fr-CA"/>
        </w:rPr>
        <w:t xml:space="preserve">The funding to support this </w:t>
      </w:r>
      <w:r w:rsidR="004857D5">
        <w:rPr>
          <w:lang w:eastAsia="fr-CA"/>
        </w:rPr>
        <w:t xml:space="preserve">national </w:t>
      </w:r>
      <w:r w:rsidRPr="005764FC">
        <w:rPr>
          <w:lang w:eastAsia="fr-CA"/>
        </w:rPr>
        <w:t>approach is a key early consideration given the lead time on investment for government agencies. The</w:t>
      </w:r>
      <w:r w:rsidR="00AF4490" w:rsidRPr="005764FC">
        <w:rPr>
          <w:lang w:eastAsia="fr-CA"/>
        </w:rPr>
        <w:t>re</w:t>
      </w:r>
      <w:r w:rsidRPr="005764FC">
        <w:rPr>
          <w:lang w:eastAsia="fr-CA"/>
        </w:rPr>
        <w:t xml:space="preserve"> is also an </w:t>
      </w:r>
      <w:r w:rsidR="004B31D0" w:rsidRPr="005764FC">
        <w:rPr>
          <w:lang w:eastAsia="fr-CA"/>
        </w:rPr>
        <w:t>opportunity</w:t>
      </w:r>
      <w:r w:rsidRPr="005764FC">
        <w:rPr>
          <w:lang w:eastAsia="fr-CA"/>
        </w:rPr>
        <w:t xml:space="preserve"> to consider the how costs could be shared with the private sector and/or end users directly or indirectly. Government </w:t>
      </w:r>
      <w:r w:rsidR="007F0945" w:rsidRPr="005764FC">
        <w:rPr>
          <w:lang w:eastAsia="fr-CA"/>
        </w:rPr>
        <w:t>should</w:t>
      </w:r>
      <w:r w:rsidRPr="005764FC">
        <w:rPr>
          <w:lang w:eastAsia="fr-CA"/>
        </w:rPr>
        <w:t xml:space="preserve"> </w:t>
      </w:r>
      <w:r w:rsidR="00247E8C" w:rsidRPr="005764FC">
        <w:rPr>
          <w:lang w:eastAsia="fr-CA"/>
        </w:rPr>
        <w:t>encourage</w:t>
      </w:r>
      <w:r w:rsidRPr="005764FC">
        <w:rPr>
          <w:lang w:eastAsia="fr-CA"/>
        </w:rPr>
        <w:t xml:space="preserve"> these discussions</w:t>
      </w:r>
      <w:r w:rsidR="002D6DC6" w:rsidRPr="005764FC">
        <w:rPr>
          <w:lang w:eastAsia="fr-CA"/>
        </w:rPr>
        <w:t xml:space="preserve"> </w:t>
      </w:r>
      <w:r w:rsidR="00247E8C" w:rsidRPr="005764FC">
        <w:rPr>
          <w:lang w:eastAsia="fr-CA"/>
        </w:rPr>
        <w:t>but</w:t>
      </w:r>
      <w:r w:rsidR="002D6DC6" w:rsidRPr="005764FC">
        <w:rPr>
          <w:lang w:eastAsia="fr-CA"/>
        </w:rPr>
        <w:t xml:space="preserve"> may </w:t>
      </w:r>
      <w:r w:rsidR="00695F91" w:rsidRPr="005764FC">
        <w:rPr>
          <w:lang w:eastAsia="fr-CA"/>
        </w:rPr>
        <w:t xml:space="preserve">also </w:t>
      </w:r>
      <w:r w:rsidR="002D6DC6" w:rsidRPr="005764FC">
        <w:rPr>
          <w:lang w:eastAsia="fr-CA"/>
        </w:rPr>
        <w:t xml:space="preserve">need to support </w:t>
      </w:r>
      <w:r w:rsidR="0045599D" w:rsidRPr="005764FC">
        <w:rPr>
          <w:lang w:eastAsia="fr-CA"/>
        </w:rPr>
        <w:t xml:space="preserve">early deployment through funding mechanisms used </w:t>
      </w:r>
      <w:r w:rsidR="001612E4" w:rsidRPr="005764FC">
        <w:rPr>
          <w:lang w:eastAsia="fr-CA"/>
        </w:rPr>
        <w:t>with</w:t>
      </w:r>
      <w:r w:rsidR="0045599D" w:rsidRPr="005764FC">
        <w:rPr>
          <w:lang w:eastAsia="fr-CA"/>
        </w:rPr>
        <w:t xml:space="preserve"> </w:t>
      </w:r>
      <w:r w:rsidR="001612E4" w:rsidRPr="005764FC">
        <w:rPr>
          <w:lang w:eastAsia="fr-CA"/>
        </w:rPr>
        <w:t>typical ITS delivery</w:t>
      </w:r>
      <w:r w:rsidR="000B3024" w:rsidRPr="005764FC">
        <w:rPr>
          <w:lang w:eastAsia="fr-CA"/>
        </w:rPr>
        <w:t>,</w:t>
      </w:r>
      <w:r w:rsidR="001612E4" w:rsidRPr="005764FC">
        <w:rPr>
          <w:lang w:eastAsia="fr-CA"/>
        </w:rPr>
        <w:t xml:space="preserve"> which targets similar benefits</w:t>
      </w:r>
      <w:r w:rsidRPr="005764FC">
        <w:rPr>
          <w:lang w:eastAsia="fr-CA"/>
        </w:rPr>
        <w:t>.</w:t>
      </w:r>
    </w:p>
    <w:tbl>
      <w:tblPr>
        <w:tblStyle w:val="PullOutBoxTable"/>
        <w:tblW w:w="9639" w:type="dxa"/>
        <w:tblInd w:w="0" w:type="dxa"/>
        <w:tblLook w:val="0600" w:firstRow="0" w:lastRow="0" w:firstColumn="0" w:lastColumn="0" w:noHBand="1" w:noVBand="1"/>
      </w:tblPr>
      <w:tblGrid>
        <w:gridCol w:w="9639"/>
      </w:tblGrid>
      <w:tr w:rsidR="00A636D7" w:rsidRPr="005764FC" w14:paraId="3341ED2C" w14:textId="77777777" w:rsidTr="004B31D0">
        <w:trPr>
          <w:cantSplit/>
        </w:trPr>
        <w:tc>
          <w:tcPr>
            <w:tcW w:w="5000" w:type="pct"/>
            <w:shd w:val="clear" w:color="auto" w:fill="E4E8EC" w:themeFill="accent3" w:themeFillTint="1A"/>
          </w:tcPr>
          <w:p w14:paraId="5D94C59F" w14:textId="77777777" w:rsidR="00A636D7" w:rsidRPr="005764FC" w:rsidRDefault="00A636D7" w:rsidP="004B31D0">
            <w:pPr>
              <w:pStyle w:val="PullOutBoxHeading"/>
            </w:pPr>
            <w:r w:rsidRPr="005764FC">
              <w:t xml:space="preserve">DIGITAL TRANSPORT SYSTEMS Transformation </w:t>
            </w:r>
          </w:p>
          <w:p w14:paraId="2F6E3DB4" w14:textId="3A76FA09" w:rsidR="00200E90" w:rsidRPr="005764FC" w:rsidRDefault="00A636D7" w:rsidP="00BD3A85">
            <w:pPr>
              <w:pStyle w:val="PullOutBoxBodyText"/>
            </w:pPr>
            <w:r w:rsidRPr="005764FC">
              <w:t xml:space="preserve">C‑ITS is an avenue to improve existing transport systems, providing highly contextual information in vehicles based on their spatial, temporal, and behavioural attributes. This requires a data quality level that is secure, near real-time, accurate, and has high positioning confidence. There is an opportunity to integrate existing traffic management systems and platforms with C‑ITS applications to provide and gather high-quality contextual data. This, in turn, provides greater information to the individual and improves overall user experience, quality, and performance of information systems. The required uplift of data quality and capacity is a significant task. Some jurisdictions are already on this journey, </w:t>
            </w:r>
            <w:r w:rsidR="00776DEA" w:rsidRPr="005764FC">
              <w:t xml:space="preserve">such as with the </w:t>
            </w:r>
            <w:r w:rsidR="00994EDB" w:rsidRPr="005764FC">
              <w:t>SCATS</w:t>
            </w:r>
            <w:r w:rsidR="0058679B" w:rsidRPr="005764FC">
              <w:t xml:space="preserve"> upgrade program</w:t>
            </w:r>
            <w:r w:rsidR="0037617F">
              <w:t xml:space="preserve"> </w:t>
            </w:r>
            <w:sdt>
              <w:sdtPr>
                <w:id w:val="-637642838"/>
                <w:citation/>
              </w:sdtPr>
              <w:sdtContent>
                <w:r w:rsidR="0037617F">
                  <w:fldChar w:fldCharType="begin"/>
                </w:r>
                <w:r w:rsidR="0037617F">
                  <w:instrText xml:space="preserve"> CITATION TfN21 \l 3081 </w:instrText>
                </w:r>
                <w:r w:rsidR="0037617F">
                  <w:fldChar w:fldCharType="separate"/>
                </w:r>
                <w:r w:rsidR="001428F9">
                  <w:rPr>
                    <w:noProof/>
                  </w:rPr>
                  <w:t>(TfNSW, 2021)</w:t>
                </w:r>
                <w:r w:rsidR="0037617F">
                  <w:fldChar w:fldCharType="end"/>
                </w:r>
              </w:sdtContent>
            </w:sdt>
            <w:r w:rsidR="00994EDB" w:rsidRPr="005764FC">
              <w:t xml:space="preserve"> </w:t>
            </w:r>
            <w:r w:rsidR="0058679B" w:rsidRPr="005764FC">
              <w:t>and</w:t>
            </w:r>
            <w:r w:rsidRPr="005764FC">
              <w:t xml:space="preserve"> those that are developing end user mobile applications to present real</w:t>
            </w:r>
            <w:r w:rsidR="00B60B4E" w:rsidRPr="005764FC">
              <w:t>-</w:t>
            </w:r>
            <w:r w:rsidRPr="005764FC">
              <w:t xml:space="preserve">time </w:t>
            </w:r>
            <w:r w:rsidR="00994EDB" w:rsidRPr="005764FC">
              <w:t>event</w:t>
            </w:r>
            <w:r w:rsidRPr="005764FC">
              <w:t xml:space="preserve"> information</w:t>
            </w:r>
            <w:r w:rsidR="000B3024" w:rsidRPr="005764FC">
              <w:t xml:space="preserve">. </w:t>
            </w:r>
            <w:r w:rsidR="00200E90" w:rsidRPr="005764FC">
              <w:t xml:space="preserve">Government agencies </w:t>
            </w:r>
            <w:r w:rsidR="00142080" w:rsidRPr="005764FC">
              <w:t>can maximise opp</w:t>
            </w:r>
            <w:r w:rsidR="00DD3247" w:rsidRPr="005764FC">
              <w:t>or</w:t>
            </w:r>
            <w:r w:rsidR="00142080" w:rsidRPr="005764FC">
              <w:t xml:space="preserve">tunities and investments by </w:t>
            </w:r>
            <w:r w:rsidR="00AF4ABA" w:rsidRPr="005764FC">
              <w:t xml:space="preserve">considering C-ITS data requirements and </w:t>
            </w:r>
            <w:r w:rsidR="00CB1201" w:rsidRPr="005764FC">
              <w:t xml:space="preserve">the potential of </w:t>
            </w:r>
            <w:r w:rsidR="00AF4ABA" w:rsidRPr="005764FC">
              <w:t xml:space="preserve">new data generated by C-ITS </w:t>
            </w:r>
            <w:r w:rsidR="005A5406" w:rsidRPr="005764FC">
              <w:t>enabled</w:t>
            </w:r>
            <w:r w:rsidR="00AF4ABA" w:rsidRPr="005764FC">
              <w:t xml:space="preserve"> vehicles </w:t>
            </w:r>
            <w:r w:rsidR="008F73E9" w:rsidRPr="005764FC">
              <w:t>when undertaking</w:t>
            </w:r>
            <w:r w:rsidR="005A5406" w:rsidRPr="005764FC">
              <w:t xml:space="preserve"> wider digital </w:t>
            </w:r>
            <w:r w:rsidR="008F73E9" w:rsidRPr="005764FC">
              <w:t xml:space="preserve">activities. </w:t>
            </w:r>
          </w:p>
        </w:tc>
      </w:tr>
    </w:tbl>
    <w:p w14:paraId="5512A0D3" w14:textId="1E83A8FE" w:rsidR="008D4CBC" w:rsidRPr="005764FC" w:rsidRDefault="00671086" w:rsidP="00155819">
      <w:pPr>
        <w:pStyle w:val="Heading2"/>
      </w:pPr>
      <w:bookmarkStart w:id="295" w:name="_Ref94536535"/>
      <w:bookmarkStart w:id="296" w:name="_Toc94536722"/>
      <w:bookmarkStart w:id="297" w:name="_Toc97807808"/>
      <w:r w:rsidRPr="005764FC">
        <w:t>Kickstarting A National C-ITS Ecosystem</w:t>
      </w:r>
      <w:bookmarkEnd w:id="295"/>
      <w:bookmarkEnd w:id="296"/>
      <w:bookmarkEnd w:id="297"/>
    </w:p>
    <w:p w14:paraId="028AEC44" w14:textId="3EA47B04" w:rsidR="008829AA" w:rsidRPr="005764FC" w:rsidRDefault="008829AA" w:rsidP="00A87F03">
      <w:pPr>
        <w:pStyle w:val="BodyText"/>
      </w:pPr>
      <w:r w:rsidRPr="005764FC">
        <w:t>Early stages of considering C</w:t>
      </w:r>
      <w:r w:rsidR="008A3437" w:rsidRPr="005764FC">
        <w:t>‑ITS</w:t>
      </w:r>
      <w:r w:rsidRPr="005764FC">
        <w:t xml:space="preserve"> deployment </w:t>
      </w:r>
      <w:r w:rsidR="00D65625" w:rsidRPr="005764FC">
        <w:t>have</w:t>
      </w:r>
      <w:r w:rsidRPr="005764FC">
        <w:t xml:space="preserve"> been built on bundles of use cases</w:t>
      </w:r>
      <w:r w:rsidR="00D65625" w:rsidRPr="005764FC">
        <w:t>;</w:t>
      </w:r>
      <w:r w:rsidRPr="005764FC">
        <w:t xml:space="preserve"> how best to enable them and the requisite benefits and costs. There are a range of potential options </w:t>
      </w:r>
      <w:r w:rsidR="00E25900" w:rsidRPr="005764FC">
        <w:t>for</w:t>
      </w:r>
      <w:r w:rsidRPr="005764FC">
        <w:t xml:space="preserve"> timing key activities. </w:t>
      </w:r>
      <w:r w:rsidR="00622063" w:rsidRPr="005764FC">
        <w:fldChar w:fldCharType="begin" w:fldLock="1"/>
      </w:r>
      <w:r w:rsidR="00622063" w:rsidRPr="005764FC">
        <w:instrText xml:space="preserve"> REF _Ref90458320 \h </w:instrText>
      </w:r>
      <w:r w:rsidR="00622063" w:rsidRPr="005764FC">
        <w:fldChar w:fldCharType="separate"/>
      </w:r>
      <w:r w:rsidR="00A34B27" w:rsidRPr="005764FC">
        <w:t xml:space="preserve">Figure </w:t>
      </w:r>
      <w:r w:rsidR="00A34B27">
        <w:rPr>
          <w:noProof/>
        </w:rPr>
        <w:t>1</w:t>
      </w:r>
      <w:r w:rsidR="00A34B27" w:rsidRPr="005764FC">
        <w:t>.</w:t>
      </w:r>
      <w:r w:rsidR="00A34B27">
        <w:rPr>
          <w:noProof/>
        </w:rPr>
        <w:t>13</w:t>
      </w:r>
      <w:r w:rsidR="00622063" w:rsidRPr="005764FC">
        <w:fldChar w:fldCharType="end"/>
      </w:r>
      <w:r w:rsidR="00622063" w:rsidRPr="005764FC">
        <w:t xml:space="preserve"> </w:t>
      </w:r>
      <w:r w:rsidRPr="005764FC">
        <w:t>outline</w:t>
      </w:r>
      <w:r w:rsidR="00AC1C28" w:rsidRPr="005764FC">
        <w:t>s</w:t>
      </w:r>
      <w:r w:rsidRPr="005764FC">
        <w:t xml:space="preserve"> </w:t>
      </w:r>
      <w:r w:rsidR="00EC4BC3" w:rsidRPr="005764FC">
        <w:t>a systems thinking approach to</w:t>
      </w:r>
      <w:r w:rsidRPr="005764FC">
        <w:t xml:space="preserve"> C</w:t>
      </w:r>
      <w:r w:rsidR="008A3437" w:rsidRPr="005764FC">
        <w:t>‑ITS</w:t>
      </w:r>
      <w:r w:rsidRPr="005764FC">
        <w:t xml:space="preserve"> </w:t>
      </w:r>
      <w:r w:rsidR="00976E64" w:rsidRPr="005764FC">
        <w:t xml:space="preserve">which is based on </w:t>
      </w:r>
      <w:r w:rsidR="00224CF4" w:rsidRPr="005764FC">
        <w:t>understanding the drivers</w:t>
      </w:r>
      <w:r w:rsidR="002439F2" w:rsidRPr="005764FC">
        <w:t xml:space="preserve"> </w:t>
      </w:r>
      <w:r w:rsidR="00AC1C28" w:rsidRPr="005764FC">
        <w:t xml:space="preserve">by </w:t>
      </w:r>
      <w:r w:rsidR="00B56459" w:rsidRPr="005764FC">
        <w:t xml:space="preserve">reinforcing </w:t>
      </w:r>
      <w:r w:rsidR="004965CE" w:rsidRPr="005764FC">
        <w:t>loops</w:t>
      </w:r>
      <w:r w:rsidR="00FD26FF" w:rsidRPr="005764FC">
        <w:t xml:space="preserve"> to build momentum </w:t>
      </w:r>
      <w:r w:rsidR="00A7067D" w:rsidRPr="005764FC">
        <w:t>within the ecosystem</w:t>
      </w:r>
      <w:r w:rsidRPr="005764FC">
        <w:t xml:space="preserve">. </w:t>
      </w:r>
      <w:r w:rsidRPr="005764FC">
        <w:fldChar w:fldCharType="begin" w:fldLock="1"/>
      </w:r>
      <w:r w:rsidRPr="005764FC">
        <w:instrText xml:space="preserve"> REF _Ref86689356 \h </w:instrText>
      </w:r>
      <w:r w:rsidRPr="005764FC">
        <w:fldChar w:fldCharType="separate"/>
      </w:r>
      <w:r w:rsidR="00A34B27" w:rsidRPr="005764FC">
        <w:t xml:space="preserve">Figure </w:t>
      </w:r>
      <w:r w:rsidR="00A34B27">
        <w:rPr>
          <w:noProof/>
        </w:rPr>
        <w:t>5</w:t>
      </w:r>
      <w:r w:rsidR="00A34B27" w:rsidRPr="005764FC">
        <w:t>.</w:t>
      </w:r>
      <w:r w:rsidR="00A34B27">
        <w:rPr>
          <w:noProof/>
        </w:rPr>
        <w:t>3</w:t>
      </w:r>
      <w:r w:rsidRPr="005764FC">
        <w:fldChar w:fldCharType="end"/>
      </w:r>
      <w:r w:rsidR="00274AFC" w:rsidRPr="005764FC">
        <w:t xml:space="preserve"> </w:t>
      </w:r>
      <w:r w:rsidR="00F05112" w:rsidRPr="005764FC">
        <w:t>consider</w:t>
      </w:r>
      <w:r w:rsidR="00492E97" w:rsidRPr="005764FC">
        <w:t>s</w:t>
      </w:r>
      <w:r w:rsidR="00F05112" w:rsidRPr="005764FC">
        <w:t xml:space="preserve"> the </w:t>
      </w:r>
      <w:r w:rsidR="00C139CD" w:rsidRPr="005764FC">
        <w:t>initial</w:t>
      </w:r>
      <w:r w:rsidR="00F05112" w:rsidRPr="005764FC">
        <w:t xml:space="preserve"> steps to </w:t>
      </w:r>
      <w:r w:rsidR="00A12D6C" w:rsidRPr="005764FC">
        <w:t xml:space="preserve">begin the positive </w:t>
      </w:r>
      <w:r w:rsidR="00DA5C16" w:rsidRPr="005764FC">
        <w:t>drivers for C</w:t>
      </w:r>
      <w:r w:rsidR="008A3437" w:rsidRPr="005764FC">
        <w:t>‑ITS</w:t>
      </w:r>
      <w:r w:rsidR="00DA5C16" w:rsidRPr="005764FC">
        <w:t xml:space="preserve"> </w:t>
      </w:r>
      <w:r w:rsidR="008D78EF" w:rsidRPr="005764FC">
        <w:t>to a foundational ec</w:t>
      </w:r>
      <w:r w:rsidR="00C139CD" w:rsidRPr="005764FC">
        <w:t>osystem.</w:t>
      </w:r>
    </w:p>
    <w:p w14:paraId="1EF0DC57" w14:textId="201FA2BC" w:rsidR="00795005" w:rsidRPr="005764FC" w:rsidRDefault="002B0C56" w:rsidP="002B0C56">
      <w:pPr>
        <w:pStyle w:val="BodyText"/>
        <w:keepNext/>
        <w:jc w:val="center"/>
      </w:pPr>
      <w:r w:rsidRPr="005764FC">
        <w:rPr>
          <w:noProof/>
          <w:lang w:eastAsia="en-AU"/>
        </w:rPr>
        <w:drawing>
          <wp:inline distT="0" distB="0" distL="0" distR="0" wp14:anchorId="5B66474C" wp14:editId="5F0EE68B">
            <wp:extent cx="6071616" cy="4069784"/>
            <wp:effectExtent l="0" t="0" r="5715" b="6985"/>
            <wp:docPr id="255" name="Picture 255" descr="figure 5.3 is a causal loop diagram showing the relationships between actions such as government leadership and investment into C-ITS and outcomes like decrease in harm and improved road conditions. Some actions such as road user uptake of C-ITS are shown as being caused by other actions such as creation of C-ITS safety and mobility benefits, strategies and use cases and OEM investment into C-ITS equipped vehicles. The actions are futher broken down, for instance, Government leadership and investment into C-ITS will lead to Creation of C-ITS safety and mobility benefits, strategies and use cases through a national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86529" cy="4079780"/>
                    </a:xfrm>
                    <a:prstGeom prst="rect">
                      <a:avLst/>
                    </a:prstGeom>
                    <a:noFill/>
                    <a:ln>
                      <a:noFill/>
                    </a:ln>
                  </pic:spPr>
                </pic:pic>
              </a:graphicData>
            </a:graphic>
          </wp:inline>
        </w:drawing>
      </w:r>
    </w:p>
    <w:p w14:paraId="5549E5FF" w14:textId="62F427B8" w:rsidR="001A0EC8" w:rsidRPr="005764FC" w:rsidRDefault="007E04A7" w:rsidP="00622A95">
      <w:pPr>
        <w:pStyle w:val="Caption"/>
        <w:keepNext w:val="0"/>
      </w:pPr>
      <w:bookmarkStart w:id="298" w:name="_Ref86689356"/>
      <w:bookmarkStart w:id="299" w:name="_Ref94406252"/>
      <w:bookmarkStart w:id="300" w:name="_Toc97807846"/>
      <w:r w:rsidRPr="005764FC">
        <w:t xml:space="preserve">Figure </w:t>
      </w:r>
      <w:r w:rsidR="00287C9E" w:rsidRPr="005764FC">
        <w:fldChar w:fldCharType="begin"/>
      </w:r>
      <w:r w:rsidR="00287C9E" w:rsidRPr="005764FC">
        <w:instrText xml:space="preserve"> STYLEREF 1 \s </w:instrText>
      </w:r>
      <w:r w:rsidR="00287C9E" w:rsidRPr="005764FC">
        <w:fldChar w:fldCharType="separate"/>
      </w:r>
      <w:r w:rsidR="00A34B27">
        <w:rPr>
          <w:noProof/>
        </w:rPr>
        <w:t>5</w:t>
      </w:r>
      <w:r w:rsidR="00287C9E" w:rsidRPr="005764FC">
        <w:fldChar w:fldCharType="end"/>
      </w:r>
      <w:r w:rsidR="00287C9E" w:rsidRPr="005764FC">
        <w:t>.</w:t>
      </w:r>
      <w:r w:rsidR="00287C9E" w:rsidRPr="005764FC">
        <w:fldChar w:fldCharType="begin"/>
      </w:r>
      <w:r w:rsidR="00287C9E" w:rsidRPr="005764FC">
        <w:instrText xml:space="preserve"> SEQ Figure \* ARABIC \s 1 </w:instrText>
      </w:r>
      <w:r w:rsidR="00287C9E" w:rsidRPr="005764FC">
        <w:fldChar w:fldCharType="separate"/>
      </w:r>
      <w:r w:rsidR="00A34B27">
        <w:rPr>
          <w:noProof/>
        </w:rPr>
        <w:t>3</w:t>
      </w:r>
      <w:r w:rsidR="00287C9E" w:rsidRPr="005764FC">
        <w:fldChar w:fldCharType="end"/>
      </w:r>
      <w:bookmarkEnd w:id="298"/>
      <w:r w:rsidRPr="005764FC">
        <w:tab/>
      </w:r>
      <w:r w:rsidR="008A3437" w:rsidRPr="005764FC">
        <w:t>C</w:t>
      </w:r>
      <w:r w:rsidR="008A3437" w:rsidRPr="005764FC">
        <w:rPr>
          <w:rFonts w:ascii="Cambria Math" w:hAnsi="Cambria Math" w:cs="Cambria Math"/>
        </w:rPr>
        <w:t>‑</w:t>
      </w:r>
      <w:r w:rsidR="008A3437" w:rsidRPr="005764FC">
        <w:t>ITS</w:t>
      </w:r>
      <w:r w:rsidR="00622A95" w:rsidRPr="005764FC">
        <w:t xml:space="preserve"> deployment considerations</w:t>
      </w:r>
      <w:bookmarkEnd w:id="299"/>
      <w:bookmarkEnd w:id="300"/>
    </w:p>
    <w:p w14:paraId="39C95DFF" w14:textId="741B2DD7" w:rsidR="00D65625" w:rsidRPr="005764FC" w:rsidRDefault="00D92A6C" w:rsidP="00226730">
      <w:pPr>
        <w:pStyle w:val="BodyText"/>
        <w:keepNext/>
      </w:pPr>
      <w:r w:rsidRPr="005764FC">
        <w:t xml:space="preserve">The </w:t>
      </w:r>
      <w:r w:rsidR="00E26E36" w:rsidRPr="005764FC">
        <w:t>five steps</w:t>
      </w:r>
      <w:r w:rsidR="00D65625" w:rsidRPr="005764FC">
        <w:t xml:space="preserve"> outlined in </w:t>
      </w:r>
      <w:r w:rsidR="00D65625" w:rsidRPr="005764FC">
        <w:fldChar w:fldCharType="begin" w:fldLock="1"/>
      </w:r>
      <w:r w:rsidR="00D65625" w:rsidRPr="005764FC">
        <w:instrText xml:space="preserve"> REF _Ref86689356 \h </w:instrText>
      </w:r>
      <w:r w:rsidR="00D65625" w:rsidRPr="005764FC">
        <w:fldChar w:fldCharType="separate"/>
      </w:r>
      <w:r w:rsidR="00A34B27" w:rsidRPr="005764FC">
        <w:t xml:space="preserve">Figure </w:t>
      </w:r>
      <w:r w:rsidR="00A34B27">
        <w:rPr>
          <w:noProof/>
        </w:rPr>
        <w:t>5</w:t>
      </w:r>
      <w:r w:rsidR="00A34B27" w:rsidRPr="005764FC">
        <w:t>.</w:t>
      </w:r>
      <w:r w:rsidR="00A34B27">
        <w:rPr>
          <w:noProof/>
        </w:rPr>
        <w:t>3</w:t>
      </w:r>
      <w:r w:rsidR="00D65625" w:rsidRPr="005764FC">
        <w:fldChar w:fldCharType="end"/>
      </w:r>
      <w:r w:rsidR="00E26E36" w:rsidRPr="005764FC">
        <w:t xml:space="preserve"> </w:t>
      </w:r>
      <w:r w:rsidR="001F3D24" w:rsidRPr="005764FC">
        <w:t xml:space="preserve">may </w:t>
      </w:r>
      <w:r w:rsidR="004C3C32" w:rsidRPr="005764FC">
        <w:t>take place</w:t>
      </w:r>
      <w:r w:rsidR="000B09EE" w:rsidRPr="005764FC">
        <w:t xml:space="preserve"> concurrently and iteratively to some extent</w:t>
      </w:r>
      <w:r w:rsidR="00AC1C28" w:rsidRPr="005764FC">
        <w:t>. H</w:t>
      </w:r>
      <w:r w:rsidR="000B09EE" w:rsidRPr="005764FC">
        <w:t>owever</w:t>
      </w:r>
      <w:r w:rsidR="00AC1C28" w:rsidRPr="005764FC">
        <w:t>,</w:t>
      </w:r>
      <w:r w:rsidR="000B09EE" w:rsidRPr="005764FC">
        <w:t xml:space="preserve"> there is a need to address </w:t>
      </w:r>
      <w:r w:rsidR="001E3CBA" w:rsidRPr="005764FC">
        <w:t xml:space="preserve">these issues to </w:t>
      </w:r>
      <w:r w:rsidR="00977759" w:rsidRPr="005764FC">
        <w:t>optimise the</w:t>
      </w:r>
      <w:r w:rsidR="001E3CBA" w:rsidRPr="005764FC">
        <w:t xml:space="preserve"> roll out of services</w:t>
      </w:r>
      <w:r w:rsidR="00E34FEA" w:rsidRPr="005764FC">
        <w:t xml:space="preserve"> and </w:t>
      </w:r>
      <w:r w:rsidR="00356568" w:rsidRPr="005764FC">
        <w:t xml:space="preserve">recognise key benefits. </w:t>
      </w:r>
    </w:p>
    <w:p w14:paraId="1C300557" w14:textId="3EF280D8" w:rsidR="00696D08" w:rsidRPr="005764FC" w:rsidRDefault="00D92A6C" w:rsidP="00B737C1">
      <w:pPr>
        <w:pStyle w:val="ListBullet"/>
      </w:pPr>
      <w:r w:rsidRPr="005764FC">
        <w:t xml:space="preserve">Step 1 </w:t>
      </w:r>
      <w:r w:rsidR="00DA1EDB" w:rsidRPr="005764FC">
        <w:t xml:space="preserve">shows </w:t>
      </w:r>
      <w:r w:rsidR="00977759" w:rsidRPr="005764FC">
        <w:rPr>
          <w:b/>
          <w:bCs/>
        </w:rPr>
        <w:t>N</w:t>
      </w:r>
      <w:r w:rsidR="009D71BC" w:rsidRPr="005764FC">
        <w:rPr>
          <w:b/>
          <w:bCs/>
        </w:rPr>
        <w:t xml:space="preserve">ational </w:t>
      </w:r>
      <w:r w:rsidR="00977759" w:rsidRPr="005764FC">
        <w:rPr>
          <w:b/>
          <w:bCs/>
        </w:rPr>
        <w:t>L</w:t>
      </w:r>
      <w:r w:rsidR="00CD1623" w:rsidRPr="005764FC">
        <w:rPr>
          <w:b/>
          <w:bCs/>
        </w:rPr>
        <w:t xml:space="preserve">eadership and </w:t>
      </w:r>
      <w:r w:rsidR="00977759" w:rsidRPr="005764FC">
        <w:rPr>
          <w:b/>
          <w:bCs/>
        </w:rPr>
        <w:t>I</w:t>
      </w:r>
      <w:r w:rsidR="009D71BC" w:rsidRPr="005764FC">
        <w:rPr>
          <w:b/>
          <w:bCs/>
        </w:rPr>
        <w:t>nvestment into C</w:t>
      </w:r>
      <w:r w:rsidR="008A3437" w:rsidRPr="005764FC">
        <w:rPr>
          <w:b/>
          <w:bCs/>
        </w:rPr>
        <w:t>‑ITS</w:t>
      </w:r>
      <w:r w:rsidR="009D71BC" w:rsidRPr="005764FC">
        <w:t xml:space="preserve"> as a starting point. This investment is not primarily financial</w:t>
      </w:r>
      <w:r w:rsidR="00696D08" w:rsidRPr="005764FC">
        <w:t>.</w:t>
      </w:r>
      <w:r w:rsidR="00CD1623" w:rsidRPr="005764FC">
        <w:t xml:space="preserve"> </w:t>
      </w:r>
      <w:r w:rsidR="00696D08" w:rsidRPr="005764FC">
        <w:t>T</w:t>
      </w:r>
      <w:r w:rsidR="00CD1623" w:rsidRPr="005764FC">
        <w:t>he certainty created by leadership</w:t>
      </w:r>
      <w:r w:rsidR="00696D08" w:rsidRPr="005764FC">
        <w:t>,</w:t>
      </w:r>
      <w:r w:rsidR="00CD1623" w:rsidRPr="005764FC">
        <w:t xml:space="preserve"> policy</w:t>
      </w:r>
      <w:r w:rsidR="00696D08" w:rsidRPr="005764FC">
        <w:t>,</w:t>
      </w:r>
      <w:r w:rsidR="00CD1623" w:rsidRPr="005764FC">
        <w:t xml:space="preserve"> </w:t>
      </w:r>
      <w:r w:rsidR="00E45EE2" w:rsidRPr="005764FC">
        <w:t>and</w:t>
      </w:r>
      <w:r w:rsidR="00696D08" w:rsidRPr="005764FC">
        <w:t xml:space="preserve"> the</w:t>
      </w:r>
      <w:r w:rsidR="00E45EE2" w:rsidRPr="005764FC">
        <w:t xml:space="preserve"> development of a framework for implementation</w:t>
      </w:r>
      <w:r w:rsidR="00CD1623" w:rsidRPr="005764FC">
        <w:t xml:space="preserve"> is more significant</w:t>
      </w:r>
      <w:r w:rsidR="00696D08" w:rsidRPr="005764FC">
        <w:t xml:space="preserve"> than strictly fiscal investment</w:t>
      </w:r>
      <w:r w:rsidR="009D71BC" w:rsidRPr="005764FC">
        <w:t xml:space="preserve">. </w:t>
      </w:r>
      <w:r w:rsidR="00CD1623" w:rsidRPr="005764FC">
        <w:t>Investment</w:t>
      </w:r>
      <w:r w:rsidR="009D71BC" w:rsidRPr="005764FC">
        <w:t xml:space="preserve"> is</w:t>
      </w:r>
      <w:r w:rsidR="00CD1623" w:rsidRPr="005764FC">
        <w:t xml:space="preserve"> being made</w:t>
      </w:r>
      <w:r w:rsidR="009D71BC" w:rsidRPr="005764FC">
        <w:t xml:space="preserve"> </w:t>
      </w:r>
      <w:r w:rsidR="00696D08" w:rsidRPr="005764FC">
        <w:t xml:space="preserve">in </w:t>
      </w:r>
      <w:r w:rsidR="009D71BC" w:rsidRPr="005764FC">
        <w:t>enabl</w:t>
      </w:r>
      <w:r w:rsidR="00696D08" w:rsidRPr="005764FC">
        <w:t>ing</w:t>
      </w:r>
      <w:r w:rsidR="009D71BC" w:rsidRPr="005764FC">
        <w:t xml:space="preserve"> </w:t>
      </w:r>
      <w:r w:rsidR="00F17FE8" w:rsidRPr="005764FC">
        <w:t>t</w:t>
      </w:r>
      <w:r w:rsidR="00843DC4" w:rsidRPr="005764FC">
        <w:t>he technology</w:t>
      </w:r>
      <w:r w:rsidR="00F17FE8" w:rsidRPr="005764FC">
        <w:t xml:space="preserve"> </w:t>
      </w:r>
      <w:r w:rsidR="00843DC4" w:rsidRPr="005764FC">
        <w:t>developed and paid for by</w:t>
      </w:r>
      <w:r w:rsidR="00F17FE8" w:rsidRPr="005764FC">
        <w:t xml:space="preserve"> private sector and end users.</w:t>
      </w:r>
    </w:p>
    <w:p w14:paraId="169693A1" w14:textId="454B787F" w:rsidR="00696D08" w:rsidRPr="005764FC" w:rsidRDefault="00607EB9" w:rsidP="00B737C1">
      <w:pPr>
        <w:pStyle w:val="ListBullet"/>
      </w:pPr>
      <w:r w:rsidRPr="005764FC">
        <w:t xml:space="preserve">Step 2 </w:t>
      </w:r>
      <w:r w:rsidR="00D7147D" w:rsidRPr="005764FC">
        <w:t>outlines</w:t>
      </w:r>
      <w:r w:rsidR="00843DC4" w:rsidRPr="005764FC">
        <w:t xml:space="preserve"> </w:t>
      </w:r>
      <w:r w:rsidR="008619DE" w:rsidRPr="005764FC">
        <w:rPr>
          <w:b/>
          <w:bCs/>
        </w:rPr>
        <w:t>Creation of C‐ITS Safety and Mobility Benefit Strategies and Use Cases</w:t>
      </w:r>
      <w:r w:rsidR="00CA7CAC" w:rsidRPr="005764FC">
        <w:rPr>
          <w:b/>
          <w:bCs/>
        </w:rPr>
        <w:t xml:space="preserve"> </w:t>
      </w:r>
      <w:r w:rsidR="00CA7CAC" w:rsidRPr="005764FC">
        <w:t>requires collab</w:t>
      </w:r>
      <w:r w:rsidR="00713498" w:rsidRPr="005764FC">
        <w:t xml:space="preserve">oration </w:t>
      </w:r>
      <w:r w:rsidR="00BE56C8" w:rsidRPr="005764FC">
        <w:t xml:space="preserve">to help all parties identify </w:t>
      </w:r>
      <w:r w:rsidR="0096648F" w:rsidRPr="005764FC">
        <w:t xml:space="preserve">benefits and opportunities before </w:t>
      </w:r>
      <w:r w:rsidR="00D92A6C" w:rsidRPr="005764FC">
        <w:t xml:space="preserve">making investment </w:t>
      </w:r>
      <w:r w:rsidR="00356568" w:rsidRPr="005764FC">
        <w:t>decisions</w:t>
      </w:r>
      <w:r w:rsidR="00D92A6C" w:rsidRPr="005764FC">
        <w:t xml:space="preserve">. </w:t>
      </w:r>
      <w:r w:rsidR="00356568" w:rsidRPr="005764FC">
        <w:t>On</w:t>
      </w:r>
      <w:r w:rsidR="00696D08" w:rsidRPr="005764FC">
        <w:t>c</w:t>
      </w:r>
      <w:r w:rsidR="00356568" w:rsidRPr="005764FC">
        <w:t>e use cases and functions are understood</w:t>
      </w:r>
      <w:r w:rsidR="00696D08" w:rsidRPr="005764FC">
        <w:t>,</w:t>
      </w:r>
      <w:r w:rsidR="00356568" w:rsidRPr="005764FC">
        <w:t xml:space="preserve"> data requirements can be </w:t>
      </w:r>
      <w:r w:rsidR="00EA7F42" w:rsidRPr="005764FC">
        <w:t>identified</w:t>
      </w:r>
      <w:r w:rsidR="00E45EE2" w:rsidRPr="005764FC">
        <w:t>.</w:t>
      </w:r>
      <w:r w:rsidR="00356568" w:rsidRPr="005764FC">
        <w:t xml:space="preserve"> </w:t>
      </w:r>
    </w:p>
    <w:p w14:paraId="1D550596" w14:textId="77777777" w:rsidR="00B737C1" w:rsidRPr="005764FC" w:rsidRDefault="00696D08" w:rsidP="00B737C1">
      <w:pPr>
        <w:pStyle w:val="ListBullet"/>
      </w:pPr>
      <w:r w:rsidRPr="005764FC">
        <w:t>In s</w:t>
      </w:r>
      <w:r w:rsidR="00EA7F42" w:rsidRPr="005764FC">
        <w:t xml:space="preserve">tep 3 </w:t>
      </w:r>
      <w:r w:rsidR="00EA7F42" w:rsidRPr="005764FC">
        <w:rPr>
          <w:b/>
          <w:bCs/>
        </w:rPr>
        <w:t xml:space="preserve">Infrastructure and Technology Deployment Data and </w:t>
      </w:r>
      <w:r w:rsidR="00D41017" w:rsidRPr="005764FC">
        <w:rPr>
          <w:b/>
          <w:bCs/>
        </w:rPr>
        <w:t xml:space="preserve">Standards </w:t>
      </w:r>
      <w:r w:rsidR="00D41017" w:rsidRPr="005764FC">
        <w:t>can</w:t>
      </w:r>
      <w:r w:rsidR="00EA7F42" w:rsidRPr="005764FC">
        <w:t xml:space="preserve"> be identified and </w:t>
      </w:r>
      <w:r w:rsidRPr="005764FC">
        <w:t>work initiated</w:t>
      </w:r>
      <w:r w:rsidR="00EA7F42" w:rsidRPr="005764FC">
        <w:t xml:space="preserve">. This </w:t>
      </w:r>
      <w:r w:rsidRPr="005764FC">
        <w:t xml:space="preserve">will </w:t>
      </w:r>
      <w:r w:rsidR="00EA7F42" w:rsidRPr="005764FC">
        <w:t>require significant effort on behalf of road and transport agencies in particular.</w:t>
      </w:r>
    </w:p>
    <w:p w14:paraId="57EE4920" w14:textId="77777777" w:rsidR="00B737C1" w:rsidRPr="005764FC" w:rsidRDefault="00315A26" w:rsidP="00B737C1">
      <w:pPr>
        <w:pStyle w:val="ListBullet"/>
      </w:pPr>
      <w:r w:rsidRPr="005764FC">
        <w:t xml:space="preserve">Once data is available from road and transport agencies </w:t>
      </w:r>
      <w:r w:rsidR="00B1729A" w:rsidRPr="005764FC">
        <w:t xml:space="preserve">Step 4 </w:t>
      </w:r>
      <w:r w:rsidR="004E312C" w:rsidRPr="005764FC">
        <w:rPr>
          <w:b/>
          <w:bCs/>
        </w:rPr>
        <w:t xml:space="preserve">ensures </w:t>
      </w:r>
      <w:r w:rsidRPr="005764FC">
        <w:rPr>
          <w:b/>
          <w:bCs/>
        </w:rPr>
        <w:t xml:space="preserve">vehicle manufacturer </w:t>
      </w:r>
      <w:r w:rsidR="005041EE" w:rsidRPr="005764FC">
        <w:rPr>
          <w:b/>
          <w:bCs/>
        </w:rPr>
        <w:t>i</w:t>
      </w:r>
      <w:r w:rsidRPr="005764FC">
        <w:rPr>
          <w:b/>
          <w:bCs/>
        </w:rPr>
        <w:t xml:space="preserve">nvestment into C‐ITS equipped vehicles and </w:t>
      </w:r>
      <w:r w:rsidR="00D75834" w:rsidRPr="005764FC">
        <w:rPr>
          <w:b/>
          <w:bCs/>
        </w:rPr>
        <w:t xml:space="preserve">importation can </w:t>
      </w:r>
      <w:r w:rsidR="004E312C" w:rsidRPr="005764FC">
        <w:rPr>
          <w:b/>
          <w:bCs/>
        </w:rPr>
        <w:t>be enabled</w:t>
      </w:r>
      <w:r w:rsidR="004E312C" w:rsidRPr="005764FC">
        <w:t xml:space="preserve">. </w:t>
      </w:r>
    </w:p>
    <w:p w14:paraId="49A4052B" w14:textId="34518860" w:rsidR="00315A26" w:rsidRPr="005764FC" w:rsidRDefault="00B737C1" w:rsidP="00B737C1">
      <w:pPr>
        <w:pStyle w:val="ListBullet"/>
      </w:pPr>
      <w:r w:rsidRPr="005764FC">
        <w:t>Leading</w:t>
      </w:r>
      <w:r w:rsidR="009E506F" w:rsidRPr="005764FC">
        <w:t xml:space="preserve"> </w:t>
      </w:r>
      <w:r w:rsidRPr="005764FC">
        <w:t>into</w:t>
      </w:r>
      <w:r w:rsidR="009E506F" w:rsidRPr="005764FC">
        <w:rPr>
          <w:b/>
          <w:bCs/>
        </w:rPr>
        <w:t xml:space="preserve"> Step 5 Road U</w:t>
      </w:r>
      <w:r w:rsidR="00E81CAA" w:rsidRPr="005764FC">
        <w:rPr>
          <w:b/>
          <w:bCs/>
        </w:rPr>
        <w:t xml:space="preserve">ser </w:t>
      </w:r>
      <w:r w:rsidR="00955C5D" w:rsidRPr="005764FC">
        <w:rPr>
          <w:b/>
          <w:bCs/>
        </w:rPr>
        <w:t xml:space="preserve">Uptake, </w:t>
      </w:r>
      <w:r w:rsidR="00955C5D" w:rsidRPr="005764FC">
        <w:t>where</w:t>
      </w:r>
      <w:r w:rsidR="00E81CAA" w:rsidRPr="005764FC">
        <w:t xml:space="preserve"> the </w:t>
      </w:r>
      <w:r w:rsidR="00C343FF" w:rsidRPr="005764FC">
        <w:t>efficiency and safety benefits sought</w:t>
      </w:r>
      <w:r w:rsidRPr="005764FC">
        <w:t xml:space="preserve"> will be realised</w:t>
      </w:r>
      <w:r w:rsidR="00C343FF" w:rsidRPr="005764FC">
        <w:t>.</w:t>
      </w:r>
      <w:r w:rsidR="00F21B40" w:rsidRPr="005764FC">
        <w:t xml:space="preserve"> </w:t>
      </w:r>
    </w:p>
    <w:p w14:paraId="05276111" w14:textId="77777777" w:rsidR="00C343FF" w:rsidRPr="005764FC" w:rsidRDefault="00C343FF" w:rsidP="00A87F03">
      <w:pPr>
        <w:pStyle w:val="BodyText"/>
      </w:pPr>
    </w:p>
    <w:p w14:paraId="50B80775" w14:textId="1384CE87" w:rsidR="00C94F16" w:rsidRPr="005764FC" w:rsidRDefault="00C94F16" w:rsidP="00C94F16">
      <w:pPr>
        <w:pStyle w:val="Heading1"/>
      </w:pPr>
      <w:bookmarkStart w:id="301" w:name="_Toc94536723"/>
      <w:bookmarkStart w:id="302" w:name="_Toc94453173"/>
      <w:bookmarkStart w:id="303" w:name="_Toc97807809"/>
      <w:r w:rsidRPr="005764FC">
        <w:t>Conclusion</w:t>
      </w:r>
      <w:bookmarkEnd w:id="301"/>
      <w:bookmarkEnd w:id="302"/>
      <w:bookmarkEnd w:id="303"/>
    </w:p>
    <w:p w14:paraId="480577E1" w14:textId="7A32C5E9" w:rsidR="00D206F9" w:rsidRPr="005764FC" w:rsidRDefault="00D206F9" w:rsidP="00D206F9">
      <w:pPr>
        <w:pStyle w:val="BodyText"/>
        <w:rPr>
          <w:lang w:eastAsia="fr-CA"/>
        </w:rPr>
      </w:pPr>
      <w:r w:rsidRPr="005764FC">
        <w:rPr>
          <w:lang w:eastAsia="fr-CA"/>
        </w:rPr>
        <w:t xml:space="preserve">C‑ITS is one mechanism available to contribute to </w:t>
      </w:r>
      <w:r w:rsidR="00ED38A8" w:rsidRPr="005764FC">
        <w:rPr>
          <w:lang w:eastAsia="fr-CA"/>
        </w:rPr>
        <w:t xml:space="preserve">improving Australia’s </w:t>
      </w:r>
      <w:r w:rsidRPr="005764FC">
        <w:rPr>
          <w:lang w:eastAsia="fr-CA"/>
        </w:rPr>
        <w:t>land transport issues. It is the only one built on a foundational principl</w:t>
      </w:r>
      <w:r w:rsidR="00B8705C" w:rsidRPr="005764FC">
        <w:rPr>
          <w:lang w:eastAsia="fr-CA"/>
        </w:rPr>
        <w:t>e</w:t>
      </w:r>
      <w:r w:rsidRPr="005764FC">
        <w:rPr>
          <w:lang w:eastAsia="fr-CA"/>
        </w:rPr>
        <w:t xml:space="preserve"> </w:t>
      </w:r>
      <w:r w:rsidR="00A10C21" w:rsidRPr="005764FC">
        <w:rPr>
          <w:lang w:eastAsia="fr-CA"/>
        </w:rPr>
        <w:t xml:space="preserve">that </w:t>
      </w:r>
      <w:r w:rsidRPr="005764FC">
        <w:rPr>
          <w:lang w:eastAsia="fr-CA"/>
        </w:rPr>
        <w:t>encourage</w:t>
      </w:r>
      <w:r w:rsidR="00A10C21" w:rsidRPr="005764FC">
        <w:rPr>
          <w:lang w:eastAsia="fr-CA"/>
        </w:rPr>
        <w:t>s</w:t>
      </w:r>
      <w:r w:rsidRPr="005764FC">
        <w:rPr>
          <w:lang w:eastAsia="fr-CA"/>
        </w:rPr>
        <w:t xml:space="preserve"> information-sharing and </w:t>
      </w:r>
      <w:r w:rsidR="00ED38A8" w:rsidRPr="005764FC">
        <w:rPr>
          <w:lang w:eastAsia="fr-CA"/>
        </w:rPr>
        <w:t>better</w:t>
      </w:r>
      <w:r w:rsidRPr="005764FC">
        <w:rPr>
          <w:lang w:eastAsia="fr-CA"/>
        </w:rPr>
        <w:t xml:space="preserve"> decision-making. A </w:t>
      </w:r>
      <w:r w:rsidRPr="005764FC" w:rsidDel="008A3437">
        <w:rPr>
          <w:lang w:eastAsia="fr-CA"/>
        </w:rPr>
        <w:t>C</w:t>
      </w:r>
      <w:r w:rsidRPr="005764FC">
        <w:rPr>
          <w:lang w:eastAsia="fr-CA"/>
        </w:rPr>
        <w:t xml:space="preserve">‑ITS ecosystem </w:t>
      </w:r>
      <w:r w:rsidR="00ED38A8" w:rsidRPr="005764FC">
        <w:rPr>
          <w:lang w:eastAsia="fr-CA"/>
        </w:rPr>
        <w:t xml:space="preserve">maintained </w:t>
      </w:r>
      <w:r w:rsidRPr="005764FC">
        <w:rPr>
          <w:lang w:eastAsia="fr-CA"/>
        </w:rPr>
        <w:t xml:space="preserve">on this principle should be considered complementary to (and encourage) other technology initiatives to improve safety and efficiency. </w:t>
      </w:r>
    </w:p>
    <w:p w14:paraId="42407145" w14:textId="6E197282" w:rsidR="0029508A" w:rsidRPr="005764FC" w:rsidRDefault="00625384" w:rsidP="0029508A">
      <w:pPr>
        <w:pStyle w:val="BodyText"/>
      </w:pPr>
      <w:r w:rsidRPr="005764FC">
        <w:t xml:space="preserve">This project and report </w:t>
      </w:r>
      <w:r w:rsidR="008A2F80" w:rsidRPr="005764FC">
        <w:t xml:space="preserve">unpacked the relevant </w:t>
      </w:r>
      <w:r w:rsidR="00ED38A8" w:rsidRPr="005764FC">
        <w:t>priority</w:t>
      </w:r>
      <w:r w:rsidR="008A2F80" w:rsidRPr="005764FC">
        <w:t xml:space="preserve"> issues for land transport (namely safety, efficiency, sustainability and accessibility)</w:t>
      </w:r>
      <w:r w:rsidR="00BA35C4" w:rsidRPr="005764FC">
        <w:t>,</w:t>
      </w:r>
      <w:r w:rsidR="008A2F80" w:rsidRPr="005764FC">
        <w:t xml:space="preserve"> and </w:t>
      </w:r>
      <w:r w:rsidR="00D62313" w:rsidRPr="005764FC">
        <w:t xml:space="preserve">assessed the capability of C-ITS to </w:t>
      </w:r>
      <w:r w:rsidR="000B1102" w:rsidRPr="005764FC">
        <w:t>positive</w:t>
      </w:r>
      <w:r w:rsidR="00BA35C4" w:rsidRPr="005764FC">
        <w:t>ly</w:t>
      </w:r>
      <w:r w:rsidR="000B1102" w:rsidRPr="005764FC">
        <w:t xml:space="preserve"> impact on these</w:t>
      </w:r>
      <w:r w:rsidR="00573CD4" w:rsidRPr="005764FC">
        <w:t xml:space="preserve">. It </w:t>
      </w:r>
      <w:r w:rsidR="00A1080F" w:rsidRPr="005764FC">
        <w:t>considered</w:t>
      </w:r>
      <w:r w:rsidR="00573CD4" w:rsidRPr="005764FC">
        <w:t xml:space="preserve"> the technical, strategic and cost-benefit</w:t>
      </w:r>
      <w:r w:rsidR="00A1080F" w:rsidRPr="005764FC">
        <w:t xml:space="preserve"> factors of C-ITS to determine </w:t>
      </w:r>
      <w:r w:rsidR="000956C0" w:rsidRPr="005764FC">
        <w:t xml:space="preserve">if government intervention was needed. </w:t>
      </w:r>
      <w:r w:rsidR="0029508A" w:rsidRPr="005764FC">
        <w:t xml:space="preserve">Key policy issues are identified and examined as part of this analysis, </w:t>
      </w:r>
      <w:r w:rsidR="00A5452D" w:rsidRPr="005764FC">
        <w:t xml:space="preserve">which </w:t>
      </w:r>
      <w:r w:rsidR="00BA35C4" w:rsidRPr="005764FC">
        <w:t>found</w:t>
      </w:r>
      <w:r w:rsidR="00A5452D" w:rsidRPr="005764FC">
        <w:t xml:space="preserve"> that on the balance of </w:t>
      </w:r>
      <w:r w:rsidR="00EA6DB5" w:rsidRPr="005764FC">
        <w:t xml:space="preserve">current state and </w:t>
      </w:r>
      <w:r w:rsidR="0004220E" w:rsidRPr="005764FC">
        <w:t>land transport</w:t>
      </w:r>
      <w:r w:rsidR="00EA6DB5" w:rsidRPr="005764FC">
        <w:t xml:space="preserve"> needs,</w:t>
      </w:r>
      <w:r w:rsidR="0029508A" w:rsidRPr="005764FC">
        <w:t xml:space="preserve"> leadership</w:t>
      </w:r>
      <w:r w:rsidR="0075687B" w:rsidRPr="005764FC">
        <w:t xml:space="preserve"> and </w:t>
      </w:r>
      <w:r w:rsidR="00BE2136" w:rsidRPr="005764FC">
        <w:t xml:space="preserve">direction </w:t>
      </w:r>
      <w:r w:rsidR="0029508A" w:rsidRPr="005764FC">
        <w:t xml:space="preserve">is </w:t>
      </w:r>
      <w:r w:rsidR="002E4733" w:rsidRPr="005764FC">
        <w:t>preferred</w:t>
      </w:r>
      <w:r w:rsidR="0029508A" w:rsidRPr="005764FC" w:rsidDel="00885D49">
        <w:t xml:space="preserve"> </w:t>
      </w:r>
      <w:r w:rsidR="0029508A" w:rsidRPr="005764FC">
        <w:t xml:space="preserve">to ensure vehicle manufacturers and technology providers have adequate certainty to consider future investment. </w:t>
      </w:r>
      <w:r w:rsidR="000C22B5" w:rsidRPr="005764FC">
        <w:t xml:space="preserve">This includes </w:t>
      </w:r>
      <w:r w:rsidR="00010996" w:rsidRPr="005764FC">
        <w:t xml:space="preserve">setting policy direction </w:t>
      </w:r>
      <w:r w:rsidR="00F51B08" w:rsidRPr="005764FC">
        <w:t xml:space="preserve">on standards suites and short-range communication </w:t>
      </w:r>
      <w:r w:rsidR="00DB56DD" w:rsidRPr="005764FC">
        <w:t xml:space="preserve">that aligns to </w:t>
      </w:r>
      <w:r w:rsidR="00133118" w:rsidRPr="005764FC">
        <w:t>Europe</w:t>
      </w:r>
      <w:r w:rsidR="00DB56DD" w:rsidRPr="005764FC">
        <w:t xml:space="preserve">. </w:t>
      </w:r>
      <w:r w:rsidR="00305E2C" w:rsidRPr="005764FC">
        <w:t>Some i</w:t>
      </w:r>
      <w:r w:rsidR="00DB56DD" w:rsidRPr="005764FC">
        <w:t xml:space="preserve">ntervention is needed to </w:t>
      </w:r>
      <w:r w:rsidR="00BA35C4" w:rsidRPr="005764FC">
        <w:t>create</w:t>
      </w:r>
      <w:r w:rsidR="00DB56DD" w:rsidRPr="005764FC">
        <w:t xml:space="preserve"> </w:t>
      </w:r>
      <w:r w:rsidR="00155841" w:rsidRPr="005764FC">
        <w:t xml:space="preserve">enabling infrastructure that </w:t>
      </w:r>
      <w:r w:rsidR="00561D64" w:rsidRPr="005764FC">
        <w:t xml:space="preserve">establishes a minimum viable market for deployment. </w:t>
      </w:r>
    </w:p>
    <w:p w14:paraId="08E9F347" w14:textId="11CA97DA" w:rsidR="00C701D5" w:rsidRPr="005764FC" w:rsidRDefault="00C701D5" w:rsidP="00C701D5">
      <w:pPr>
        <w:pStyle w:val="BodyText"/>
      </w:pPr>
      <w:r w:rsidRPr="005764FC">
        <w:t xml:space="preserve">The intention behind adopting C-ITS is to build an ecosystem that encourages information sharing between many vehicle types, road users and road infrastructure. When this information is safety-critical, for example from a </w:t>
      </w:r>
      <w:r w:rsidR="00CA13DC" w:rsidRPr="005764FC">
        <w:t xml:space="preserve">broken-down </w:t>
      </w:r>
      <w:r w:rsidRPr="005764FC">
        <w:t>vehicle ahead</w:t>
      </w:r>
      <w:r w:rsidR="00B17537" w:rsidRPr="005764FC">
        <w:t xml:space="preserve"> on the road</w:t>
      </w:r>
      <w:r w:rsidRPr="005764FC">
        <w:t xml:space="preserve">, the vehicle manufacturer should not determine whether the information can be shared. If shared with everyone consistently (with trust), the safety and efficiency benefits are accessible to all. While other solutions exist (and will arise) for certain specific issues and markets, C-ITS is the only available solution that provides this open and harmonised ecosystem. National direction is needed through policy standards and guidelines to provide certainty and equal opportunity to deliver beneficial solutions within a known framework. The economic analysis found that positive </w:t>
      </w:r>
      <w:r w:rsidR="00BC3F87" w:rsidRPr="005764FC">
        <w:t>B</w:t>
      </w:r>
      <w:r w:rsidR="0010553A" w:rsidRPr="005764FC">
        <w:t>enefit-</w:t>
      </w:r>
      <w:r w:rsidR="0032726A" w:rsidRPr="005764FC">
        <w:t>C</w:t>
      </w:r>
      <w:r w:rsidR="0010553A" w:rsidRPr="005764FC">
        <w:t xml:space="preserve">ost </w:t>
      </w:r>
      <w:r w:rsidR="0032726A" w:rsidRPr="005764FC">
        <w:t>R</w:t>
      </w:r>
      <w:r w:rsidR="0010553A" w:rsidRPr="005764FC">
        <w:t>atio</w:t>
      </w:r>
      <w:r w:rsidRPr="005764FC">
        <w:t xml:space="preserve">s between </w:t>
      </w:r>
      <w:r w:rsidRPr="005764FC">
        <w:rPr>
          <w:lang w:eastAsia="fr-CA"/>
        </w:rPr>
        <w:t xml:space="preserve">1.4 and 2.9 </w:t>
      </w:r>
      <w:r w:rsidRPr="005764FC">
        <w:t xml:space="preserve">exist </w:t>
      </w:r>
      <w:r w:rsidRPr="005764FC">
        <w:rPr>
          <w:lang w:eastAsia="fr-CA"/>
        </w:rPr>
        <w:t xml:space="preserve">when supporting infrastructure is available, highlighting the need for government-led initiatives that drive enabling technology and initial deployments. Given </w:t>
      </w:r>
      <w:r w:rsidR="002527A8" w:rsidRPr="005764FC">
        <w:rPr>
          <w:lang w:eastAsia="fr-CA"/>
        </w:rPr>
        <w:t xml:space="preserve">that </w:t>
      </w:r>
      <w:r w:rsidRPr="005764FC">
        <w:rPr>
          <w:lang w:eastAsia="fr-CA"/>
        </w:rPr>
        <w:t xml:space="preserve">vehicles imported to Australia are harmonised to European standards through WP.29, it is logical that Australia also harmonises C-ITS to the European deployment. </w:t>
      </w:r>
    </w:p>
    <w:p w14:paraId="2C5167E8" w14:textId="5C282366" w:rsidR="00A15308" w:rsidRDefault="00A15308" w:rsidP="0029508A">
      <w:pPr>
        <w:pStyle w:val="BodyText"/>
        <w:rPr>
          <w:lang w:eastAsia="fr-CA"/>
        </w:rPr>
      </w:pPr>
      <w:r w:rsidRPr="005764FC">
        <w:t>Principles</w:t>
      </w:r>
      <w:r w:rsidR="005D0EC0" w:rsidRPr="005764FC">
        <w:t xml:space="preserve"> for a national approach</w:t>
      </w:r>
      <w:r w:rsidRPr="005764FC">
        <w:t xml:space="preserve"> and </w:t>
      </w:r>
      <w:r w:rsidR="005D0EC0" w:rsidRPr="005764FC">
        <w:t>a path</w:t>
      </w:r>
      <w:r w:rsidR="00B25B27" w:rsidRPr="005764FC">
        <w:t>way</w:t>
      </w:r>
      <w:r w:rsidR="009A7484" w:rsidRPr="005764FC">
        <w:t xml:space="preserve"> through </w:t>
      </w:r>
      <w:r w:rsidR="005D0EC0" w:rsidRPr="005764FC">
        <w:t>a</w:t>
      </w:r>
      <w:r w:rsidR="009A7484" w:rsidRPr="005764FC">
        <w:t xml:space="preserve"> road ahead </w:t>
      </w:r>
      <w:r w:rsidR="00B25B27" w:rsidRPr="005764FC">
        <w:t>are</w:t>
      </w:r>
      <w:r w:rsidR="009A7484" w:rsidRPr="005764FC">
        <w:t xml:space="preserve"> </w:t>
      </w:r>
      <w:r w:rsidR="00670B37" w:rsidRPr="005764FC">
        <w:t xml:space="preserve">defined to provide near-term and </w:t>
      </w:r>
      <w:r w:rsidR="00FC3094" w:rsidRPr="005764FC">
        <w:t>long-term</w:t>
      </w:r>
      <w:r w:rsidR="00670B37" w:rsidRPr="005764FC">
        <w:t xml:space="preserve"> </w:t>
      </w:r>
      <w:r w:rsidR="006C79F9" w:rsidRPr="005764FC">
        <w:t xml:space="preserve">guidance for </w:t>
      </w:r>
      <w:r w:rsidR="00102FD1" w:rsidRPr="005764FC">
        <w:t xml:space="preserve">government and </w:t>
      </w:r>
      <w:r w:rsidR="00AF00D4" w:rsidRPr="005764FC">
        <w:t xml:space="preserve">relevant stakeholders. </w:t>
      </w:r>
      <w:r w:rsidR="001965F1" w:rsidRPr="005764FC">
        <w:t>A</w:t>
      </w:r>
      <w:r w:rsidR="00AF00D4" w:rsidRPr="005764FC">
        <w:t xml:space="preserve"> national framework that encourages </w:t>
      </w:r>
      <w:r w:rsidR="00E37BA2" w:rsidRPr="005764FC">
        <w:t>collaboration</w:t>
      </w:r>
      <w:r w:rsidR="00D934C1" w:rsidRPr="005764FC">
        <w:t>,</w:t>
      </w:r>
      <w:r w:rsidR="00E37BA2" w:rsidRPr="005764FC">
        <w:t xml:space="preserve"> and agreement that </w:t>
      </w:r>
      <w:r w:rsidR="00A31A95" w:rsidRPr="005764FC">
        <w:t xml:space="preserve">moves to action a foundational </w:t>
      </w:r>
      <w:r w:rsidR="008516D7" w:rsidRPr="005764FC">
        <w:t>ecosystem and scaled deployment</w:t>
      </w:r>
      <w:r w:rsidR="00D934C1" w:rsidRPr="005764FC">
        <w:t>,</w:t>
      </w:r>
      <w:r w:rsidR="00DE1934" w:rsidRPr="005764FC">
        <w:t xml:space="preserve"> </w:t>
      </w:r>
      <w:r w:rsidR="00D934C1" w:rsidRPr="005764FC">
        <w:t xml:space="preserve">is </w:t>
      </w:r>
      <w:r w:rsidR="00DE1934" w:rsidRPr="005764FC">
        <w:t>a priority</w:t>
      </w:r>
      <w:r w:rsidR="008516D7" w:rsidRPr="005764FC">
        <w:t xml:space="preserve">. </w:t>
      </w:r>
      <w:r w:rsidR="00D83C73" w:rsidRPr="005764FC">
        <w:rPr>
          <w:lang w:eastAsia="fr-CA"/>
        </w:rPr>
        <w:t>Undertaking l</w:t>
      </w:r>
      <w:r w:rsidR="00E06499" w:rsidRPr="005764FC">
        <w:rPr>
          <w:lang w:eastAsia="fr-CA"/>
        </w:rPr>
        <w:t xml:space="preserve">eadership and </w:t>
      </w:r>
      <w:r w:rsidR="00D83C73" w:rsidRPr="005764FC">
        <w:rPr>
          <w:lang w:eastAsia="fr-CA"/>
        </w:rPr>
        <w:t xml:space="preserve">direction </w:t>
      </w:r>
      <w:r w:rsidR="001C36F5" w:rsidRPr="005764FC">
        <w:rPr>
          <w:lang w:eastAsia="fr-CA"/>
        </w:rPr>
        <w:t xml:space="preserve">now </w:t>
      </w:r>
      <w:r w:rsidR="00E06499" w:rsidRPr="005764FC">
        <w:rPr>
          <w:lang w:eastAsia="fr-CA"/>
        </w:rPr>
        <w:t>(</w:t>
      </w:r>
      <w:r w:rsidR="00A225D1" w:rsidRPr="005764FC">
        <w:rPr>
          <w:lang w:eastAsia="fr-CA"/>
        </w:rPr>
        <w:t xml:space="preserve">described in </w:t>
      </w:r>
      <w:r w:rsidR="007F0C99" w:rsidRPr="005764FC">
        <w:rPr>
          <w:lang w:eastAsia="fr-CA"/>
        </w:rPr>
        <w:t>PA2</w:t>
      </w:r>
      <w:r w:rsidR="00E06499" w:rsidRPr="005764FC">
        <w:rPr>
          <w:lang w:eastAsia="fr-CA"/>
        </w:rPr>
        <w:t>)</w:t>
      </w:r>
      <w:r w:rsidR="001C36F5" w:rsidRPr="005764FC">
        <w:rPr>
          <w:lang w:eastAsia="fr-CA"/>
        </w:rPr>
        <w:t>,</w:t>
      </w:r>
      <w:r w:rsidR="00E06499" w:rsidRPr="005764FC">
        <w:rPr>
          <w:lang w:eastAsia="fr-CA"/>
        </w:rPr>
        <w:t xml:space="preserve"> </w:t>
      </w:r>
      <w:r w:rsidR="00A225D1" w:rsidRPr="005764FC">
        <w:rPr>
          <w:lang w:eastAsia="fr-CA"/>
        </w:rPr>
        <w:t>provides flexibility and</w:t>
      </w:r>
      <w:r w:rsidR="00E06499" w:rsidRPr="005764FC">
        <w:rPr>
          <w:lang w:eastAsia="fr-CA"/>
        </w:rPr>
        <w:t xml:space="preserve"> will position government to determine the most appropriate </w:t>
      </w:r>
      <w:r w:rsidR="00054DAD" w:rsidRPr="005764FC">
        <w:rPr>
          <w:lang w:eastAsia="fr-CA"/>
        </w:rPr>
        <w:t xml:space="preserve">future </w:t>
      </w:r>
      <w:r w:rsidR="00E06499" w:rsidRPr="005764FC">
        <w:rPr>
          <w:lang w:eastAsia="fr-CA"/>
        </w:rPr>
        <w:t>decisions</w:t>
      </w:r>
      <w:r w:rsidR="001C36F5" w:rsidRPr="005764FC">
        <w:rPr>
          <w:lang w:eastAsia="fr-CA"/>
        </w:rPr>
        <w:t>,</w:t>
      </w:r>
      <w:r w:rsidR="00E06499" w:rsidRPr="005764FC">
        <w:rPr>
          <w:lang w:eastAsia="fr-CA"/>
        </w:rPr>
        <w:t xml:space="preserve"> such as what to leave to industry </w:t>
      </w:r>
      <w:r w:rsidR="002A21D1" w:rsidRPr="005764FC">
        <w:rPr>
          <w:lang w:eastAsia="fr-CA"/>
        </w:rPr>
        <w:t xml:space="preserve">to lead </w:t>
      </w:r>
      <w:r w:rsidR="00E06499" w:rsidRPr="005764FC">
        <w:rPr>
          <w:lang w:eastAsia="fr-CA"/>
        </w:rPr>
        <w:t>(</w:t>
      </w:r>
      <w:r w:rsidR="002A21D1" w:rsidRPr="005764FC">
        <w:rPr>
          <w:lang w:eastAsia="fr-CA"/>
        </w:rPr>
        <w:t xml:space="preserve">similar to </w:t>
      </w:r>
      <w:r w:rsidR="007F0C99" w:rsidRPr="005764FC">
        <w:rPr>
          <w:lang w:eastAsia="fr-CA"/>
        </w:rPr>
        <w:t>PA1</w:t>
      </w:r>
      <w:r w:rsidR="00E06499" w:rsidRPr="005764FC">
        <w:rPr>
          <w:lang w:eastAsia="fr-CA"/>
        </w:rPr>
        <w:t>)</w:t>
      </w:r>
      <w:r w:rsidR="00054DAD" w:rsidRPr="005764FC">
        <w:rPr>
          <w:lang w:eastAsia="fr-CA"/>
        </w:rPr>
        <w:t>,</w:t>
      </w:r>
      <w:r w:rsidR="00E06499" w:rsidRPr="005764FC">
        <w:rPr>
          <w:lang w:eastAsia="fr-CA"/>
        </w:rPr>
        <w:t xml:space="preserve"> and what to regulate (</w:t>
      </w:r>
      <w:r w:rsidR="00D83C73" w:rsidRPr="005764FC">
        <w:rPr>
          <w:lang w:eastAsia="fr-CA"/>
        </w:rPr>
        <w:t xml:space="preserve">as in </w:t>
      </w:r>
      <w:r w:rsidR="007F0C99" w:rsidRPr="005764FC">
        <w:rPr>
          <w:lang w:eastAsia="fr-CA"/>
        </w:rPr>
        <w:t>PA3</w:t>
      </w:r>
      <w:r w:rsidR="00E06499" w:rsidRPr="005764FC">
        <w:rPr>
          <w:lang w:eastAsia="fr-CA"/>
        </w:rPr>
        <w:t>).</w:t>
      </w:r>
    </w:p>
    <w:p w14:paraId="522C6CB5" w14:textId="77777777" w:rsidR="0029508A" w:rsidRPr="005764FC" w:rsidRDefault="0029508A" w:rsidP="0029508A">
      <w:pPr>
        <w:pStyle w:val="BodyText"/>
      </w:pPr>
    </w:p>
    <w:bookmarkStart w:id="304" w:name="_Toc97807810" w:displacedByCustomXml="next"/>
    <w:bookmarkStart w:id="305" w:name="_Toc419459262" w:displacedByCustomXml="next"/>
    <w:bookmarkStart w:id="306" w:name="_Toc417550815" w:displacedByCustomXml="next"/>
    <w:bookmarkStart w:id="307" w:name="_Toc417397531" w:displacedByCustomXml="next"/>
    <w:bookmarkStart w:id="308" w:name="_Toc417397507" w:displacedByCustomXml="next"/>
    <w:bookmarkStart w:id="309" w:name="_Toc417397472" w:displacedByCustomXml="next"/>
    <w:bookmarkStart w:id="310" w:name="_Toc416881167" w:displacedByCustomXml="next"/>
    <w:bookmarkStart w:id="311" w:name="_Toc49515895" w:displacedByCustomXml="next"/>
    <w:bookmarkStart w:id="312" w:name="_Toc49421136" w:displacedByCustomXml="next"/>
    <w:bookmarkStart w:id="313" w:name="_Toc48890462" w:displacedByCustomXml="next"/>
    <w:bookmarkStart w:id="314" w:name="_Toc453138640" w:displacedByCustomXml="next"/>
    <w:sdt>
      <w:sdtPr>
        <w:rPr>
          <w:rFonts w:asciiTheme="minorHAnsi" w:hAnsiTheme="minorHAnsi"/>
          <w:b w:val="0"/>
          <w:bCs w:val="0"/>
          <w:caps w:val="0"/>
          <w:color w:val="auto"/>
          <w:sz w:val="20"/>
          <w:szCs w:val="20"/>
          <w:lang w:eastAsia="en-US"/>
        </w:rPr>
        <w:id w:val="1628127594"/>
        <w:docPartObj>
          <w:docPartGallery w:val="Bibliographies"/>
          <w:docPartUnique/>
        </w:docPartObj>
      </w:sdtPr>
      <w:sdtContent>
        <w:p w14:paraId="3AC95486" w14:textId="77777777" w:rsidR="00D56F7C" w:rsidRDefault="00D56F7C" w:rsidP="00B50DE7">
          <w:pPr>
            <w:pStyle w:val="Heading1NoNumber"/>
          </w:pPr>
          <w:r>
            <w:t>References</w:t>
          </w:r>
          <w:bookmarkEnd w:id="304"/>
        </w:p>
        <w:sdt>
          <w:sdtPr>
            <w:id w:val="-573587230"/>
            <w:bibliography/>
          </w:sdtPr>
          <w:sdtContent>
            <w:p w14:paraId="4A1FF717" w14:textId="77777777" w:rsidR="001428F9" w:rsidRDefault="00D56F7C" w:rsidP="001428F9">
              <w:pPr>
                <w:pStyle w:val="Bibliography"/>
                <w:ind w:left="720" w:hanging="720"/>
                <w:rPr>
                  <w:noProof/>
                  <w:sz w:val="24"/>
                  <w:szCs w:val="24"/>
                </w:rPr>
              </w:pPr>
              <w:r>
                <w:fldChar w:fldCharType="begin"/>
              </w:r>
              <w:r>
                <w:instrText xml:space="preserve"> BIBLIOGRAPHY </w:instrText>
              </w:r>
              <w:r>
                <w:fldChar w:fldCharType="separate"/>
              </w:r>
              <w:r w:rsidR="001428F9">
                <w:rPr>
                  <w:noProof/>
                </w:rPr>
                <w:t>ACMA. (2017). Radiocommunications (Intelligent Transport Systems) Class Licence 2017. Retrieved from https://www.legislation.gov.au/Details/F2018L00026</w:t>
              </w:r>
            </w:p>
            <w:p w14:paraId="4756FDFA" w14:textId="77777777" w:rsidR="001428F9" w:rsidRDefault="001428F9" w:rsidP="001428F9">
              <w:pPr>
                <w:pStyle w:val="Bibliography"/>
                <w:ind w:left="720" w:hanging="720"/>
                <w:rPr>
                  <w:noProof/>
                </w:rPr>
              </w:pPr>
              <w:r>
                <w:rPr>
                  <w:noProof/>
                </w:rPr>
                <w:t>ANCAP. (2016). ANCAP Submission: New Car Retailing Industry - a market study by the Australian Competition &amp; Consumer Commission. Retrieved from https://s3.amazonaws.com/cdn.ancap.com.au/app/public/assets/5e1ccd77ae6bd1ad3a255ec2c8d9b559b49d5d58/original.pdf?1551158042</w:t>
              </w:r>
            </w:p>
            <w:p w14:paraId="6F5A4ABE" w14:textId="77777777" w:rsidR="001428F9" w:rsidRDefault="001428F9" w:rsidP="001428F9">
              <w:pPr>
                <w:pStyle w:val="Bibliography"/>
                <w:ind w:left="720" w:hanging="720"/>
                <w:rPr>
                  <w:noProof/>
                </w:rPr>
              </w:pPr>
              <w:r>
                <w:rPr>
                  <w:noProof/>
                </w:rPr>
                <w:t>ANCAP. (2021). Submission to the joint select committee on road safety. Retrieved from https://s3.amazonaws.com/cdn.ancap.com.au/app/public/assets/c795cc9feb2a00f10e2fbfae0b8f7c2f7a2e1663/original.pdf?%201634173431</w:t>
              </w:r>
            </w:p>
            <w:p w14:paraId="75F23C94" w14:textId="77777777" w:rsidR="001428F9" w:rsidRDefault="001428F9" w:rsidP="001428F9">
              <w:pPr>
                <w:pStyle w:val="Bibliography"/>
                <w:ind w:left="720" w:hanging="720"/>
                <w:rPr>
                  <w:noProof/>
                </w:rPr>
              </w:pPr>
              <w:r>
                <w:rPr>
                  <w:noProof/>
                </w:rPr>
                <w:t>ATAP. (2021). Value of travel time for vehicle occupants. Retrieved from https://www.atap.gov.au/parameter-values/road-transport/3-travel-time</w:t>
              </w:r>
            </w:p>
            <w:p w14:paraId="690AE6C9" w14:textId="77777777" w:rsidR="001428F9" w:rsidRDefault="001428F9" w:rsidP="001428F9">
              <w:pPr>
                <w:pStyle w:val="Bibliography"/>
                <w:ind w:left="720" w:hanging="720"/>
                <w:rPr>
                  <w:noProof/>
                </w:rPr>
              </w:pPr>
              <w:r>
                <w:rPr>
                  <w:noProof/>
                </w:rPr>
                <w:t>Australian Trade and Investment Commission. (2018). Intelligent Transport Systems. Retrieved from https://www.austrade.gov.au/future-transport/intelligent-transport-systems/</w:t>
              </w:r>
            </w:p>
            <w:p w14:paraId="624491F2" w14:textId="77777777" w:rsidR="001428F9" w:rsidRDefault="001428F9" w:rsidP="001428F9">
              <w:pPr>
                <w:pStyle w:val="Bibliography"/>
                <w:ind w:left="720" w:hanging="720"/>
                <w:rPr>
                  <w:noProof/>
                </w:rPr>
              </w:pPr>
              <w:r>
                <w:rPr>
                  <w:noProof/>
                </w:rPr>
                <w:t>Austroads. (2015). Assessing Emerging C-ITS Standards for Local Adoption. (26). Retrieved from https://austroads.com.au/latest-news/assessing-emerging-c-its-standards-for-local-adoption</w:t>
              </w:r>
            </w:p>
            <w:p w14:paraId="7B9FE473" w14:textId="77777777" w:rsidR="001428F9" w:rsidRDefault="001428F9" w:rsidP="001428F9">
              <w:pPr>
                <w:pStyle w:val="Bibliography"/>
                <w:ind w:left="720" w:hanging="720"/>
                <w:rPr>
                  <w:noProof/>
                </w:rPr>
              </w:pPr>
              <w:r>
                <w:rPr>
                  <w:noProof/>
                </w:rPr>
                <w:t>Austroads. (2021). Road Authority Data for Connected and Automated Vehicles: Guidance for Agency Data Provision to Connected and Automated Vehicles. Retrieved from https://austroads.com.au/publications/connected-and-automated-vehicles/ap-r662-21</w:t>
              </w:r>
            </w:p>
            <w:p w14:paraId="400C136D" w14:textId="77777777" w:rsidR="001428F9" w:rsidRDefault="001428F9" w:rsidP="001428F9">
              <w:pPr>
                <w:pStyle w:val="Bibliography"/>
                <w:ind w:left="720" w:hanging="720"/>
                <w:rPr>
                  <w:noProof/>
                </w:rPr>
              </w:pPr>
              <w:r>
                <w:rPr>
                  <w:noProof/>
                </w:rPr>
                <w:t xml:space="preserve">Austroads. (2022). Upcoming and Active Projects. </w:t>
              </w:r>
              <w:r>
                <w:rPr>
                  <w:i/>
                  <w:iCs/>
                  <w:noProof/>
                </w:rPr>
                <w:t>FCA6314 Connected vehicle and road agency data exchange</w:t>
              </w:r>
              <w:r>
                <w:rPr>
                  <w:noProof/>
                </w:rPr>
                <w:t>. Retrieved from https://austroads.com.au/projects</w:t>
              </w:r>
            </w:p>
            <w:p w14:paraId="2A521BFC" w14:textId="77777777" w:rsidR="001428F9" w:rsidRDefault="001428F9" w:rsidP="001428F9">
              <w:pPr>
                <w:pStyle w:val="Bibliography"/>
                <w:ind w:left="720" w:hanging="720"/>
                <w:rPr>
                  <w:noProof/>
                </w:rPr>
              </w:pPr>
              <w:r>
                <w:rPr>
                  <w:noProof/>
                </w:rPr>
                <w:t>BITRE. (2014). Freightline 1—Australia freight transport overview. Retrieved from https://www.bitre.gov.au/publications/2014/freightline_01</w:t>
              </w:r>
            </w:p>
            <w:p w14:paraId="2B084ECA" w14:textId="77777777" w:rsidR="001428F9" w:rsidRDefault="001428F9" w:rsidP="001428F9">
              <w:pPr>
                <w:pStyle w:val="Bibliography"/>
                <w:ind w:left="720" w:hanging="720"/>
                <w:rPr>
                  <w:noProof/>
                </w:rPr>
              </w:pPr>
              <w:r>
                <w:rPr>
                  <w:noProof/>
                </w:rPr>
                <w:t>BITRE. (2015). Traffic and congestion cost trends for Australian capital cities. Retrieved from https://www.bitre.gov.au/publications/2015/is_074</w:t>
              </w:r>
            </w:p>
            <w:p w14:paraId="78C376B8" w14:textId="77777777" w:rsidR="001428F9" w:rsidRDefault="001428F9" w:rsidP="001428F9">
              <w:pPr>
                <w:pStyle w:val="Bibliography"/>
                <w:ind w:left="720" w:hanging="720"/>
                <w:rPr>
                  <w:noProof/>
                </w:rPr>
              </w:pPr>
              <w:r>
                <w:rPr>
                  <w:noProof/>
                </w:rPr>
                <w:t xml:space="preserve">BITRE. (2020). Australian Infrastructure Statistics Yearbook 2020. </w:t>
              </w:r>
              <w:r>
                <w:rPr>
                  <w:i/>
                  <w:iCs/>
                  <w:noProof/>
                </w:rPr>
                <w:t>Domestic freight by transport mode - total bulk and non-bulk - road 2019-20</w:t>
              </w:r>
              <w:r>
                <w:rPr>
                  <w:noProof/>
                </w:rPr>
                <w:t>. Retrieved from https://www.bitre.gov.au/sites/default/files/documents/bitre_aus_infrastructure_yearbook_2020.pdf</w:t>
              </w:r>
            </w:p>
            <w:p w14:paraId="7DAE5ACA" w14:textId="77777777" w:rsidR="001428F9" w:rsidRDefault="001428F9" w:rsidP="001428F9">
              <w:pPr>
                <w:pStyle w:val="Bibliography"/>
                <w:ind w:left="720" w:hanging="720"/>
                <w:rPr>
                  <w:noProof/>
                </w:rPr>
              </w:pPr>
              <w:r>
                <w:rPr>
                  <w:noProof/>
                </w:rPr>
                <w:t xml:space="preserve">BITRE. (2021a). Safety Statistics. </w:t>
              </w:r>
              <w:r>
                <w:rPr>
                  <w:i/>
                  <w:iCs/>
                  <w:noProof/>
                </w:rPr>
                <w:t>Monthly Road Deaths Dashboard</w:t>
              </w:r>
              <w:r>
                <w:rPr>
                  <w:noProof/>
                </w:rPr>
                <w:t>. Retrieved from https://www.bitre.gov.au/statistics/safety</w:t>
              </w:r>
            </w:p>
            <w:p w14:paraId="24DDF198" w14:textId="77777777" w:rsidR="001428F9" w:rsidRDefault="001428F9" w:rsidP="001428F9">
              <w:pPr>
                <w:pStyle w:val="Bibliography"/>
                <w:ind w:left="720" w:hanging="720"/>
                <w:rPr>
                  <w:noProof/>
                </w:rPr>
              </w:pPr>
              <w:r>
                <w:rPr>
                  <w:noProof/>
                </w:rPr>
                <w:t xml:space="preserve">BITRE. (2021b). Road trauma Australia 2020 statistical summary. Retrieved from https://www.bitre.gov.au/sites/default/files/documents/road_trauma_australia_2020_statistical_summary.pdf </w:t>
              </w:r>
            </w:p>
            <w:p w14:paraId="718A1195" w14:textId="77777777" w:rsidR="001428F9" w:rsidRDefault="001428F9" w:rsidP="001428F9">
              <w:pPr>
                <w:pStyle w:val="Bibliography"/>
                <w:ind w:left="720" w:hanging="720"/>
                <w:rPr>
                  <w:noProof/>
                </w:rPr>
              </w:pPr>
              <w:r>
                <w:rPr>
                  <w:noProof/>
                </w:rPr>
                <w:t>Bureau of Infrastructure, Transport and Regional Economics. (2020). Australian Infrastructure Statistics Yearbook. Canberra, Australia: Bureau of Infrastructure, Transport and Regional Economics. Retrieved from https://www.bitre.gov.au/sites/default/files/documents/bitre_aus_infrastructure_yearbook_2020.pdf</w:t>
              </w:r>
            </w:p>
            <w:p w14:paraId="58D17844" w14:textId="77777777" w:rsidR="001428F9" w:rsidRDefault="001428F9" w:rsidP="001428F9">
              <w:pPr>
                <w:pStyle w:val="Bibliography"/>
                <w:ind w:left="720" w:hanging="720"/>
                <w:rPr>
                  <w:noProof/>
                </w:rPr>
              </w:pPr>
              <w:r>
                <w:rPr>
                  <w:noProof/>
                </w:rPr>
                <w:t xml:space="preserve">C2CCC. (2019). Guidance for day 2 and beyond roadmap. Retrieved from https://www.car-2-car.org/fileadmin/documents/General_Documents/C2CCC_WP_2072_RoadmapDay2AndBeyond.pdf </w:t>
              </w:r>
            </w:p>
            <w:p w14:paraId="76FF9B59" w14:textId="77777777" w:rsidR="001428F9" w:rsidRDefault="001428F9" w:rsidP="001428F9">
              <w:pPr>
                <w:pStyle w:val="Bibliography"/>
                <w:ind w:left="720" w:hanging="720"/>
                <w:rPr>
                  <w:noProof/>
                </w:rPr>
              </w:pPr>
              <w:r>
                <w:rPr>
                  <w:noProof/>
                </w:rPr>
                <w:t xml:space="preserve">C2CCC. (2022). CAR 2 CAR Communication Consortium. Retrieved from https://www.car-2-car.org/about-us/ </w:t>
              </w:r>
            </w:p>
            <w:p w14:paraId="46F78C95" w14:textId="77777777" w:rsidR="001428F9" w:rsidRDefault="001428F9" w:rsidP="001428F9">
              <w:pPr>
                <w:pStyle w:val="Bibliography"/>
                <w:ind w:left="720" w:hanging="720"/>
                <w:rPr>
                  <w:noProof/>
                </w:rPr>
              </w:pPr>
              <w:r>
                <w:rPr>
                  <w:noProof/>
                </w:rPr>
                <w:t xml:space="preserve">CCAM. (2021). Connected, Cooperative &amp; Automated Mobility. Retrieved from https://www.ccam.eu/ </w:t>
              </w:r>
            </w:p>
            <w:p w14:paraId="21D915A9" w14:textId="77777777" w:rsidR="001428F9" w:rsidRDefault="001428F9" w:rsidP="001428F9">
              <w:pPr>
                <w:pStyle w:val="Bibliography"/>
                <w:ind w:left="720" w:hanging="720"/>
                <w:rPr>
                  <w:noProof/>
                </w:rPr>
              </w:pPr>
              <w:r>
                <w:rPr>
                  <w:noProof/>
                </w:rPr>
                <w:t>Centre for Road Safety. (2021). Cooperative Intelligent Transport Initiative (CITI) Light Vehicle Study Driver Feedback Summary Report June 2021. TFNSW. Retrieved from https://roadsafety.transport.nsw.gov.au/downloads/citi-light-vehicle-driver-feedback.pdf</w:t>
              </w:r>
            </w:p>
            <w:p w14:paraId="2020AC98" w14:textId="77777777" w:rsidR="001428F9" w:rsidRDefault="001428F9" w:rsidP="001428F9">
              <w:pPr>
                <w:pStyle w:val="Bibliography"/>
                <w:ind w:left="720" w:hanging="720"/>
                <w:rPr>
                  <w:noProof/>
                </w:rPr>
              </w:pPr>
              <w:r>
                <w:rPr>
                  <w:noProof/>
                </w:rPr>
                <w:t xml:space="preserve">C-ITS Deployment Group. (2020a). C-ITS Deployment. Retrieved from https://c-its-deployment-group.eu/activities/c-its-deployments/ </w:t>
              </w:r>
            </w:p>
            <w:p w14:paraId="2089FF8A" w14:textId="77777777" w:rsidR="001428F9" w:rsidRDefault="001428F9" w:rsidP="001428F9">
              <w:pPr>
                <w:pStyle w:val="Bibliography"/>
                <w:ind w:left="720" w:hanging="720"/>
                <w:rPr>
                  <w:noProof/>
                </w:rPr>
              </w:pPr>
              <w:r>
                <w:rPr>
                  <w:noProof/>
                </w:rPr>
                <w:t xml:space="preserve">C-ITS Deployment Group. (2020b). ASFINAG connects roads with vehicles on a large scale in Europe. Retrieved from https://c-its-deployment-group.eu/activities/c-its-deployments/2020-10-09-asfinag-connects-roads-with-vehicles-on-a-large-scale-in-europe/ </w:t>
              </w:r>
            </w:p>
            <w:p w14:paraId="691D0D13" w14:textId="77777777" w:rsidR="001428F9" w:rsidRDefault="001428F9" w:rsidP="001428F9">
              <w:pPr>
                <w:pStyle w:val="Bibliography"/>
                <w:ind w:left="720" w:hanging="720"/>
                <w:rPr>
                  <w:noProof/>
                </w:rPr>
              </w:pPr>
              <w:r>
                <w:rPr>
                  <w:noProof/>
                </w:rPr>
                <w:t>Commissioner for Privacy and Data Protection. (2015). Cloud Computing in the Victorian Public Sector. Retrieved from https://ovic.vic.gov.au/wp-content/uploads/2018/07/Cloud_Computing_in_the_Victorian_Public_sector.pdf</w:t>
              </w:r>
            </w:p>
            <w:p w14:paraId="1A8B77BC" w14:textId="77777777" w:rsidR="001428F9" w:rsidRDefault="001428F9" w:rsidP="001428F9">
              <w:pPr>
                <w:pStyle w:val="Bibliography"/>
                <w:ind w:left="720" w:hanging="720"/>
                <w:rPr>
                  <w:noProof/>
                </w:rPr>
              </w:pPr>
              <w:r>
                <w:rPr>
                  <w:noProof/>
                </w:rPr>
                <w:t>C-Roads. (2021). C-ITS in Europe is Reality Today. Retrieved from https://www.c-roads.eu/news/News/entry/show/c-its-in-europe-is-reality-today.html</w:t>
              </w:r>
            </w:p>
            <w:p w14:paraId="737D1500" w14:textId="77777777" w:rsidR="001428F9" w:rsidRDefault="001428F9" w:rsidP="001428F9">
              <w:pPr>
                <w:pStyle w:val="Bibliography"/>
                <w:ind w:left="720" w:hanging="720"/>
                <w:rPr>
                  <w:noProof/>
                </w:rPr>
              </w:pPr>
              <w:r>
                <w:rPr>
                  <w:noProof/>
                </w:rPr>
                <w:t xml:space="preserve">C-Roads. (2021). The C-Roads Platform. </w:t>
              </w:r>
              <w:r>
                <w:rPr>
                  <w:i/>
                  <w:iCs/>
                  <w:noProof/>
                </w:rPr>
                <w:t>An overview of harmonised C-ITS deployment in Europe</w:t>
              </w:r>
              <w:r>
                <w:rPr>
                  <w:noProof/>
                </w:rPr>
                <w:t>. Retrieved from https://www.c-roads.eu/fileadmin/user_upload/media/Dokumente/C-Roads_Brochure_2021_final_2.pdf</w:t>
              </w:r>
            </w:p>
            <w:p w14:paraId="209B9990" w14:textId="77777777" w:rsidR="001428F9" w:rsidRDefault="001428F9" w:rsidP="001428F9">
              <w:pPr>
                <w:pStyle w:val="Bibliography"/>
                <w:ind w:left="720" w:hanging="720"/>
                <w:rPr>
                  <w:noProof/>
                </w:rPr>
              </w:pPr>
              <w:r>
                <w:rPr>
                  <w:noProof/>
                </w:rPr>
                <w:t>Customer Service NSW. (2022). Cloud Strategy. Retrieved from https://www.digital.nsw.gov.au/policy/cloud-strategy-and-policy/cloud-strategy</w:t>
              </w:r>
            </w:p>
            <w:p w14:paraId="0C5EE6D5" w14:textId="77777777" w:rsidR="001428F9" w:rsidRDefault="001428F9" w:rsidP="001428F9">
              <w:pPr>
                <w:pStyle w:val="Bibliography"/>
                <w:ind w:left="720" w:hanging="720"/>
                <w:rPr>
                  <w:noProof/>
                </w:rPr>
              </w:pPr>
              <w:r>
                <w:rPr>
                  <w:noProof/>
                </w:rPr>
                <w:t>Department of Communities, Housing and Digital Economy. (2022). Cloud Computing. Retrieved from https://www.qgcio.qld.gov.au/ict-strategy/cloud-computing</w:t>
              </w:r>
            </w:p>
            <w:p w14:paraId="2FCA31BA" w14:textId="77777777" w:rsidR="001428F9" w:rsidRDefault="001428F9" w:rsidP="001428F9">
              <w:pPr>
                <w:pStyle w:val="Bibliography"/>
                <w:ind w:left="720" w:hanging="720"/>
                <w:rPr>
                  <w:noProof/>
                </w:rPr>
              </w:pPr>
              <w:r>
                <w:rPr>
                  <w:noProof/>
                </w:rPr>
                <w:t>Department of the Prime Minister and Cabinet. (2021). Data and Digital Ministers' Meeting Communiqué 13 August 2021. Retrieved from https://www.pmc.gov.au/sites/default/files/publications/20210813-ddmm-communique.pdf</w:t>
              </w:r>
            </w:p>
            <w:p w14:paraId="7AE276D2" w14:textId="77777777" w:rsidR="001428F9" w:rsidRDefault="001428F9" w:rsidP="001428F9">
              <w:pPr>
                <w:pStyle w:val="Bibliography"/>
                <w:ind w:left="720" w:hanging="720"/>
                <w:rPr>
                  <w:noProof/>
                </w:rPr>
              </w:pPr>
              <w:r>
                <w:rPr>
                  <w:noProof/>
                </w:rPr>
                <w:t>DITRDC. (2021). Infrastructure and Transport Ministers' Meeting FRIDAY, 28 May 2021. Retrieved from https://www.infrastructure.gov.au/sites/default/files/documents/15th-infrastructure-and-transport-ministers-meeting-communique-28-may-2021.pdf</w:t>
              </w:r>
            </w:p>
            <w:p w14:paraId="5CF556B7" w14:textId="77777777" w:rsidR="001428F9" w:rsidRDefault="001428F9" w:rsidP="001428F9">
              <w:pPr>
                <w:pStyle w:val="Bibliography"/>
                <w:ind w:left="720" w:hanging="720"/>
                <w:rPr>
                  <w:noProof/>
                </w:rPr>
              </w:pPr>
              <w:r>
                <w:rPr>
                  <w:noProof/>
                </w:rPr>
                <w:t>DTA. (2017). Secure Cloud Strategy. Retrieved from https://dta-www-drupal-20180130215411153400000001.s3.ap-southeast-2.amazonaws.com/s3fs-public/files/cloud/secure-cloud-strategy.pdf</w:t>
              </w:r>
            </w:p>
            <w:p w14:paraId="4B0C9135" w14:textId="77777777" w:rsidR="001428F9" w:rsidRDefault="001428F9" w:rsidP="001428F9">
              <w:pPr>
                <w:pStyle w:val="Bibliography"/>
                <w:ind w:left="720" w:hanging="720"/>
                <w:rPr>
                  <w:noProof/>
                </w:rPr>
              </w:pPr>
              <w:r>
                <w:rPr>
                  <w:noProof/>
                </w:rPr>
                <w:t>ERTRAC. (2019). Connected Automated Drivign Roadmap Version 8. Retrieved from https://www.ertrac.org/uploads/documentsearch/id57/ERTRAC-CAD-Roadmap-2019.pdf</w:t>
              </w:r>
            </w:p>
            <w:p w14:paraId="3C2B7938" w14:textId="77777777" w:rsidR="001428F9" w:rsidRDefault="001428F9" w:rsidP="001428F9">
              <w:pPr>
                <w:pStyle w:val="Bibliography"/>
                <w:ind w:left="720" w:hanging="720"/>
                <w:rPr>
                  <w:noProof/>
                </w:rPr>
              </w:pPr>
              <w:r>
                <w:rPr>
                  <w:noProof/>
                </w:rPr>
                <w:t xml:space="preserve">ETSI. (2009). ETSI TR 102 638 V1.1.1. </w:t>
              </w:r>
              <w:r>
                <w:rPr>
                  <w:i/>
                  <w:iCs/>
                  <w:noProof/>
                </w:rPr>
                <w:t>Intelligent Transport Systems (ITS);Vehicular Communications; Basic Set of Applications; Definitions</w:t>
              </w:r>
              <w:r>
                <w:rPr>
                  <w:noProof/>
                </w:rPr>
                <w:t>. Retrieved from https://www.etsi.org/deliver/etsi_tr/102600_102699/102638/01.01.01_60/tr_102638v010101p.pdf</w:t>
              </w:r>
            </w:p>
            <w:p w14:paraId="6AD62073" w14:textId="77777777" w:rsidR="001428F9" w:rsidRDefault="001428F9" w:rsidP="001428F9">
              <w:pPr>
                <w:pStyle w:val="Bibliography"/>
                <w:ind w:left="720" w:hanging="720"/>
                <w:rPr>
                  <w:noProof/>
                </w:rPr>
              </w:pPr>
              <w:r>
                <w:rPr>
                  <w:noProof/>
                </w:rPr>
                <w:t>European Commission. (2021a). Intelligent transport systems (review of EU rules). Strasbourg. Retrieved March 1, 2021, from https://ec.europa.eu/info/law/better-regulation/have-your-say/initiatives/12534-Intelligent-transport-systems-review-of-EU-rules-_en</w:t>
              </w:r>
            </w:p>
            <w:p w14:paraId="33A7C414" w14:textId="77777777" w:rsidR="001428F9" w:rsidRDefault="001428F9" w:rsidP="001428F9">
              <w:pPr>
                <w:pStyle w:val="Bibliography"/>
                <w:ind w:left="720" w:hanging="720"/>
                <w:rPr>
                  <w:noProof/>
                </w:rPr>
              </w:pPr>
              <w:r>
                <w:rPr>
                  <w:noProof/>
                </w:rPr>
                <w:t xml:space="preserve">European Commission. (2021b). </w:t>
              </w:r>
              <w:r>
                <w:rPr>
                  <w:i/>
                  <w:iCs/>
                  <w:noProof/>
                </w:rPr>
                <w:t>Impact Assessment Report.</w:t>
              </w:r>
              <w:r>
                <w:rPr>
                  <w:noProof/>
                </w:rPr>
                <w:t xml:space="preserve"> Strasbourg: European Commission. Retrieved March 1, 2022, from https://ec.europa.eu/info/law/better-regulation/</w:t>
              </w:r>
            </w:p>
            <w:p w14:paraId="461A071C" w14:textId="77777777" w:rsidR="001428F9" w:rsidRDefault="001428F9" w:rsidP="001428F9">
              <w:pPr>
                <w:pStyle w:val="Bibliography"/>
                <w:ind w:left="720" w:hanging="720"/>
                <w:rPr>
                  <w:noProof/>
                </w:rPr>
              </w:pPr>
              <w:r>
                <w:rPr>
                  <w:noProof/>
                </w:rPr>
                <w:t>European Union. (2010). Directive 2010/40/EU of the European Parliament and of the Council of 7 July 2010 on the framework for the deployment of Intelligent Transport Systems in the field of road transport and for interfaces with other modes of transport Text with EEA relevance. Retrieved from http://data.europa.eu/eli/dir/2010/40/oj</w:t>
              </w:r>
            </w:p>
            <w:p w14:paraId="6F8FA0D3" w14:textId="77777777" w:rsidR="001428F9" w:rsidRDefault="001428F9" w:rsidP="001428F9">
              <w:pPr>
                <w:pStyle w:val="Bibliography"/>
                <w:ind w:left="720" w:hanging="720"/>
                <w:rPr>
                  <w:noProof/>
                </w:rPr>
              </w:pPr>
              <w:r>
                <w:rPr>
                  <w:noProof/>
                </w:rPr>
                <w:t xml:space="preserve">FCAI. (2019). Federal Chamber of Automotive Industries. </w:t>
              </w:r>
              <w:r>
                <w:rPr>
                  <w:i/>
                  <w:iCs/>
                  <w:noProof/>
                </w:rPr>
                <w:t>Representing the Australian automotive industry</w:t>
              </w:r>
              <w:r>
                <w:rPr>
                  <w:noProof/>
                </w:rPr>
                <w:t>. Retrieved from https://www.fcai.com.au/about</w:t>
              </w:r>
            </w:p>
            <w:p w14:paraId="7419AED1" w14:textId="77777777" w:rsidR="001428F9" w:rsidRDefault="001428F9" w:rsidP="001428F9">
              <w:pPr>
                <w:pStyle w:val="Bibliography"/>
                <w:ind w:left="720" w:hanging="720"/>
                <w:rPr>
                  <w:noProof/>
                </w:rPr>
              </w:pPr>
              <w:r>
                <w:rPr>
                  <w:noProof/>
                </w:rPr>
                <w:t xml:space="preserve">FCAI. (2021). Cooperative ITS and associated spectrum considerations. </w:t>
              </w:r>
              <w:r>
                <w:rPr>
                  <w:i/>
                  <w:iCs/>
                  <w:noProof/>
                </w:rPr>
                <w:t>Internally available</w:t>
              </w:r>
              <w:r>
                <w:rPr>
                  <w:noProof/>
                </w:rPr>
                <w:t>.</w:t>
              </w:r>
            </w:p>
            <w:p w14:paraId="185484FC" w14:textId="77777777" w:rsidR="001428F9" w:rsidRDefault="001428F9" w:rsidP="001428F9">
              <w:pPr>
                <w:pStyle w:val="Bibliography"/>
                <w:ind w:left="720" w:hanging="720"/>
                <w:rPr>
                  <w:noProof/>
                </w:rPr>
              </w:pPr>
              <w:r>
                <w:rPr>
                  <w:noProof/>
                </w:rPr>
                <w:t>FCC. (2020). FCC Modernizes 5.9 GHz Band to Improve Wi-Fi and Automotive Safety. Retrieved from https://www.fcc.gov/document/fcc-modernizes-59-ghz-band-improve-wi-fi-and-automotive-safety</w:t>
              </w:r>
            </w:p>
            <w:p w14:paraId="7D7E712A" w14:textId="77777777" w:rsidR="001428F9" w:rsidRDefault="001428F9" w:rsidP="001428F9">
              <w:pPr>
                <w:pStyle w:val="Bibliography"/>
                <w:ind w:left="720" w:hanging="720"/>
                <w:rPr>
                  <w:noProof/>
                </w:rPr>
              </w:pPr>
              <w:r>
                <w:rPr>
                  <w:noProof/>
                </w:rPr>
                <w:t>Federal Chamber of Automotive Industries. (2021). Cooperative ITS and associated spectrum considerations. Retrieved from Internally available</w:t>
              </w:r>
            </w:p>
            <w:p w14:paraId="76C84C3E" w14:textId="77777777" w:rsidR="001428F9" w:rsidRDefault="001428F9" w:rsidP="001428F9">
              <w:pPr>
                <w:pStyle w:val="Bibliography"/>
                <w:ind w:left="720" w:hanging="720"/>
                <w:rPr>
                  <w:noProof/>
                </w:rPr>
              </w:pPr>
              <w:r>
                <w:rPr>
                  <w:noProof/>
                </w:rPr>
                <w:t>Gettman, D. (2020). DSRC and C-V2X: Similarities, Differences, and the Future of Connected Vehicles. Retrieved from https://www.kimley-horn.com/dsrc-cv2x-comparison-future-connected-vehicles/#:~:text=Initial%20tests%20of%20C%2DV2X,for%20the%20key%20safety%20applications</w:t>
              </w:r>
            </w:p>
            <w:p w14:paraId="7D21ED9E" w14:textId="77777777" w:rsidR="001428F9" w:rsidRDefault="001428F9" w:rsidP="001428F9">
              <w:pPr>
                <w:pStyle w:val="Bibliography"/>
                <w:ind w:left="720" w:hanging="720"/>
                <w:rPr>
                  <w:noProof/>
                </w:rPr>
              </w:pPr>
              <w:r>
                <w:rPr>
                  <w:noProof/>
                </w:rPr>
                <w:t>GM. (2019). GM Outlines China Advanced Technology Roadmap for Accelerating “Drive to 2030”. Retrieved from https://media.gm.com/media/cn/en/gm/home.detail.html/content/Pages/news/cn/en/2020/Aug/0819-gm-tech-day.html</w:t>
              </w:r>
            </w:p>
            <w:p w14:paraId="19A5B36C" w14:textId="77777777" w:rsidR="001428F9" w:rsidRDefault="001428F9" w:rsidP="001428F9">
              <w:pPr>
                <w:pStyle w:val="Bibliography"/>
                <w:ind w:left="720" w:hanging="720"/>
                <w:rPr>
                  <w:noProof/>
                </w:rPr>
              </w:pPr>
              <w:r>
                <w:rPr>
                  <w:noProof/>
                </w:rPr>
                <w:t xml:space="preserve">iMove Australia and Department of Transport and Main Roads. (2021). Ipswich Connected Vehicle Pilot. </w:t>
              </w:r>
              <w:r>
                <w:rPr>
                  <w:i/>
                  <w:iCs/>
                  <w:noProof/>
                </w:rPr>
                <w:t>C-ITS component of the Cooperative and Automated Vehicle Initiative: Preliminary Findings for Safety Evaluation and User Perception</w:t>
              </w:r>
              <w:r>
                <w:rPr>
                  <w:noProof/>
                </w:rPr>
                <w:t>. Retrieved from https://imoveaustralia.com/wp-content/uploads/2021/10/Ipswich-Connected-Vehicle-Pilot-C-ITS-Component-webinar-slide-deck-FINAL.pdf</w:t>
              </w:r>
            </w:p>
            <w:p w14:paraId="04E0F4CE" w14:textId="77777777" w:rsidR="001428F9" w:rsidRDefault="001428F9" w:rsidP="001428F9">
              <w:pPr>
                <w:pStyle w:val="Bibliography"/>
                <w:ind w:left="720" w:hanging="720"/>
                <w:rPr>
                  <w:noProof/>
                </w:rPr>
              </w:pPr>
              <w:r>
                <w:rPr>
                  <w:noProof/>
                </w:rPr>
                <w:t>Infrastructure and Transport Ministers. (2021). National Road Safety Strategy 2021-30. Retrieved from https://www.roadsafety.gov.au/sites/default/files/documents/National-Road-Safety-Strategy-2021-30.pdf</w:t>
              </w:r>
            </w:p>
            <w:p w14:paraId="451C29A6" w14:textId="77777777" w:rsidR="001428F9" w:rsidRDefault="001428F9" w:rsidP="001428F9">
              <w:pPr>
                <w:pStyle w:val="Bibliography"/>
                <w:ind w:left="720" w:hanging="720"/>
                <w:rPr>
                  <w:noProof/>
                </w:rPr>
              </w:pPr>
              <w:r>
                <w:rPr>
                  <w:noProof/>
                </w:rPr>
                <w:t xml:space="preserve">Intelligent Transportation Society of America and the American Association of State Highway and Transportation Officials. (2021). Notice of Appeal. </w:t>
              </w:r>
              <w:r>
                <w:rPr>
                  <w:i/>
                  <w:iCs/>
                  <w:noProof/>
                </w:rPr>
                <w:t>Use of the 5.850-5.925 GHz Band</w:t>
              </w:r>
              <w:r>
                <w:rPr>
                  <w:noProof/>
                </w:rPr>
                <w:t>. Retrieved from https://itsa.org/wp-content/uploads/2021/06/5.9-GHz-Notice-of-Appeal-Exhibit.pdf</w:t>
              </w:r>
            </w:p>
            <w:p w14:paraId="6476A297" w14:textId="77777777" w:rsidR="001428F9" w:rsidRDefault="001428F9" w:rsidP="001428F9">
              <w:pPr>
                <w:pStyle w:val="Bibliography"/>
                <w:ind w:left="720" w:hanging="720"/>
                <w:rPr>
                  <w:noProof/>
                </w:rPr>
              </w:pPr>
              <w:r>
                <w:rPr>
                  <w:noProof/>
                </w:rPr>
                <w:t xml:space="preserve">ISO/TR21186-1. (2021). </w:t>
              </w:r>
              <w:r>
                <w:rPr>
                  <w:i/>
                  <w:iCs/>
                  <w:noProof/>
                </w:rPr>
                <w:t>Cooperative intelligent transport systems (C-ITS) — Guidelines on the usage of standards — Part 1: Standardization landscape and releases.</w:t>
              </w:r>
              <w:r>
                <w:rPr>
                  <w:noProof/>
                </w:rPr>
                <w:t xml:space="preserve"> ISO.</w:t>
              </w:r>
            </w:p>
            <w:p w14:paraId="36485A2A" w14:textId="77777777" w:rsidR="001428F9" w:rsidRDefault="001428F9" w:rsidP="001428F9">
              <w:pPr>
                <w:pStyle w:val="Bibliography"/>
                <w:ind w:left="720" w:hanging="720"/>
                <w:rPr>
                  <w:noProof/>
                </w:rPr>
              </w:pPr>
              <w:r>
                <w:rPr>
                  <w:noProof/>
                </w:rPr>
                <w:t>ITS Standards. (2020). Cooperative intelligent transport systems (C-ITS). Retrieved from http://its-standards.info/Guidelines/IntroductionC-ITS.html</w:t>
              </w:r>
            </w:p>
            <w:p w14:paraId="10B7D8E6" w14:textId="77777777" w:rsidR="001428F9" w:rsidRDefault="001428F9" w:rsidP="001428F9">
              <w:pPr>
                <w:pStyle w:val="Bibliography"/>
                <w:ind w:left="720" w:hanging="720"/>
                <w:rPr>
                  <w:noProof/>
                </w:rPr>
              </w:pPr>
              <w:r>
                <w:rPr>
                  <w:noProof/>
                </w:rPr>
                <w:t xml:space="preserve">Korea Bizwire. (2021). Next-generation Intelligence Transport System to be Established Nationwide by 2027. Retrieved from http://koreabizwire.com/next-generation-intelligence-transport-system-to-be-established-nationwide-by-2027/202149 </w:t>
              </w:r>
            </w:p>
            <w:p w14:paraId="7808A8A6" w14:textId="77777777" w:rsidR="001428F9" w:rsidRDefault="001428F9" w:rsidP="001428F9">
              <w:pPr>
                <w:pStyle w:val="Bibliography"/>
                <w:ind w:left="720" w:hanging="720"/>
                <w:rPr>
                  <w:noProof/>
                </w:rPr>
              </w:pPr>
              <w:r>
                <w:rPr>
                  <w:noProof/>
                </w:rPr>
                <w:t xml:space="preserve">Levin, S., Skinner, I., &amp; Nokes, T. (2019). European Commission, Directorate-General for Mobility and Transport. </w:t>
              </w:r>
              <w:r>
                <w:rPr>
                  <w:i/>
                  <w:iCs/>
                  <w:noProof/>
                </w:rPr>
                <w:t>Support study for impact assessment of cooperative intelligent transport systems : final report</w:t>
              </w:r>
              <w:r>
                <w:rPr>
                  <w:noProof/>
                </w:rPr>
                <w:t>. Publications Office. Retrieved from https://data.europa.eu/doi/10.2832/067308</w:t>
              </w:r>
            </w:p>
            <w:p w14:paraId="7F3AD1E0" w14:textId="77777777" w:rsidR="001428F9" w:rsidRDefault="001428F9" w:rsidP="001428F9">
              <w:pPr>
                <w:pStyle w:val="Bibliography"/>
                <w:ind w:left="720" w:hanging="720"/>
                <w:rPr>
                  <w:noProof/>
                </w:rPr>
              </w:pPr>
              <w:r>
                <w:rPr>
                  <w:noProof/>
                </w:rPr>
                <w:t>Lexus Australia et al. (2021). Enabling Infrastructure to Vehicle Communication for Safety Applications of Connected Vehicles in Carlton, Victoria – Initial Test.</w:t>
              </w:r>
            </w:p>
            <w:p w14:paraId="0E927C08" w14:textId="77777777" w:rsidR="001428F9" w:rsidRDefault="001428F9" w:rsidP="001428F9">
              <w:pPr>
                <w:pStyle w:val="Bibliography"/>
                <w:ind w:left="720" w:hanging="720"/>
                <w:rPr>
                  <w:noProof/>
                </w:rPr>
              </w:pPr>
              <w:r>
                <w:rPr>
                  <w:noProof/>
                </w:rPr>
                <w:t>Makano, H. (2017). C-ITS and Connected Automated Driving in Japan. Retrieved from http://www.nilim.go.jp/lab/qcg/japanese/3paper/pdf/2017_13.pdf</w:t>
              </w:r>
            </w:p>
            <w:p w14:paraId="24AD09E9" w14:textId="77777777" w:rsidR="001428F9" w:rsidRDefault="001428F9" w:rsidP="001428F9">
              <w:pPr>
                <w:pStyle w:val="Bibliography"/>
                <w:ind w:left="720" w:hanging="720"/>
                <w:rPr>
                  <w:noProof/>
                </w:rPr>
              </w:pPr>
              <w:r>
                <w:rPr>
                  <w:noProof/>
                </w:rPr>
                <w:t>Mauro, V. (2020). A national ecosystem for the delivery of C-ITS services. Retrieved from https://www.stradeeautostrade.it/en/smart-road-digital-transformation/a-national-ecosystem-for-the-delivery-of-c-its-services/</w:t>
              </w:r>
            </w:p>
            <w:p w14:paraId="1D6202AB" w14:textId="77777777" w:rsidR="001428F9" w:rsidRDefault="001428F9" w:rsidP="001428F9">
              <w:pPr>
                <w:pStyle w:val="Bibliography"/>
                <w:ind w:left="720" w:hanging="720"/>
                <w:rPr>
                  <w:noProof/>
                </w:rPr>
              </w:pPr>
              <w:r>
                <w:rPr>
                  <w:noProof/>
                </w:rPr>
                <w:t>MDOT and CAR. (2017). International Scan of Connected and Automated Vehicle Technology Deployment Efforts. Retrieved from https://www.cargroup.org/wp-content/uploads/2017/04/CAV_International_Survey_2017_555402_7.pdf</w:t>
              </w:r>
            </w:p>
            <w:p w14:paraId="540D177D" w14:textId="77777777" w:rsidR="001428F9" w:rsidRDefault="001428F9" w:rsidP="001428F9">
              <w:pPr>
                <w:pStyle w:val="Bibliography"/>
                <w:ind w:left="720" w:hanging="720"/>
                <w:rPr>
                  <w:noProof/>
                </w:rPr>
              </w:pPr>
              <w:r>
                <w:rPr>
                  <w:noProof/>
                </w:rPr>
                <w:t>Ministry of Land Infrastructure and Transport. (2017). Introduction of Korean ITS. Retrieved from https://www.unescap.org/sites/default/files/Country%20presentation%20-%20Korea.pdf</w:t>
              </w:r>
            </w:p>
            <w:p w14:paraId="154AE730" w14:textId="77777777" w:rsidR="001428F9" w:rsidRDefault="001428F9" w:rsidP="001428F9">
              <w:pPr>
                <w:pStyle w:val="Bibliography"/>
                <w:ind w:left="720" w:hanging="720"/>
                <w:rPr>
                  <w:noProof/>
                </w:rPr>
              </w:pPr>
              <w:r>
                <w:rPr>
                  <w:noProof/>
                </w:rPr>
                <w:t>Ministry of Land, Infrastructure, Transport and Tourism. (2019). White Paper on Land, Infrastructure, Transport and Tourism in Japan. Retrieved from https://www.mlit.go.jp/common/001325161.pdf</w:t>
              </w:r>
            </w:p>
            <w:p w14:paraId="7593C891" w14:textId="77777777" w:rsidR="001428F9" w:rsidRDefault="001428F9" w:rsidP="001428F9">
              <w:pPr>
                <w:pStyle w:val="Bibliography"/>
                <w:ind w:left="720" w:hanging="720"/>
                <w:rPr>
                  <w:noProof/>
                </w:rPr>
              </w:pPr>
              <w:r>
                <w:rPr>
                  <w:noProof/>
                </w:rPr>
                <w:t>MTA Queensland. (2021). Queensland's connected vehicle pilot wraps up. Retrieved from https://www.mtaq.com.au/queenslands-connected-vehicle-pilot-wraps-up/</w:t>
              </w:r>
            </w:p>
            <w:p w14:paraId="4182625B" w14:textId="77777777" w:rsidR="001428F9" w:rsidRDefault="001428F9" w:rsidP="001428F9">
              <w:pPr>
                <w:pStyle w:val="Bibliography"/>
                <w:ind w:left="720" w:hanging="720"/>
                <w:rPr>
                  <w:noProof/>
                </w:rPr>
              </w:pPr>
              <w:r>
                <w:rPr>
                  <w:noProof/>
                </w:rPr>
                <w:t>National Road Safety Strategy. (2021). Fact sheet: Vision Zero and the Safe System. Retrieved from https://www.roadsafety.gov.au/nrss/fact-sheets/vision-zero-safe-system</w:t>
              </w:r>
            </w:p>
            <w:p w14:paraId="42040451" w14:textId="77777777" w:rsidR="001428F9" w:rsidRDefault="001428F9" w:rsidP="001428F9">
              <w:pPr>
                <w:pStyle w:val="Bibliography"/>
                <w:ind w:left="720" w:hanging="720"/>
                <w:rPr>
                  <w:noProof/>
                </w:rPr>
              </w:pPr>
              <w:r>
                <w:rPr>
                  <w:noProof/>
                </w:rPr>
                <w:t>NTC. (2020). Government access to vehicle-generated data. Retrieved from https://www.ntc.gov.au/transport-reform/ntc-projects/government-access-vehicle-generated-data</w:t>
              </w:r>
            </w:p>
            <w:p w14:paraId="2F26674D" w14:textId="77777777" w:rsidR="001428F9" w:rsidRDefault="001428F9" w:rsidP="001428F9">
              <w:pPr>
                <w:pStyle w:val="Bibliography"/>
                <w:ind w:left="720" w:hanging="720"/>
                <w:rPr>
                  <w:noProof/>
                </w:rPr>
              </w:pPr>
              <w:r>
                <w:rPr>
                  <w:noProof/>
                </w:rPr>
                <w:t xml:space="preserve">NXP. (2020). Choosing the right V2X Technology. </w:t>
              </w:r>
              <w:r>
                <w:rPr>
                  <w:i/>
                  <w:iCs/>
                  <w:noProof/>
                </w:rPr>
                <w:t>Straight talk on DSRC and 5G</w:t>
              </w:r>
              <w:r>
                <w:rPr>
                  <w:noProof/>
                </w:rPr>
                <w:t>. Retrieved from https://www.nxp.com/docs/en/supporting-information/CHOOSING-RIGHT-V2X-TECHNOLOGY.pdf</w:t>
              </w:r>
            </w:p>
            <w:p w14:paraId="6F55C093" w14:textId="77777777" w:rsidR="001428F9" w:rsidRDefault="001428F9" w:rsidP="001428F9">
              <w:pPr>
                <w:pStyle w:val="Bibliography"/>
                <w:ind w:left="720" w:hanging="720"/>
                <w:rPr>
                  <w:noProof/>
                </w:rPr>
              </w:pPr>
              <w:r>
                <w:rPr>
                  <w:noProof/>
                </w:rPr>
                <w:t>Omniair Consortium. (2021). Reservations for certification testing for C-V2X Devices and Dual-Use RSUS. Retrieved from https://omniair.org/reservations-for-c-v2x-and-dual-use-certification/</w:t>
              </w:r>
            </w:p>
            <w:p w14:paraId="47C9ABCE" w14:textId="77777777" w:rsidR="001428F9" w:rsidRDefault="001428F9" w:rsidP="001428F9">
              <w:pPr>
                <w:pStyle w:val="Bibliography"/>
                <w:ind w:left="720" w:hanging="720"/>
                <w:rPr>
                  <w:noProof/>
                </w:rPr>
              </w:pPr>
              <w:r>
                <w:rPr>
                  <w:noProof/>
                </w:rPr>
                <w:t>Qualcomm. (2020). C-V2X delivers outstanding performance for automotive safety. Retrieved from https://www.qualcomm.com/news/onq/2020/11/19/c-v2x-delivers-outstanding-performance-automotive-safety</w:t>
              </w:r>
            </w:p>
            <w:p w14:paraId="1ED0E6F6" w14:textId="77777777" w:rsidR="001428F9" w:rsidRDefault="001428F9" w:rsidP="001428F9">
              <w:pPr>
                <w:pStyle w:val="Bibliography"/>
                <w:ind w:left="720" w:hanging="720"/>
                <w:rPr>
                  <w:noProof/>
                </w:rPr>
              </w:pPr>
              <w:r>
                <w:rPr>
                  <w:noProof/>
                </w:rPr>
                <w:t xml:space="preserve">Queensland Government. (2022a). CAVI components. Retrieved from https://www.qld.gov.au/transport/projects/cavi/cavi-components </w:t>
              </w:r>
            </w:p>
            <w:p w14:paraId="4F393F23" w14:textId="77777777" w:rsidR="001428F9" w:rsidRDefault="001428F9" w:rsidP="001428F9">
              <w:pPr>
                <w:pStyle w:val="Bibliography"/>
                <w:ind w:left="720" w:hanging="720"/>
                <w:rPr>
                  <w:noProof/>
                </w:rPr>
              </w:pPr>
              <w:r>
                <w:rPr>
                  <w:noProof/>
                </w:rPr>
                <w:t>Queensland Government. (2022b). Ipswich Connected Vehicle Pilot. Retrieved from https://www.qld.gov.au/transport/projects/cavi/ipswich-connected-vehicle-pilot</w:t>
              </w:r>
            </w:p>
            <w:p w14:paraId="6237FE66" w14:textId="77777777" w:rsidR="001428F9" w:rsidRDefault="001428F9" w:rsidP="001428F9">
              <w:pPr>
                <w:pStyle w:val="Bibliography"/>
                <w:ind w:left="720" w:hanging="720"/>
                <w:rPr>
                  <w:noProof/>
                </w:rPr>
              </w:pPr>
              <w:r>
                <w:rPr>
                  <w:noProof/>
                </w:rPr>
                <w:t xml:space="preserve">SAE International. (2022). About CAVSource. </w:t>
              </w:r>
              <w:r>
                <w:rPr>
                  <w:i/>
                  <w:iCs/>
                  <w:noProof/>
                </w:rPr>
                <w:t>See where CAV is heading</w:t>
              </w:r>
              <w:r>
                <w:rPr>
                  <w:noProof/>
                </w:rPr>
                <w:t>. Retrieved from https://www.sae.org/highlights/cav-source</w:t>
              </w:r>
            </w:p>
            <w:p w14:paraId="19278359" w14:textId="77777777" w:rsidR="001428F9" w:rsidRDefault="001428F9" w:rsidP="001428F9">
              <w:pPr>
                <w:pStyle w:val="Bibliography"/>
                <w:ind w:left="720" w:hanging="720"/>
                <w:rPr>
                  <w:noProof/>
                </w:rPr>
              </w:pPr>
              <w:r>
                <w:rPr>
                  <w:noProof/>
                </w:rPr>
                <w:t>TCA. (2018). Key decisions to progress Australian deployment of a security credential management system (SCMS). Retrieved from https://tca.gov.au/wp-content/uploads/2020/01/ExecutiveCompanion-SCMS-TCA.pdf</w:t>
              </w:r>
            </w:p>
            <w:p w14:paraId="1BE69D37" w14:textId="77777777" w:rsidR="001428F9" w:rsidRDefault="001428F9" w:rsidP="001428F9">
              <w:pPr>
                <w:pStyle w:val="Bibliography"/>
                <w:ind w:left="720" w:hanging="720"/>
                <w:rPr>
                  <w:noProof/>
                </w:rPr>
              </w:pPr>
              <w:r>
                <w:rPr>
                  <w:noProof/>
                </w:rPr>
                <w:t>TfNSW. (2019). Cooperative Intelligent Transport Initiative (CITI). Retrieved from https://roadsafety.transport.nsw.gov.au/downloads/citi-overview.pdf</w:t>
              </w:r>
            </w:p>
            <w:p w14:paraId="7929FD13" w14:textId="77777777" w:rsidR="001428F9" w:rsidRDefault="001428F9" w:rsidP="001428F9">
              <w:pPr>
                <w:pStyle w:val="Bibliography"/>
                <w:ind w:left="720" w:hanging="720"/>
                <w:rPr>
                  <w:noProof/>
                </w:rPr>
              </w:pPr>
              <w:r>
                <w:rPr>
                  <w:noProof/>
                </w:rPr>
                <w:t>TfNSW. (2021). Smart-cities traffic management technology set for major upgrade. Retrieved from https://www.transport.nsw.gov.au/news-and-events/media-releases/smart-cities-traffic-management-technology-set-for-major-upgrade</w:t>
              </w:r>
            </w:p>
            <w:p w14:paraId="5ADEC7A6" w14:textId="77777777" w:rsidR="001428F9" w:rsidRDefault="001428F9" w:rsidP="001428F9">
              <w:pPr>
                <w:pStyle w:val="Bibliography"/>
                <w:ind w:left="720" w:hanging="720"/>
                <w:rPr>
                  <w:noProof/>
                </w:rPr>
              </w:pPr>
              <w:r>
                <w:rPr>
                  <w:noProof/>
                </w:rPr>
                <w:t>The University of Melbourne. (2022). AIMES. Retrieved from http://www.aimes.com.au/</w:t>
              </w:r>
            </w:p>
            <w:p w14:paraId="2F9E0DFD" w14:textId="77777777" w:rsidR="001428F9" w:rsidRDefault="001428F9" w:rsidP="001428F9">
              <w:pPr>
                <w:pStyle w:val="Bibliography"/>
                <w:ind w:left="720" w:hanging="720"/>
                <w:rPr>
                  <w:noProof/>
                </w:rPr>
              </w:pPr>
              <w:r>
                <w:rPr>
                  <w:noProof/>
                </w:rPr>
                <w:t>Transport and Infrastructure Council. (2019). National Land Transport Technology Action Plan 2020-2023. Canberra, ACT: DITRDC. Retrieved from https://www.infrastructure.gov.au/infrastructure-transport-vehicles/transport-strategy-policy/office-future-transport-technology/national-land-transport-technology-action-plan</w:t>
              </w:r>
            </w:p>
            <w:p w14:paraId="5D8B5EDA" w14:textId="77777777" w:rsidR="001428F9" w:rsidRDefault="001428F9" w:rsidP="001428F9">
              <w:pPr>
                <w:pStyle w:val="Bibliography"/>
                <w:ind w:left="720" w:hanging="720"/>
                <w:rPr>
                  <w:noProof/>
                </w:rPr>
              </w:pPr>
              <w:r>
                <w:rPr>
                  <w:noProof/>
                </w:rPr>
                <w:t>UNECE. (2006). Regulation and Standard Setting in Australia. Retrieved from https://unece.org/DAM/trans/doc/2006/wp29/WP29-139-17e.pdf</w:t>
              </w:r>
            </w:p>
            <w:p w14:paraId="46C2B706" w14:textId="77777777" w:rsidR="001428F9" w:rsidRDefault="001428F9" w:rsidP="001428F9">
              <w:pPr>
                <w:pStyle w:val="Bibliography"/>
                <w:ind w:left="720" w:hanging="720"/>
                <w:rPr>
                  <w:noProof/>
                </w:rPr>
              </w:pPr>
              <w:r>
                <w:rPr>
                  <w:noProof/>
                </w:rPr>
                <w:t xml:space="preserve">UNECE. (2010). WP.29 - Introduction. </w:t>
              </w:r>
              <w:r>
                <w:rPr>
                  <w:i/>
                  <w:iCs/>
                  <w:noProof/>
                </w:rPr>
                <w:t>World Forum for Harmonization of Vehicle Regulations (WP.29)</w:t>
              </w:r>
              <w:r>
                <w:rPr>
                  <w:noProof/>
                </w:rPr>
                <w:t>. Retrieved from https://unece.org/wp29-introduction</w:t>
              </w:r>
            </w:p>
            <w:p w14:paraId="36F43540" w14:textId="77777777" w:rsidR="001428F9" w:rsidRDefault="001428F9" w:rsidP="001428F9">
              <w:pPr>
                <w:pStyle w:val="Bibliography"/>
                <w:ind w:left="720" w:hanging="720"/>
                <w:rPr>
                  <w:noProof/>
                </w:rPr>
              </w:pPr>
              <w:r>
                <w:rPr>
                  <w:noProof/>
                </w:rPr>
                <w:t xml:space="preserve">UNECE. (2021). Working Party on Automated/Autonomous and Connected Vehicles - Introduction. Retrieved from https://unece.org/transport/vehicle-regulations/working-party-automatedautonomous-and-connected-vehicles-introduction </w:t>
              </w:r>
            </w:p>
            <w:p w14:paraId="51ABAA72" w14:textId="77777777" w:rsidR="001428F9" w:rsidRDefault="001428F9" w:rsidP="001428F9">
              <w:pPr>
                <w:pStyle w:val="Bibliography"/>
                <w:ind w:left="720" w:hanging="720"/>
                <w:rPr>
                  <w:noProof/>
                </w:rPr>
              </w:pPr>
              <w:r>
                <w:rPr>
                  <w:noProof/>
                </w:rPr>
                <w:t>USDOT. (2020). The Safety Band at Work: Current Deployments. Retrieved from https://www.transportation.gov/sites/dot.gov/files/pictures/CV%20Deployment%20Map%201-2020.jpg</w:t>
              </w:r>
            </w:p>
            <w:p w14:paraId="41B6BB38" w14:textId="77777777" w:rsidR="001428F9" w:rsidRDefault="001428F9" w:rsidP="001428F9">
              <w:pPr>
                <w:pStyle w:val="Bibliography"/>
                <w:ind w:left="720" w:hanging="720"/>
                <w:rPr>
                  <w:noProof/>
                </w:rPr>
              </w:pPr>
              <w:r>
                <w:rPr>
                  <w:noProof/>
                </w:rPr>
                <w:t>USDOT. (2021). Interactive Connected Vehicle Deployment Map. Retrieved from https://www.transportation.gov/research-and-technology/interactive-connected-vehicle-deployment-map</w:t>
              </w:r>
            </w:p>
            <w:p w14:paraId="1A392B16" w14:textId="77777777" w:rsidR="001428F9" w:rsidRDefault="001428F9" w:rsidP="001428F9">
              <w:pPr>
                <w:pStyle w:val="Bibliography"/>
                <w:ind w:left="720" w:hanging="720"/>
                <w:rPr>
                  <w:noProof/>
                </w:rPr>
              </w:pPr>
              <w:r>
                <w:rPr>
                  <w:noProof/>
                </w:rPr>
                <w:t>Zenzic. (2021). Roadmap. Retrieved from https://zenzic.io/roadmap/</w:t>
              </w:r>
            </w:p>
            <w:p w14:paraId="5608D5D2" w14:textId="53373195" w:rsidR="00F409AA" w:rsidRDefault="00D56F7C" w:rsidP="001428F9">
              <w:r>
                <w:rPr>
                  <w:b/>
                  <w:bCs/>
                  <w:noProof/>
                </w:rPr>
                <w:fldChar w:fldCharType="end"/>
              </w:r>
            </w:p>
          </w:sdtContent>
        </w:sdt>
      </w:sdtContent>
    </w:sdt>
    <w:p w14:paraId="115D76BD" w14:textId="265674E8" w:rsidR="00F409AA" w:rsidRPr="005764FC" w:rsidRDefault="00F409AA" w:rsidP="00F409AA">
      <w:pPr>
        <w:pStyle w:val="ListNumber"/>
        <w:numPr>
          <w:ilvl w:val="0"/>
          <w:numId w:val="0"/>
        </w:numPr>
        <w:ind w:left="360" w:hanging="360"/>
        <w:sectPr w:rsidR="00F409AA" w:rsidRPr="005764FC" w:rsidSect="001428F9">
          <w:footerReference w:type="even" r:id="rId92"/>
          <w:pgSz w:w="11907" w:h="16839" w:code="9"/>
          <w:pgMar w:top="1418" w:right="1077" w:bottom="737" w:left="1077" w:header="720" w:footer="720" w:gutter="0"/>
          <w:pgNumType w:start="1"/>
          <w:cols w:space="708"/>
          <w:docGrid w:linePitch="360"/>
        </w:sectPr>
      </w:pPr>
    </w:p>
    <w:bookmarkEnd w:id="314"/>
    <w:bookmarkEnd w:id="313"/>
    <w:bookmarkEnd w:id="312"/>
    <w:bookmarkEnd w:id="311"/>
    <w:bookmarkEnd w:id="310"/>
    <w:bookmarkEnd w:id="309"/>
    <w:bookmarkEnd w:id="308"/>
    <w:bookmarkEnd w:id="307"/>
    <w:bookmarkEnd w:id="306"/>
    <w:bookmarkEnd w:id="305"/>
    <w:p w14:paraId="26A7EAA1" w14:textId="3B290695" w:rsidR="00C94F16" w:rsidRPr="005764FC" w:rsidRDefault="003C7FD5" w:rsidP="003C7FD5">
      <w:pPr>
        <w:pStyle w:val="BodyText"/>
        <w:rPr>
          <w:lang w:eastAsia="fr-CA"/>
        </w:rPr>
      </w:pPr>
      <w:r w:rsidRPr="005764FC">
        <w:rPr>
          <w:noProof/>
          <w:lang w:eastAsia="en-AU"/>
        </w:rPr>
        <mc:AlternateContent>
          <mc:Choice Requires="wpc">
            <w:drawing>
              <wp:anchor distT="3600450" distB="360045" distL="114300" distR="114300" simplePos="0" relativeHeight="251658242" behindDoc="0" locked="1" layoutInCell="1" allowOverlap="1" wp14:anchorId="1F21CC44" wp14:editId="3BD05810">
                <wp:simplePos x="0" y="0"/>
                <wp:positionH relativeFrom="page">
                  <wp:align>left</wp:align>
                </wp:positionH>
                <wp:positionV relativeFrom="page">
                  <wp:align>top</wp:align>
                </wp:positionV>
                <wp:extent cx="7560000" cy="10692000"/>
                <wp:effectExtent l="0" t="0" r="3175" b="0"/>
                <wp:wrapTopAndBottom/>
                <wp:docPr id="31" name="Back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9" name="Text Box 29" descr="About us - WSP is one of the world's leading professional services consulting firms. We are dedicated to our local communities and propelled by international brainpower. We are technical experts and strategic advisors including engineers, technicians, scientists, planners, surveyors and environmental specialists, as well as other design, program and construction management professionals. We design lasting solutions in the Transport &amp; Water, Property &amp; Buildings, Earth &amp; Environment, and Mining &amp; Power sector as well as offering strategic Advisory, Engagement &amp; Digital services. With approximately 6,100 talented people in more than 50 offices in Australia and New Zealand, we engineer future ready projects that will help societies grow for lifetimes to come. www.wsp.com/en-au/"/>
                        <wps:cNvSpPr txBox="1"/>
                        <wps:spPr>
                          <a:xfrm>
                            <a:off x="726875" y="1073150"/>
                            <a:ext cx="5659200" cy="54684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Look w:val="04A0" w:firstRow="1" w:lastRow="0" w:firstColumn="1" w:lastColumn="0" w:noHBand="0" w:noVBand="1"/>
                              </w:tblPr>
                              <w:tblGrid>
                                <w:gridCol w:w="3499"/>
                                <w:gridCol w:w="5290"/>
                              </w:tblGrid>
                              <w:tr w:rsidR="003251DE" w:rsidRPr="00A30277" w14:paraId="5FF5345D" w14:textId="77777777" w:rsidTr="00710D11">
                                <w:trPr>
                                  <w:trHeight w:hRule="exact" w:val="5760"/>
                                </w:trPr>
                                <w:tc>
                                  <w:tcPr>
                                    <w:tcW w:w="3600" w:type="dxa"/>
                                  </w:tcPr>
                                  <w:p w14:paraId="0CBE48BF" w14:textId="77777777" w:rsidR="003251DE" w:rsidRPr="004B666A" w:rsidRDefault="003251DE" w:rsidP="00710D11">
                                    <w:pPr>
                                      <w:spacing w:before="120" w:after="120"/>
                                      <w:rPr>
                                        <w:rFonts w:asciiTheme="majorHAnsi" w:hAnsiTheme="majorHAnsi" w:cstheme="majorHAnsi"/>
                                        <w:b/>
                                        <w:caps/>
                                        <w:color w:val="F9423A" w:themeColor="text2"/>
                                        <w:sz w:val="24"/>
                                        <w:szCs w:val="24"/>
                                      </w:rPr>
                                    </w:pPr>
                                    <w:r w:rsidRPr="004B666A">
                                      <w:rPr>
                                        <w:rFonts w:asciiTheme="majorHAnsi" w:hAnsiTheme="majorHAnsi" w:cstheme="majorHAnsi"/>
                                        <w:b/>
                                        <w:color w:val="F9423A" w:themeColor="text2"/>
                                        <w:sz w:val="24"/>
                                        <w:szCs w:val="24"/>
                                      </w:rPr>
                                      <w:t>About Us</w:t>
                                    </w:r>
                                  </w:p>
                                </w:tc>
                                <w:tc>
                                  <w:tcPr>
                                    <w:tcW w:w="5429" w:type="dxa"/>
                                  </w:tcPr>
                                  <w:sdt>
                                    <w:sdtPr>
                                      <w:alias w:val="Boilerplate"/>
                                      <w:tag w:val="Boilerplate"/>
                                      <w:id w:val="-2031405345"/>
                                      <w:placeholder>
                                        <w:docPart w:val="F40F9EB9B72D4028A4C31F0EE8B13DBD"/>
                                      </w:placeholder>
                                      <w:text/>
                                    </w:sdtPr>
                                    <w:sdtContent>
                                      <w:p w14:paraId="7AF97E4E" w14:textId="77777777" w:rsidR="003251DE" w:rsidRPr="00CE2A85" w:rsidRDefault="003251DE" w:rsidP="00710D11">
                                        <w:pPr>
                                          <w:spacing w:before="120" w:after="120" w:line="240" w:lineRule="auto"/>
                                        </w:pPr>
                                        <w:r w:rsidRPr="00DC4209">
                                          <w:t>WSP is one of the world's leading professional services consulting firms. We are dedicated to our local communities and</w:t>
                                        </w:r>
                                        <w:r>
                                          <w:t> </w:t>
                                        </w:r>
                                        <w:r w:rsidRPr="00DC4209">
                                          <w:t>propelled by international brainpower. We are technical experts and strategic advisors including engineers, technicians, scientists, planners, surveyors and environmental specialists, as</w:t>
                                        </w:r>
                                        <w:r>
                                          <w:t> </w:t>
                                        </w:r>
                                        <w:r w:rsidRPr="00DC4209">
                                          <w:t>well as other design, program and construction management professionals. We design lasting solutions in the Transport &amp; Water, Property &amp; Buildings, Earth &amp; Environment, and Mining</w:t>
                                        </w:r>
                                        <w:r>
                                          <w:t> </w:t>
                                        </w:r>
                                        <w:r w:rsidRPr="00DC4209">
                                          <w:t>&amp; Power sector as well as offering strategic Advisory, Engagement &amp; Digital services. With approximately 6,100 talented people in more than 50 offices in Australia and New Zealand, we engineer future ready projects that will help societies grow for lifetimes to come. www.wsp.com/en-au</w:t>
                                        </w:r>
                                        <w:r>
                                          <w:t>/</w:t>
                                        </w:r>
                                        <w:r w:rsidRPr="00DC4209">
                                          <w:t xml:space="preserve">. </w:t>
                                        </w:r>
                                      </w:p>
                                    </w:sdtContent>
                                  </w:sdt>
                                  <w:p w14:paraId="506F7C02" w14:textId="77777777" w:rsidR="003251DE" w:rsidRPr="00A30277" w:rsidRDefault="003251DE" w:rsidP="00710D11"/>
                                </w:tc>
                              </w:tr>
                              <w:tr w:rsidR="003251DE" w:rsidRPr="00D734F1" w14:paraId="19773B1A" w14:textId="77777777" w:rsidTr="00710D11">
                                <w:trPr>
                                  <w:trHeight w:val="1791"/>
                                </w:trPr>
                                <w:tc>
                                  <w:tcPr>
                                    <w:tcW w:w="9029" w:type="dxa"/>
                                    <w:gridSpan w:val="2"/>
                                  </w:tcPr>
                                  <w:p w14:paraId="5CE6B33E" w14:textId="77777777" w:rsidR="003251DE" w:rsidRPr="00DB1C27" w:rsidRDefault="003251DE" w:rsidP="00710D11">
                                    <w:pPr>
                                      <w:pStyle w:val="BodyText"/>
                                    </w:pPr>
                                  </w:p>
                                </w:tc>
                              </w:tr>
                            </w:tbl>
                            <w:p w14:paraId="0E23054D" w14:textId="77777777" w:rsidR="003251DE" w:rsidRDefault="003251DE"/>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30" name="Logo 1" descr="WSP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914399" y="9775190"/>
                            <a:ext cx="961200" cy="457200"/>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F21CC44" id="BackCover" o:spid="_x0000_s1026" editas="canvas" style="position:absolute;margin-left:0;margin-top:0;width:595.3pt;height:841.9pt;z-index:251658242;mso-wrap-distance-top:283.5pt;mso-wrap-distance-bottom:28.35pt;mso-position-horizontal:left;mso-position-horizontal-relative:page;mso-position-vertical:top;mso-position-vertical-relative:page;mso-width-relative:margin;mso-height-relative:margin"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">
                <v:shape id="_x0000_s1027" type="#_x0000_t75" style="position:absolute;width:75596;height:106914;visibility:visible;mso-wrap-style:square" filled="t">
                  <v:fill o:detectmouseclick="t"/>
                  <v:path o:connecttype="none"/>
                </v:shape>
                <v:shapetype id="_x0000_t202" coordsize="21600,21600" o:spt="202" path="m,l,21600r21600,l21600,xe">
                  <v:stroke joinstyle="miter"/>
                  <v:path gradientshapeok="t" o:connecttype="rect"/>
                </v:shapetype>
                <v:shape id="Text Box 29" o:spid="_x0000_s1028" type="#_x0000_t202" alt="About us - WSP is one of the world's leading professional services consulting firms. We are dedicated to our local communities and propelled by international brainpower. We are technical experts and strategic advisors including engineers, technicians, scientists, planners, surveyors and environmental specialists, as well as other design, program and construction management professionals. We design lasting solutions in the Transport &amp; Water, Property &amp; Buildings, Earth &amp; Environment, and Mining &amp; Power sector as well as offering strategic Advisory, Engagement &amp; Digital services. With approximately 6,100 talented people in more than 50 offices in Australia and New Zealand, we engineer future ready projects that will help societies grow for lifetimes to come. www.wsp.com/en-au/" style="position:absolute;left:7268;top:10731;width:56592;height:5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" stroked="f" strokeweight=".5pt">
                  <v:textbox inset="1mm,1mm,1mm,1mm">
                    <w:txbxContent>
                      <w:tbl>
                        <w:tblPr>
                          <w:tblW w:w="5000" w:type="pct"/>
                          <w:tblLook w:val="04A0" w:firstRow="1" w:lastRow="0" w:firstColumn="1" w:lastColumn="0" w:noHBand="0" w:noVBand="1"/>
                        </w:tblPr>
                        <w:tblGrid>
                          <w:gridCol w:w="3499"/>
                          <w:gridCol w:w="5290"/>
                        </w:tblGrid>
                        <w:tr w:rsidR="003251DE" w:rsidRPr="00A30277" w14:paraId="5FF5345D" w14:textId="77777777" w:rsidTr="00710D11">
                          <w:trPr>
                            <w:trHeight w:hRule="exact" w:val="5760"/>
                          </w:trPr>
                          <w:tc>
                            <w:tcPr>
                              <w:tcW w:w="3600" w:type="dxa"/>
                            </w:tcPr>
                            <w:p w14:paraId="0CBE48BF" w14:textId="77777777" w:rsidR="003251DE" w:rsidRPr="004B666A" w:rsidRDefault="003251DE" w:rsidP="00710D11">
                              <w:pPr>
                                <w:spacing w:before="120" w:after="120"/>
                                <w:rPr>
                                  <w:rFonts w:asciiTheme="majorHAnsi" w:hAnsiTheme="majorHAnsi" w:cstheme="majorHAnsi"/>
                                  <w:b/>
                                  <w:caps/>
                                  <w:color w:val="F9423A" w:themeColor="text2"/>
                                  <w:sz w:val="24"/>
                                  <w:szCs w:val="24"/>
                                </w:rPr>
                              </w:pPr>
                              <w:r w:rsidRPr="004B666A">
                                <w:rPr>
                                  <w:rFonts w:asciiTheme="majorHAnsi" w:hAnsiTheme="majorHAnsi" w:cstheme="majorHAnsi"/>
                                  <w:b/>
                                  <w:color w:val="F9423A" w:themeColor="text2"/>
                                  <w:sz w:val="24"/>
                                  <w:szCs w:val="24"/>
                                </w:rPr>
                                <w:t>About Us</w:t>
                              </w:r>
                            </w:p>
                          </w:tc>
                          <w:tc>
                            <w:tcPr>
                              <w:tcW w:w="5429" w:type="dxa"/>
                            </w:tcPr>
                            <w:sdt>
                              <w:sdtPr>
                                <w:alias w:val="Boilerplate"/>
                                <w:tag w:val="Boilerplate"/>
                                <w:id w:val="-2031405345"/>
                                <w:placeholder>
                                  <w:docPart w:val="F40F9EB9B72D4028A4C31F0EE8B13DBD"/>
                                </w:placeholder>
                                <w:text/>
                              </w:sdtPr>
                              <w:sdtContent>
                                <w:p w14:paraId="7AF97E4E" w14:textId="77777777" w:rsidR="003251DE" w:rsidRPr="00CE2A85" w:rsidRDefault="003251DE" w:rsidP="00710D11">
                                  <w:pPr>
                                    <w:spacing w:before="120" w:after="120" w:line="240" w:lineRule="auto"/>
                                  </w:pPr>
                                  <w:r w:rsidRPr="00DC4209">
                                    <w:t>WSP is one of the world's leading professional services consulting firms. We are dedicated to our local communities and</w:t>
                                  </w:r>
                                  <w:r>
                                    <w:t> </w:t>
                                  </w:r>
                                  <w:r w:rsidRPr="00DC4209">
                                    <w:t>propelled by international brainpower. We are technical experts and strategic advisors including engineers, technicians, scientists, planners, surveyors and environmental specialists, as</w:t>
                                  </w:r>
                                  <w:r>
                                    <w:t> </w:t>
                                  </w:r>
                                  <w:r w:rsidRPr="00DC4209">
                                    <w:t>well as other design, program and construction management professionals. We design lasting solutions in the Transport &amp; Water, Property &amp; Buildings, Earth &amp; Environment, and Mining</w:t>
                                  </w:r>
                                  <w:r>
                                    <w:t> </w:t>
                                  </w:r>
                                  <w:r w:rsidRPr="00DC4209">
                                    <w:t>&amp; Power sector as well as offering strategic Advisory, Engagement &amp; Digital services. With approximately 6,100 talented people in more than 50 offices in Australia and New Zealand, we engineer future ready projects that will help societies grow for lifetimes to come. www.wsp.com/en-au</w:t>
                                  </w:r>
                                  <w:r>
                                    <w:t>/</w:t>
                                  </w:r>
                                  <w:r w:rsidRPr="00DC4209">
                                    <w:t xml:space="preserve">. </w:t>
                                  </w:r>
                                </w:p>
                              </w:sdtContent>
                            </w:sdt>
                            <w:p w14:paraId="506F7C02" w14:textId="77777777" w:rsidR="003251DE" w:rsidRPr="00A30277" w:rsidRDefault="003251DE" w:rsidP="00710D11"/>
                          </w:tc>
                        </w:tr>
                        <w:tr w:rsidR="003251DE" w:rsidRPr="00D734F1" w14:paraId="19773B1A" w14:textId="77777777" w:rsidTr="00710D11">
                          <w:trPr>
                            <w:trHeight w:val="1791"/>
                          </w:trPr>
                          <w:tc>
                            <w:tcPr>
                              <w:tcW w:w="9029" w:type="dxa"/>
                              <w:gridSpan w:val="2"/>
                            </w:tcPr>
                            <w:p w14:paraId="5CE6B33E" w14:textId="77777777" w:rsidR="003251DE" w:rsidRPr="00DB1C27" w:rsidRDefault="003251DE" w:rsidP="00710D11">
                              <w:pPr>
                                <w:pStyle w:val="BodyText"/>
                              </w:pPr>
                            </w:p>
                          </w:tc>
                        </w:tr>
                      </w:tbl>
                      <w:p w14:paraId="0E23054D" w14:textId="77777777" w:rsidR="003251DE" w:rsidRDefault="003251DE"/>
                    </w:txbxContent>
                  </v:textbox>
                </v:shape>
                <v:shape id="Logo 1" o:spid="_x0000_s1029" type="#_x0000_t75" alt="WSP logo." style="position:absolute;left:9143;top:97751;width:9612;height:4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">
                  <v:imagedata r:id="rId93" o:title="WSP logo"/>
                </v:shape>
                <w10:wrap type="topAndBottom" anchorx="page" anchory="page"/>
                <w10:anchorlock/>
              </v:group>
            </w:pict>
          </mc:Fallback>
        </mc:AlternateContent>
      </w:r>
    </w:p>
    <w:sectPr w:rsidR="00C94F16" w:rsidRPr="005764FC" w:rsidSect="001428F9">
      <w:headerReference w:type="default" r:id="rId94"/>
      <w:pgSz w:w="11907" w:h="16839" w:code="9"/>
      <w:pgMar w:top="1417" w:right="1077" w:bottom="737"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32604" w14:textId="77777777" w:rsidR="003251DE" w:rsidRDefault="003251DE" w:rsidP="00B30D49">
      <w:r>
        <w:separator/>
      </w:r>
    </w:p>
    <w:p w14:paraId="3EF641AB" w14:textId="77777777" w:rsidR="003251DE" w:rsidRDefault="003251DE"/>
  </w:endnote>
  <w:endnote w:type="continuationSeparator" w:id="0">
    <w:p w14:paraId="68B74136" w14:textId="77777777" w:rsidR="003251DE" w:rsidRDefault="003251DE" w:rsidP="00B30D49">
      <w:r>
        <w:continuationSeparator/>
      </w:r>
    </w:p>
    <w:p w14:paraId="594DAB14" w14:textId="77777777" w:rsidR="003251DE" w:rsidRDefault="003251DE"/>
  </w:endnote>
  <w:endnote w:type="continuationNotice" w:id="1">
    <w:p w14:paraId="5542C9F8" w14:textId="77777777" w:rsidR="003251DE" w:rsidRDefault="003251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Gra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D9FFF" w14:textId="246F85ED" w:rsidR="003251DE" w:rsidRDefault="003251DE" w:rsidP="00CC730C">
    <w:pPr>
      <w:pStyle w:val="FooterTextLeft"/>
      <w:spacing w:befor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14B6D" w14:textId="77777777" w:rsidR="003251DE" w:rsidRPr="009B027D" w:rsidRDefault="003251DE" w:rsidP="009B027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Placeholder"/>
      <w:tblpPr w:vertAnchor="page" w:horzAnchor="margin" w:tblpYSpec="bottom"/>
      <w:tblOverlap w:val="never"/>
      <w:tblW w:w="0" w:type="auto"/>
      <w:tblCellMar>
        <w:bottom w:w="510" w:type="dxa"/>
      </w:tblCellMar>
      <w:tblLook w:val="04A0" w:firstRow="1" w:lastRow="0" w:firstColumn="1" w:lastColumn="0" w:noHBand="0" w:noVBand="1"/>
    </w:tblPr>
    <w:tblGrid>
      <w:gridCol w:w="2494"/>
    </w:tblGrid>
    <w:tr w:rsidR="003251DE" w:rsidRPr="00CB17DB" w14:paraId="1F80FABF" w14:textId="77777777" w:rsidTr="00AC421A">
      <w:tc>
        <w:tcPr>
          <w:tcW w:w="2494" w:type="dxa"/>
        </w:tcPr>
        <w:p w14:paraId="7080C509" w14:textId="77777777" w:rsidR="003251DE" w:rsidRPr="002F5A42" w:rsidRDefault="003251DE" w:rsidP="00751750">
          <w:pPr>
            <w:pStyle w:val="FooterTextLeft"/>
            <w:rPr>
              <w:color w:val="F9423A" w:themeColor="accent1"/>
            </w:rPr>
          </w:pPr>
          <w:bookmarkStart w:id="315" w:name="_Hlk43187630"/>
          <w:bookmarkStart w:id="316" w:name="_Hlk43187631"/>
          <w:bookmarkStart w:id="317" w:name="_Hlk87345783"/>
          <w:bookmarkStart w:id="318" w:name="_Hlk87345784"/>
          <w:bookmarkStart w:id="319" w:name="_Hlk87350867"/>
          <w:bookmarkStart w:id="320" w:name="_Hlk87350868"/>
          <w:r w:rsidRPr="002F5A42">
            <w:rPr>
              <w:color w:val="F9423A" w:themeColor="accent1"/>
            </w:rPr>
            <w:t>WSP</w:t>
          </w:r>
        </w:p>
        <w:p w14:paraId="1713DE1D" w14:textId="3871A200" w:rsidR="003251DE" w:rsidRDefault="003251DE" w:rsidP="00751750">
          <w:pPr>
            <w:pStyle w:val="FooterTextLeft"/>
          </w:pPr>
          <w:fldSimple w:instr="COMMENTS   \* MERGEFORMAT">
            <w:r>
              <w:t>March 2022</w:t>
            </w:r>
          </w:fldSimple>
        </w:p>
        <w:p w14:paraId="703CAB1D" w14:textId="69B23E5B" w:rsidR="003251DE" w:rsidRPr="00AC421A" w:rsidRDefault="003251DE" w:rsidP="00751750">
          <w:pPr>
            <w:pStyle w:val="FooterTextLeft"/>
          </w:pPr>
          <w:r>
            <w:t xml:space="preserve">Page </w:t>
          </w:r>
          <w:r>
            <w:fldChar w:fldCharType="begin"/>
          </w:r>
          <w:r>
            <w:instrText xml:space="preserve"> PAGE   \* MERGEFORMAT </w:instrText>
          </w:r>
          <w:r>
            <w:fldChar w:fldCharType="separate"/>
          </w:r>
          <w:r>
            <w:rPr>
              <w:noProof/>
            </w:rPr>
            <w:t>iv</w:t>
          </w:r>
          <w:r>
            <w:rPr>
              <w:noProof/>
            </w:rPr>
            <w:fldChar w:fldCharType="end"/>
          </w:r>
          <w:r w:rsidRPr="00AC421A">
            <w:fldChar w:fldCharType="begin"/>
          </w:r>
          <w:r w:rsidRPr="00AC421A">
            <w:instrText xml:space="preserve"> IF </w:instrText>
          </w:r>
          <w:r w:rsidRPr="00AC421A">
            <w:fldChar w:fldCharType="begin"/>
          </w:r>
          <w:r w:rsidRPr="00AC421A">
            <w:instrText xml:space="preserve"> DOCPROPERTY  xSubtitle </w:instrText>
          </w:r>
          <w:r w:rsidRPr="00AC421A">
            <w:fldChar w:fldCharType="separate"/>
          </w:r>
          <w:r>
            <w:instrText>Findings</w:instrText>
          </w:r>
          <w:r w:rsidRPr="00AC421A">
            <w:fldChar w:fldCharType="end"/>
          </w:r>
          <w:r w:rsidRPr="00AC421A">
            <w:instrText>&lt;&gt;"" "</w:instrText>
          </w:r>
        </w:p>
        <w:p w14:paraId="3A7BB161" w14:textId="77777777" w:rsidR="003251DE" w:rsidRPr="00AC421A" w:rsidRDefault="003251DE" w:rsidP="00751750">
          <w:pPr>
            <w:pStyle w:val="FooterTextLeft"/>
            <w:rPr>
              <w:noProof/>
            </w:rPr>
          </w:pPr>
          <w:r w:rsidRPr="00AC421A">
            <w:instrText xml:space="preserve">" </w:instrText>
          </w:r>
          <w:r w:rsidRPr="00AC421A">
            <w:fldChar w:fldCharType="separate"/>
          </w:r>
        </w:p>
        <w:p w14:paraId="02D77A71" w14:textId="77777777" w:rsidR="003251DE" w:rsidRPr="00CB17DB" w:rsidRDefault="003251DE" w:rsidP="00751750">
          <w:pPr>
            <w:pStyle w:val="FooterTextLeft"/>
          </w:pPr>
          <w:r w:rsidRPr="00AC421A">
            <w:fldChar w:fldCharType="end"/>
          </w:r>
        </w:p>
      </w:tc>
    </w:tr>
  </w:tbl>
  <w:p w14:paraId="322045FC" w14:textId="77777777" w:rsidR="003251DE" w:rsidRDefault="003251DE" w:rsidP="00CF4F67"/>
  <w:tbl>
    <w:tblPr>
      <w:tblStyle w:val="TablePlaceholder"/>
      <w:tblpPr w:vertAnchor="page" w:horzAnchor="margin" w:tblpXSpec="right" w:tblpYSpec="bottom"/>
      <w:tblOverlap w:val="never"/>
      <w:tblW w:w="0" w:type="auto"/>
      <w:tblCellMar>
        <w:bottom w:w="510" w:type="dxa"/>
      </w:tblCellMar>
      <w:tblLook w:val="04A0" w:firstRow="1" w:lastRow="0" w:firstColumn="1" w:lastColumn="0" w:noHBand="0" w:noVBand="1"/>
    </w:tblPr>
    <w:tblGrid>
      <w:gridCol w:w="6520"/>
    </w:tblGrid>
    <w:tr w:rsidR="003251DE" w:rsidRPr="00CB17DB" w14:paraId="46313260" w14:textId="77777777" w:rsidTr="00D562CE">
      <w:tc>
        <w:tcPr>
          <w:tcW w:w="6520" w:type="dxa"/>
        </w:tcPr>
        <w:p w14:paraId="1B29A1CD" w14:textId="7F344F64" w:rsidR="003251DE" w:rsidRPr="00AC421A" w:rsidRDefault="003251DE" w:rsidP="00751750">
          <w:pPr>
            <w:pStyle w:val="Footer"/>
          </w:pPr>
          <w:r w:rsidRPr="00AC421A">
            <w:t xml:space="preserve">Project No </w:t>
          </w:r>
          <w:fldSimple w:instr="SUBJECT   \* MERGEFORMAT">
            <w:r>
              <w:t>PS123260-101</w:t>
            </w:r>
          </w:fldSimple>
        </w:p>
        <w:p w14:paraId="2730F35E" w14:textId="55F7872C" w:rsidR="003251DE" w:rsidRPr="00AC421A" w:rsidRDefault="003251DE" w:rsidP="00751750">
          <w:pPr>
            <w:pStyle w:val="Footer"/>
          </w:pPr>
          <w:fldSimple w:instr="TITLE   \* MERGEFORMAT">
            <w:r>
              <w:t>Advice on Strategies to Support C-ITS Deployment</w:t>
            </w:r>
          </w:fldSimple>
          <w:r w:rsidRPr="00AC421A">
            <w:fldChar w:fldCharType="begin"/>
          </w:r>
          <w:r w:rsidRPr="00AC421A">
            <w:instrText xml:space="preserve"> IF </w:instrText>
          </w:r>
          <w:r w:rsidRPr="00AC421A">
            <w:fldChar w:fldCharType="begin"/>
          </w:r>
          <w:r w:rsidRPr="00AC421A">
            <w:instrText xml:space="preserve"> DOCPROPERTY  xSubtitle </w:instrText>
          </w:r>
          <w:r w:rsidRPr="00AC421A">
            <w:fldChar w:fldCharType="separate"/>
          </w:r>
          <w:r>
            <w:instrText>Findings</w:instrText>
          </w:r>
          <w:r w:rsidRPr="00AC421A">
            <w:fldChar w:fldCharType="end"/>
          </w:r>
          <w:r w:rsidRPr="00AC421A">
            <w:instrText>&lt;&gt;"" "</w:instrText>
          </w:r>
        </w:p>
        <w:p w14:paraId="4CC9C805" w14:textId="77777777" w:rsidR="003251DE" w:rsidRPr="00AC421A" w:rsidRDefault="003251DE" w:rsidP="00751750">
          <w:pPr>
            <w:pStyle w:val="Footer"/>
            <w:rPr>
              <w:noProof/>
            </w:rPr>
          </w:pPr>
          <w:r w:rsidRPr="00AC421A">
            <w:instrText xml:space="preserve">" </w:instrText>
          </w:r>
          <w:r w:rsidRPr="00AC421A">
            <w:fldChar w:fldCharType="separate"/>
          </w:r>
        </w:p>
        <w:p w14:paraId="23BF5979" w14:textId="29D030F8" w:rsidR="003251DE" w:rsidRDefault="003251DE" w:rsidP="00751750">
          <w:pPr>
            <w:pStyle w:val="Footer"/>
          </w:pPr>
          <w:r w:rsidRPr="00AC421A">
            <w:fldChar w:fldCharType="end"/>
          </w:r>
          <w:fldSimple w:instr="DOCPROPERTY  xSubtitle  \* MERGEFORMAT">
            <w:r>
              <w:t>Findings</w:t>
            </w:r>
          </w:fldSimple>
        </w:p>
        <w:p w14:paraId="7ED82C87" w14:textId="29F96240" w:rsidR="003251DE" w:rsidRPr="00CB17DB" w:rsidRDefault="003251DE" w:rsidP="00751750">
          <w:pPr>
            <w:pStyle w:val="Footer"/>
          </w:pPr>
          <w:fldSimple w:instr="KEYWORDS   \* MERGEFORMAT">
            <w:r>
              <w:t>Department of Infrastructure, Transport, Regional Development and Communications</w:t>
            </w:r>
          </w:fldSimple>
          <w:r>
            <w:t xml:space="preserve"> </w:t>
          </w:r>
          <w:fldSimple w:instr="DOCPROPERTY  xClassification  \* MERGEFORMAT">
            <w:r>
              <w:t>Confidential</w:t>
            </w:r>
          </w:fldSimple>
        </w:p>
      </w:tc>
    </w:tr>
  </w:tbl>
  <w:p w14:paraId="6866661D" w14:textId="77777777" w:rsidR="003251DE" w:rsidRDefault="003251DE" w:rsidP="009424DE">
    <w:pPr>
      <w:pStyle w:val="Footer"/>
    </w:pPr>
  </w:p>
  <w:bookmarkEnd w:id="315"/>
  <w:bookmarkEnd w:id="316"/>
  <w:bookmarkEnd w:id="317"/>
  <w:bookmarkEnd w:id="318"/>
  <w:bookmarkEnd w:id="319"/>
  <w:bookmarkEnd w:id="320"/>
  <w:p w14:paraId="3B684D30" w14:textId="77777777" w:rsidR="003251DE" w:rsidRPr="00197E9D" w:rsidRDefault="003251DE" w:rsidP="00942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3F764" w14:textId="77777777" w:rsidR="003251DE" w:rsidRDefault="003251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3D95C" w14:textId="77777777" w:rsidR="003251DE" w:rsidRPr="00264B49" w:rsidRDefault="003251DE" w:rsidP="00264B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235C0" w14:textId="77777777" w:rsidR="003251DE" w:rsidRPr="002F2909" w:rsidRDefault="003251DE" w:rsidP="009457CD">
    <w:pPr>
      <w:spacing w:before="120" w:after="120" w:line="240" w:lineRule="auto"/>
      <w:rPr>
        <w:sz w:val="18"/>
        <w:szCs w:val="18"/>
      </w:rPr>
    </w:pPr>
    <w:r w:rsidRPr="002F2909">
      <w:rPr>
        <w:sz w:val="18"/>
        <w:szCs w:val="18"/>
      </w:rPr>
      <w:t>This document may contain confidential and legally privileged information, neither of which are intended to be waived, and must be used only for its intended purpose. Any unauthorised copying, dissemination or use in any form or by any means other than by the addressee, is strictly prohibited. If you have received this document in error or by any means other than as authorised addressee, please notify us immediately and we will arrange for its return to us.</w:t>
    </w:r>
  </w:p>
  <w:tbl>
    <w:tblPr>
      <w:tblStyle w:val="TablePlaceholder"/>
      <w:tblW w:w="5000" w:type="pct"/>
      <w:tblLook w:val="04A0" w:firstRow="1" w:lastRow="0" w:firstColumn="1" w:lastColumn="0" w:noHBand="0" w:noVBand="1"/>
    </w:tblPr>
    <w:tblGrid>
      <w:gridCol w:w="5103"/>
      <w:gridCol w:w="2978"/>
      <w:gridCol w:w="1558"/>
    </w:tblGrid>
    <w:tr w:rsidR="003251DE" w:rsidRPr="002F2909" w14:paraId="1E11C8BA" w14:textId="77777777" w:rsidTr="00C70FEA">
      <w:tc>
        <w:tcPr>
          <w:tcW w:w="2647" w:type="pct"/>
        </w:tcPr>
        <w:p w14:paraId="7044CFA7" w14:textId="6C6C0F28" w:rsidR="003251DE" w:rsidRPr="002F2909" w:rsidRDefault="003251DE" w:rsidP="009457CD">
          <w:pPr>
            <w:rPr>
              <w:sz w:val="18"/>
              <w:szCs w:val="18"/>
            </w:rPr>
          </w:pPr>
          <w:r w:rsidRPr="002F2909">
            <w:rPr>
              <w:noProof/>
              <w:sz w:val="18"/>
              <w:szCs w:val="18"/>
            </w:rPr>
            <w:fldChar w:fldCharType="begin"/>
          </w:r>
          <w:r w:rsidRPr="002F2909">
            <w:rPr>
              <w:noProof/>
              <w:sz w:val="18"/>
              <w:szCs w:val="18"/>
              <w:lang w:eastAsia="en-US"/>
            </w:rPr>
            <w:instrText>FILENAME   \* MERGEFORMAT</w:instrText>
          </w:r>
          <w:r w:rsidRPr="002F2909">
            <w:rPr>
              <w:noProof/>
              <w:sz w:val="18"/>
              <w:szCs w:val="18"/>
            </w:rPr>
            <w:fldChar w:fldCharType="separate"/>
          </w:r>
          <w:r>
            <w:rPr>
              <w:noProof/>
              <w:sz w:val="18"/>
              <w:szCs w:val="18"/>
              <w:lang w:eastAsia="en-US"/>
            </w:rPr>
            <w:t>PS123260-101-ITS-TEN-004 RevE - D4 Findings</w:t>
          </w:r>
          <w:r w:rsidRPr="002F2909">
            <w:rPr>
              <w:noProof/>
              <w:sz w:val="18"/>
              <w:szCs w:val="18"/>
            </w:rPr>
            <w:fldChar w:fldCharType="end"/>
          </w:r>
        </w:p>
      </w:tc>
      <w:tc>
        <w:tcPr>
          <w:tcW w:w="1545" w:type="pct"/>
        </w:tcPr>
        <w:p w14:paraId="1ADF2FC2" w14:textId="5901B323" w:rsidR="003251DE" w:rsidRPr="002F2909" w:rsidRDefault="003251DE" w:rsidP="009457CD">
          <w:pPr>
            <w:rPr>
              <w:sz w:val="18"/>
              <w:szCs w:val="18"/>
            </w:rPr>
          </w:pPr>
          <w:sdt>
            <w:sdtPr>
              <w:rPr>
                <w:sz w:val="18"/>
                <w:szCs w:val="18"/>
              </w:rPr>
              <w:alias w:val="Confidentiality"/>
              <w:tag w:val="Confidentiality"/>
              <w:id w:val="-313494470"/>
              <w:text/>
            </w:sdtPr>
            <w:sdtContent>
              <w:r w:rsidRPr="002F2909">
                <w:rPr>
                  <w:sz w:val="18"/>
                  <w:szCs w:val="18"/>
                </w:rPr>
                <w:t>Confidential</w:t>
              </w:r>
            </w:sdtContent>
          </w:sdt>
        </w:p>
      </w:tc>
      <w:tc>
        <w:tcPr>
          <w:tcW w:w="808" w:type="pct"/>
        </w:tcPr>
        <w:p w14:paraId="7F37E324" w14:textId="33D3535F" w:rsidR="003251DE" w:rsidRPr="002F2909" w:rsidRDefault="003251DE" w:rsidP="009457CD">
          <w:pPr>
            <w:jc w:val="right"/>
            <w:rPr>
              <w:sz w:val="18"/>
              <w:szCs w:val="18"/>
            </w:rPr>
          </w:pPr>
          <w:r w:rsidRPr="002F2909">
            <w:rPr>
              <w:sz w:val="18"/>
              <w:szCs w:val="18"/>
            </w:rPr>
            <w:fldChar w:fldCharType="begin"/>
          </w:r>
          <w:r w:rsidRPr="002F2909">
            <w:rPr>
              <w:sz w:val="18"/>
              <w:szCs w:val="18"/>
            </w:rPr>
            <w:instrText>COMMENTS   \* MERGEFORMAT</w:instrText>
          </w:r>
          <w:r w:rsidRPr="002F2909">
            <w:rPr>
              <w:sz w:val="18"/>
              <w:szCs w:val="18"/>
            </w:rPr>
            <w:fldChar w:fldCharType="separate"/>
          </w:r>
          <w:r>
            <w:rPr>
              <w:sz w:val="18"/>
              <w:szCs w:val="18"/>
            </w:rPr>
            <w:t>March 2022</w:t>
          </w:r>
          <w:r w:rsidRPr="002F2909">
            <w:rPr>
              <w:sz w:val="18"/>
              <w:szCs w:val="18"/>
            </w:rPr>
            <w:fldChar w:fldCharType="end"/>
          </w:r>
        </w:p>
      </w:tc>
    </w:tr>
  </w:tbl>
  <w:p w14:paraId="2B4E49BC" w14:textId="77777777" w:rsidR="003251DE" w:rsidRPr="002F2909" w:rsidRDefault="003251DE" w:rsidP="00186436">
    <w:pP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23A47" w14:textId="77777777" w:rsidR="003251DE" w:rsidRPr="0089683F" w:rsidRDefault="003251DE" w:rsidP="008968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7266D" w14:textId="77777777" w:rsidR="003251DE" w:rsidRPr="0089683F" w:rsidRDefault="003251DE" w:rsidP="008968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C73B1" w14:textId="77777777" w:rsidR="003251DE" w:rsidRPr="0089683F" w:rsidRDefault="003251DE" w:rsidP="0089683F">
    <w:pPr>
      <w:pStyle w:val="Footer"/>
    </w:pPr>
    <w:bookmarkStart w:id="12" w:name="_Hlk43187626"/>
    <w:bookmarkStart w:id="13" w:name="_Hlk43187627"/>
    <w:bookmarkStart w:id="14" w:name="_Hlk87345779"/>
    <w:bookmarkStart w:id="15" w:name="_Hlk87345780"/>
    <w:bookmarkStart w:id="16" w:name="_Hlk87350862"/>
    <w:bookmarkStart w:id="17" w:name="_Hlk87350863"/>
    <w:bookmarkEnd w:id="12"/>
    <w:bookmarkEnd w:id="13"/>
    <w:bookmarkEnd w:id="14"/>
    <w:bookmarkEnd w:id="15"/>
    <w:bookmarkEnd w:id="16"/>
    <w:bookmarkEnd w:id="17"/>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YSpec="bottom"/>
      <w:tblW w:w="0" w:type="auto"/>
      <w:tblCellMar>
        <w:bottom w:w="510" w:type="dxa"/>
      </w:tblCellMar>
      <w:tblLook w:val="04A0" w:firstRow="1" w:lastRow="0" w:firstColumn="1" w:lastColumn="0" w:noHBand="0" w:noVBand="1"/>
    </w:tblPr>
    <w:tblGrid>
      <w:gridCol w:w="2494"/>
    </w:tblGrid>
    <w:tr w:rsidR="003251DE" w:rsidRPr="00CB17DB" w14:paraId="6AF04E46" w14:textId="77777777" w:rsidTr="00820648">
      <w:tc>
        <w:tcPr>
          <w:tcW w:w="2494" w:type="dxa"/>
        </w:tcPr>
        <w:p w14:paraId="1AE851B6" w14:textId="77777777" w:rsidR="003251DE" w:rsidRPr="00883C93" w:rsidRDefault="003251DE" w:rsidP="00820648">
          <w:pPr>
            <w:pStyle w:val="FooterTextLeft"/>
            <w:rPr>
              <w:color w:val="F9423A" w:themeColor="accent1"/>
            </w:rPr>
          </w:pPr>
          <w:r w:rsidRPr="00883C93">
            <w:rPr>
              <w:color w:val="F9423A" w:themeColor="accent1"/>
            </w:rPr>
            <w:t>WSP</w:t>
          </w:r>
        </w:p>
        <w:p w14:paraId="5D936E75" w14:textId="17270862" w:rsidR="003251DE" w:rsidRDefault="003251DE" w:rsidP="00820648">
          <w:pPr>
            <w:pStyle w:val="FooterTextLeft"/>
          </w:pPr>
          <w:fldSimple w:instr=" COMMENTS   \* MERGEFORMAT ">
            <w:r>
              <w:t>March 2022</w:t>
            </w:r>
          </w:fldSimple>
        </w:p>
        <w:p w14:paraId="7C01794F" w14:textId="7F4A0182" w:rsidR="003251DE" w:rsidRPr="00AC421A" w:rsidRDefault="003251DE" w:rsidP="00820648">
          <w:pPr>
            <w:pStyle w:val="FooterTextLeft"/>
          </w:pPr>
          <w:r>
            <w:t xml:space="preserve">Page </w:t>
          </w:r>
          <w:r>
            <w:fldChar w:fldCharType="begin"/>
          </w:r>
          <w:r>
            <w:instrText xml:space="preserve"> PAGE   \* MERGEFORMAT </w:instrText>
          </w:r>
          <w:r>
            <w:fldChar w:fldCharType="separate"/>
          </w:r>
          <w:r>
            <w:rPr>
              <w:noProof/>
            </w:rPr>
            <w:t>6</w:t>
          </w:r>
          <w:r>
            <w:rPr>
              <w:noProof/>
            </w:rPr>
            <w:fldChar w:fldCharType="end"/>
          </w:r>
          <w:r w:rsidRPr="00AC421A">
            <w:fldChar w:fldCharType="begin"/>
          </w:r>
          <w:r w:rsidRPr="00AC421A">
            <w:instrText xml:space="preserve"> IF </w:instrText>
          </w:r>
          <w:r w:rsidRPr="00AC421A">
            <w:fldChar w:fldCharType="begin"/>
          </w:r>
          <w:r w:rsidRPr="00AC421A">
            <w:instrText xml:space="preserve"> DOCPROPERTY  xSubtitle </w:instrText>
          </w:r>
          <w:r w:rsidRPr="00AC421A">
            <w:fldChar w:fldCharType="separate"/>
          </w:r>
          <w:r>
            <w:instrText>Findings</w:instrText>
          </w:r>
          <w:r w:rsidRPr="00AC421A">
            <w:fldChar w:fldCharType="end"/>
          </w:r>
          <w:r w:rsidRPr="00AC421A">
            <w:instrText>&lt;&gt;"" "</w:instrText>
          </w:r>
        </w:p>
        <w:p w14:paraId="17B3CBC9" w14:textId="77777777" w:rsidR="003251DE" w:rsidRPr="00AC421A" w:rsidRDefault="003251DE" w:rsidP="00820648">
          <w:pPr>
            <w:pStyle w:val="FooterTextLeft"/>
            <w:rPr>
              <w:noProof/>
            </w:rPr>
          </w:pPr>
          <w:r w:rsidRPr="00AC421A">
            <w:instrText xml:space="preserve">" </w:instrText>
          </w:r>
          <w:r w:rsidRPr="00AC421A">
            <w:fldChar w:fldCharType="separate"/>
          </w:r>
        </w:p>
        <w:p w14:paraId="5BC9E202" w14:textId="77777777" w:rsidR="003251DE" w:rsidRPr="00CB17DB" w:rsidRDefault="003251DE" w:rsidP="00820648">
          <w:pPr>
            <w:pStyle w:val="FooterTextLeft"/>
          </w:pPr>
          <w:r w:rsidRPr="00AC421A">
            <w:fldChar w:fldCharType="end"/>
          </w:r>
        </w:p>
      </w:tc>
    </w:tr>
  </w:tbl>
  <w:p w14:paraId="1FF7D4AF" w14:textId="77777777" w:rsidR="003251DE" w:rsidRDefault="003251DE" w:rsidP="00820648"/>
  <w:tbl>
    <w:tblPr>
      <w:tblpPr w:vertAnchor="page" w:horzAnchor="margin" w:tblpXSpec="right" w:tblpYSpec="bottom"/>
      <w:tblW w:w="0" w:type="auto"/>
      <w:tblCellMar>
        <w:bottom w:w="510" w:type="dxa"/>
      </w:tblCellMar>
      <w:tblLook w:val="04A0" w:firstRow="1" w:lastRow="0" w:firstColumn="1" w:lastColumn="0" w:noHBand="0" w:noVBand="1"/>
    </w:tblPr>
    <w:tblGrid>
      <w:gridCol w:w="6520"/>
    </w:tblGrid>
    <w:tr w:rsidR="003251DE" w:rsidRPr="00CB17DB" w14:paraId="7A4F352F" w14:textId="77777777" w:rsidTr="00820648">
      <w:tc>
        <w:tcPr>
          <w:tcW w:w="6520" w:type="dxa"/>
        </w:tcPr>
        <w:p w14:paraId="01A6FDCB" w14:textId="072914A7" w:rsidR="003251DE" w:rsidRPr="00AC421A" w:rsidRDefault="003251DE" w:rsidP="00820648">
          <w:pPr>
            <w:pStyle w:val="Footer"/>
          </w:pPr>
          <w:r w:rsidRPr="00AC421A">
            <w:t xml:space="preserve">Project No </w:t>
          </w:r>
          <w:fldSimple w:instr=" SUBJECT   \* MERGEFORMAT ">
            <w:r>
              <w:t>PS123260-101</w:t>
            </w:r>
          </w:fldSimple>
        </w:p>
        <w:p w14:paraId="7E62FB68" w14:textId="7088E351" w:rsidR="003251DE" w:rsidRPr="00AC421A" w:rsidRDefault="003251DE" w:rsidP="00820648">
          <w:pPr>
            <w:pStyle w:val="Footer"/>
          </w:pPr>
          <w:fldSimple w:instr=" TITLE   \* MERGEFORMAT ">
            <w:r>
              <w:t>Advice on Strategies to Support C-ITS Deployment</w:t>
            </w:r>
          </w:fldSimple>
          <w:r w:rsidRPr="00AC421A">
            <w:fldChar w:fldCharType="begin"/>
          </w:r>
          <w:r w:rsidRPr="00AC421A">
            <w:instrText xml:space="preserve"> IF </w:instrText>
          </w:r>
          <w:r w:rsidRPr="00AC421A">
            <w:fldChar w:fldCharType="begin"/>
          </w:r>
          <w:r w:rsidRPr="00AC421A">
            <w:instrText xml:space="preserve"> DOCPROPERTY  xSubtitle </w:instrText>
          </w:r>
          <w:r w:rsidRPr="00AC421A">
            <w:fldChar w:fldCharType="separate"/>
          </w:r>
          <w:r>
            <w:instrText>Findings</w:instrText>
          </w:r>
          <w:r w:rsidRPr="00AC421A">
            <w:fldChar w:fldCharType="end"/>
          </w:r>
          <w:r w:rsidRPr="00AC421A">
            <w:instrText>&lt;&gt;"" "</w:instrText>
          </w:r>
        </w:p>
        <w:p w14:paraId="753F5308" w14:textId="77777777" w:rsidR="003251DE" w:rsidRPr="00AC421A" w:rsidRDefault="003251DE" w:rsidP="00820648">
          <w:pPr>
            <w:pStyle w:val="Footer"/>
            <w:rPr>
              <w:noProof/>
            </w:rPr>
          </w:pPr>
          <w:r w:rsidRPr="00AC421A">
            <w:instrText xml:space="preserve">" </w:instrText>
          </w:r>
          <w:r w:rsidRPr="00AC421A">
            <w:fldChar w:fldCharType="separate"/>
          </w:r>
        </w:p>
        <w:p w14:paraId="452666F0" w14:textId="3F035372" w:rsidR="003251DE" w:rsidRDefault="003251DE" w:rsidP="00820648">
          <w:pPr>
            <w:pStyle w:val="Footer"/>
          </w:pPr>
          <w:r w:rsidRPr="00AC421A">
            <w:fldChar w:fldCharType="end"/>
          </w:r>
          <w:fldSimple w:instr=" DOCPROPERTY  xSubtitle  \* MERGEFORMAT ">
            <w:r>
              <w:t>Findings</w:t>
            </w:r>
          </w:fldSimple>
        </w:p>
        <w:p w14:paraId="6D47E5FE" w14:textId="6A9326BD" w:rsidR="003251DE" w:rsidRPr="00CB17DB" w:rsidRDefault="003251DE" w:rsidP="00820648">
          <w:pPr>
            <w:pStyle w:val="Footer"/>
          </w:pPr>
          <w:fldSimple w:instr=" KEYWORDS   \* MERGEFORMAT ">
            <w:r>
              <w:t>Department of Infrastructure, Transport, Regional Development and Communications</w:t>
            </w:r>
          </w:fldSimple>
          <w:r>
            <w:t xml:space="preserve"> </w:t>
          </w:r>
          <w:fldSimple w:instr=" DOCPROPERTY  xClassification  \* MERGEFORMAT ">
            <w:r>
              <w:t>Confidential</w:t>
            </w:r>
          </w:fldSimple>
        </w:p>
      </w:tc>
    </w:tr>
  </w:tbl>
  <w:p w14:paraId="4BB84C47" w14:textId="77777777" w:rsidR="003251DE" w:rsidRDefault="003251DE" w:rsidP="00820648">
    <w:pPr>
      <w:pStyle w:val="Footer"/>
    </w:pPr>
  </w:p>
  <w:p w14:paraId="183F8884" w14:textId="77777777" w:rsidR="003251DE" w:rsidRPr="00197E9D" w:rsidRDefault="003251DE" w:rsidP="009424D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YSpec="bottom"/>
      <w:tblW w:w="0" w:type="auto"/>
      <w:tblCellMar>
        <w:bottom w:w="510" w:type="dxa"/>
      </w:tblCellMar>
      <w:tblLook w:val="04A0" w:firstRow="1" w:lastRow="0" w:firstColumn="1" w:lastColumn="0" w:noHBand="0" w:noVBand="1"/>
    </w:tblPr>
    <w:tblGrid>
      <w:gridCol w:w="6520"/>
    </w:tblGrid>
    <w:tr w:rsidR="003251DE" w:rsidRPr="00CB17DB" w14:paraId="44699726" w14:textId="77777777" w:rsidTr="00820648">
      <w:tc>
        <w:tcPr>
          <w:tcW w:w="6520" w:type="dxa"/>
        </w:tcPr>
        <w:p w14:paraId="00FEBCBD" w14:textId="43E2A7C1" w:rsidR="003251DE" w:rsidRPr="00AC421A" w:rsidRDefault="003251DE" w:rsidP="00820648">
          <w:pPr>
            <w:pStyle w:val="FooterTextLeft"/>
          </w:pPr>
          <w:r w:rsidRPr="00AC421A">
            <w:t xml:space="preserve">Project No </w:t>
          </w:r>
          <w:fldSimple w:instr=" SUBJECT   \* MERGEFORMAT ">
            <w:r>
              <w:t>PS123260-101</w:t>
            </w:r>
          </w:fldSimple>
        </w:p>
        <w:p w14:paraId="479B5582" w14:textId="766C96D0" w:rsidR="003251DE" w:rsidRPr="00AC421A" w:rsidRDefault="003251DE" w:rsidP="00820648">
          <w:pPr>
            <w:pStyle w:val="FooterTextLeft"/>
          </w:pPr>
          <w:fldSimple w:instr=" TITLE   \* MERGEFORMAT ">
            <w:r>
              <w:t>Advice on Strategies to Support C-ITS Deployment</w:t>
            </w:r>
          </w:fldSimple>
          <w:r w:rsidRPr="00AC421A">
            <w:fldChar w:fldCharType="begin"/>
          </w:r>
          <w:r w:rsidRPr="00AC421A">
            <w:instrText xml:space="preserve"> IF </w:instrText>
          </w:r>
          <w:r w:rsidRPr="00AC421A">
            <w:fldChar w:fldCharType="begin"/>
          </w:r>
          <w:r w:rsidRPr="00AC421A">
            <w:instrText xml:space="preserve"> DOCPROPERTY  xSubtitle </w:instrText>
          </w:r>
          <w:r w:rsidRPr="00AC421A">
            <w:fldChar w:fldCharType="separate"/>
          </w:r>
          <w:r>
            <w:instrText>Findings</w:instrText>
          </w:r>
          <w:r w:rsidRPr="00AC421A">
            <w:fldChar w:fldCharType="end"/>
          </w:r>
          <w:r w:rsidRPr="00AC421A">
            <w:instrText>&lt;&gt;"" "</w:instrText>
          </w:r>
        </w:p>
        <w:p w14:paraId="0C2DB631" w14:textId="77777777" w:rsidR="00284D02" w:rsidRPr="00AC421A" w:rsidRDefault="003251DE" w:rsidP="00820648">
          <w:pPr>
            <w:pStyle w:val="FooterTextLeft"/>
            <w:rPr>
              <w:noProof/>
            </w:rPr>
          </w:pPr>
          <w:r w:rsidRPr="00AC421A">
            <w:instrText xml:space="preserve">" </w:instrText>
          </w:r>
          <w:r w:rsidRPr="00AC421A">
            <w:fldChar w:fldCharType="separate"/>
          </w:r>
        </w:p>
        <w:p w14:paraId="13E989E7" w14:textId="4B90E3A1" w:rsidR="003251DE" w:rsidRDefault="003251DE" w:rsidP="00820648">
          <w:pPr>
            <w:pStyle w:val="FooterTextLeft"/>
          </w:pPr>
          <w:r w:rsidRPr="00AC421A">
            <w:fldChar w:fldCharType="end"/>
          </w:r>
          <w:fldSimple w:instr=" DOCPROPERTY  xSubtitle  \* MERGEFORMAT ">
            <w:r>
              <w:t>Findings</w:t>
            </w:r>
          </w:fldSimple>
        </w:p>
        <w:p w14:paraId="015C13A0" w14:textId="1DAA2468" w:rsidR="003251DE" w:rsidRPr="00CB17DB" w:rsidRDefault="003251DE" w:rsidP="00820648">
          <w:pPr>
            <w:pStyle w:val="FooterTextLeft"/>
          </w:pPr>
          <w:fldSimple w:instr=" KEYWORDS   \* MERGEFORMAT ">
            <w:r>
              <w:t>Department of Infrastructure, Transport, Regional Development and Communications</w:t>
            </w:r>
          </w:fldSimple>
        </w:p>
      </w:tc>
    </w:tr>
  </w:tbl>
  <w:p w14:paraId="21D86539" w14:textId="77777777" w:rsidR="003251DE" w:rsidRDefault="003251DE" w:rsidP="00820648"/>
  <w:tbl>
    <w:tblPr>
      <w:tblpPr w:vertAnchor="page" w:horzAnchor="margin" w:tblpXSpec="right" w:tblpYSpec="bottom"/>
      <w:tblW w:w="0" w:type="auto"/>
      <w:tblCellMar>
        <w:bottom w:w="510" w:type="dxa"/>
      </w:tblCellMar>
      <w:tblLook w:val="04A0" w:firstRow="1" w:lastRow="0" w:firstColumn="1" w:lastColumn="0" w:noHBand="0" w:noVBand="1"/>
    </w:tblPr>
    <w:tblGrid>
      <w:gridCol w:w="2494"/>
    </w:tblGrid>
    <w:tr w:rsidR="003251DE" w:rsidRPr="00CB17DB" w14:paraId="3FA7D81C" w14:textId="77777777" w:rsidTr="00820648">
      <w:tc>
        <w:tcPr>
          <w:tcW w:w="2494" w:type="dxa"/>
        </w:tcPr>
        <w:p w14:paraId="05B0078A" w14:textId="77777777" w:rsidR="003251DE" w:rsidRPr="00883C93" w:rsidRDefault="003251DE" w:rsidP="00820648">
          <w:pPr>
            <w:pStyle w:val="Footer"/>
            <w:rPr>
              <w:color w:val="F9423A" w:themeColor="accent1"/>
            </w:rPr>
          </w:pPr>
          <w:r w:rsidRPr="00883C93">
            <w:rPr>
              <w:color w:val="F9423A" w:themeColor="accent1"/>
            </w:rPr>
            <w:t>WSP</w:t>
          </w:r>
        </w:p>
        <w:p w14:paraId="4D1DE5B7" w14:textId="69C245A1" w:rsidR="003251DE" w:rsidRDefault="003251DE" w:rsidP="00820648">
          <w:pPr>
            <w:pStyle w:val="Footer"/>
          </w:pPr>
          <w:fldSimple w:instr=" COMMENTS   \* MERGEFORMAT ">
            <w:r>
              <w:t>March 2022</w:t>
            </w:r>
          </w:fldSimple>
        </w:p>
        <w:p w14:paraId="0F027A3F" w14:textId="6AA6B2F0" w:rsidR="003251DE" w:rsidRPr="00AC421A" w:rsidRDefault="003251DE" w:rsidP="00820648">
          <w:pPr>
            <w:pStyle w:val="Footer"/>
          </w:pPr>
          <w:r>
            <w:t xml:space="preserve">Page </w:t>
          </w:r>
          <w:r>
            <w:fldChar w:fldCharType="begin"/>
          </w:r>
          <w:r>
            <w:instrText xml:space="preserve"> PAGE   \* MERGEFORMAT </w:instrText>
          </w:r>
          <w:r>
            <w:fldChar w:fldCharType="separate"/>
          </w:r>
          <w:r>
            <w:rPr>
              <w:noProof/>
            </w:rPr>
            <w:t>xviii</w:t>
          </w:r>
          <w:r>
            <w:rPr>
              <w:noProof/>
            </w:rPr>
            <w:fldChar w:fldCharType="end"/>
          </w:r>
          <w:r w:rsidRPr="00AC421A">
            <w:fldChar w:fldCharType="begin"/>
          </w:r>
          <w:r w:rsidRPr="00AC421A">
            <w:instrText xml:space="preserve"> IF </w:instrText>
          </w:r>
          <w:r w:rsidRPr="00AC421A">
            <w:fldChar w:fldCharType="begin"/>
          </w:r>
          <w:r w:rsidRPr="00AC421A">
            <w:instrText xml:space="preserve"> DOCPROPERTY  xSubtitle </w:instrText>
          </w:r>
          <w:r w:rsidRPr="00AC421A">
            <w:fldChar w:fldCharType="separate"/>
          </w:r>
          <w:r>
            <w:instrText>Findings</w:instrText>
          </w:r>
          <w:r w:rsidRPr="00AC421A">
            <w:fldChar w:fldCharType="end"/>
          </w:r>
          <w:r w:rsidRPr="00AC421A">
            <w:instrText>&lt;&gt;"" "</w:instrText>
          </w:r>
        </w:p>
        <w:p w14:paraId="072EB8D8" w14:textId="77777777" w:rsidR="00284D02" w:rsidRPr="00AC421A" w:rsidRDefault="003251DE" w:rsidP="00820648">
          <w:pPr>
            <w:pStyle w:val="Footer"/>
            <w:rPr>
              <w:noProof/>
            </w:rPr>
          </w:pPr>
          <w:r w:rsidRPr="00AC421A">
            <w:instrText xml:space="preserve">" </w:instrText>
          </w:r>
          <w:r w:rsidRPr="00AC421A">
            <w:fldChar w:fldCharType="separate"/>
          </w:r>
        </w:p>
        <w:p w14:paraId="5DC3E7FE" w14:textId="77777777" w:rsidR="003251DE" w:rsidRDefault="003251DE" w:rsidP="00820648">
          <w:pPr>
            <w:pStyle w:val="Footer"/>
          </w:pPr>
          <w:r w:rsidRPr="00AC421A">
            <w:fldChar w:fldCharType="end"/>
          </w:r>
        </w:p>
      </w:tc>
    </w:tr>
  </w:tbl>
  <w:p w14:paraId="251A8609" w14:textId="77777777" w:rsidR="003251DE" w:rsidRPr="00D85B89" w:rsidRDefault="003251DE" w:rsidP="00820648">
    <w:pPr>
      <w:pStyle w:val="Footer"/>
    </w:pPr>
  </w:p>
  <w:p w14:paraId="28E3E8F5" w14:textId="77777777" w:rsidR="003251DE" w:rsidRPr="00197E9D" w:rsidRDefault="003251DE" w:rsidP="00C35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06A6A" w14:textId="77777777" w:rsidR="003251DE" w:rsidRDefault="003251DE" w:rsidP="00B30D49">
      <w:r>
        <w:separator/>
      </w:r>
    </w:p>
    <w:p w14:paraId="44EF1A28" w14:textId="77777777" w:rsidR="003251DE" w:rsidRDefault="003251DE"/>
  </w:footnote>
  <w:footnote w:type="continuationSeparator" w:id="0">
    <w:p w14:paraId="49418391" w14:textId="77777777" w:rsidR="003251DE" w:rsidRDefault="003251DE" w:rsidP="00B30D49">
      <w:r>
        <w:continuationSeparator/>
      </w:r>
    </w:p>
    <w:p w14:paraId="716121B2" w14:textId="77777777" w:rsidR="003251DE" w:rsidRDefault="003251DE"/>
  </w:footnote>
  <w:footnote w:type="continuationNotice" w:id="1">
    <w:p w14:paraId="35B3FBEA" w14:textId="77777777" w:rsidR="003251DE" w:rsidRPr="00461123" w:rsidRDefault="003251DE" w:rsidP="00461123">
      <w:pPr>
        <w:spacing w:line="160" w:lineRule="exact"/>
        <w:rPr>
          <w:sz w:val="16"/>
          <w:szCs w:val="16"/>
        </w:rPr>
      </w:pPr>
    </w:p>
  </w:footnote>
  <w:footnote w:id="2">
    <w:p w14:paraId="0D36AA8F" w14:textId="35E02832" w:rsidR="003251DE" w:rsidRDefault="003251DE">
      <w:pPr>
        <w:pStyle w:val="FootnoteText"/>
      </w:pPr>
      <w:r>
        <w:rPr>
          <w:rStyle w:val="FootnoteReference"/>
        </w:rPr>
        <w:footnoteRef/>
      </w:r>
      <w:r>
        <w:t xml:space="preserve"> </w:t>
      </w:r>
      <w:r>
        <w:tab/>
      </w:r>
      <w:r w:rsidRPr="00A02FF7">
        <w:t>Intelligent Transport Systems (ITS) have delivered important but incremental changes to Australia's transport systems. There have been significant benefits from deployments of dynamic speed zones and active lane management, ramp metering, traveller information systems, e-tolling and other well-established systems</w:t>
      </w:r>
      <w:r>
        <w:t xml:space="preserve"> </w:t>
      </w:r>
      <w:sdt>
        <w:sdtPr>
          <w:id w:val="1822151633"/>
          <w:citation/>
        </w:sdtPr>
        <w:sdtContent>
          <w:r>
            <w:fldChar w:fldCharType="begin"/>
          </w:r>
          <w:r>
            <w:instrText xml:space="preserve"> CITATION Aus181 \l 3081 </w:instrText>
          </w:r>
          <w:r>
            <w:fldChar w:fldCharType="separate"/>
          </w:r>
          <w:r>
            <w:rPr>
              <w:noProof/>
            </w:rPr>
            <w:t>(Australian Trade and Investment Commission, 2018)</w:t>
          </w:r>
          <w:r>
            <w:fldChar w:fldCharType="end"/>
          </w:r>
        </w:sdtContent>
      </w:sdt>
      <w:r w:rsidRPr="00A02FF7">
        <w:t>.</w:t>
      </w:r>
      <w:r>
        <w:t xml:space="preserve"> </w:t>
      </w:r>
    </w:p>
  </w:footnote>
  <w:footnote w:id="3">
    <w:p w14:paraId="2B0A994A" w14:textId="1972081F" w:rsidR="003251DE" w:rsidRDefault="003251DE">
      <w:pPr>
        <w:pStyle w:val="FootnoteText"/>
      </w:pPr>
      <w:r>
        <w:rPr>
          <w:rStyle w:val="FootnoteReference"/>
        </w:rPr>
        <w:footnoteRef/>
      </w:r>
      <w:r>
        <w:t xml:space="preserve"> </w:t>
      </w:r>
      <w:r>
        <w:tab/>
        <w:t xml:space="preserve">For more information on use cases, see </w:t>
      </w:r>
      <w:r w:rsidRPr="001E62E4">
        <w:t>ETSI Basic Set of Applications</w:t>
      </w:r>
      <w:r>
        <w:t>:</w:t>
      </w:r>
      <w:r w:rsidRPr="001E62E4">
        <w:t xml:space="preserve"> Definitions</w:t>
      </w:r>
      <w:r>
        <w:t xml:space="preserve"> </w:t>
      </w:r>
      <w:sdt>
        <w:sdtPr>
          <w:id w:val="-789359333"/>
          <w:citation/>
        </w:sdtPr>
        <w:sdtContent>
          <w:r>
            <w:fldChar w:fldCharType="begin"/>
          </w:r>
          <w:r>
            <w:instrText xml:space="preserve"> CITATION ETS09 \l 3081 </w:instrText>
          </w:r>
          <w:r>
            <w:fldChar w:fldCharType="separate"/>
          </w:r>
          <w:r>
            <w:rPr>
              <w:noProof/>
            </w:rPr>
            <w:t>(ETSI, 2009)</w:t>
          </w:r>
          <w:r>
            <w:fldChar w:fldCharType="end"/>
          </w:r>
        </w:sdtContent>
      </w:sdt>
    </w:p>
  </w:footnote>
  <w:footnote w:id="4">
    <w:p w14:paraId="0CFEFB03" w14:textId="5E7C0D86" w:rsidR="003251DE" w:rsidRDefault="003251DE">
      <w:pPr>
        <w:pStyle w:val="FootnoteText"/>
      </w:pPr>
      <w:r>
        <w:rPr>
          <w:rStyle w:val="FootnoteReference"/>
        </w:rPr>
        <w:footnoteRef/>
      </w:r>
      <w:r>
        <w:t xml:space="preserve"> </w:t>
      </w:r>
      <w:r>
        <w:tab/>
        <w:t xml:space="preserve">Information about CCAM and the future impact of C-ITS on automated vehicles can be found at </w:t>
      </w:r>
      <w:hyperlink r:id="rId1" w:history="1">
        <w:r w:rsidRPr="006F58B1">
          <w:rPr>
            <w:rStyle w:val="Hyperlink"/>
          </w:rPr>
          <w:t>https://www.ccam.eu/</w:t>
        </w:r>
      </w:hyperlink>
      <w:r>
        <w:t xml:space="preserve"> </w:t>
      </w:r>
    </w:p>
  </w:footnote>
  <w:footnote w:id="5">
    <w:p w14:paraId="75E054AD" w14:textId="4B10DD5F" w:rsidR="003251DE" w:rsidRDefault="003251DE">
      <w:pPr>
        <w:pStyle w:val="FootnoteText"/>
      </w:pPr>
      <w:r>
        <w:rPr>
          <w:rStyle w:val="FootnoteReference"/>
        </w:rPr>
        <w:footnoteRef/>
      </w:r>
      <w:r>
        <w:t xml:space="preserve"> </w:t>
      </w:r>
      <w:r>
        <w:tab/>
        <w:t>Results to be publicly released in 2022</w:t>
      </w:r>
    </w:p>
  </w:footnote>
  <w:footnote w:id="6">
    <w:p w14:paraId="6C3C6A0C" w14:textId="3C117C12" w:rsidR="003251DE" w:rsidRDefault="003251DE">
      <w:pPr>
        <w:pStyle w:val="FootnoteText"/>
      </w:pPr>
      <w:r>
        <w:rPr>
          <w:rStyle w:val="FootnoteReference"/>
        </w:rPr>
        <w:footnoteRef/>
      </w:r>
      <w:r>
        <w:t xml:space="preserve"> </w:t>
      </w:r>
      <w:r>
        <w:tab/>
        <w:t>Note: Maps of Asia’s deployment were unable to be found</w:t>
      </w:r>
    </w:p>
  </w:footnote>
  <w:footnote w:id="7">
    <w:p w14:paraId="01F6784C" w14:textId="77777777" w:rsidR="003251DE" w:rsidRDefault="003251DE" w:rsidP="00304D45">
      <w:pPr>
        <w:pStyle w:val="FootnoteText"/>
      </w:pPr>
      <w:r>
        <w:rPr>
          <w:rStyle w:val="FootnoteReference"/>
        </w:rPr>
        <w:footnoteRef/>
      </w:r>
      <w:r>
        <w:t xml:space="preserve"> </w:t>
      </w:r>
      <w:r>
        <w:tab/>
        <w:t>To be phased out and potentially redeployed</w:t>
      </w:r>
    </w:p>
  </w:footnote>
  <w:footnote w:id="8">
    <w:p w14:paraId="13398047" w14:textId="77777777" w:rsidR="003251DE" w:rsidRDefault="003251DE" w:rsidP="00304D45">
      <w:pPr>
        <w:pStyle w:val="FootnoteText"/>
      </w:pPr>
      <w:r>
        <w:rPr>
          <w:rStyle w:val="FootnoteReference"/>
        </w:rPr>
        <w:footnoteRef/>
      </w:r>
      <w:r>
        <w:t xml:space="preserve"> </w:t>
      </w:r>
      <w:r>
        <w:tab/>
        <w:t>Statistics unable to be found</w:t>
      </w:r>
    </w:p>
  </w:footnote>
  <w:footnote w:id="9">
    <w:p w14:paraId="53588042" w14:textId="77777777" w:rsidR="003251DE" w:rsidRDefault="003251DE">
      <w:pPr>
        <w:pStyle w:val="FootnoteText"/>
      </w:pPr>
      <w:r>
        <w:rPr>
          <w:rStyle w:val="FootnoteReference"/>
        </w:rPr>
        <w:footnoteRef/>
      </w:r>
      <w:r>
        <w:t xml:space="preserve"> </w:t>
      </w:r>
      <w:r>
        <w:tab/>
        <w:t xml:space="preserve">ACMA ITS Class licence (2017) </w:t>
      </w:r>
      <w:r>
        <w:rPr>
          <w:lang w:eastAsia="fr-CA"/>
        </w:rPr>
        <w:t>aligns to</w:t>
      </w:r>
      <w:r w:rsidRPr="009B130A">
        <w:rPr>
          <w:lang w:eastAsia="fr-CA"/>
        </w:rPr>
        <w:t xml:space="preserve"> ETSI</w:t>
      </w:r>
      <w:r w:rsidRPr="00A9726C">
        <w:rPr>
          <w:lang w:eastAsia="fr-CA"/>
        </w:rPr>
        <w:t xml:space="preserve"> EN 302 571</w:t>
      </w:r>
      <w:r>
        <w:rPr>
          <w:lang w:eastAsia="fr-CA"/>
        </w:rPr>
        <w:t xml:space="preserve"> which requires ITS-G5(A,B,D) which is defined in </w:t>
      </w:r>
      <w:r w:rsidRPr="00363D34">
        <w:rPr>
          <w:lang w:eastAsia="fr-CA"/>
        </w:rPr>
        <w:t>ETSI EN 302 663</w:t>
      </w:r>
    </w:p>
  </w:footnote>
  <w:footnote w:id="10">
    <w:p w14:paraId="3B7C06E9" w14:textId="1D5E0305" w:rsidR="003251DE" w:rsidRDefault="003251DE">
      <w:pPr>
        <w:pStyle w:val="FootnoteText"/>
      </w:pPr>
      <w:r>
        <w:rPr>
          <w:rStyle w:val="FootnoteReference"/>
        </w:rPr>
        <w:footnoteRef/>
      </w:r>
      <w:r>
        <w:t xml:space="preserve"> </w:t>
      </w:r>
      <w:r>
        <w:tab/>
      </w:r>
      <w:r w:rsidRPr="00ED4AE6">
        <w:rPr>
          <w:lang w:eastAsia="fr-CA"/>
        </w:rPr>
        <w:t xml:space="preserve">Current </w:t>
      </w:r>
      <w:r>
        <w:rPr>
          <w:lang w:eastAsia="fr-CA"/>
        </w:rPr>
        <w:t>ITS</w:t>
      </w:r>
      <w:r w:rsidRPr="005D4F17">
        <w:rPr>
          <w:lang w:eastAsia="fr-CA"/>
        </w:rPr>
        <w:t>-G5 uses IEEE 802</w:t>
      </w:r>
      <w:r>
        <w:rPr>
          <w:lang w:eastAsia="fr-CA"/>
        </w:rPr>
        <w:t>.11p while an</w:t>
      </w:r>
      <w:r w:rsidRPr="00ED4AE6">
        <w:rPr>
          <w:lang w:eastAsia="fr-CA"/>
        </w:rPr>
        <w:t xml:space="preserve"> emerging (backwards compatible)</w:t>
      </w:r>
      <w:r>
        <w:rPr>
          <w:lang w:eastAsia="fr-CA"/>
        </w:rPr>
        <w:t xml:space="preserve"> version uses IEEE 802.11bd to extend performance</w:t>
      </w:r>
    </w:p>
  </w:footnote>
  <w:footnote w:id="11">
    <w:p w14:paraId="2858D944" w14:textId="77777777" w:rsidR="003251DE" w:rsidRDefault="003251DE" w:rsidP="00701D35">
      <w:pPr>
        <w:pStyle w:val="FootnoteText"/>
      </w:pPr>
      <w:r>
        <w:rPr>
          <w:rStyle w:val="FootnoteReference"/>
        </w:rPr>
        <w:footnoteRef/>
      </w:r>
      <w:r>
        <w:t xml:space="preserve"> </w:t>
      </w:r>
      <w:r>
        <w:tab/>
      </w:r>
      <w:r w:rsidRPr="00F66227">
        <w:rPr>
          <w:lang w:eastAsia="fr-CA"/>
        </w:rPr>
        <w:t>ETSI TR 103 667 and ETSI TR 103 766</w:t>
      </w:r>
    </w:p>
  </w:footnote>
  <w:footnote w:id="12">
    <w:p w14:paraId="0939CAFE" w14:textId="77777777" w:rsidR="003251DE" w:rsidRDefault="003251DE" w:rsidP="0083613B">
      <w:pPr>
        <w:pStyle w:val="FootnoteText"/>
      </w:pPr>
      <w:r>
        <w:rPr>
          <w:rStyle w:val="FootnoteReference"/>
        </w:rPr>
        <w:footnoteRef/>
      </w:r>
      <w:r>
        <w:t xml:space="preserve"> </w:t>
      </w:r>
      <w:r>
        <w:tab/>
        <w:t>Commission implementing decision of 7.10.2020 on the harmonised use of radio spectrum in the 5 875-5 935 MHz frequency band for safety-related applications of intelligent transport systems (ITS) and repealing Decision 2008/671/EC</w:t>
      </w:r>
    </w:p>
  </w:footnote>
  <w:footnote w:id="13">
    <w:p w14:paraId="1F38A2A0" w14:textId="77777777" w:rsidR="003251DE" w:rsidRDefault="003251DE" w:rsidP="007B27BA">
      <w:pPr>
        <w:pStyle w:val="FootnoteText"/>
      </w:pPr>
      <w:r>
        <w:rPr>
          <w:rStyle w:val="FootnoteReference"/>
        </w:rPr>
        <w:footnoteRef/>
      </w:r>
      <w:r>
        <w:t xml:space="preserve"> </w:t>
      </w:r>
      <w:r>
        <w:tab/>
      </w:r>
      <w:r>
        <w:rPr>
          <w:color w:val="000000"/>
          <w:shd w:val="clear" w:color="auto" w:fill="FFFFFF"/>
        </w:rPr>
        <w:t>ETSI Standard EN 302 571</w:t>
      </w:r>
    </w:p>
  </w:footnote>
  <w:footnote w:id="14">
    <w:p w14:paraId="2FE2E7F3" w14:textId="2E2A247D" w:rsidR="003251DE" w:rsidRDefault="003251DE">
      <w:pPr>
        <w:pStyle w:val="FootnoteText"/>
      </w:pPr>
      <w:r>
        <w:rPr>
          <w:rStyle w:val="FootnoteReference"/>
        </w:rPr>
        <w:footnoteRef/>
      </w:r>
      <w:r>
        <w:t xml:space="preserve"> </w:t>
      </w:r>
      <w:r>
        <w:tab/>
      </w:r>
      <w:r>
        <w:rPr>
          <w:color w:val="000000"/>
          <w:shd w:val="clear" w:color="auto" w:fill="FFFFFF"/>
        </w:rPr>
        <w:t xml:space="preserve">ETSI Standard EN 302 571 references ITS-G5(A,B,D) which are defined in </w:t>
      </w:r>
      <w:r w:rsidRPr="0085391F">
        <w:rPr>
          <w:color w:val="000000"/>
          <w:shd w:val="clear" w:color="auto" w:fill="FFFFFF"/>
        </w:rPr>
        <w:t xml:space="preserve">ETSI </w:t>
      </w:r>
      <w:r>
        <w:rPr>
          <w:color w:val="000000"/>
          <w:shd w:val="clear" w:color="auto" w:fill="FFFFFF"/>
        </w:rPr>
        <w:t xml:space="preserve">Standard </w:t>
      </w:r>
      <w:r w:rsidRPr="0085391F">
        <w:rPr>
          <w:color w:val="000000"/>
          <w:shd w:val="clear" w:color="auto" w:fill="FFFFFF"/>
        </w:rPr>
        <w:t>EN 302 663</w:t>
      </w:r>
    </w:p>
  </w:footnote>
  <w:footnote w:id="15">
    <w:p w14:paraId="4F7EAFD1" w14:textId="76D81A9F" w:rsidR="003251DE" w:rsidRDefault="003251DE" w:rsidP="004F408F">
      <w:pPr>
        <w:pStyle w:val="FootnoteText"/>
      </w:pPr>
      <w:r>
        <w:rPr>
          <w:rStyle w:val="FootnoteReference"/>
        </w:rPr>
        <w:footnoteRef/>
      </w:r>
      <w:r>
        <w:t xml:space="preserve"> </w:t>
      </w:r>
      <w:r>
        <w:tab/>
        <w:t xml:space="preserve">Data exchange is enabled </w:t>
      </w:r>
      <w:r w:rsidRPr="004F408F">
        <w:t>using DATEXII and AMQP (Advanced Message Queuing Protocol)</w:t>
      </w:r>
    </w:p>
  </w:footnote>
  <w:footnote w:id="16">
    <w:p w14:paraId="306F47E0" w14:textId="2CFCAB85" w:rsidR="003251DE" w:rsidRDefault="003251DE" w:rsidP="000B205A">
      <w:pPr>
        <w:pStyle w:val="FootnoteText"/>
      </w:pPr>
      <w:r>
        <w:rPr>
          <w:rStyle w:val="FootnoteReference"/>
        </w:rPr>
        <w:footnoteRef/>
      </w:r>
      <w:r>
        <w:t xml:space="preserve"> </w:t>
      </w:r>
      <w:r>
        <w:tab/>
        <w:t xml:space="preserve">C-ITS stations have architecture layers to process information as described in </w:t>
      </w:r>
      <w:r w:rsidRPr="009E706F">
        <w:t>ETSI EN 302 665</w:t>
      </w:r>
    </w:p>
  </w:footnote>
  <w:footnote w:id="17">
    <w:p w14:paraId="704CC0B9" w14:textId="7FE550E5" w:rsidR="003251DE" w:rsidRDefault="003251DE" w:rsidP="000B205A">
      <w:pPr>
        <w:pStyle w:val="FootnoteText"/>
      </w:pPr>
      <w:r>
        <w:rPr>
          <w:rStyle w:val="FootnoteReference"/>
        </w:rPr>
        <w:footnoteRef/>
      </w:r>
      <w:r>
        <w:t xml:space="preserve"> </w:t>
      </w:r>
      <w:r>
        <w:tab/>
        <w:t>EU VRU standards in development include</w:t>
      </w:r>
      <w:r w:rsidRPr="000306D8">
        <w:t xml:space="preserve"> ETSI TS 103 300 defining the VRU Awareness Message (VAM), and ETSI TR 103 562 defining the Cooperative Perception Message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1D49F" w14:textId="77777777" w:rsidR="003251DE" w:rsidRPr="0000478A" w:rsidRDefault="003251DE" w:rsidP="0000478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D9321" w14:textId="36BB0C7E" w:rsidR="003251DE" w:rsidRPr="00541B27" w:rsidRDefault="003251DE" w:rsidP="00F86352">
    <w:pPr>
      <w:pStyle w:val="Header"/>
      <w:jc w:val="center"/>
      <w:rP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7907" w14:textId="77777777" w:rsidR="003251DE" w:rsidRPr="0000478A" w:rsidRDefault="003251DE" w:rsidP="000047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E86D3" w14:textId="77777777" w:rsidR="003251DE" w:rsidRDefault="003251DE" w:rsidP="009457CD">
    <w:pPr>
      <w:jc w:val="center"/>
    </w:pPr>
    <w:r>
      <w:rPr>
        <w:noProof/>
        <w:lang w:eastAsia="en-AU"/>
      </w:rPr>
      <w:drawing>
        <wp:inline distT="0" distB="0" distL="0" distR="0" wp14:anchorId="4FB5D7DD" wp14:editId="2C19BE18">
          <wp:extent cx="3959360" cy="1979680"/>
          <wp:effectExtent l="0" t="0" r="3175" b="1905"/>
          <wp:docPr id="9" name="Brand Statement" descr="Question today. Imagine Tomorrow. Create for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0531_Brand_Statement_export_to_Word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59360" cy="1979680"/>
                  </a:xfrm>
                  <a:prstGeom prst="rect">
                    <a:avLst/>
                  </a:prstGeom>
                </pic:spPr>
              </pic:pic>
            </a:graphicData>
          </a:graphic>
        </wp:inline>
      </w:drawing>
    </w:r>
    <w:r w:rsidRPr="009F3782">
      <w:rPr>
        <w:noProof/>
        <w:lang w:eastAsia="en-AU"/>
      </w:rPr>
      <mc:AlternateContent>
        <mc:Choice Requires="wps">
          <w:drawing>
            <wp:anchor distT="0" distB="0" distL="114300" distR="114300" simplePos="0" relativeHeight="251658248" behindDoc="1" locked="1" layoutInCell="1" allowOverlap="1" wp14:anchorId="0F9C1BB1" wp14:editId="24F25C16">
              <wp:simplePos x="0" y="0"/>
              <wp:positionH relativeFrom="page">
                <wp:align>left</wp:align>
              </wp:positionH>
              <wp:positionV relativeFrom="page">
                <wp:align>top</wp:align>
              </wp:positionV>
              <wp:extent cx="7559675" cy="3564000"/>
              <wp:effectExtent l="0" t="0" r="3175" b="0"/>
              <wp:wrapNone/>
              <wp:docPr id="10"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3564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E7DC0" id="Rectangle 1" o:spid="_x0000_s1026" style="position:absolute;margin-left:0;margin-top:0;width:595.25pt;height:280.65pt;z-index:-251658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" fillcolor="#f9423a [3204]" stroked="f">
              <w10:wrap anchorx="page" anchory="page"/>
              <w10:anchorlock/>
            </v:rect>
          </w:pict>
        </mc:Fallback>
      </mc:AlternateContent>
    </w:r>
  </w:p>
  <w:p w14:paraId="24171616" w14:textId="77777777" w:rsidR="003251DE" w:rsidRPr="009457CD" w:rsidRDefault="003251DE" w:rsidP="009457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E4B83" w14:textId="77777777" w:rsidR="003251DE" w:rsidRDefault="003251DE" w:rsidP="0089683F">
    <w:pPr>
      <w:pStyle w:val="Header"/>
    </w:pPr>
    <w:r w:rsidRPr="00FF4DA9">
      <w:rPr>
        <w:noProof/>
        <w:lang w:eastAsia="en-AU"/>
      </w:rPr>
      <w:drawing>
        <wp:anchor distT="0" distB="0" distL="114300" distR="114300" simplePos="0" relativeHeight="251658245" behindDoc="0" locked="0" layoutInCell="1" allowOverlap="1" wp14:anchorId="6BE1771C" wp14:editId="0968E390">
          <wp:simplePos x="0" y="0"/>
          <wp:positionH relativeFrom="page">
            <wp:posOffset>914400</wp:posOffset>
          </wp:positionH>
          <wp:positionV relativeFrom="page">
            <wp:posOffset>457200</wp:posOffset>
          </wp:positionV>
          <wp:extent cx="961200" cy="457714"/>
          <wp:effectExtent l="0" t="0" r="0" b="0"/>
          <wp:wrapNone/>
          <wp:docPr id="11" name="WSP Logo" descr="W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200" cy="457714"/>
                  </a:xfrm>
                  <a:prstGeom prst="rect">
                    <a:avLst/>
                  </a:prstGeom>
                  <a:noFill/>
                  <a:ln>
                    <a:noFill/>
                  </a:ln>
                </pic:spPr>
              </pic:pic>
            </a:graphicData>
          </a:graphic>
          <wp14:sizeRelH relativeFrom="margin">
            <wp14:pctWidth>0</wp14:pctWidth>
          </wp14:sizeRelH>
        </wp:anchor>
      </w:drawing>
    </w:r>
  </w:p>
  <w:p w14:paraId="03738C47" w14:textId="77777777" w:rsidR="003251DE" w:rsidRDefault="003251DE" w:rsidP="0089683F">
    <w:pPr>
      <w:pStyle w:val="Header"/>
    </w:pPr>
    <w:r>
      <w:rPr>
        <w:noProof/>
        <w:lang w:eastAsia="en-AU"/>
      </w:rPr>
      <mc:AlternateContent>
        <mc:Choice Requires="wps">
          <w:drawing>
            <wp:anchor distT="0" distB="0" distL="114300" distR="114300" simplePos="0" relativeHeight="251658244" behindDoc="0" locked="1" layoutInCell="1" allowOverlap="1" wp14:anchorId="6E4BFD58" wp14:editId="5CE94DBE">
              <wp:simplePos x="0" y="0"/>
              <wp:positionH relativeFrom="page">
                <wp:posOffset>5130800</wp:posOffset>
              </wp:positionH>
              <wp:positionV relativeFrom="margin">
                <wp:posOffset>0</wp:posOffset>
              </wp:positionV>
              <wp:extent cx="0" cy="7917180"/>
              <wp:effectExtent l="0" t="0" r="19050" b="32385"/>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917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100000</wp14:pctHeight>
              </wp14:sizeRelV>
            </wp:anchor>
          </w:drawing>
        </mc:Choice>
        <mc:Fallback>
          <w:pict>
            <v:line w14:anchorId="423C3A0B" id="Straight Connector 60" o:spid="_x0000_s1026" style="position:absolute;z-index:251658244;visibility:visible;mso-wrap-style:square;mso-height-percent:1000;mso-wrap-distance-left:9pt;mso-wrap-distance-top:0;mso-wrap-distance-right:9pt;mso-wrap-distance-bottom:0;mso-position-horizontal:absolute;mso-position-horizontal-relative:page;mso-position-vertical:absolute;mso-position-vertical-relative:margin;mso-height-percent:1000;mso-height-relative:margin" from="404pt,0" to="404pt,6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" strokecolor="#f8322a [3044]">
              <w10:wrap anchorx="page" anchory="margin"/>
              <w10:anchorlock/>
            </v:line>
          </w:pict>
        </mc:Fallback>
      </mc:AlternateContent>
    </w:r>
  </w:p>
  <w:p w14:paraId="02D92F4D" w14:textId="2E6C3EAC" w:rsidR="003251DE" w:rsidRPr="0089683F" w:rsidRDefault="003251DE" w:rsidP="008968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D2D9" w14:textId="77777777" w:rsidR="003251DE" w:rsidRDefault="003251DE" w:rsidP="0089683F">
    <w:pPr>
      <w:pStyle w:val="Header"/>
    </w:pPr>
    <w:r w:rsidRPr="00FF4DA9">
      <w:rPr>
        <w:noProof/>
        <w:lang w:eastAsia="en-AU"/>
      </w:rPr>
      <w:drawing>
        <wp:anchor distT="0" distB="0" distL="114300" distR="114300" simplePos="0" relativeHeight="251658242" behindDoc="0" locked="1" layoutInCell="1" allowOverlap="1" wp14:anchorId="496C49DF" wp14:editId="5D0BEDF3">
          <wp:simplePos x="0" y="0"/>
          <wp:positionH relativeFrom="page">
            <wp:posOffset>914400</wp:posOffset>
          </wp:positionH>
          <wp:positionV relativeFrom="page">
            <wp:posOffset>457200</wp:posOffset>
          </wp:positionV>
          <wp:extent cx="961200" cy="457412"/>
          <wp:effectExtent l="0" t="0" r="0" b="0"/>
          <wp:wrapNone/>
          <wp:docPr id="13" name="WSP Logo" descr="W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200" cy="457412"/>
                  </a:xfrm>
                  <a:prstGeom prst="rect">
                    <a:avLst/>
                  </a:prstGeom>
                  <a:noFill/>
                  <a:ln>
                    <a:noFill/>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58243" behindDoc="0" locked="1" layoutInCell="1" allowOverlap="1" wp14:anchorId="68B67997" wp14:editId="0B43C2C6">
              <wp:simplePos x="0" y="0"/>
              <wp:positionH relativeFrom="page">
                <wp:posOffset>2771775</wp:posOffset>
              </wp:positionH>
              <wp:positionV relativeFrom="margin">
                <wp:posOffset>0</wp:posOffset>
              </wp:positionV>
              <wp:extent cx="0" cy="7917180"/>
              <wp:effectExtent l="0" t="0" r="19050" b="32385"/>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917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100000</wp14:pctHeight>
              </wp14:sizeRelV>
            </wp:anchor>
          </w:drawing>
        </mc:Choice>
        <mc:Fallback>
          <w:pict>
            <v:line w14:anchorId="448EDF14" id="Straight Connector 58" o:spid="_x0000_s1026" style="position:absolute;z-index:251658243;visibility:visible;mso-wrap-style:square;mso-height-percent:1000;mso-wrap-distance-left:9pt;mso-wrap-distance-top:0;mso-wrap-distance-right:9pt;mso-wrap-distance-bottom:0;mso-position-horizontal:absolute;mso-position-horizontal-relative:page;mso-position-vertical:absolute;mso-position-vertical-relative:margin;mso-height-percent:1000;mso-height-relative:margin" from="218.25pt,0" to="218.25pt,6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" strokecolor="#f8322a [3044]">
              <w10:wrap anchorx="page" anchory="margin"/>
              <w10:anchorlock/>
            </v:line>
          </w:pict>
        </mc:Fallback>
      </mc:AlternateContent>
    </w:r>
  </w:p>
  <w:p w14:paraId="638BA034" w14:textId="3286CABF" w:rsidR="003251DE" w:rsidRDefault="003251DE" w:rsidP="005C69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6F97" w14:textId="77777777" w:rsidR="003251DE" w:rsidRDefault="003251DE" w:rsidP="0029780F">
    <w:pPr>
      <w:pStyle w:val="Header"/>
    </w:pPr>
    <w:bookmarkStart w:id="6" w:name="_Hlk43187624"/>
    <w:bookmarkStart w:id="7" w:name="_Hlk43187625"/>
    <w:bookmarkStart w:id="8" w:name="_Hlk87345776"/>
    <w:bookmarkStart w:id="9" w:name="_Hlk87345777"/>
    <w:bookmarkStart w:id="10" w:name="_Hlk87350860"/>
    <w:bookmarkStart w:id="11" w:name="_Hlk87350861"/>
    <w:r w:rsidRPr="00FF4DA9">
      <w:rPr>
        <w:noProof/>
        <w:lang w:eastAsia="en-AU"/>
      </w:rPr>
      <w:drawing>
        <wp:anchor distT="0" distB="0" distL="114300" distR="114300" simplePos="0" relativeHeight="251658240" behindDoc="0" locked="0" layoutInCell="1" allowOverlap="1" wp14:anchorId="716789D5" wp14:editId="7331FA36">
          <wp:simplePos x="0" y="0"/>
          <wp:positionH relativeFrom="page">
            <wp:posOffset>914400</wp:posOffset>
          </wp:positionH>
          <wp:positionV relativeFrom="page">
            <wp:posOffset>457200</wp:posOffset>
          </wp:positionV>
          <wp:extent cx="961200" cy="457714"/>
          <wp:effectExtent l="0" t="0" r="0" b="0"/>
          <wp:wrapNone/>
          <wp:docPr id="15" name="WSP Logo" descr="W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200" cy="457714"/>
                  </a:xfrm>
                  <a:prstGeom prst="rect">
                    <a:avLst/>
                  </a:prstGeom>
                  <a:noFill/>
                  <a:ln>
                    <a:noFill/>
                  </a:ln>
                </pic:spPr>
              </pic:pic>
            </a:graphicData>
          </a:graphic>
          <wp14:sizeRelH relativeFrom="margin">
            <wp14:pctWidth>0</wp14:pctWidth>
          </wp14:sizeRelH>
        </wp:anchor>
      </w:drawing>
    </w:r>
  </w:p>
  <w:p w14:paraId="5D86C334" w14:textId="77777777" w:rsidR="003251DE" w:rsidRPr="002C6E87" w:rsidRDefault="003251DE" w:rsidP="00CF4F67">
    <w:r>
      <w:rPr>
        <w:noProof/>
        <w:lang w:eastAsia="en-AU"/>
      </w:rPr>
      <mc:AlternateContent>
        <mc:Choice Requires="wps">
          <w:drawing>
            <wp:anchor distT="0" distB="0" distL="114300" distR="114300" simplePos="0" relativeHeight="251658241" behindDoc="0" locked="1" layoutInCell="1" allowOverlap="1" wp14:anchorId="5561A5E9" wp14:editId="6084DA26">
              <wp:simplePos x="0" y="0"/>
              <wp:positionH relativeFrom="page">
                <wp:posOffset>2790190</wp:posOffset>
              </wp:positionH>
              <wp:positionV relativeFrom="margin">
                <wp:align>top</wp:align>
              </wp:positionV>
              <wp:extent cx="0" cy="8406000"/>
              <wp:effectExtent l="0" t="0" r="19050" b="32385"/>
              <wp:wrapNone/>
              <wp:docPr id="57" name="Straight Connector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40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100000</wp14:pctHeight>
              </wp14:sizeRelV>
            </wp:anchor>
          </w:drawing>
        </mc:Choice>
        <mc:Fallback>
          <w:pict>
            <v:line w14:anchorId="05FB86D9" id="Straight Connector 57" o:spid="_x0000_s1026" style="position:absolute;z-index:251658241;visibility:visible;mso-wrap-style:square;mso-height-percent:1000;mso-wrap-distance-left:9pt;mso-wrap-distance-top:0;mso-wrap-distance-right:9pt;mso-wrap-distance-bottom:0;mso-position-horizontal:absolute;mso-position-horizontal-relative:page;mso-position-vertical:top;mso-position-vertical-relative:margin;mso-height-percent:1000;mso-height-relative:margin" from="219.7pt,0" to="219.7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" strokecolor="#f8322a [3044]">
              <w10:wrap anchorx="page" anchory="margin"/>
              <w10:anchorlock/>
            </v:line>
          </w:pict>
        </mc:Fallback>
      </mc:AlternateContent>
    </w:r>
  </w:p>
  <w:bookmarkEnd w:id="6"/>
  <w:bookmarkEnd w:id="7"/>
  <w:bookmarkEnd w:id="8"/>
  <w:bookmarkEnd w:id="9"/>
  <w:bookmarkEnd w:id="10"/>
  <w:bookmarkEnd w:id="11"/>
  <w:p w14:paraId="15FB8972" w14:textId="302062DA" w:rsidR="003251DE" w:rsidRPr="0089683F" w:rsidRDefault="003251DE" w:rsidP="008968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BA39D" w14:textId="47C0FE61" w:rsidR="003251DE" w:rsidRPr="00852A24" w:rsidRDefault="003251DE" w:rsidP="00852A24">
    <w:pPr>
      <w:pStyle w:val="Header"/>
    </w:pPr>
    <w:r w:rsidRPr="00820648">
      <w:rPr>
        <w:noProof/>
        <w:lang w:val="en-US" w:eastAsia="en-US"/>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2B554" w14:textId="0F874E25" w:rsidR="003251DE" w:rsidRPr="000E439E" w:rsidRDefault="003251DE" w:rsidP="000E439E">
    <w:pPr>
      <w:pStyle w:val="Header"/>
    </w:pPr>
    <w:bookmarkStart w:id="34" w:name="_Hlk87345773"/>
    <w:bookmarkStart w:id="35" w:name="_Hlk87345774"/>
    <w:bookmarkStart w:id="36" w:name="_Hlk87350857"/>
    <w:bookmarkStart w:id="37" w:name="_Hlk87350858"/>
    <w:bookmarkEnd w:id="34"/>
    <w:bookmarkEnd w:id="35"/>
    <w:bookmarkEnd w:id="36"/>
    <w:bookmarkEnd w:id="37"/>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C2330" w14:textId="77777777" w:rsidR="003251DE" w:rsidRDefault="003251DE" w:rsidP="0029780F">
    <w:pPr>
      <w:pStyle w:val="Header"/>
    </w:pPr>
    <w:r w:rsidRPr="00FF4DA9">
      <w:rPr>
        <w:noProof/>
        <w:lang w:eastAsia="en-AU"/>
      </w:rPr>
      <w:drawing>
        <wp:anchor distT="0" distB="0" distL="114300" distR="114300" simplePos="0" relativeHeight="251658246" behindDoc="0" locked="0" layoutInCell="1" allowOverlap="1" wp14:anchorId="4EBEF60C" wp14:editId="20D27FA0">
          <wp:simplePos x="0" y="0"/>
          <wp:positionH relativeFrom="page">
            <wp:posOffset>914400</wp:posOffset>
          </wp:positionH>
          <wp:positionV relativeFrom="page">
            <wp:posOffset>457200</wp:posOffset>
          </wp:positionV>
          <wp:extent cx="961200" cy="457714"/>
          <wp:effectExtent l="0" t="0" r="0" b="0"/>
          <wp:wrapNone/>
          <wp:docPr id="16" name="WSP Logo" descr="W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200" cy="457714"/>
                  </a:xfrm>
                  <a:prstGeom prst="rect">
                    <a:avLst/>
                  </a:prstGeom>
                  <a:noFill/>
                  <a:ln>
                    <a:noFill/>
                  </a:ln>
                </pic:spPr>
              </pic:pic>
            </a:graphicData>
          </a:graphic>
          <wp14:sizeRelH relativeFrom="margin">
            <wp14:pctWidth>0</wp14:pctWidth>
          </wp14:sizeRelH>
        </wp:anchor>
      </w:drawing>
    </w:r>
  </w:p>
  <w:p w14:paraId="1DFEAECC" w14:textId="77777777" w:rsidR="003251DE" w:rsidRPr="002C6E87" w:rsidRDefault="003251DE" w:rsidP="00CF4F67">
    <w:r>
      <w:rPr>
        <w:noProof/>
        <w:lang w:eastAsia="en-AU"/>
      </w:rPr>
      <mc:AlternateContent>
        <mc:Choice Requires="wps">
          <w:drawing>
            <wp:anchor distT="0" distB="0" distL="114300" distR="114300" simplePos="0" relativeHeight="251658247" behindDoc="0" locked="1" layoutInCell="1" allowOverlap="1" wp14:anchorId="7680BFB9" wp14:editId="63B1D29F">
              <wp:simplePos x="0" y="0"/>
              <wp:positionH relativeFrom="page">
                <wp:posOffset>2790190</wp:posOffset>
              </wp:positionH>
              <wp:positionV relativeFrom="margin">
                <wp:align>top</wp:align>
              </wp:positionV>
              <wp:extent cx="0" cy="8406000"/>
              <wp:effectExtent l="0" t="0" r="19050" b="32385"/>
              <wp:wrapNone/>
              <wp:docPr id="225" name="Straight Connector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40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100000</wp14:pctHeight>
              </wp14:sizeRelV>
            </wp:anchor>
          </w:drawing>
        </mc:Choice>
        <mc:Fallback>
          <w:pict>
            <v:line w14:anchorId="64B1F1B9" id="Straight Connector 225" o:spid="_x0000_s1026" style="position:absolute;z-index:251658247;visibility:visible;mso-wrap-style:square;mso-height-percent:1000;mso-wrap-distance-left:9pt;mso-wrap-distance-top:0;mso-wrap-distance-right:9pt;mso-wrap-distance-bottom:0;mso-position-horizontal:absolute;mso-position-horizontal-relative:page;mso-position-vertical:top;mso-position-vertical-relative:margin;mso-height-percent:1000;mso-height-relative:margin" from="219.7pt,0" to="219.7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" strokecolor="#f8322a [3044]">
              <w10:wrap anchorx="page" anchory="margin"/>
              <w10:anchorlock/>
            </v:line>
          </w:pict>
        </mc:Fallback>
      </mc:AlternateContent>
    </w:r>
  </w:p>
  <w:p w14:paraId="4E849117" w14:textId="77777777" w:rsidR="003251DE" w:rsidRPr="0089683F" w:rsidRDefault="003251DE" w:rsidP="00896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55E29A4"/>
    <w:lvl w:ilvl="0">
      <w:start w:val="1"/>
      <w:numFmt w:val="decimal"/>
      <w:pStyle w:val="ListNumber"/>
      <w:lvlText w:val="%1"/>
      <w:lvlJc w:val="left"/>
      <w:pPr>
        <w:tabs>
          <w:tab w:val="num" w:pos="360"/>
        </w:tabs>
        <w:ind w:left="360" w:hanging="360"/>
      </w:pPr>
      <w:rPr>
        <w:rFonts w:asciiTheme="minorHAnsi" w:eastAsia="Times New Roman" w:hAnsiTheme="minorHAnsi" w:cs="Times New Roman"/>
        <w:b/>
        <w:bCs/>
        <w:color w:val="FF0000"/>
      </w:rPr>
    </w:lvl>
  </w:abstractNum>
  <w:abstractNum w:abstractNumId="1" w15:restartNumberingAfterBreak="0">
    <w:nsid w:val="00057001"/>
    <w:multiLevelType w:val="multilevel"/>
    <w:tmpl w:val="B41AEBB0"/>
    <w:name w:val="WSP Appendices"/>
    <w:lvl w:ilvl="0">
      <w:start w:val="1"/>
      <w:numFmt w:val="upperLetter"/>
      <w:lvlRestart w:val="0"/>
      <w:pStyle w:val="Heading8"/>
      <w:suff w:val="space"/>
      <w:lvlText w:val="Appendix %1"/>
      <w:lvlJc w:val="left"/>
      <w:pPr>
        <w:tabs>
          <w:tab w:val="num" w:pos="0"/>
        </w:tabs>
        <w:ind w:left="0" w:firstLine="0"/>
      </w:pPr>
      <w:rPr>
        <w:rFonts w:hint="default"/>
        <w:b/>
        <w:bCs w:val="0"/>
        <w:i w:val="0"/>
        <w:iCs w:val="0"/>
        <w:caps/>
        <w:smallCaps w:val="0"/>
        <w:strike w:val="0"/>
        <w:dstrike w:val="0"/>
        <w:noProof w:val="0"/>
        <w:vanish w:val="0"/>
        <w:color w:val="auto"/>
        <w:spacing w:val="0"/>
        <w:kern w:val="0"/>
        <w:position w:val="0"/>
        <w:sz w:val="10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FFFFFF"/>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9"/>
      <w:suff w:val="nothing"/>
      <w:lvlText w:val="Appendix %1-%2"/>
      <w:lvlJc w:val="right"/>
      <w:pPr>
        <w:tabs>
          <w:tab w:val="num" w:pos="0"/>
        </w:tabs>
        <w:ind w:left="0" w:firstLine="0"/>
      </w:pPr>
      <w:rPr>
        <w:rFonts w:asciiTheme="majorHAnsi" w:hAnsiTheme="majorHAnsi" w:cs="Times New Roman" w:hint="default"/>
        <w:b w:val="0"/>
        <w:bCs w:val="0"/>
        <w:i w:val="0"/>
        <w:iCs w:val="0"/>
        <w:caps/>
        <w:smallCaps w:val="0"/>
        <w:strike w:val="0"/>
        <w:dstrike w:val="0"/>
        <w:noProof w:val="0"/>
        <w:vanish w:val="0"/>
        <w:color w:val="F9423A" w:themeColor="text2"/>
        <w:spacing w:val="0"/>
        <w:kern w:val="0"/>
        <w:position w:val="0"/>
        <w:sz w:val="4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2"/>
      <w:lvlText w:val="%1%3."/>
      <w:lvlJc w:val="left"/>
      <w:pPr>
        <w:tabs>
          <w:tab w:val="num" w:pos="1134"/>
        </w:tabs>
        <w:ind w:left="1134" w:hanging="1134"/>
      </w:pPr>
      <w:rPr>
        <w:rFonts w:hint="default"/>
      </w:rPr>
    </w:lvl>
    <w:lvl w:ilvl="3">
      <w:start w:val="1"/>
      <w:numFmt w:val="decimal"/>
      <w:pStyle w:val="AppendixHeading3"/>
      <w:lvlText w:val="%1%3.%4"/>
      <w:lvlJc w:val="left"/>
      <w:pPr>
        <w:tabs>
          <w:tab w:val="num" w:pos="1134"/>
        </w:tabs>
        <w:ind w:left="1134" w:hanging="1134"/>
      </w:pPr>
      <w:rPr>
        <w:rFonts w:hint="default"/>
      </w:rPr>
    </w:lvl>
    <w:lvl w:ilvl="4">
      <w:start w:val="1"/>
      <w:numFmt w:val="decimal"/>
      <w:pStyle w:val="AppendixHeading4"/>
      <w:lvlText w:val="%1%3.%4.%5"/>
      <w:lvlJc w:val="left"/>
      <w:pPr>
        <w:tabs>
          <w:tab w:val="num" w:pos="1134"/>
        </w:tabs>
        <w:ind w:left="1134" w:hanging="113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D8C832B8"/>
    <w:lvl w:ilvl="0">
      <w:start w:val="1"/>
      <w:numFmt w:val="none"/>
      <w:suff w:val="nothing"/>
      <w:lvlText w:val=""/>
      <w:lvlJc w:val="left"/>
      <w:pPr>
        <w:ind w:left="113" w:firstLine="0"/>
      </w:pPr>
      <w:rPr>
        <w:rFonts w:hint="default"/>
      </w:rPr>
    </w:lvl>
    <w:lvl w:ilvl="1">
      <w:start w:val="1"/>
      <w:numFmt w:val="decimal"/>
      <w:pStyle w:val="Footnotes"/>
      <w:lvlText w:val="(%2)"/>
      <w:lvlJc w:val="left"/>
      <w:pPr>
        <w:tabs>
          <w:tab w:val="num" w:pos="425"/>
        </w:tabs>
        <w:ind w:left="425" w:hanging="425"/>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FB2573F"/>
    <w:multiLevelType w:val="multilevel"/>
    <w:tmpl w:val="DE1A4C60"/>
    <w:name w:val="TableFootnotes"/>
    <w:lvl w:ilvl="0">
      <w:start w:val="1"/>
      <w:numFmt w:val="none"/>
      <w:suff w:val="nothing"/>
      <w:lvlText w:val=""/>
      <w:lvlJc w:val="left"/>
      <w:pPr>
        <w:ind w:left="113" w:firstLine="0"/>
      </w:pPr>
      <w:rPr>
        <w:rFonts w:hint="default"/>
        <w:spacing w:val="-10"/>
      </w:rPr>
    </w:lvl>
    <w:lvl w:ilvl="1">
      <w:start w:val="1"/>
      <w:numFmt w:val="decimal"/>
      <w:pStyle w:val="TableFootnotes"/>
      <w:lvlText w:val="(%2)"/>
      <w:lvlJc w:val="left"/>
      <w:pPr>
        <w:tabs>
          <w:tab w:val="num" w:pos="425"/>
        </w:tabs>
        <w:ind w:left="425" w:hanging="425"/>
      </w:pPr>
      <w:rPr>
        <w:rFonts w:hint="default"/>
        <w:spacing w:val="0"/>
        <w:w w:val="100"/>
        <w:kern w:val="0"/>
        <w:position w:val="0"/>
      </w:rPr>
    </w:lvl>
    <w:lvl w:ilvl="2">
      <w:start w:val="1"/>
      <w:numFmt w:val="none"/>
      <w:lvlRestart w:val="1"/>
      <w:lvlText w:val=""/>
      <w:lvlJc w:val="left"/>
      <w:pPr>
        <w:tabs>
          <w:tab w:val="num" w:pos="284"/>
        </w:tabs>
        <w:ind w:left="284" w:hanging="284"/>
      </w:pPr>
      <w:rPr>
        <w:rFonts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5" w15:restartNumberingAfterBreak="0">
    <w:nsid w:val="12224FBE"/>
    <w:multiLevelType w:val="multilevel"/>
    <w:tmpl w:val="909EAB74"/>
    <w:name w:val="Global Numbered List"/>
    <w:lvl w:ilvl="0">
      <w:start w:val="1"/>
      <w:numFmt w:val="decimal"/>
      <w:lvlText w:val="%1."/>
      <w:lvlJc w:val="left"/>
      <w:pPr>
        <w:ind w:left="360" w:hanging="360"/>
      </w:pPr>
      <w:rPr>
        <w:rFonts w:ascii="Arial Gras" w:hAnsi="Arial Gras" w:hint="default"/>
        <w:b/>
        <w:i w:val="0"/>
        <w:color w:val="000000" w:themeColor="text1"/>
        <w:sz w:val="20"/>
      </w:rPr>
    </w:lvl>
    <w:lvl w:ilvl="1">
      <w:start w:val="1"/>
      <w:numFmt w:val="lowerLetter"/>
      <w:lvlText w:val="%2."/>
      <w:lvlJc w:val="left"/>
      <w:pPr>
        <w:ind w:left="720" w:hanging="360"/>
      </w:pPr>
      <w:rPr>
        <w:rFonts w:ascii="Arial Gras" w:hAnsi="Arial Gras" w:hint="default"/>
        <w:b/>
        <w:i w:val="0"/>
        <w:color w:val="000000" w:themeColor="text1"/>
        <w:sz w:val="20"/>
      </w:rPr>
    </w:lvl>
    <w:lvl w:ilvl="2">
      <w:start w:val="1"/>
      <w:numFmt w:val="lowerRoman"/>
      <w:lvlText w:val="%3."/>
      <w:lvlJc w:val="left"/>
      <w:pPr>
        <w:ind w:left="1080" w:hanging="360"/>
      </w:pPr>
      <w:rPr>
        <w:rFonts w:ascii="Arial Gras" w:hAnsi="Arial Gras" w:hint="default"/>
        <w:b/>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890D1D"/>
    <w:multiLevelType w:val="multilevel"/>
    <w:tmpl w:val="8D626960"/>
    <w:name w:val="Bullets"/>
    <w:lvl w:ilvl="0">
      <w:start w:val="1"/>
      <w:numFmt w:val="bullet"/>
      <w:pStyle w:val="ListBullet"/>
      <w:lvlText w:val="►"/>
      <w:lvlJc w:val="left"/>
      <w:pPr>
        <w:ind w:left="360" w:hanging="360"/>
      </w:pPr>
      <w:rPr>
        <w:rFonts w:ascii="Times New Roman" w:hAnsi="Times New Roman" w:cs="Times New Roman" w:hint="default"/>
        <w:color w:val="F9423A" w:themeColor="text2"/>
        <w:position w:val="1"/>
        <w:sz w:val="14"/>
        <w:szCs w:val="14"/>
      </w:rPr>
    </w:lvl>
    <w:lvl w:ilvl="1">
      <w:start w:val="5"/>
      <w:numFmt w:val="bullet"/>
      <w:pStyle w:val="ListBullet2"/>
      <w:lvlText w:val="—"/>
      <w:lvlJc w:val="left"/>
      <w:pPr>
        <w:ind w:left="714" w:hanging="357"/>
      </w:pPr>
      <w:rPr>
        <w:rFonts w:ascii="Calibri" w:hAnsi="Calibri" w:hint="default"/>
        <w:b w:val="0"/>
        <w:i w:val="0"/>
        <w:color w:val="auto"/>
        <w:position w:val="0"/>
        <w:sz w:val="20"/>
      </w:rPr>
    </w:lvl>
    <w:lvl w:ilvl="2">
      <w:start w:val="1"/>
      <w:numFmt w:val="bullet"/>
      <w:pStyle w:val="ListBullet3"/>
      <w:lvlText w:val="—"/>
      <w:lvlJc w:val="left"/>
      <w:pPr>
        <w:ind w:left="1071" w:hanging="357"/>
      </w:pPr>
      <w:rPr>
        <w:rFonts w:ascii="Calibri" w:hAnsi="Calibri" w:hint="default"/>
        <w:b w:val="0"/>
        <w:i w:val="0"/>
        <w:color w:val="auto"/>
        <w:position w:val="3"/>
        <w:sz w:val="20"/>
      </w:rPr>
    </w:lvl>
    <w:lvl w:ilvl="3">
      <w:start w:val="1"/>
      <w:numFmt w:val="bullet"/>
      <w:pStyle w:val="ListBullet4"/>
      <w:lvlText w:val="—"/>
      <w:lvlJc w:val="left"/>
      <w:pPr>
        <w:ind w:left="1428" w:hanging="357"/>
      </w:pPr>
      <w:rPr>
        <w:rFonts w:ascii="Calibri" w:hAnsi="Calibri" w:hint="default"/>
        <w:color w:val="auto"/>
      </w:rPr>
    </w:lvl>
    <w:lvl w:ilvl="4">
      <w:start w:val="1"/>
      <w:numFmt w:val="bullet"/>
      <w:pStyle w:val="ListBullet5"/>
      <w:lvlText w:val="—"/>
      <w:lvlJc w:val="left"/>
      <w:pPr>
        <w:ind w:left="1785" w:hanging="357"/>
      </w:pPr>
      <w:rPr>
        <w:rFonts w:ascii="Calibri" w:hAnsi="Calibri" w:hint="default"/>
        <w:color w:val="auto"/>
      </w:rPr>
    </w:lvl>
    <w:lvl w:ilvl="5">
      <w:start w:val="1"/>
      <w:numFmt w:val="none"/>
      <w:lvlText w:val=""/>
      <w:lvlJc w:val="left"/>
      <w:pPr>
        <w:tabs>
          <w:tab w:val="num" w:pos="2210"/>
        </w:tabs>
        <w:ind w:left="2142" w:hanging="357"/>
      </w:pPr>
      <w:rPr>
        <w:rFonts w:hint="default"/>
      </w:rPr>
    </w:lvl>
    <w:lvl w:ilvl="6">
      <w:start w:val="1"/>
      <w:numFmt w:val="none"/>
      <w:lvlText w:val=""/>
      <w:lvlJc w:val="left"/>
      <w:pPr>
        <w:tabs>
          <w:tab w:val="num" w:pos="2567"/>
        </w:tabs>
        <w:ind w:left="2499" w:hanging="357"/>
      </w:pPr>
      <w:rPr>
        <w:rFonts w:hint="default"/>
      </w:rPr>
    </w:lvl>
    <w:lvl w:ilvl="7">
      <w:start w:val="1"/>
      <w:numFmt w:val="none"/>
      <w:lvlText w:val=""/>
      <w:lvlJc w:val="left"/>
      <w:pPr>
        <w:tabs>
          <w:tab w:val="num" w:pos="2924"/>
        </w:tabs>
        <w:ind w:left="2856" w:hanging="357"/>
      </w:pPr>
      <w:rPr>
        <w:rFonts w:hint="default"/>
      </w:rPr>
    </w:lvl>
    <w:lvl w:ilvl="8">
      <w:start w:val="1"/>
      <w:numFmt w:val="none"/>
      <w:lvlText w:val=""/>
      <w:lvlJc w:val="left"/>
      <w:pPr>
        <w:tabs>
          <w:tab w:val="num" w:pos="3281"/>
        </w:tabs>
        <w:ind w:left="3213" w:hanging="357"/>
      </w:pPr>
      <w:rPr>
        <w:rFonts w:hint="default"/>
      </w:rPr>
    </w:lvl>
  </w:abstractNum>
  <w:abstractNum w:abstractNumId="7" w15:restartNumberingAfterBreak="0">
    <w:nsid w:val="1AC53308"/>
    <w:multiLevelType w:val="multilevel"/>
    <w:tmpl w:val="AAC6EF2C"/>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8" w15:restartNumberingAfterBreak="0">
    <w:nsid w:val="226A6EE6"/>
    <w:multiLevelType w:val="multilevel"/>
    <w:tmpl w:val="21AE7B96"/>
    <w:name w:val="TableBullets"/>
    <w:lvl w:ilvl="0">
      <w:start w:val="1"/>
      <w:numFmt w:val="bullet"/>
      <w:pStyle w:val="TableBullet1"/>
      <w:lvlText w:val="►"/>
      <w:lvlJc w:val="left"/>
      <w:pPr>
        <w:ind w:left="357" w:hanging="357"/>
      </w:pPr>
      <w:rPr>
        <w:rFonts w:ascii="Times New Roman" w:hAnsi="Times New Roman" w:cs="Times New Roman" w:hint="default"/>
        <w:color w:val="FF0000"/>
        <w:position w:val="0"/>
        <w:sz w:val="16"/>
        <w:szCs w:val="16"/>
      </w:rPr>
    </w:lvl>
    <w:lvl w:ilvl="1">
      <w:start w:val="1"/>
      <w:numFmt w:val="bullet"/>
      <w:pStyle w:val="TableBullet2"/>
      <w:lvlText w:val="—"/>
      <w:lvlJc w:val="left"/>
      <w:pPr>
        <w:ind w:left="714" w:hanging="357"/>
      </w:pPr>
      <w:rPr>
        <w:rFonts w:ascii="Times New Roman" w:hAnsi="Times New Roman" w:cs="Times New Roman" w:hint="default"/>
        <w:color w:val="auto"/>
        <w:position w:val="0"/>
        <w:sz w:val="18"/>
      </w:rPr>
    </w:lvl>
    <w:lvl w:ilvl="2">
      <w:start w:val="1"/>
      <w:numFmt w:val="bullet"/>
      <w:pStyle w:val="TableBullet3"/>
      <w:lvlText w:val="—"/>
      <w:lvlJc w:val="left"/>
      <w:pPr>
        <w:ind w:left="1071" w:hanging="357"/>
      </w:pPr>
      <w:rPr>
        <w:rFonts w:ascii="Times New Roman" w:hAnsi="Times New Roman" w:cs="Times New Roman" w:hint="default"/>
        <w:color w:val="auto"/>
        <w:position w:val="0"/>
        <w:sz w:val="18"/>
      </w:rPr>
    </w:lvl>
    <w:lvl w:ilvl="3">
      <w:start w:val="1"/>
      <w:numFmt w:val="bullet"/>
      <w:pStyle w:val="TableBullet4"/>
      <w:lvlText w:val="—"/>
      <w:lvlJc w:val="left"/>
      <w:pPr>
        <w:ind w:left="1428" w:hanging="357"/>
      </w:pPr>
      <w:rPr>
        <w:rFonts w:ascii="Times New Roman" w:hAnsi="Times New Roman" w:cs="Times New Roman" w:hint="default"/>
        <w:color w:val="auto"/>
        <w:sz w:val="16"/>
      </w:rPr>
    </w:lvl>
    <w:lvl w:ilvl="4">
      <w:start w:val="1"/>
      <w:numFmt w:val="bullet"/>
      <w:pStyle w:val="TableBullet5"/>
      <w:lvlText w:val="—"/>
      <w:lvlJc w:val="left"/>
      <w:pPr>
        <w:ind w:left="1785" w:hanging="357"/>
      </w:pPr>
      <w:rPr>
        <w:rFonts w:ascii="Times New Roman" w:hAnsi="Times New Roman" w:cs="Times New Roman" w:hint="default"/>
        <w:color w:val="auto"/>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9" w15:restartNumberingAfterBreak="0">
    <w:nsid w:val="235B0313"/>
    <w:multiLevelType w:val="multilevel"/>
    <w:tmpl w:val="0C09001D"/>
    <w:styleLink w:val="ArticleSection"/>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2" w15:restartNumberingAfterBreak="0">
    <w:nsid w:val="315672CA"/>
    <w:multiLevelType w:val="multilevel"/>
    <w:tmpl w:val="DB4C993E"/>
    <w:name w:val="TableListNumbering"/>
    <w:lvl w:ilvl="0">
      <w:start w:val="1"/>
      <w:numFmt w:val="decimal"/>
      <w:pStyle w:val="TableListNumber1"/>
      <w:lvlText w:val="%1"/>
      <w:lvlJc w:val="left"/>
      <w:pPr>
        <w:ind w:left="357" w:hanging="357"/>
      </w:pPr>
      <w:rPr>
        <w:rFonts w:hint="default"/>
        <w:b/>
        <w:i w:val="0"/>
        <w:color w:val="F9423A" w:themeColor="text2"/>
      </w:rPr>
    </w:lvl>
    <w:lvl w:ilvl="1">
      <w:start w:val="1"/>
      <w:numFmt w:val="lowerLetter"/>
      <w:pStyle w:val="TableListNumber2"/>
      <w:lvlText w:val="%2"/>
      <w:lvlJc w:val="left"/>
      <w:pPr>
        <w:ind w:left="714" w:hanging="357"/>
      </w:pPr>
      <w:rPr>
        <w:rFonts w:hint="default"/>
        <w:b/>
        <w:i w:val="0"/>
        <w:color w:val="F9423A" w:themeColor="text2"/>
      </w:rPr>
    </w:lvl>
    <w:lvl w:ilvl="2">
      <w:start w:val="1"/>
      <w:numFmt w:val="lowerRoman"/>
      <w:pStyle w:val="TableListNumber3"/>
      <w:lvlText w:val="%3"/>
      <w:lvlJc w:val="left"/>
      <w:pPr>
        <w:ind w:left="1071" w:hanging="357"/>
      </w:pPr>
      <w:rPr>
        <w:rFonts w:hint="default"/>
        <w:b/>
        <w:i w:val="0"/>
        <w:color w:val="F9423A" w:themeColor="text2"/>
        <w:sz w:val="20"/>
      </w:rPr>
    </w:lvl>
    <w:lvl w:ilvl="3">
      <w:start w:val="1"/>
      <w:numFmt w:val="upperLetter"/>
      <w:pStyle w:val="TableListNumber4"/>
      <w:lvlText w:val="%4"/>
      <w:lvlJc w:val="left"/>
      <w:pPr>
        <w:ind w:left="1428" w:hanging="357"/>
      </w:pPr>
      <w:rPr>
        <w:rFonts w:hint="default"/>
        <w:b/>
        <w:i w:val="0"/>
        <w:color w:val="F9423A" w:themeColor="text2"/>
      </w:rPr>
    </w:lvl>
    <w:lvl w:ilvl="4">
      <w:start w:val="1"/>
      <w:numFmt w:val="upperRoman"/>
      <w:pStyle w:val="TableListNumber5"/>
      <w:lvlText w:val="%5"/>
      <w:lvlJc w:val="left"/>
      <w:pPr>
        <w:ind w:left="1785" w:hanging="357"/>
      </w:pPr>
      <w:rPr>
        <w:rFonts w:hint="default"/>
        <w:b/>
        <w:i w:val="0"/>
        <w:color w:val="F9423A" w:themeColor="text2"/>
      </w:rPr>
    </w:lvl>
    <w:lvl w:ilvl="5">
      <w:start w:val="1"/>
      <w:numFmt w:val="none"/>
      <w:lvlText w:val=""/>
      <w:lvlJc w:val="left"/>
      <w:pPr>
        <w:tabs>
          <w:tab w:val="num" w:pos="2210"/>
        </w:tabs>
        <w:ind w:left="2142" w:hanging="357"/>
      </w:pPr>
      <w:rPr>
        <w:rFonts w:hint="default"/>
      </w:rPr>
    </w:lvl>
    <w:lvl w:ilvl="6">
      <w:start w:val="1"/>
      <w:numFmt w:val="none"/>
      <w:lvlText w:val=""/>
      <w:lvlJc w:val="left"/>
      <w:pPr>
        <w:tabs>
          <w:tab w:val="num" w:pos="2567"/>
        </w:tabs>
        <w:ind w:left="2499" w:hanging="357"/>
      </w:pPr>
      <w:rPr>
        <w:rFonts w:hint="default"/>
      </w:rPr>
    </w:lvl>
    <w:lvl w:ilvl="7">
      <w:start w:val="1"/>
      <w:numFmt w:val="none"/>
      <w:lvlText w:val=""/>
      <w:lvlJc w:val="left"/>
      <w:pPr>
        <w:tabs>
          <w:tab w:val="num" w:pos="2924"/>
        </w:tabs>
        <w:ind w:left="2856" w:hanging="357"/>
      </w:pPr>
      <w:rPr>
        <w:rFonts w:hint="default"/>
      </w:rPr>
    </w:lvl>
    <w:lvl w:ilvl="8">
      <w:start w:val="1"/>
      <w:numFmt w:val="none"/>
      <w:lvlText w:val=""/>
      <w:lvlJc w:val="left"/>
      <w:pPr>
        <w:tabs>
          <w:tab w:val="num" w:pos="3281"/>
        </w:tabs>
        <w:ind w:left="3213" w:hanging="357"/>
      </w:pPr>
      <w:rPr>
        <w:rFonts w:hint="default"/>
      </w:rPr>
    </w:lvl>
  </w:abstractNum>
  <w:abstractNum w:abstractNumId="13" w15:restartNumberingAfterBreak="0">
    <w:nsid w:val="44966162"/>
    <w:multiLevelType w:val="multilevel"/>
    <w:tmpl w:val="D420855A"/>
    <w:name w:val="Headings"/>
    <w:lvl w:ilvl="0">
      <w:start w:val="1"/>
      <w:numFmt w:val="decimal"/>
      <w:lvlText w:val="%1"/>
      <w:lvlJc w:val="left"/>
      <w:pPr>
        <w:tabs>
          <w:tab w:val="num" w:pos="992"/>
        </w:tabs>
        <w:ind w:left="992" w:hanging="992"/>
      </w:pPr>
      <w:rPr>
        <w:rFonts w:hint="default"/>
        <w:color w:val="F9423A" w:themeColor="text2"/>
        <w:spacing w:val="-40"/>
        <w:sz w:val="48"/>
        <w:szCs w:val="84"/>
      </w:rPr>
    </w:lvl>
    <w:lvl w:ilvl="1">
      <w:start w:val="1"/>
      <w:numFmt w:val="decimal"/>
      <w:lvlText w:val="%1.%2"/>
      <w:lvlJc w:val="left"/>
      <w:pPr>
        <w:tabs>
          <w:tab w:val="num" w:pos="0"/>
        </w:tabs>
        <w:ind w:left="992" w:hanging="992"/>
      </w:pPr>
      <w:rPr>
        <w:rFonts w:hint="default"/>
      </w:rPr>
    </w:lvl>
    <w:lvl w:ilvl="2">
      <w:start w:val="1"/>
      <w:numFmt w:val="decimal"/>
      <w:lvlText w:val="%1.%2.%3"/>
      <w:lvlJc w:val="left"/>
      <w:pPr>
        <w:tabs>
          <w:tab w:val="num" w:pos="0"/>
        </w:tabs>
        <w:ind w:left="992" w:hanging="992"/>
      </w:pPr>
      <w:rPr>
        <w:rFonts w:ascii="Arial" w:hAnsi="Arial" w:cs="Arial" w:hint="default"/>
        <w:color w:val="000000" w:themeColor="text1"/>
      </w:rPr>
    </w:lvl>
    <w:lvl w:ilvl="3">
      <w:start w:val="1"/>
      <w:numFmt w:val="none"/>
      <w:suff w:val="nothing"/>
      <w:lvlText w:val=""/>
      <w:lvlJc w:val="left"/>
      <w:pPr>
        <w:ind w:left="992" w:hanging="992"/>
      </w:pPr>
      <w:rPr>
        <w:rFonts w:hint="default"/>
      </w:rPr>
    </w:lvl>
    <w:lvl w:ilvl="4">
      <w:start w:val="1"/>
      <w:numFmt w:val="decimal"/>
      <w:lvlText w:val="%1.%2.%3.%4.%5"/>
      <w:lvlJc w:val="left"/>
      <w:pPr>
        <w:tabs>
          <w:tab w:val="num" w:pos="0"/>
        </w:tabs>
        <w:ind w:left="992" w:hanging="992"/>
      </w:pPr>
      <w:rPr>
        <w:rFonts w:hint="default"/>
      </w:rPr>
    </w:lvl>
    <w:lvl w:ilvl="5">
      <w:start w:val="1"/>
      <w:numFmt w:val="decimal"/>
      <w:lvlText w:val="%1.%2.%3.%4.%5.%6"/>
      <w:lvlJc w:val="left"/>
      <w:pPr>
        <w:tabs>
          <w:tab w:val="num" w:pos="0"/>
        </w:tabs>
        <w:ind w:left="992" w:hanging="992"/>
      </w:pPr>
      <w:rPr>
        <w:rFonts w:hint="default"/>
      </w:rPr>
    </w:lvl>
    <w:lvl w:ilvl="6">
      <w:start w:val="1"/>
      <w:numFmt w:val="decimal"/>
      <w:lvlText w:val="%1.%2.%3.%4.%5.%6.%7"/>
      <w:lvlJc w:val="left"/>
      <w:pPr>
        <w:tabs>
          <w:tab w:val="num" w:pos="0"/>
        </w:tabs>
        <w:ind w:left="992" w:hanging="992"/>
      </w:pPr>
      <w:rPr>
        <w:rFonts w:hint="default"/>
      </w:rPr>
    </w:lvl>
    <w:lvl w:ilvl="7">
      <w:start w:val="1"/>
      <w:numFmt w:val="decimal"/>
      <w:lvlText w:val="%1.%2.%3.%4.%5.%6.%7.%8"/>
      <w:lvlJc w:val="left"/>
      <w:pPr>
        <w:tabs>
          <w:tab w:val="num" w:pos="0"/>
        </w:tabs>
        <w:ind w:left="992" w:hanging="992"/>
      </w:pPr>
      <w:rPr>
        <w:rFonts w:hint="default"/>
      </w:rPr>
    </w:lvl>
    <w:lvl w:ilvl="8">
      <w:start w:val="1"/>
      <w:numFmt w:val="decimal"/>
      <w:lvlText w:val="%1.%2.%3.%4.%5.%6.%7.%8.%9"/>
      <w:lvlJc w:val="left"/>
      <w:pPr>
        <w:tabs>
          <w:tab w:val="num" w:pos="0"/>
        </w:tabs>
        <w:ind w:left="992" w:hanging="992"/>
      </w:pPr>
      <w:rPr>
        <w:rFonts w:hint="default"/>
      </w:rPr>
    </w:lvl>
  </w:abstractNum>
  <w:abstractNum w:abstractNumId="14"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15" w15:restartNumberingAfterBreak="0">
    <w:nsid w:val="56DE3DA9"/>
    <w:multiLevelType w:val="multilevel"/>
    <w:tmpl w:val="587E6742"/>
    <w:styleLink w:val="Style1"/>
    <w:lvl w:ilvl="0">
      <w:start w:val="1"/>
      <w:numFmt w:val="bullet"/>
      <w:lvlText w:val=""/>
      <w:lvlJc w:val="left"/>
      <w:pPr>
        <w:ind w:left="360" w:hanging="360"/>
      </w:pPr>
      <w:rPr>
        <w:rFonts w:ascii="Wingdings" w:hAnsi="Wingdings" w:hint="default"/>
        <w:color w:val="D8E6F0" w:themeColor="accent2"/>
        <w:sz w:val="20"/>
      </w:rPr>
    </w:lvl>
    <w:lvl w:ilvl="1">
      <w:start w:val="1"/>
      <w:numFmt w:val="bullet"/>
      <w:lvlText w:val=""/>
      <w:lvlJc w:val="left"/>
      <w:pPr>
        <w:ind w:left="1068" w:hanging="360"/>
      </w:pPr>
      <w:rPr>
        <w:rFonts w:ascii="Webdings" w:hAnsi="Webdings" w:cs="Courier New" w:hint="default"/>
        <w:color w:val="0046AD"/>
        <w:sz w:val="12"/>
      </w:rPr>
    </w:lvl>
    <w:lvl w:ilvl="2">
      <w:start w:val="1"/>
      <w:numFmt w:val="bullet"/>
      <w:lvlText w:val=""/>
      <w:lvlJc w:val="left"/>
      <w:pPr>
        <w:ind w:left="1776" w:hanging="360"/>
      </w:pPr>
      <w:rPr>
        <w:rFonts w:ascii="Wingdings" w:hAnsi="Wingdings" w:cs="Times New Roman" w:hint="default"/>
        <w:color w:val="D8E6F0" w:themeColor="accent2"/>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8741D25"/>
    <w:multiLevelType w:val="multilevel"/>
    <w:tmpl w:val="10107B4A"/>
    <w:name w:val="TableNumbering"/>
    <w:styleLink w:val="TableFootnotes0"/>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15:restartNumberingAfterBreak="0">
    <w:nsid w:val="5C3B18FF"/>
    <w:multiLevelType w:val="multilevel"/>
    <w:tmpl w:val="0C09001F"/>
    <w:styleLink w:val="1ai"/>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E030DAE"/>
    <w:multiLevelType w:val="multilevel"/>
    <w:tmpl w:val="5348816C"/>
    <w:lvl w:ilvl="0">
      <w:start w:val="1"/>
      <w:numFmt w:val="decimal"/>
      <w:lvlText w:val="%1"/>
      <w:lvlJc w:val="left"/>
      <w:pPr>
        <w:ind w:left="357" w:hanging="357"/>
      </w:pPr>
      <w:rPr>
        <w:rFonts w:hint="default"/>
        <w:b/>
        <w:i w:val="0"/>
        <w:color w:val="F9423A" w:themeColor="text2"/>
        <w:sz w:val="20"/>
      </w:rPr>
    </w:lvl>
    <w:lvl w:ilvl="1">
      <w:start w:val="1"/>
      <w:numFmt w:val="lowerLetter"/>
      <w:lvlText w:val="%2"/>
      <w:lvlJc w:val="left"/>
      <w:pPr>
        <w:ind w:left="714" w:hanging="357"/>
      </w:pPr>
      <w:rPr>
        <w:rFonts w:hint="default"/>
        <w:b/>
        <w:i w:val="0"/>
        <w:color w:val="F9423A" w:themeColor="text2"/>
        <w:sz w:val="20"/>
      </w:rPr>
    </w:lvl>
    <w:lvl w:ilvl="2">
      <w:start w:val="1"/>
      <w:numFmt w:val="lowerRoman"/>
      <w:lvlText w:val="%3"/>
      <w:lvlJc w:val="left"/>
      <w:pPr>
        <w:ind w:left="1071" w:hanging="357"/>
      </w:pPr>
      <w:rPr>
        <w:rFonts w:hint="default"/>
        <w:b/>
        <w:i w:val="0"/>
        <w:color w:val="F9423A" w:themeColor="text2"/>
        <w:sz w:val="20"/>
      </w:rPr>
    </w:lvl>
    <w:lvl w:ilvl="3">
      <w:start w:val="1"/>
      <w:numFmt w:val="upperLetter"/>
      <w:pStyle w:val="ListNumber4"/>
      <w:lvlText w:val="%4"/>
      <w:lvlJc w:val="left"/>
      <w:pPr>
        <w:ind w:left="1428" w:hanging="357"/>
      </w:pPr>
      <w:rPr>
        <w:rFonts w:hint="default"/>
        <w:b/>
        <w:i w:val="0"/>
        <w:color w:val="F9423A" w:themeColor="text2"/>
      </w:rPr>
    </w:lvl>
    <w:lvl w:ilvl="4">
      <w:start w:val="1"/>
      <w:numFmt w:val="upperRoman"/>
      <w:pStyle w:val="ListNumber5"/>
      <w:lvlText w:val="%5"/>
      <w:lvlJc w:val="left"/>
      <w:pPr>
        <w:ind w:left="1785" w:hanging="357"/>
      </w:pPr>
      <w:rPr>
        <w:rFonts w:hint="default"/>
        <w:b/>
        <w:i w:val="0"/>
        <w:color w:val="F9423A" w:themeColor="text2"/>
      </w:rPr>
    </w:lvl>
    <w:lvl w:ilvl="5">
      <w:start w:val="1"/>
      <w:numFmt w:val="none"/>
      <w:lvlText w:val=""/>
      <w:lvlJc w:val="right"/>
      <w:pPr>
        <w:tabs>
          <w:tab w:val="num" w:pos="2210"/>
        </w:tabs>
        <w:ind w:left="2142" w:hanging="357"/>
      </w:pPr>
      <w:rPr>
        <w:rFonts w:hint="default"/>
      </w:rPr>
    </w:lvl>
    <w:lvl w:ilvl="6">
      <w:start w:val="1"/>
      <w:numFmt w:val="none"/>
      <w:lvlText w:val=""/>
      <w:lvlJc w:val="left"/>
      <w:pPr>
        <w:tabs>
          <w:tab w:val="num" w:pos="2567"/>
        </w:tabs>
        <w:ind w:left="2499" w:hanging="357"/>
      </w:pPr>
      <w:rPr>
        <w:rFonts w:hint="default"/>
      </w:rPr>
    </w:lvl>
    <w:lvl w:ilvl="7">
      <w:start w:val="1"/>
      <w:numFmt w:val="none"/>
      <w:lvlText w:val=""/>
      <w:lvlJc w:val="left"/>
      <w:pPr>
        <w:tabs>
          <w:tab w:val="num" w:pos="2924"/>
        </w:tabs>
        <w:ind w:left="2856" w:hanging="357"/>
      </w:pPr>
      <w:rPr>
        <w:rFonts w:hint="default"/>
      </w:rPr>
    </w:lvl>
    <w:lvl w:ilvl="8">
      <w:start w:val="1"/>
      <w:numFmt w:val="none"/>
      <w:lvlText w:val=""/>
      <w:lvlJc w:val="right"/>
      <w:pPr>
        <w:tabs>
          <w:tab w:val="num" w:pos="3281"/>
        </w:tabs>
        <w:ind w:left="3213" w:hanging="357"/>
      </w:pPr>
      <w:rPr>
        <w:rFonts w:hint="default"/>
      </w:rPr>
    </w:lvl>
  </w:abstractNum>
  <w:num w:numId="1">
    <w:abstractNumId w:val="15"/>
  </w:num>
  <w:num w:numId="2">
    <w:abstractNumId w:val="4"/>
  </w:num>
  <w:num w:numId="3">
    <w:abstractNumId w:val="10"/>
  </w:num>
  <w:num w:numId="4">
    <w:abstractNumId w:val="1"/>
  </w:num>
  <w:num w:numId="5">
    <w:abstractNumId w:val="2"/>
  </w:num>
  <w:num w:numId="6">
    <w:abstractNumId w:val="11"/>
  </w:num>
  <w:num w:numId="7">
    <w:abstractNumId w:val="16"/>
  </w:num>
  <w:num w:numId="8">
    <w:abstractNumId w:val="14"/>
  </w:num>
  <w:num w:numId="9">
    <w:abstractNumId w:val="3"/>
  </w:num>
  <w:num w:numId="10">
    <w:abstractNumId w:val="12"/>
  </w:num>
  <w:num w:numId="11">
    <w:abstractNumId w:val="6"/>
  </w:num>
  <w:num w:numId="12">
    <w:abstractNumId w:val="8"/>
  </w:num>
  <w:num w:numId="13">
    <w:abstractNumId w:val="7"/>
  </w:num>
  <w:num w:numId="14">
    <w:abstractNumId w:val="17"/>
  </w:num>
  <w:num w:numId="15">
    <w:abstractNumId w:val="9"/>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0"/>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breviations" w:val="True"/>
    <w:docVar w:name="ABN" w:val="ABN 80 078 004 798"/>
    <w:docVar w:name="Address" w:val="Level 12, 900 Ann Street ~Fortitude Valley QLD 4006"/>
    <w:docVar w:name="AppendixStyle" w:val="Dividers"/>
    <w:docVar w:name="Branch" w:val="Brisbane"/>
    <w:docVar w:name="chkHeading1OddPage" w:val="False"/>
    <w:docVar w:name="Country" w:val="Australia"/>
    <w:docVar w:name="CoverDesign" w:val="1"/>
    <w:docVar w:name="CoverLetter" w:val="False"/>
    <w:docVar w:name="CustomTemplates2" w:val="True"/>
    <w:docVar w:name="DocNameType" w:val="ANZ"/>
    <w:docVar w:name="Entity" w:val="WSP Australia Pty Limited"/>
    <w:docVar w:name="ExecSumm" w:val="True"/>
    <w:docVar w:name="ExecutiveSummary" w:val="True"/>
    <w:docVar w:name="Fax" w:val="61 7 3854 6500"/>
    <w:docVar w:name="FirstAppendix" w:val="True"/>
    <w:docVar w:name="Glossary" w:val="False"/>
    <w:docVar w:name="PageSetup" w:val="Single"/>
    <w:docVar w:name="Phone" w:val="61 7 3854 6200"/>
    <w:docVar w:name="Postal" w:val="GPO Box 2907 ~Brisbane QLD 4001"/>
    <w:docVar w:name="TOC" w:val="True"/>
    <w:docVar w:name="TOCNew" w:val="True"/>
    <w:docVar w:name="WSPAuthor" w:val=" "/>
    <w:docVar w:name="WSPContentType" w:val="REP-"/>
    <w:docVar w:name="WSPDiscipline" w:val="ITS-"/>
    <w:docVar w:name="WSPDocDescription" w:val=" "/>
    <w:docVar w:name="WSPDocNamingDate" w:val=" "/>
    <w:docVar w:name="WSPDocNo" w:val="PF1"/>
    <w:docVar w:name="WSPGeneralOurRef" w:val=" "/>
    <w:docVar w:name="WSPOfficeCode" w:val=" "/>
    <w:docVar w:name="WSPOurRef" w:val="PS120101-ITS-REP-PF1 RevA"/>
    <w:docVar w:name="WSPProjectCode" w:val="PS120101-"/>
    <w:docVar w:name="WSPRevNo" w:val="A"/>
    <w:docVar w:name="xAppendixName" w:val="Appendix"/>
    <w:docVar w:name="xTOCApp" w:val="H"/>
    <w:docVar w:name="xTOCFigure" w:val="S"/>
    <w:docVar w:name="xTOCH2" w:val="Y"/>
    <w:docVar w:name="xTOCH3" w:val="N"/>
    <w:docVar w:name="xTOCPhoto" w:val="H"/>
    <w:docVar w:name="xTOCTable" w:val="S"/>
  </w:docVars>
  <w:rsids>
    <w:rsidRoot w:val="00E27483"/>
    <w:rsid w:val="00000205"/>
    <w:rsid w:val="00000316"/>
    <w:rsid w:val="000003ED"/>
    <w:rsid w:val="000004B4"/>
    <w:rsid w:val="000005A5"/>
    <w:rsid w:val="00000635"/>
    <w:rsid w:val="0000066A"/>
    <w:rsid w:val="00000853"/>
    <w:rsid w:val="0000096B"/>
    <w:rsid w:val="00000A07"/>
    <w:rsid w:val="00000A35"/>
    <w:rsid w:val="00000BEC"/>
    <w:rsid w:val="00000CF5"/>
    <w:rsid w:val="00000D8A"/>
    <w:rsid w:val="00000D95"/>
    <w:rsid w:val="00000F6D"/>
    <w:rsid w:val="00000FB6"/>
    <w:rsid w:val="0000101B"/>
    <w:rsid w:val="000010B5"/>
    <w:rsid w:val="00001158"/>
    <w:rsid w:val="00001248"/>
    <w:rsid w:val="000012D4"/>
    <w:rsid w:val="00001454"/>
    <w:rsid w:val="000014C5"/>
    <w:rsid w:val="00001669"/>
    <w:rsid w:val="0000166A"/>
    <w:rsid w:val="000017C4"/>
    <w:rsid w:val="0000185A"/>
    <w:rsid w:val="0000190B"/>
    <w:rsid w:val="00001A4E"/>
    <w:rsid w:val="00001A7C"/>
    <w:rsid w:val="00001E29"/>
    <w:rsid w:val="00001EF2"/>
    <w:rsid w:val="00002043"/>
    <w:rsid w:val="000021F8"/>
    <w:rsid w:val="000022AF"/>
    <w:rsid w:val="00002346"/>
    <w:rsid w:val="0000238D"/>
    <w:rsid w:val="00002475"/>
    <w:rsid w:val="000026E5"/>
    <w:rsid w:val="0000287D"/>
    <w:rsid w:val="000028D2"/>
    <w:rsid w:val="00002A66"/>
    <w:rsid w:val="00002A75"/>
    <w:rsid w:val="00002E11"/>
    <w:rsid w:val="00002F53"/>
    <w:rsid w:val="00002F8D"/>
    <w:rsid w:val="0000300C"/>
    <w:rsid w:val="00003228"/>
    <w:rsid w:val="00003279"/>
    <w:rsid w:val="00003374"/>
    <w:rsid w:val="0000348A"/>
    <w:rsid w:val="0000363F"/>
    <w:rsid w:val="0000381B"/>
    <w:rsid w:val="000039C4"/>
    <w:rsid w:val="000039D6"/>
    <w:rsid w:val="00003C42"/>
    <w:rsid w:val="00003CB6"/>
    <w:rsid w:val="00003CFB"/>
    <w:rsid w:val="00003D18"/>
    <w:rsid w:val="00003DAB"/>
    <w:rsid w:val="00003FF1"/>
    <w:rsid w:val="000040B5"/>
    <w:rsid w:val="00004673"/>
    <w:rsid w:val="0000473A"/>
    <w:rsid w:val="0000478A"/>
    <w:rsid w:val="000048DC"/>
    <w:rsid w:val="0000490B"/>
    <w:rsid w:val="00004962"/>
    <w:rsid w:val="00004964"/>
    <w:rsid w:val="00004B10"/>
    <w:rsid w:val="00004B6B"/>
    <w:rsid w:val="00004B95"/>
    <w:rsid w:val="00004F44"/>
    <w:rsid w:val="0000506E"/>
    <w:rsid w:val="0000531B"/>
    <w:rsid w:val="0000543B"/>
    <w:rsid w:val="00005888"/>
    <w:rsid w:val="000058D7"/>
    <w:rsid w:val="00005AE8"/>
    <w:rsid w:val="00005BE4"/>
    <w:rsid w:val="00005C3D"/>
    <w:rsid w:val="00005CFE"/>
    <w:rsid w:val="00005D91"/>
    <w:rsid w:val="00005F17"/>
    <w:rsid w:val="000061AA"/>
    <w:rsid w:val="00006235"/>
    <w:rsid w:val="0000624B"/>
    <w:rsid w:val="0000636A"/>
    <w:rsid w:val="000065B7"/>
    <w:rsid w:val="00006D40"/>
    <w:rsid w:val="00006E72"/>
    <w:rsid w:val="0000740E"/>
    <w:rsid w:val="000074D5"/>
    <w:rsid w:val="000074D8"/>
    <w:rsid w:val="00007567"/>
    <w:rsid w:val="000076CB"/>
    <w:rsid w:val="00007765"/>
    <w:rsid w:val="00007894"/>
    <w:rsid w:val="00007984"/>
    <w:rsid w:val="000079F3"/>
    <w:rsid w:val="00007A30"/>
    <w:rsid w:val="00007CB1"/>
    <w:rsid w:val="00007CF9"/>
    <w:rsid w:val="00007DAB"/>
    <w:rsid w:val="00010272"/>
    <w:rsid w:val="0001031A"/>
    <w:rsid w:val="00010391"/>
    <w:rsid w:val="000103CF"/>
    <w:rsid w:val="000103FB"/>
    <w:rsid w:val="0001047C"/>
    <w:rsid w:val="0001049A"/>
    <w:rsid w:val="000106C3"/>
    <w:rsid w:val="000106DE"/>
    <w:rsid w:val="000107EE"/>
    <w:rsid w:val="00010831"/>
    <w:rsid w:val="00010996"/>
    <w:rsid w:val="000109D1"/>
    <w:rsid w:val="00010AA0"/>
    <w:rsid w:val="00010AA3"/>
    <w:rsid w:val="00010AD5"/>
    <w:rsid w:val="00010D65"/>
    <w:rsid w:val="00010D7D"/>
    <w:rsid w:val="00010F63"/>
    <w:rsid w:val="0001101A"/>
    <w:rsid w:val="00011082"/>
    <w:rsid w:val="00011192"/>
    <w:rsid w:val="000111B9"/>
    <w:rsid w:val="0001148D"/>
    <w:rsid w:val="000114FC"/>
    <w:rsid w:val="000115F0"/>
    <w:rsid w:val="00011613"/>
    <w:rsid w:val="000116B2"/>
    <w:rsid w:val="000116F8"/>
    <w:rsid w:val="0001188B"/>
    <w:rsid w:val="00011BA8"/>
    <w:rsid w:val="00011C32"/>
    <w:rsid w:val="00011FBF"/>
    <w:rsid w:val="00012108"/>
    <w:rsid w:val="0001210B"/>
    <w:rsid w:val="000121E6"/>
    <w:rsid w:val="000122F5"/>
    <w:rsid w:val="00012319"/>
    <w:rsid w:val="0001256E"/>
    <w:rsid w:val="000125B8"/>
    <w:rsid w:val="0001282C"/>
    <w:rsid w:val="00012899"/>
    <w:rsid w:val="000129B0"/>
    <w:rsid w:val="00012B36"/>
    <w:rsid w:val="00012D7F"/>
    <w:rsid w:val="00012F62"/>
    <w:rsid w:val="00012FF4"/>
    <w:rsid w:val="00013124"/>
    <w:rsid w:val="00013133"/>
    <w:rsid w:val="000132ED"/>
    <w:rsid w:val="00013521"/>
    <w:rsid w:val="00013553"/>
    <w:rsid w:val="000135D4"/>
    <w:rsid w:val="0001375E"/>
    <w:rsid w:val="00013ADF"/>
    <w:rsid w:val="00013CE9"/>
    <w:rsid w:val="00013D0A"/>
    <w:rsid w:val="00013E60"/>
    <w:rsid w:val="00013F0A"/>
    <w:rsid w:val="00013F13"/>
    <w:rsid w:val="00014080"/>
    <w:rsid w:val="000140A9"/>
    <w:rsid w:val="00014437"/>
    <w:rsid w:val="00014468"/>
    <w:rsid w:val="0001446B"/>
    <w:rsid w:val="000144E9"/>
    <w:rsid w:val="00014704"/>
    <w:rsid w:val="00014E09"/>
    <w:rsid w:val="00015219"/>
    <w:rsid w:val="000154DF"/>
    <w:rsid w:val="00015841"/>
    <w:rsid w:val="000158CE"/>
    <w:rsid w:val="000158ED"/>
    <w:rsid w:val="000159B1"/>
    <w:rsid w:val="00015AD6"/>
    <w:rsid w:val="00015ADD"/>
    <w:rsid w:val="00015BD4"/>
    <w:rsid w:val="00015D54"/>
    <w:rsid w:val="00015E5E"/>
    <w:rsid w:val="00015EA7"/>
    <w:rsid w:val="00015EB6"/>
    <w:rsid w:val="00015EEC"/>
    <w:rsid w:val="00015FA0"/>
    <w:rsid w:val="0001612F"/>
    <w:rsid w:val="00016184"/>
    <w:rsid w:val="0001618A"/>
    <w:rsid w:val="000162CE"/>
    <w:rsid w:val="0001634B"/>
    <w:rsid w:val="00016433"/>
    <w:rsid w:val="0001647D"/>
    <w:rsid w:val="00016648"/>
    <w:rsid w:val="00016775"/>
    <w:rsid w:val="000167C6"/>
    <w:rsid w:val="000169D0"/>
    <w:rsid w:val="00016B39"/>
    <w:rsid w:val="00016B5A"/>
    <w:rsid w:val="00016BBC"/>
    <w:rsid w:val="00016D06"/>
    <w:rsid w:val="00016D4B"/>
    <w:rsid w:val="0001736D"/>
    <w:rsid w:val="000173F6"/>
    <w:rsid w:val="00017549"/>
    <w:rsid w:val="00017693"/>
    <w:rsid w:val="000176B0"/>
    <w:rsid w:val="00017832"/>
    <w:rsid w:val="0001784C"/>
    <w:rsid w:val="00017854"/>
    <w:rsid w:val="00017860"/>
    <w:rsid w:val="00017921"/>
    <w:rsid w:val="00017968"/>
    <w:rsid w:val="00017ACB"/>
    <w:rsid w:val="00017DD1"/>
    <w:rsid w:val="00017FDA"/>
    <w:rsid w:val="00020105"/>
    <w:rsid w:val="00020136"/>
    <w:rsid w:val="000201BC"/>
    <w:rsid w:val="0002020E"/>
    <w:rsid w:val="00020252"/>
    <w:rsid w:val="000202F3"/>
    <w:rsid w:val="000203E9"/>
    <w:rsid w:val="000205B6"/>
    <w:rsid w:val="00020890"/>
    <w:rsid w:val="0002091B"/>
    <w:rsid w:val="00020994"/>
    <w:rsid w:val="00020AA2"/>
    <w:rsid w:val="00020AB8"/>
    <w:rsid w:val="00020B62"/>
    <w:rsid w:val="00020B7B"/>
    <w:rsid w:val="00020B87"/>
    <w:rsid w:val="00020B9A"/>
    <w:rsid w:val="00020BC3"/>
    <w:rsid w:val="00020CF9"/>
    <w:rsid w:val="00020D36"/>
    <w:rsid w:val="00020F2B"/>
    <w:rsid w:val="00020F3E"/>
    <w:rsid w:val="000215A5"/>
    <w:rsid w:val="00021778"/>
    <w:rsid w:val="000219A0"/>
    <w:rsid w:val="00021C65"/>
    <w:rsid w:val="00021CAD"/>
    <w:rsid w:val="00021D09"/>
    <w:rsid w:val="000221E3"/>
    <w:rsid w:val="000224D1"/>
    <w:rsid w:val="00022576"/>
    <w:rsid w:val="00022614"/>
    <w:rsid w:val="00022624"/>
    <w:rsid w:val="000227EF"/>
    <w:rsid w:val="000227F7"/>
    <w:rsid w:val="0002282F"/>
    <w:rsid w:val="00022910"/>
    <w:rsid w:val="00022970"/>
    <w:rsid w:val="00022B1A"/>
    <w:rsid w:val="00022B92"/>
    <w:rsid w:val="00022EDB"/>
    <w:rsid w:val="00022FC8"/>
    <w:rsid w:val="00023035"/>
    <w:rsid w:val="00023197"/>
    <w:rsid w:val="000231C3"/>
    <w:rsid w:val="00023294"/>
    <w:rsid w:val="0002335F"/>
    <w:rsid w:val="000234C0"/>
    <w:rsid w:val="00023511"/>
    <w:rsid w:val="00023715"/>
    <w:rsid w:val="00023887"/>
    <w:rsid w:val="000238F9"/>
    <w:rsid w:val="000239C5"/>
    <w:rsid w:val="000239D5"/>
    <w:rsid w:val="00023BC4"/>
    <w:rsid w:val="00023C89"/>
    <w:rsid w:val="00023CFD"/>
    <w:rsid w:val="00023F44"/>
    <w:rsid w:val="000242FE"/>
    <w:rsid w:val="00024320"/>
    <w:rsid w:val="0002433F"/>
    <w:rsid w:val="00024561"/>
    <w:rsid w:val="000248FB"/>
    <w:rsid w:val="00024931"/>
    <w:rsid w:val="00024A55"/>
    <w:rsid w:val="00024C64"/>
    <w:rsid w:val="00024E34"/>
    <w:rsid w:val="00024E83"/>
    <w:rsid w:val="00024E93"/>
    <w:rsid w:val="00025098"/>
    <w:rsid w:val="000251F8"/>
    <w:rsid w:val="000254A1"/>
    <w:rsid w:val="000255FF"/>
    <w:rsid w:val="0002590F"/>
    <w:rsid w:val="000259D4"/>
    <w:rsid w:val="00025A2A"/>
    <w:rsid w:val="00025AA3"/>
    <w:rsid w:val="00025C06"/>
    <w:rsid w:val="00025D7F"/>
    <w:rsid w:val="00025E13"/>
    <w:rsid w:val="00025FAE"/>
    <w:rsid w:val="00026051"/>
    <w:rsid w:val="00026221"/>
    <w:rsid w:val="0002624D"/>
    <w:rsid w:val="0002638A"/>
    <w:rsid w:val="000263D6"/>
    <w:rsid w:val="000264C7"/>
    <w:rsid w:val="00026548"/>
    <w:rsid w:val="00026640"/>
    <w:rsid w:val="00026761"/>
    <w:rsid w:val="000267BE"/>
    <w:rsid w:val="000268FD"/>
    <w:rsid w:val="00026973"/>
    <w:rsid w:val="00026AB5"/>
    <w:rsid w:val="00026B41"/>
    <w:rsid w:val="00026C94"/>
    <w:rsid w:val="00026F44"/>
    <w:rsid w:val="000271A2"/>
    <w:rsid w:val="0002724F"/>
    <w:rsid w:val="000273EF"/>
    <w:rsid w:val="00027585"/>
    <w:rsid w:val="000277A2"/>
    <w:rsid w:val="000277E4"/>
    <w:rsid w:val="000278E2"/>
    <w:rsid w:val="00027947"/>
    <w:rsid w:val="00027954"/>
    <w:rsid w:val="00027ADC"/>
    <w:rsid w:val="00027B8F"/>
    <w:rsid w:val="00027BF3"/>
    <w:rsid w:val="00030040"/>
    <w:rsid w:val="0003004C"/>
    <w:rsid w:val="000300A7"/>
    <w:rsid w:val="00030161"/>
    <w:rsid w:val="000303A0"/>
    <w:rsid w:val="00030480"/>
    <w:rsid w:val="00030516"/>
    <w:rsid w:val="000305A2"/>
    <w:rsid w:val="000305A3"/>
    <w:rsid w:val="000306D8"/>
    <w:rsid w:val="00030727"/>
    <w:rsid w:val="00030744"/>
    <w:rsid w:val="0003097D"/>
    <w:rsid w:val="000309FA"/>
    <w:rsid w:val="00030B11"/>
    <w:rsid w:val="00030C16"/>
    <w:rsid w:val="00030C39"/>
    <w:rsid w:val="00030CA0"/>
    <w:rsid w:val="00030CB2"/>
    <w:rsid w:val="00030D03"/>
    <w:rsid w:val="00030D7F"/>
    <w:rsid w:val="00030E24"/>
    <w:rsid w:val="00031039"/>
    <w:rsid w:val="000310DA"/>
    <w:rsid w:val="00031366"/>
    <w:rsid w:val="000314F1"/>
    <w:rsid w:val="0003151A"/>
    <w:rsid w:val="00031601"/>
    <w:rsid w:val="000318AB"/>
    <w:rsid w:val="0003197E"/>
    <w:rsid w:val="0003198C"/>
    <w:rsid w:val="000319F7"/>
    <w:rsid w:val="00031A10"/>
    <w:rsid w:val="00031A3D"/>
    <w:rsid w:val="00031B54"/>
    <w:rsid w:val="00031B79"/>
    <w:rsid w:val="00031C3E"/>
    <w:rsid w:val="00031C85"/>
    <w:rsid w:val="00031CD1"/>
    <w:rsid w:val="00031CFA"/>
    <w:rsid w:val="00031E4F"/>
    <w:rsid w:val="00032051"/>
    <w:rsid w:val="00032289"/>
    <w:rsid w:val="000322C6"/>
    <w:rsid w:val="00032684"/>
    <w:rsid w:val="00032711"/>
    <w:rsid w:val="0003271E"/>
    <w:rsid w:val="0003279C"/>
    <w:rsid w:val="000328EF"/>
    <w:rsid w:val="000329B5"/>
    <w:rsid w:val="00032B5D"/>
    <w:rsid w:val="00032BCF"/>
    <w:rsid w:val="00032BD3"/>
    <w:rsid w:val="00032C09"/>
    <w:rsid w:val="00032C16"/>
    <w:rsid w:val="00032C3A"/>
    <w:rsid w:val="00032CD8"/>
    <w:rsid w:val="00032D51"/>
    <w:rsid w:val="00032EB0"/>
    <w:rsid w:val="00032FF3"/>
    <w:rsid w:val="00033034"/>
    <w:rsid w:val="00033100"/>
    <w:rsid w:val="000331BE"/>
    <w:rsid w:val="0003335B"/>
    <w:rsid w:val="0003347C"/>
    <w:rsid w:val="0003367E"/>
    <w:rsid w:val="00033701"/>
    <w:rsid w:val="00033879"/>
    <w:rsid w:val="000338B4"/>
    <w:rsid w:val="000338CD"/>
    <w:rsid w:val="00033ABD"/>
    <w:rsid w:val="00033C5D"/>
    <w:rsid w:val="00033E47"/>
    <w:rsid w:val="00033EAC"/>
    <w:rsid w:val="000342C9"/>
    <w:rsid w:val="000343FE"/>
    <w:rsid w:val="00034565"/>
    <w:rsid w:val="000345E5"/>
    <w:rsid w:val="00034603"/>
    <w:rsid w:val="0003468A"/>
    <w:rsid w:val="00034758"/>
    <w:rsid w:val="00034788"/>
    <w:rsid w:val="000347B7"/>
    <w:rsid w:val="00034857"/>
    <w:rsid w:val="00034A2A"/>
    <w:rsid w:val="00034A42"/>
    <w:rsid w:val="00034AF1"/>
    <w:rsid w:val="00034B26"/>
    <w:rsid w:val="00034BCA"/>
    <w:rsid w:val="00034BE6"/>
    <w:rsid w:val="00034C39"/>
    <w:rsid w:val="00034DC7"/>
    <w:rsid w:val="00034ECD"/>
    <w:rsid w:val="00034F1F"/>
    <w:rsid w:val="00035000"/>
    <w:rsid w:val="00035091"/>
    <w:rsid w:val="000351E0"/>
    <w:rsid w:val="00035213"/>
    <w:rsid w:val="000352B5"/>
    <w:rsid w:val="00035317"/>
    <w:rsid w:val="00035339"/>
    <w:rsid w:val="000354F4"/>
    <w:rsid w:val="00035529"/>
    <w:rsid w:val="00035772"/>
    <w:rsid w:val="00035841"/>
    <w:rsid w:val="0003592F"/>
    <w:rsid w:val="0003593A"/>
    <w:rsid w:val="0003596A"/>
    <w:rsid w:val="000359D4"/>
    <w:rsid w:val="000359FE"/>
    <w:rsid w:val="00035C77"/>
    <w:rsid w:val="00035D14"/>
    <w:rsid w:val="00035FD7"/>
    <w:rsid w:val="00036173"/>
    <w:rsid w:val="000362AF"/>
    <w:rsid w:val="00036305"/>
    <w:rsid w:val="00036476"/>
    <w:rsid w:val="000366AE"/>
    <w:rsid w:val="00036717"/>
    <w:rsid w:val="000367B7"/>
    <w:rsid w:val="0003691A"/>
    <w:rsid w:val="000369DF"/>
    <w:rsid w:val="00036B59"/>
    <w:rsid w:val="00036E98"/>
    <w:rsid w:val="00037081"/>
    <w:rsid w:val="0003729A"/>
    <w:rsid w:val="00037335"/>
    <w:rsid w:val="0003746E"/>
    <w:rsid w:val="00037555"/>
    <w:rsid w:val="000376C2"/>
    <w:rsid w:val="000378CB"/>
    <w:rsid w:val="000378E0"/>
    <w:rsid w:val="0003790A"/>
    <w:rsid w:val="000379CD"/>
    <w:rsid w:val="000379F8"/>
    <w:rsid w:val="00037D89"/>
    <w:rsid w:val="00040016"/>
    <w:rsid w:val="00040138"/>
    <w:rsid w:val="00040165"/>
    <w:rsid w:val="000403EC"/>
    <w:rsid w:val="00040404"/>
    <w:rsid w:val="000406EF"/>
    <w:rsid w:val="000407FE"/>
    <w:rsid w:val="0004084D"/>
    <w:rsid w:val="00040974"/>
    <w:rsid w:val="00040A18"/>
    <w:rsid w:val="00040A4F"/>
    <w:rsid w:val="00040B58"/>
    <w:rsid w:val="00040BA1"/>
    <w:rsid w:val="00041023"/>
    <w:rsid w:val="0004103E"/>
    <w:rsid w:val="000410F3"/>
    <w:rsid w:val="0004123E"/>
    <w:rsid w:val="00041343"/>
    <w:rsid w:val="000413EA"/>
    <w:rsid w:val="00041591"/>
    <w:rsid w:val="000415A9"/>
    <w:rsid w:val="000415C9"/>
    <w:rsid w:val="0004163A"/>
    <w:rsid w:val="00041711"/>
    <w:rsid w:val="000417C2"/>
    <w:rsid w:val="00041835"/>
    <w:rsid w:val="000418D5"/>
    <w:rsid w:val="000419FA"/>
    <w:rsid w:val="00041B32"/>
    <w:rsid w:val="00041CF7"/>
    <w:rsid w:val="00041D63"/>
    <w:rsid w:val="00041DB1"/>
    <w:rsid w:val="00041E66"/>
    <w:rsid w:val="00041F3C"/>
    <w:rsid w:val="000420A8"/>
    <w:rsid w:val="00042131"/>
    <w:rsid w:val="0004220E"/>
    <w:rsid w:val="00042307"/>
    <w:rsid w:val="0004230F"/>
    <w:rsid w:val="0004233E"/>
    <w:rsid w:val="000423A6"/>
    <w:rsid w:val="0004242E"/>
    <w:rsid w:val="00042551"/>
    <w:rsid w:val="00042692"/>
    <w:rsid w:val="000426D5"/>
    <w:rsid w:val="0004275C"/>
    <w:rsid w:val="00042796"/>
    <w:rsid w:val="000427F3"/>
    <w:rsid w:val="0004292B"/>
    <w:rsid w:val="00042966"/>
    <w:rsid w:val="000429DC"/>
    <w:rsid w:val="00042A32"/>
    <w:rsid w:val="00042A49"/>
    <w:rsid w:val="00042B36"/>
    <w:rsid w:val="00042CDD"/>
    <w:rsid w:val="00042D6A"/>
    <w:rsid w:val="00042E53"/>
    <w:rsid w:val="00042ED8"/>
    <w:rsid w:val="00042F04"/>
    <w:rsid w:val="00043037"/>
    <w:rsid w:val="000434E7"/>
    <w:rsid w:val="00043517"/>
    <w:rsid w:val="000437AD"/>
    <w:rsid w:val="00043AA8"/>
    <w:rsid w:val="00043AF4"/>
    <w:rsid w:val="00043BF3"/>
    <w:rsid w:val="00043C9E"/>
    <w:rsid w:val="00043E60"/>
    <w:rsid w:val="00043EBD"/>
    <w:rsid w:val="00043FCF"/>
    <w:rsid w:val="00044196"/>
    <w:rsid w:val="00044222"/>
    <w:rsid w:val="0004435C"/>
    <w:rsid w:val="0004436E"/>
    <w:rsid w:val="00044499"/>
    <w:rsid w:val="00044886"/>
    <w:rsid w:val="00044922"/>
    <w:rsid w:val="00044A59"/>
    <w:rsid w:val="00044BD0"/>
    <w:rsid w:val="00044D27"/>
    <w:rsid w:val="00044E9D"/>
    <w:rsid w:val="00044ED1"/>
    <w:rsid w:val="00045053"/>
    <w:rsid w:val="0004521C"/>
    <w:rsid w:val="00045287"/>
    <w:rsid w:val="00045296"/>
    <w:rsid w:val="0004543D"/>
    <w:rsid w:val="00045498"/>
    <w:rsid w:val="000454C5"/>
    <w:rsid w:val="00045693"/>
    <w:rsid w:val="0004571C"/>
    <w:rsid w:val="000459E5"/>
    <w:rsid w:val="00045C6D"/>
    <w:rsid w:val="00045DFD"/>
    <w:rsid w:val="00045F3D"/>
    <w:rsid w:val="00045FE1"/>
    <w:rsid w:val="00046043"/>
    <w:rsid w:val="00046112"/>
    <w:rsid w:val="000462FB"/>
    <w:rsid w:val="000463CE"/>
    <w:rsid w:val="000463E3"/>
    <w:rsid w:val="0004677E"/>
    <w:rsid w:val="000467E8"/>
    <w:rsid w:val="0004682F"/>
    <w:rsid w:val="00046C7A"/>
    <w:rsid w:val="00046CE4"/>
    <w:rsid w:val="00046D9C"/>
    <w:rsid w:val="0004713A"/>
    <w:rsid w:val="00047284"/>
    <w:rsid w:val="000474B0"/>
    <w:rsid w:val="0004767F"/>
    <w:rsid w:val="000476BC"/>
    <w:rsid w:val="000476CB"/>
    <w:rsid w:val="0004771F"/>
    <w:rsid w:val="00047761"/>
    <w:rsid w:val="000479E1"/>
    <w:rsid w:val="000503AC"/>
    <w:rsid w:val="00050567"/>
    <w:rsid w:val="000505B6"/>
    <w:rsid w:val="00050632"/>
    <w:rsid w:val="00050678"/>
    <w:rsid w:val="00050767"/>
    <w:rsid w:val="00050941"/>
    <w:rsid w:val="00050966"/>
    <w:rsid w:val="00050DC5"/>
    <w:rsid w:val="00050E77"/>
    <w:rsid w:val="0005119A"/>
    <w:rsid w:val="00051325"/>
    <w:rsid w:val="00051437"/>
    <w:rsid w:val="00051462"/>
    <w:rsid w:val="0005159D"/>
    <w:rsid w:val="000515D4"/>
    <w:rsid w:val="0005162D"/>
    <w:rsid w:val="000517AD"/>
    <w:rsid w:val="00051A87"/>
    <w:rsid w:val="00051C46"/>
    <w:rsid w:val="00051C9E"/>
    <w:rsid w:val="00051D18"/>
    <w:rsid w:val="00051D25"/>
    <w:rsid w:val="00052053"/>
    <w:rsid w:val="000520EF"/>
    <w:rsid w:val="00052128"/>
    <w:rsid w:val="00052172"/>
    <w:rsid w:val="000522C8"/>
    <w:rsid w:val="0005240C"/>
    <w:rsid w:val="000524DF"/>
    <w:rsid w:val="000525A8"/>
    <w:rsid w:val="000525FD"/>
    <w:rsid w:val="00052813"/>
    <w:rsid w:val="00052913"/>
    <w:rsid w:val="00052CFB"/>
    <w:rsid w:val="00052DC9"/>
    <w:rsid w:val="00052DCE"/>
    <w:rsid w:val="000530F2"/>
    <w:rsid w:val="00053105"/>
    <w:rsid w:val="0005310E"/>
    <w:rsid w:val="0005311A"/>
    <w:rsid w:val="000534A9"/>
    <w:rsid w:val="000536F1"/>
    <w:rsid w:val="000538D0"/>
    <w:rsid w:val="00053903"/>
    <w:rsid w:val="00053AB3"/>
    <w:rsid w:val="00053B7F"/>
    <w:rsid w:val="00053F19"/>
    <w:rsid w:val="00053FDA"/>
    <w:rsid w:val="0005410B"/>
    <w:rsid w:val="0005439B"/>
    <w:rsid w:val="000543BB"/>
    <w:rsid w:val="00054404"/>
    <w:rsid w:val="00054434"/>
    <w:rsid w:val="00054471"/>
    <w:rsid w:val="000544C7"/>
    <w:rsid w:val="000549BE"/>
    <w:rsid w:val="00054A3D"/>
    <w:rsid w:val="00054A84"/>
    <w:rsid w:val="00054B0B"/>
    <w:rsid w:val="00054DAD"/>
    <w:rsid w:val="00054F70"/>
    <w:rsid w:val="00054FD1"/>
    <w:rsid w:val="0005508E"/>
    <w:rsid w:val="000551B9"/>
    <w:rsid w:val="0005523F"/>
    <w:rsid w:val="00055247"/>
    <w:rsid w:val="00055364"/>
    <w:rsid w:val="000555F4"/>
    <w:rsid w:val="000556BD"/>
    <w:rsid w:val="000556E2"/>
    <w:rsid w:val="0005582A"/>
    <w:rsid w:val="000558DE"/>
    <w:rsid w:val="00055B75"/>
    <w:rsid w:val="00055C52"/>
    <w:rsid w:val="00055DD8"/>
    <w:rsid w:val="00055DF0"/>
    <w:rsid w:val="00055ED2"/>
    <w:rsid w:val="00055EEB"/>
    <w:rsid w:val="00056023"/>
    <w:rsid w:val="00056159"/>
    <w:rsid w:val="000567A6"/>
    <w:rsid w:val="00056839"/>
    <w:rsid w:val="00056A1F"/>
    <w:rsid w:val="00056AD4"/>
    <w:rsid w:val="00056B81"/>
    <w:rsid w:val="00056CFB"/>
    <w:rsid w:val="00056F55"/>
    <w:rsid w:val="000570B6"/>
    <w:rsid w:val="000571AE"/>
    <w:rsid w:val="00057260"/>
    <w:rsid w:val="00057290"/>
    <w:rsid w:val="0005735B"/>
    <w:rsid w:val="00057386"/>
    <w:rsid w:val="000574B0"/>
    <w:rsid w:val="000574BA"/>
    <w:rsid w:val="000574D2"/>
    <w:rsid w:val="000576FD"/>
    <w:rsid w:val="00057881"/>
    <w:rsid w:val="000578E7"/>
    <w:rsid w:val="00057AB4"/>
    <w:rsid w:val="00057AC9"/>
    <w:rsid w:val="00057AE3"/>
    <w:rsid w:val="00057AF8"/>
    <w:rsid w:val="00057D03"/>
    <w:rsid w:val="00057E28"/>
    <w:rsid w:val="00057EAD"/>
    <w:rsid w:val="00057EEC"/>
    <w:rsid w:val="00057FB6"/>
    <w:rsid w:val="0006011F"/>
    <w:rsid w:val="00060131"/>
    <w:rsid w:val="0006039C"/>
    <w:rsid w:val="0006043B"/>
    <w:rsid w:val="00060450"/>
    <w:rsid w:val="00060545"/>
    <w:rsid w:val="000607D6"/>
    <w:rsid w:val="00060970"/>
    <w:rsid w:val="0006097B"/>
    <w:rsid w:val="00060A39"/>
    <w:rsid w:val="00060B6C"/>
    <w:rsid w:val="00060BDB"/>
    <w:rsid w:val="00060C1C"/>
    <w:rsid w:val="00060D0C"/>
    <w:rsid w:val="00060D5C"/>
    <w:rsid w:val="000610D2"/>
    <w:rsid w:val="00061406"/>
    <w:rsid w:val="0006183A"/>
    <w:rsid w:val="000618A1"/>
    <w:rsid w:val="00061957"/>
    <w:rsid w:val="00061A0B"/>
    <w:rsid w:val="00061B13"/>
    <w:rsid w:val="00061CDD"/>
    <w:rsid w:val="00061D13"/>
    <w:rsid w:val="00061D98"/>
    <w:rsid w:val="00061E0F"/>
    <w:rsid w:val="0006205C"/>
    <w:rsid w:val="0006211E"/>
    <w:rsid w:val="0006217A"/>
    <w:rsid w:val="000621D1"/>
    <w:rsid w:val="000622EF"/>
    <w:rsid w:val="00062684"/>
    <w:rsid w:val="00062869"/>
    <w:rsid w:val="00062A2E"/>
    <w:rsid w:val="00062A8E"/>
    <w:rsid w:val="00062F9B"/>
    <w:rsid w:val="0006304C"/>
    <w:rsid w:val="0006310F"/>
    <w:rsid w:val="0006312C"/>
    <w:rsid w:val="00063443"/>
    <w:rsid w:val="0006344A"/>
    <w:rsid w:val="00063532"/>
    <w:rsid w:val="0006362B"/>
    <w:rsid w:val="000636F6"/>
    <w:rsid w:val="0006385F"/>
    <w:rsid w:val="0006387E"/>
    <w:rsid w:val="00063B37"/>
    <w:rsid w:val="00063DEC"/>
    <w:rsid w:val="00063E87"/>
    <w:rsid w:val="00064070"/>
    <w:rsid w:val="000641B9"/>
    <w:rsid w:val="000641DC"/>
    <w:rsid w:val="000641E0"/>
    <w:rsid w:val="00064267"/>
    <w:rsid w:val="000642A3"/>
    <w:rsid w:val="000642F7"/>
    <w:rsid w:val="00064386"/>
    <w:rsid w:val="000644E7"/>
    <w:rsid w:val="000646D2"/>
    <w:rsid w:val="000649D6"/>
    <w:rsid w:val="00064A06"/>
    <w:rsid w:val="00064CA4"/>
    <w:rsid w:val="00064CC4"/>
    <w:rsid w:val="00064DE9"/>
    <w:rsid w:val="00064E8A"/>
    <w:rsid w:val="00065079"/>
    <w:rsid w:val="0006508C"/>
    <w:rsid w:val="00065170"/>
    <w:rsid w:val="0006520F"/>
    <w:rsid w:val="0006534F"/>
    <w:rsid w:val="000653B1"/>
    <w:rsid w:val="00065467"/>
    <w:rsid w:val="0006553F"/>
    <w:rsid w:val="00065592"/>
    <w:rsid w:val="00065673"/>
    <w:rsid w:val="000656D2"/>
    <w:rsid w:val="000656EC"/>
    <w:rsid w:val="000658AB"/>
    <w:rsid w:val="000658FB"/>
    <w:rsid w:val="000658FF"/>
    <w:rsid w:val="00065902"/>
    <w:rsid w:val="00065998"/>
    <w:rsid w:val="00065AAF"/>
    <w:rsid w:val="00065BF7"/>
    <w:rsid w:val="00065D21"/>
    <w:rsid w:val="00065DE5"/>
    <w:rsid w:val="00065F5F"/>
    <w:rsid w:val="00066134"/>
    <w:rsid w:val="00066138"/>
    <w:rsid w:val="00066215"/>
    <w:rsid w:val="00066645"/>
    <w:rsid w:val="00066789"/>
    <w:rsid w:val="0006688A"/>
    <w:rsid w:val="0006692C"/>
    <w:rsid w:val="00066A92"/>
    <w:rsid w:val="00066BAE"/>
    <w:rsid w:val="00066CE9"/>
    <w:rsid w:val="00066E00"/>
    <w:rsid w:val="00067156"/>
    <w:rsid w:val="000671EB"/>
    <w:rsid w:val="000672CF"/>
    <w:rsid w:val="00067370"/>
    <w:rsid w:val="000674AB"/>
    <w:rsid w:val="000676DF"/>
    <w:rsid w:val="0006781F"/>
    <w:rsid w:val="0006794D"/>
    <w:rsid w:val="00067969"/>
    <w:rsid w:val="000679A9"/>
    <w:rsid w:val="00067A73"/>
    <w:rsid w:val="00067AE6"/>
    <w:rsid w:val="00067B1E"/>
    <w:rsid w:val="00067B68"/>
    <w:rsid w:val="00067F06"/>
    <w:rsid w:val="00067F9E"/>
    <w:rsid w:val="000701A7"/>
    <w:rsid w:val="00070344"/>
    <w:rsid w:val="00070496"/>
    <w:rsid w:val="00070693"/>
    <w:rsid w:val="0007090E"/>
    <w:rsid w:val="00070A79"/>
    <w:rsid w:val="00070B9F"/>
    <w:rsid w:val="0007100A"/>
    <w:rsid w:val="00071273"/>
    <w:rsid w:val="0007128A"/>
    <w:rsid w:val="0007141E"/>
    <w:rsid w:val="00071428"/>
    <w:rsid w:val="0007154C"/>
    <w:rsid w:val="000717BD"/>
    <w:rsid w:val="000718C8"/>
    <w:rsid w:val="000718DE"/>
    <w:rsid w:val="00071A3C"/>
    <w:rsid w:val="00071C1D"/>
    <w:rsid w:val="00071C74"/>
    <w:rsid w:val="00071E6D"/>
    <w:rsid w:val="00071E79"/>
    <w:rsid w:val="00071FA9"/>
    <w:rsid w:val="00072126"/>
    <w:rsid w:val="0007230B"/>
    <w:rsid w:val="00072335"/>
    <w:rsid w:val="00072747"/>
    <w:rsid w:val="00072996"/>
    <w:rsid w:val="00072AC7"/>
    <w:rsid w:val="00072CC4"/>
    <w:rsid w:val="00072D53"/>
    <w:rsid w:val="00072EF5"/>
    <w:rsid w:val="000731B4"/>
    <w:rsid w:val="0007326E"/>
    <w:rsid w:val="00073303"/>
    <w:rsid w:val="0007331F"/>
    <w:rsid w:val="000733AB"/>
    <w:rsid w:val="000733AE"/>
    <w:rsid w:val="0007354C"/>
    <w:rsid w:val="0007362D"/>
    <w:rsid w:val="000736D5"/>
    <w:rsid w:val="000737B9"/>
    <w:rsid w:val="000739BA"/>
    <w:rsid w:val="00073B64"/>
    <w:rsid w:val="00073C52"/>
    <w:rsid w:val="00073D7E"/>
    <w:rsid w:val="00073D84"/>
    <w:rsid w:val="00073E8B"/>
    <w:rsid w:val="0007400E"/>
    <w:rsid w:val="00074048"/>
    <w:rsid w:val="00074245"/>
    <w:rsid w:val="00074283"/>
    <w:rsid w:val="000744C9"/>
    <w:rsid w:val="000744D3"/>
    <w:rsid w:val="00074522"/>
    <w:rsid w:val="00074606"/>
    <w:rsid w:val="0007467C"/>
    <w:rsid w:val="000746B2"/>
    <w:rsid w:val="000746D9"/>
    <w:rsid w:val="0007474D"/>
    <w:rsid w:val="000748F9"/>
    <w:rsid w:val="00074AFF"/>
    <w:rsid w:val="00074C3F"/>
    <w:rsid w:val="00074DD5"/>
    <w:rsid w:val="00074E8C"/>
    <w:rsid w:val="00074EA9"/>
    <w:rsid w:val="00074F91"/>
    <w:rsid w:val="00074F99"/>
    <w:rsid w:val="00074FB6"/>
    <w:rsid w:val="000751D0"/>
    <w:rsid w:val="00075232"/>
    <w:rsid w:val="00075281"/>
    <w:rsid w:val="000752B4"/>
    <w:rsid w:val="00075472"/>
    <w:rsid w:val="000754B9"/>
    <w:rsid w:val="000755D4"/>
    <w:rsid w:val="00075750"/>
    <w:rsid w:val="00075811"/>
    <w:rsid w:val="0007581D"/>
    <w:rsid w:val="00075841"/>
    <w:rsid w:val="00075861"/>
    <w:rsid w:val="00075931"/>
    <w:rsid w:val="000759B1"/>
    <w:rsid w:val="00075D50"/>
    <w:rsid w:val="00075D59"/>
    <w:rsid w:val="00075E97"/>
    <w:rsid w:val="00076189"/>
    <w:rsid w:val="00076200"/>
    <w:rsid w:val="000762A0"/>
    <w:rsid w:val="00076494"/>
    <w:rsid w:val="00076590"/>
    <w:rsid w:val="0007661E"/>
    <w:rsid w:val="0007662C"/>
    <w:rsid w:val="00076984"/>
    <w:rsid w:val="00076B15"/>
    <w:rsid w:val="00076BBB"/>
    <w:rsid w:val="00076E44"/>
    <w:rsid w:val="00077073"/>
    <w:rsid w:val="000770E3"/>
    <w:rsid w:val="000770F2"/>
    <w:rsid w:val="0007711C"/>
    <w:rsid w:val="000776F1"/>
    <w:rsid w:val="00077772"/>
    <w:rsid w:val="0007779B"/>
    <w:rsid w:val="0007782E"/>
    <w:rsid w:val="00077B7A"/>
    <w:rsid w:val="00077DD6"/>
    <w:rsid w:val="000800D7"/>
    <w:rsid w:val="00080146"/>
    <w:rsid w:val="000804E1"/>
    <w:rsid w:val="0008078A"/>
    <w:rsid w:val="0008080B"/>
    <w:rsid w:val="00080A02"/>
    <w:rsid w:val="00080BDD"/>
    <w:rsid w:val="0008105C"/>
    <w:rsid w:val="000810BD"/>
    <w:rsid w:val="00081212"/>
    <w:rsid w:val="00081220"/>
    <w:rsid w:val="00081250"/>
    <w:rsid w:val="0008136F"/>
    <w:rsid w:val="00081403"/>
    <w:rsid w:val="000815C7"/>
    <w:rsid w:val="0008169B"/>
    <w:rsid w:val="000816A7"/>
    <w:rsid w:val="000816BF"/>
    <w:rsid w:val="0008177A"/>
    <w:rsid w:val="00081782"/>
    <w:rsid w:val="00081825"/>
    <w:rsid w:val="00081953"/>
    <w:rsid w:val="00081980"/>
    <w:rsid w:val="00081AEC"/>
    <w:rsid w:val="00081D5B"/>
    <w:rsid w:val="00082036"/>
    <w:rsid w:val="00082284"/>
    <w:rsid w:val="0008228A"/>
    <w:rsid w:val="00082663"/>
    <w:rsid w:val="00082707"/>
    <w:rsid w:val="00082723"/>
    <w:rsid w:val="00082763"/>
    <w:rsid w:val="00082939"/>
    <w:rsid w:val="00082B21"/>
    <w:rsid w:val="00082B96"/>
    <w:rsid w:val="00082BC9"/>
    <w:rsid w:val="00082E14"/>
    <w:rsid w:val="00082E2D"/>
    <w:rsid w:val="00082EE1"/>
    <w:rsid w:val="00082FC6"/>
    <w:rsid w:val="000834E4"/>
    <w:rsid w:val="00083546"/>
    <w:rsid w:val="00083550"/>
    <w:rsid w:val="00083593"/>
    <w:rsid w:val="000837D1"/>
    <w:rsid w:val="000838EF"/>
    <w:rsid w:val="00083994"/>
    <w:rsid w:val="000839C9"/>
    <w:rsid w:val="00083C5F"/>
    <w:rsid w:val="00083C89"/>
    <w:rsid w:val="00083D9C"/>
    <w:rsid w:val="00083E2E"/>
    <w:rsid w:val="000840A4"/>
    <w:rsid w:val="000841AC"/>
    <w:rsid w:val="00084247"/>
    <w:rsid w:val="00084303"/>
    <w:rsid w:val="00084409"/>
    <w:rsid w:val="00084410"/>
    <w:rsid w:val="00084489"/>
    <w:rsid w:val="000844CF"/>
    <w:rsid w:val="0008454D"/>
    <w:rsid w:val="0008468C"/>
    <w:rsid w:val="00084712"/>
    <w:rsid w:val="00084767"/>
    <w:rsid w:val="000847B3"/>
    <w:rsid w:val="000847F2"/>
    <w:rsid w:val="000848B6"/>
    <w:rsid w:val="00084BA4"/>
    <w:rsid w:val="00084C86"/>
    <w:rsid w:val="00084DFC"/>
    <w:rsid w:val="00084EC0"/>
    <w:rsid w:val="00084ED2"/>
    <w:rsid w:val="00084EEA"/>
    <w:rsid w:val="0008505C"/>
    <w:rsid w:val="0008519B"/>
    <w:rsid w:val="00085222"/>
    <w:rsid w:val="00085278"/>
    <w:rsid w:val="000852E8"/>
    <w:rsid w:val="000853A1"/>
    <w:rsid w:val="000853BC"/>
    <w:rsid w:val="000853DB"/>
    <w:rsid w:val="000853FB"/>
    <w:rsid w:val="000854A8"/>
    <w:rsid w:val="000855DE"/>
    <w:rsid w:val="0008583D"/>
    <w:rsid w:val="00085859"/>
    <w:rsid w:val="0008597E"/>
    <w:rsid w:val="00085A92"/>
    <w:rsid w:val="00085C05"/>
    <w:rsid w:val="00086019"/>
    <w:rsid w:val="000860A2"/>
    <w:rsid w:val="000860DA"/>
    <w:rsid w:val="00086363"/>
    <w:rsid w:val="000863D0"/>
    <w:rsid w:val="00086493"/>
    <w:rsid w:val="000867AB"/>
    <w:rsid w:val="00086890"/>
    <w:rsid w:val="000868B2"/>
    <w:rsid w:val="0008695A"/>
    <w:rsid w:val="00086B3C"/>
    <w:rsid w:val="00086B4A"/>
    <w:rsid w:val="00086B84"/>
    <w:rsid w:val="00086D85"/>
    <w:rsid w:val="00086ED9"/>
    <w:rsid w:val="000870F6"/>
    <w:rsid w:val="000871A3"/>
    <w:rsid w:val="000871A5"/>
    <w:rsid w:val="000872C1"/>
    <w:rsid w:val="0008731D"/>
    <w:rsid w:val="0008748B"/>
    <w:rsid w:val="00087564"/>
    <w:rsid w:val="0008775F"/>
    <w:rsid w:val="00087764"/>
    <w:rsid w:val="0008777D"/>
    <w:rsid w:val="0008778C"/>
    <w:rsid w:val="00087826"/>
    <w:rsid w:val="00087CF8"/>
    <w:rsid w:val="00090031"/>
    <w:rsid w:val="00090089"/>
    <w:rsid w:val="0009074B"/>
    <w:rsid w:val="00090AC4"/>
    <w:rsid w:val="00090B86"/>
    <w:rsid w:val="00090CC8"/>
    <w:rsid w:val="00090D21"/>
    <w:rsid w:val="00090E8F"/>
    <w:rsid w:val="00090F12"/>
    <w:rsid w:val="00091119"/>
    <w:rsid w:val="000912D9"/>
    <w:rsid w:val="000913B4"/>
    <w:rsid w:val="000913CB"/>
    <w:rsid w:val="0009140E"/>
    <w:rsid w:val="00091459"/>
    <w:rsid w:val="000915B4"/>
    <w:rsid w:val="000918DD"/>
    <w:rsid w:val="000919B7"/>
    <w:rsid w:val="00091A4C"/>
    <w:rsid w:val="00091C67"/>
    <w:rsid w:val="00091C93"/>
    <w:rsid w:val="00091E70"/>
    <w:rsid w:val="00091F35"/>
    <w:rsid w:val="00091F8C"/>
    <w:rsid w:val="00092473"/>
    <w:rsid w:val="00092681"/>
    <w:rsid w:val="000927A7"/>
    <w:rsid w:val="000927AD"/>
    <w:rsid w:val="000928C0"/>
    <w:rsid w:val="00092957"/>
    <w:rsid w:val="000929AF"/>
    <w:rsid w:val="00092BFC"/>
    <w:rsid w:val="00092C70"/>
    <w:rsid w:val="00092CD9"/>
    <w:rsid w:val="00092DA3"/>
    <w:rsid w:val="00092E6E"/>
    <w:rsid w:val="00092EEC"/>
    <w:rsid w:val="00092FFE"/>
    <w:rsid w:val="0009304B"/>
    <w:rsid w:val="000930ED"/>
    <w:rsid w:val="00093110"/>
    <w:rsid w:val="0009336D"/>
    <w:rsid w:val="0009347E"/>
    <w:rsid w:val="000935F0"/>
    <w:rsid w:val="00093690"/>
    <w:rsid w:val="000936A3"/>
    <w:rsid w:val="000936DD"/>
    <w:rsid w:val="0009376B"/>
    <w:rsid w:val="00093806"/>
    <w:rsid w:val="000938EB"/>
    <w:rsid w:val="00093A04"/>
    <w:rsid w:val="00093B17"/>
    <w:rsid w:val="00093CC3"/>
    <w:rsid w:val="00093D53"/>
    <w:rsid w:val="00093DF8"/>
    <w:rsid w:val="00093E21"/>
    <w:rsid w:val="0009415F"/>
    <w:rsid w:val="000941F3"/>
    <w:rsid w:val="0009428F"/>
    <w:rsid w:val="00094297"/>
    <w:rsid w:val="00094619"/>
    <w:rsid w:val="000948EA"/>
    <w:rsid w:val="00094CC6"/>
    <w:rsid w:val="00094DC9"/>
    <w:rsid w:val="00094EAD"/>
    <w:rsid w:val="00094F05"/>
    <w:rsid w:val="000951B0"/>
    <w:rsid w:val="00095204"/>
    <w:rsid w:val="00095368"/>
    <w:rsid w:val="000953CC"/>
    <w:rsid w:val="000954D3"/>
    <w:rsid w:val="00095506"/>
    <w:rsid w:val="000955DE"/>
    <w:rsid w:val="00095600"/>
    <w:rsid w:val="00095670"/>
    <w:rsid w:val="000956C0"/>
    <w:rsid w:val="00095920"/>
    <w:rsid w:val="00095967"/>
    <w:rsid w:val="0009598E"/>
    <w:rsid w:val="00095A9F"/>
    <w:rsid w:val="00095B52"/>
    <w:rsid w:val="00095CDD"/>
    <w:rsid w:val="00095F73"/>
    <w:rsid w:val="00096119"/>
    <w:rsid w:val="00096262"/>
    <w:rsid w:val="00096363"/>
    <w:rsid w:val="00096441"/>
    <w:rsid w:val="000964C3"/>
    <w:rsid w:val="000967B5"/>
    <w:rsid w:val="000969E0"/>
    <w:rsid w:val="00096A76"/>
    <w:rsid w:val="00096BD4"/>
    <w:rsid w:val="00096F6D"/>
    <w:rsid w:val="00096FD0"/>
    <w:rsid w:val="0009700A"/>
    <w:rsid w:val="0009719F"/>
    <w:rsid w:val="000971E6"/>
    <w:rsid w:val="00097213"/>
    <w:rsid w:val="0009743F"/>
    <w:rsid w:val="0009748D"/>
    <w:rsid w:val="000974C6"/>
    <w:rsid w:val="0009756E"/>
    <w:rsid w:val="000976D9"/>
    <w:rsid w:val="000976EC"/>
    <w:rsid w:val="000976F6"/>
    <w:rsid w:val="00097737"/>
    <w:rsid w:val="00097827"/>
    <w:rsid w:val="00097B59"/>
    <w:rsid w:val="00097C47"/>
    <w:rsid w:val="00097D13"/>
    <w:rsid w:val="00097E0B"/>
    <w:rsid w:val="000A0012"/>
    <w:rsid w:val="000A004B"/>
    <w:rsid w:val="000A006E"/>
    <w:rsid w:val="000A0134"/>
    <w:rsid w:val="000A01B7"/>
    <w:rsid w:val="000A0320"/>
    <w:rsid w:val="000A032A"/>
    <w:rsid w:val="000A0437"/>
    <w:rsid w:val="000A08C6"/>
    <w:rsid w:val="000A09E9"/>
    <w:rsid w:val="000A0A35"/>
    <w:rsid w:val="000A0AA3"/>
    <w:rsid w:val="000A0D86"/>
    <w:rsid w:val="000A0D99"/>
    <w:rsid w:val="000A0E4D"/>
    <w:rsid w:val="000A0EC9"/>
    <w:rsid w:val="000A0FA7"/>
    <w:rsid w:val="000A166B"/>
    <w:rsid w:val="000A166E"/>
    <w:rsid w:val="000A17D4"/>
    <w:rsid w:val="000A189A"/>
    <w:rsid w:val="000A18D3"/>
    <w:rsid w:val="000A1A74"/>
    <w:rsid w:val="000A1AAE"/>
    <w:rsid w:val="000A1B04"/>
    <w:rsid w:val="000A1C2A"/>
    <w:rsid w:val="000A1C41"/>
    <w:rsid w:val="000A1C7D"/>
    <w:rsid w:val="000A1CFE"/>
    <w:rsid w:val="000A1D50"/>
    <w:rsid w:val="000A1D9C"/>
    <w:rsid w:val="000A1F93"/>
    <w:rsid w:val="000A206B"/>
    <w:rsid w:val="000A2110"/>
    <w:rsid w:val="000A22EE"/>
    <w:rsid w:val="000A238E"/>
    <w:rsid w:val="000A241E"/>
    <w:rsid w:val="000A2535"/>
    <w:rsid w:val="000A25B6"/>
    <w:rsid w:val="000A26AA"/>
    <w:rsid w:val="000A26F0"/>
    <w:rsid w:val="000A2809"/>
    <w:rsid w:val="000A2C89"/>
    <w:rsid w:val="000A2CD2"/>
    <w:rsid w:val="000A2E20"/>
    <w:rsid w:val="000A2E31"/>
    <w:rsid w:val="000A2E8D"/>
    <w:rsid w:val="000A31E0"/>
    <w:rsid w:val="000A336D"/>
    <w:rsid w:val="000A3393"/>
    <w:rsid w:val="000A3400"/>
    <w:rsid w:val="000A342D"/>
    <w:rsid w:val="000A34E3"/>
    <w:rsid w:val="000A35A1"/>
    <w:rsid w:val="000A3657"/>
    <w:rsid w:val="000A3AB2"/>
    <w:rsid w:val="000A3C8C"/>
    <w:rsid w:val="000A3D2E"/>
    <w:rsid w:val="000A3EAF"/>
    <w:rsid w:val="000A3F50"/>
    <w:rsid w:val="000A43E6"/>
    <w:rsid w:val="000A4423"/>
    <w:rsid w:val="000A44A6"/>
    <w:rsid w:val="000A4608"/>
    <w:rsid w:val="000A4710"/>
    <w:rsid w:val="000A4779"/>
    <w:rsid w:val="000A47B6"/>
    <w:rsid w:val="000A4C65"/>
    <w:rsid w:val="000A4F3D"/>
    <w:rsid w:val="000A4F75"/>
    <w:rsid w:val="000A502F"/>
    <w:rsid w:val="000A5155"/>
    <w:rsid w:val="000A516F"/>
    <w:rsid w:val="000A53F8"/>
    <w:rsid w:val="000A5586"/>
    <w:rsid w:val="000A57F0"/>
    <w:rsid w:val="000A5A8B"/>
    <w:rsid w:val="000A5AA5"/>
    <w:rsid w:val="000A5D06"/>
    <w:rsid w:val="000A6003"/>
    <w:rsid w:val="000A603A"/>
    <w:rsid w:val="000A60A4"/>
    <w:rsid w:val="000A60A8"/>
    <w:rsid w:val="000A623D"/>
    <w:rsid w:val="000A6387"/>
    <w:rsid w:val="000A6396"/>
    <w:rsid w:val="000A63A1"/>
    <w:rsid w:val="000A646A"/>
    <w:rsid w:val="000A64A3"/>
    <w:rsid w:val="000A655F"/>
    <w:rsid w:val="000A6B4C"/>
    <w:rsid w:val="000A6B76"/>
    <w:rsid w:val="000A6C0F"/>
    <w:rsid w:val="000A6C34"/>
    <w:rsid w:val="000A6C75"/>
    <w:rsid w:val="000A6CD4"/>
    <w:rsid w:val="000A6FB8"/>
    <w:rsid w:val="000A6FD5"/>
    <w:rsid w:val="000A7008"/>
    <w:rsid w:val="000A704A"/>
    <w:rsid w:val="000A7538"/>
    <w:rsid w:val="000A782C"/>
    <w:rsid w:val="000A7911"/>
    <w:rsid w:val="000A7976"/>
    <w:rsid w:val="000A7A0F"/>
    <w:rsid w:val="000A7AC0"/>
    <w:rsid w:val="000A7B0F"/>
    <w:rsid w:val="000A7D06"/>
    <w:rsid w:val="000A7DA2"/>
    <w:rsid w:val="000A7E1A"/>
    <w:rsid w:val="000A7F52"/>
    <w:rsid w:val="000B00B7"/>
    <w:rsid w:val="000B00DD"/>
    <w:rsid w:val="000B020C"/>
    <w:rsid w:val="000B0236"/>
    <w:rsid w:val="000B041B"/>
    <w:rsid w:val="000B042D"/>
    <w:rsid w:val="000B055C"/>
    <w:rsid w:val="000B092F"/>
    <w:rsid w:val="000B09C4"/>
    <w:rsid w:val="000B09EE"/>
    <w:rsid w:val="000B0B12"/>
    <w:rsid w:val="000B0B1B"/>
    <w:rsid w:val="000B0B26"/>
    <w:rsid w:val="000B0B8C"/>
    <w:rsid w:val="000B0C3A"/>
    <w:rsid w:val="000B0DDE"/>
    <w:rsid w:val="000B0F78"/>
    <w:rsid w:val="000B1029"/>
    <w:rsid w:val="000B1030"/>
    <w:rsid w:val="000B1042"/>
    <w:rsid w:val="000B1102"/>
    <w:rsid w:val="000B110A"/>
    <w:rsid w:val="000B111D"/>
    <w:rsid w:val="000B1205"/>
    <w:rsid w:val="000B121B"/>
    <w:rsid w:val="000B124D"/>
    <w:rsid w:val="000B135A"/>
    <w:rsid w:val="000B15C1"/>
    <w:rsid w:val="000B15F6"/>
    <w:rsid w:val="000B1641"/>
    <w:rsid w:val="000B16CE"/>
    <w:rsid w:val="000B1A23"/>
    <w:rsid w:val="000B1B87"/>
    <w:rsid w:val="000B204B"/>
    <w:rsid w:val="000B205A"/>
    <w:rsid w:val="000B20DA"/>
    <w:rsid w:val="000B2154"/>
    <w:rsid w:val="000B23E6"/>
    <w:rsid w:val="000B2588"/>
    <w:rsid w:val="000B2708"/>
    <w:rsid w:val="000B2ACE"/>
    <w:rsid w:val="000B2C74"/>
    <w:rsid w:val="000B2CA2"/>
    <w:rsid w:val="000B2D74"/>
    <w:rsid w:val="000B2FA2"/>
    <w:rsid w:val="000B3024"/>
    <w:rsid w:val="000B314C"/>
    <w:rsid w:val="000B33E2"/>
    <w:rsid w:val="000B3418"/>
    <w:rsid w:val="000B3946"/>
    <w:rsid w:val="000B3DA8"/>
    <w:rsid w:val="000B3DE9"/>
    <w:rsid w:val="000B3ED9"/>
    <w:rsid w:val="000B4188"/>
    <w:rsid w:val="000B42FA"/>
    <w:rsid w:val="000B4578"/>
    <w:rsid w:val="000B4590"/>
    <w:rsid w:val="000B459E"/>
    <w:rsid w:val="000B4615"/>
    <w:rsid w:val="000B4978"/>
    <w:rsid w:val="000B4B49"/>
    <w:rsid w:val="000B4BA4"/>
    <w:rsid w:val="000B4C0C"/>
    <w:rsid w:val="000B4CF3"/>
    <w:rsid w:val="000B4D7E"/>
    <w:rsid w:val="000B4EFB"/>
    <w:rsid w:val="000B4F05"/>
    <w:rsid w:val="000B4F66"/>
    <w:rsid w:val="000B50AE"/>
    <w:rsid w:val="000B52CE"/>
    <w:rsid w:val="000B5308"/>
    <w:rsid w:val="000B53CA"/>
    <w:rsid w:val="000B5402"/>
    <w:rsid w:val="000B542D"/>
    <w:rsid w:val="000B54B4"/>
    <w:rsid w:val="000B5586"/>
    <w:rsid w:val="000B56CB"/>
    <w:rsid w:val="000B5924"/>
    <w:rsid w:val="000B597F"/>
    <w:rsid w:val="000B5AB2"/>
    <w:rsid w:val="000B5C21"/>
    <w:rsid w:val="000B5C2A"/>
    <w:rsid w:val="000B5EA5"/>
    <w:rsid w:val="000B6061"/>
    <w:rsid w:val="000B6279"/>
    <w:rsid w:val="000B62F0"/>
    <w:rsid w:val="000B640F"/>
    <w:rsid w:val="000B6676"/>
    <w:rsid w:val="000B66EF"/>
    <w:rsid w:val="000B66FC"/>
    <w:rsid w:val="000B684E"/>
    <w:rsid w:val="000B6B12"/>
    <w:rsid w:val="000B6DE8"/>
    <w:rsid w:val="000B6F2A"/>
    <w:rsid w:val="000B7077"/>
    <w:rsid w:val="000B7332"/>
    <w:rsid w:val="000B7365"/>
    <w:rsid w:val="000B73A9"/>
    <w:rsid w:val="000B74CF"/>
    <w:rsid w:val="000B7818"/>
    <w:rsid w:val="000B78C7"/>
    <w:rsid w:val="000B7949"/>
    <w:rsid w:val="000B798C"/>
    <w:rsid w:val="000B79B3"/>
    <w:rsid w:val="000B7C55"/>
    <w:rsid w:val="000B7D5D"/>
    <w:rsid w:val="000C00E7"/>
    <w:rsid w:val="000C02D0"/>
    <w:rsid w:val="000C0407"/>
    <w:rsid w:val="000C040B"/>
    <w:rsid w:val="000C04CB"/>
    <w:rsid w:val="000C04D9"/>
    <w:rsid w:val="000C0706"/>
    <w:rsid w:val="000C088B"/>
    <w:rsid w:val="000C0987"/>
    <w:rsid w:val="000C0A4D"/>
    <w:rsid w:val="000C0B57"/>
    <w:rsid w:val="000C0BCA"/>
    <w:rsid w:val="000C0D31"/>
    <w:rsid w:val="000C0DD8"/>
    <w:rsid w:val="000C0DE0"/>
    <w:rsid w:val="000C111D"/>
    <w:rsid w:val="000C1301"/>
    <w:rsid w:val="000C137B"/>
    <w:rsid w:val="000C141F"/>
    <w:rsid w:val="000C14CC"/>
    <w:rsid w:val="000C1615"/>
    <w:rsid w:val="000C163C"/>
    <w:rsid w:val="000C1742"/>
    <w:rsid w:val="000C1B01"/>
    <w:rsid w:val="000C1D24"/>
    <w:rsid w:val="000C1EB8"/>
    <w:rsid w:val="000C1FF4"/>
    <w:rsid w:val="000C22B5"/>
    <w:rsid w:val="000C24E1"/>
    <w:rsid w:val="000C2659"/>
    <w:rsid w:val="000C27AF"/>
    <w:rsid w:val="000C28DC"/>
    <w:rsid w:val="000C2A84"/>
    <w:rsid w:val="000C2AFC"/>
    <w:rsid w:val="000C2B98"/>
    <w:rsid w:val="000C2C5C"/>
    <w:rsid w:val="000C2C5F"/>
    <w:rsid w:val="000C2CBF"/>
    <w:rsid w:val="000C2D52"/>
    <w:rsid w:val="000C2DBF"/>
    <w:rsid w:val="000C30D4"/>
    <w:rsid w:val="000C32EE"/>
    <w:rsid w:val="000C339D"/>
    <w:rsid w:val="000C340B"/>
    <w:rsid w:val="000C341A"/>
    <w:rsid w:val="000C366A"/>
    <w:rsid w:val="000C3708"/>
    <w:rsid w:val="000C37D3"/>
    <w:rsid w:val="000C38AC"/>
    <w:rsid w:val="000C38F0"/>
    <w:rsid w:val="000C3984"/>
    <w:rsid w:val="000C398D"/>
    <w:rsid w:val="000C3AB7"/>
    <w:rsid w:val="000C3ABC"/>
    <w:rsid w:val="000C3AE1"/>
    <w:rsid w:val="000C3B3C"/>
    <w:rsid w:val="000C3BFF"/>
    <w:rsid w:val="000C3CDD"/>
    <w:rsid w:val="000C3DFE"/>
    <w:rsid w:val="000C3E82"/>
    <w:rsid w:val="000C41AA"/>
    <w:rsid w:val="000C4424"/>
    <w:rsid w:val="000C44A1"/>
    <w:rsid w:val="000C44E0"/>
    <w:rsid w:val="000C4563"/>
    <w:rsid w:val="000C45DE"/>
    <w:rsid w:val="000C48B9"/>
    <w:rsid w:val="000C4A2E"/>
    <w:rsid w:val="000C4ADE"/>
    <w:rsid w:val="000C4BA7"/>
    <w:rsid w:val="000C4DC9"/>
    <w:rsid w:val="000C4E68"/>
    <w:rsid w:val="000C4F2C"/>
    <w:rsid w:val="000C4FAC"/>
    <w:rsid w:val="000C5381"/>
    <w:rsid w:val="000C54E0"/>
    <w:rsid w:val="000C5909"/>
    <w:rsid w:val="000C5917"/>
    <w:rsid w:val="000C59BD"/>
    <w:rsid w:val="000C5A8C"/>
    <w:rsid w:val="000C5B5B"/>
    <w:rsid w:val="000C5D00"/>
    <w:rsid w:val="000C5D74"/>
    <w:rsid w:val="000C5E2E"/>
    <w:rsid w:val="000C62D5"/>
    <w:rsid w:val="000C6301"/>
    <w:rsid w:val="000C644D"/>
    <w:rsid w:val="000C6512"/>
    <w:rsid w:val="000C6661"/>
    <w:rsid w:val="000C668C"/>
    <w:rsid w:val="000C66FB"/>
    <w:rsid w:val="000C6872"/>
    <w:rsid w:val="000C6954"/>
    <w:rsid w:val="000C69E7"/>
    <w:rsid w:val="000C6A29"/>
    <w:rsid w:val="000C6AEA"/>
    <w:rsid w:val="000C6CA0"/>
    <w:rsid w:val="000C70D5"/>
    <w:rsid w:val="000C7106"/>
    <w:rsid w:val="000C746E"/>
    <w:rsid w:val="000C772D"/>
    <w:rsid w:val="000C7744"/>
    <w:rsid w:val="000C77E3"/>
    <w:rsid w:val="000C78EC"/>
    <w:rsid w:val="000C7AF7"/>
    <w:rsid w:val="000C7D7C"/>
    <w:rsid w:val="000C7F09"/>
    <w:rsid w:val="000D0005"/>
    <w:rsid w:val="000D00BA"/>
    <w:rsid w:val="000D00E4"/>
    <w:rsid w:val="000D0221"/>
    <w:rsid w:val="000D03A8"/>
    <w:rsid w:val="000D03BB"/>
    <w:rsid w:val="000D0551"/>
    <w:rsid w:val="000D063A"/>
    <w:rsid w:val="000D080F"/>
    <w:rsid w:val="000D08C0"/>
    <w:rsid w:val="000D08C8"/>
    <w:rsid w:val="000D0AAD"/>
    <w:rsid w:val="000D0E16"/>
    <w:rsid w:val="000D0E51"/>
    <w:rsid w:val="000D0FEF"/>
    <w:rsid w:val="000D106C"/>
    <w:rsid w:val="000D1423"/>
    <w:rsid w:val="000D1465"/>
    <w:rsid w:val="000D14E3"/>
    <w:rsid w:val="000D153C"/>
    <w:rsid w:val="000D172C"/>
    <w:rsid w:val="000D17CA"/>
    <w:rsid w:val="000D17D2"/>
    <w:rsid w:val="000D1878"/>
    <w:rsid w:val="000D1BAC"/>
    <w:rsid w:val="000D1EE0"/>
    <w:rsid w:val="000D1FB1"/>
    <w:rsid w:val="000D215D"/>
    <w:rsid w:val="000D21FF"/>
    <w:rsid w:val="000D2726"/>
    <w:rsid w:val="000D288C"/>
    <w:rsid w:val="000D28EA"/>
    <w:rsid w:val="000D2D9F"/>
    <w:rsid w:val="000D2E04"/>
    <w:rsid w:val="000D2E62"/>
    <w:rsid w:val="000D2FB9"/>
    <w:rsid w:val="000D3006"/>
    <w:rsid w:val="000D3010"/>
    <w:rsid w:val="000D337A"/>
    <w:rsid w:val="000D338F"/>
    <w:rsid w:val="000D3540"/>
    <w:rsid w:val="000D3748"/>
    <w:rsid w:val="000D37AF"/>
    <w:rsid w:val="000D3BC7"/>
    <w:rsid w:val="000D3DE6"/>
    <w:rsid w:val="000D3E17"/>
    <w:rsid w:val="000D3F6A"/>
    <w:rsid w:val="000D4037"/>
    <w:rsid w:val="000D40C0"/>
    <w:rsid w:val="000D4239"/>
    <w:rsid w:val="000D42D6"/>
    <w:rsid w:val="000D43F1"/>
    <w:rsid w:val="000D44FA"/>
    <w:rsid w:val="000D45B2"/>
    <w:rsid w:val="000D4622"/>
    <w:rsid w:val="000D469E"/>
    <w:rsid w:val="000D4700"/>
    <w:rsid w:val="000D47B0"/>
    <w:rsid w:val="000D48DD"/>
    <w:rsid w:val="000D48FD"/>
    <w:rsid w:val="000D493D"/>
    <w:rsid w:val="000D49BA"/>
    <w:rsid w:val="000D4B24"/>
    <w:rsid w:val="000D4B2B"/>
    <w:rsid w:val="000D4C9F"/>
    <w:rsid w:val="000D4CAB"/>
    <w:rsid w:val="000D4FE2"/>
    <w:rsid w:val="000D500A"/>
    <w:rsid w:val="000D51EB"/>
    <w:rsid w:val="000D51F8"/>
    <w:rsid w:val="000D5360"/>
    <w:rsid w:val="000D54E8"/>
    <w:rsid w:val="000D54EA"/>
    <w:rsid w:val="000D565D"/>
    <w:rsid w:val="000D56A7"/>
    <w:rsid w:val="000D5ABF"/>
    <w:rsid w:val="000D5AE4"/>
    <w:rsid w:val="000D5D3A"/>
    <w:rsid w:val="000D5D54"/>
    <w:rsid w:val="000D5EC8"/>
    <w:rsid w:val="000D5F1A"/>
    <w:rsid w:val="000D62CE"/>
    <w:rsid w:val="000D6406"/>
    <w:rsid w:val="000D64AB"/>
    <w:rsid w:val="000D6504"/>
    <w:rsid w:val="000D6528"/>
    <w:rsid w:val="000D655A"/>
    <w:rsid w:val="000D674A"/>
    <w:rsid w:val="000D68DF"/>
    <w:rsid w:val="000D6AC4"/>
    <w:rsid w:val="000D6C74"/>
    <w:rsid w:val="000D6CC7"/>
    <w:rsid w:val="000D6F51"/>
    <w:rsid w:val="000D7096"/>
    <w:rsid w:val="000D727A"/>
    <w:rsid w:val="000D77AA"/>
    <w:rsid w:val="000D79AF"/>
    <w:rsid w:val="000D7C13"/>
    <w:rsid w:val="000D7C32"/>
    <w:rsid w:val="000D7CD4"/>
    <w:rsid w:val="000D7DEA"/>
    <w:rsid w:val="000D7E5B"/>
    <w:rsid w:val="000D7FB8"/>
    <w:rsid w:val="000E0001"/>
    <w:rsid w:val="000E004A"/>
    <w:rsid w:val="000E0160"/>
    <w:rsid w:val="000E03CB"/>
    <w:rsid w:val="000E05D0"/>
    <w:rsid w:val="000E07AE"/>
    <w:rsid w:val="000E099A"/>
    <w:rsid w:val="000E09DA"/>
    <w:rsid w:val="000E0A2E"/>
    <w:rsid w:val="000E0AB5"/>
    <w:rsid w:val="000E0C82"/>
    <w:rsid w:val="000E0EDC"/>
    <w:rsid w:val="000E0FB9"/>
    <w:rsid w:val="000E1070"/>
    <w:rsid w:val="000E134E"/>
    <w:rsid w:val="000E1391"/>
    <w:rsid w:val="000E1494"/>
    <w:rsid w:val="000E1513"/>
    <w:rsid w:val="000E161C"/>
    <w:rsid w:val="000E1A59"/>
    <w:rsid w:val="000E1B0D"/>
    <w:rsid w:val="000E1B53"/>
    <w:rsid w:val="000E1C7C"/>
    <w:rsid w:val="000E1D05"/>
    <w:rsid w:val="000E1DBE"/>
    <w:rsid w:val="000E1F64"/>
    <w:rsid w:val="000E1F75"/>
    <w:rsid w:val="000E2099"/>
    <w:rsid w:val="000E20A9"/>
    <w:rsid w:val="000E2123"/>
    <w:rsid w:val="000E229C"/>
    <w:rsid w:val="000E2438"/>
    <w:rsid w:val="000E2649"/>
    <w:rsid w:val="000E27A9"/>
    <w:rsid w:val="000E27D6"/>
    <w:rsid w:val="000E2884"/>
    <w:rsid w:val="000E28A0"/>
    <w:rsid w:val="000E28B4"/>
    <w:rsid w:val="000E2974"/>
    <w:rsid w:val="000E2A0C"/>
    <w:rsid w:val="000E2B68"/>
    <w:rsid w:val="000E2D46"/>
    <w:rsid w:val="000E2E64"/>
    <w:rsid w:val="000E2ED7"/>
    <w:rsid w:val="000E2FB8"/>
    <w:rsid w:val="000E31D2"/>
    <w:rsid w:val="000E35AA"/>
    <w:rsid w:val="000E3734"/>
    <w:rsid w:val="000E37B0"/>
    <w:rsid w:val="000E38C4"/>
    <w:rsid w:val="000E3D44"/>
    <w:rsid w:val="000E3DF6"/>
    <w:rsid w:val="000E3F7E"/>
    <w:rsid w:val="000E404A"/>
    <w:rsid w:val="000E4095"/>
    <w:rsid w:val="000E439E"/>
    <w:rsid w:val="000E43EA"/>
    <w:rsid w:val="000E4449"/>
    <w:rsid w:val="000E4451"/>
    <w:rsid w:val="000E447F"/>
    <w:rsid w:val="000E44D9"/>
    <w:rsid w:val="000E4581"/>
    <w:rsid w:val="000E4735"/>
    <w:rsid w:val="000E4853"/>
    <w:rsid w:val="000E4903"/>
    <w:rsid w:val="000E4A35"/>
    <w:rsid w:val="000E4A6E"/>
    <w:rsid w:val="000E4A8E"/>
    <w:rsid w:val="000E5362"/>
    <w:rsid w:val="000E536A"/>
    <w:rsid w:val="000E538F"/>
    <w:rsid w:val="000E59FA"/>
    <w:rsid w:val="000E5A41"/>
    <w:rsid w:val="000E5B56"/>
    <w:rsid w:val="000E5B6F"/>
    <w:rsid w:val="000E5D48"/>
    <w:rsid w:val="000E5EF6"/>
    <w:rsid w:val="000E5FE0"/>
    <w:rsid w:val="000E600B"/>
    <w:rsid w:val="000E61BC"/>
    <w:rsid w:val="000E6544"/>
    <w:rsid w:val="000E6576"/>
    <w:rsid w:val="000E65D0"/>
    <w:rsid w:val="000E66F6"/>
    <w:rsid w:val="000E69C7"/>
    <w:rsid w:val="000E69DC"/>
    <w:rsid w:val="000E6ADA"/>
    <w:rsid w:val="000E6B38"/>
    <w:rsid w:val="000E6C2D"/>
    <w:rsid w:val="000E6C7F"/>
    <w:rsid w:val="000E6CA9"/>
    <w:rsid w:val="000E6F60"/>
    <w:rsid w:val="000E6F6A"/>
    <w:rsid w:val="000E71A1"/>
    <w:rsid w:val="000E71C9"/>
    <w:rsid w:val="000E72FC"/>
    <w:rsid w:val="000E75C4"/>
    <w:rsid w:val="000E7621"/>
    <w:rsid w:val="000E7665"/>
    <w:rsid w:val="000E77E5"/>
    <w:rsid w:val="000E780A"/>
    <w:rsid w:val="000E7840"/>
    <w:rsid w:val="000E7B83"/>
    <w:rsid w:val="000E7CAF"/>
    <w:rsid w:val="000E7E4F"/>
    <w:rsid w:val="000E7F7A"/>
    <w:rsid w:val="000F0045"/>
    <w:rsid w:val="000F03E7"/>
    <w:rsid w:val="000F0500"/>
    <w:rsid w:val="000F05BD"/>
    <w:rsid w:val="000F06D1"/>
    <w:rsid w:val="000F0923"/>
    <w:rsid w:val="000F0AF9"/>
    <w:rsid w:val="000F0B3F"/>
    <w:rsid w:val="000F0BBF"/>
    <w:rsid w:val="000F0D73"/>
    <w:rsid w:val="000F0EF5"/>
    <w:rsid w:val="000F0F00"/>
    <w:rsid w:val="000F0F16"/>
    <w:rsid w:val="000F0F36"/>
    <w:rsid w:val="000F1286"/>
    <w:rsid w:val="000F1340"/>
    <w:rsid w:val="000F13CA"/>
    <w:rsid w:val="000F13CF"/>
    <w:rsid w:val="000F13DF"/>
    <w:rsid w:val="000F1455"/>
    <w:rsid w:val="000F1651"/>
    <w:rsid w:val="000F17D7"/>
    <w:rsid w:val="000F1922"/>
    <w:rsid w:val="000F1957"/>
    <w:rsid w:val="000F1B23"/>
    <w:rsid w:val="000F1D18"/>
    <w:rsid w:val="000F1E5C"/>
    <w:rsid w:val="000F1EBF"/>
    <w:rsid w:val="000F1ED8"/>
    <w:rsid w:val="000F1EDA"/>
    <w:rsid w:val="000F2020"/>
    <w:rsid w:val="000F20EF"/>
    <w:rsid w:val="000F23CB"/>
    <w:rsid w:val="000F2451"/>
    <w:rsid w:val="000F2564"/>
    <w:rsid w:val="000F26AC"/>
    <w:rsid w:val="000F2730"/>
    <w:rsid w:val="000F2820"/>
    <w:rsid w:val="000F2A0A"/>
    <w:rsid w:val="000F2A45"/>
    <w:rsid w:val="000F2B18"/>
    <w:rsid w:val="000F2B98"/>
    <w:rsid w:val="000F2E3B"/>
    <w:rsid w:val="000F2E41"/>
    <w:rsid w:val="000F2EC1"/>
    <w:rsid w:val="000F3049"/>
    <w:rsid w:val="000F316A"/>
    <w:rsid w:val="000F322F"/>
    <w:rsid w:val="000F3347"/>
    <w:rsid w:val="000F33B1"/>
    <w:rsid w:val="000F38C5"/>
    <w:rsid w:val="000F3908"/>
    <w:rsid w:val="000F3B0C"/>
    <w:rsid w:val="000F3B3E"/>
    <w:rsid w:val="000F3C28"/>
    <w:rsid w:val="000F3CAE"/>
    <w:rsid w:val="000F3CEA"/>
    <w:rsid w:val="000F3DAE"/>
    <w:rsid w:val="000F3E96"/>
    <w:rsid w:val="000F4064"/>
    <w:rsid w:val="000F4112"/>
    <w:rsid w:val="000F41A8"/>
    <w:rsid w:val="000F424B"/>
    <w:rsid w:val="000F43EB"/>
    <w:rsid w:val="000F43FF"/>
    <w:rsid w:val="000F4424"/>
    <w:rsid w:val="000F4568"/>
    <w:rsid w:val="000F47A5"/>
    <w:rsid w:val="000F482E"/>
    <w:rsid w:val="000F483A"/>
    <w:rsid w:val="000F4BDE"/>
    <w:rsid w:val="000F4C76"/>
    <w:rsid w:val="000F4EF1"/>
    <w:rsid w:val="000F4FB3"/>
    <w:rsid w:val="000F513A"/>
    <w:rsid w:val="000F51AD"/>
    <w:rsid w:val="000F5206"/>
    <w:rsid w:val="000F5380"/>
    <w:rsid w:val="000F5391"/>
    <w:rsid w:val="000F53A9"/>
    <w:rsid w:val="000F5527"/>
    <w:rsid w:val="000F55E5"/>
    <w:rsid w:val="000F5625"/>
    <w:rsid w:val="000F5884"/>
    <w:rsid w:val="000F58CA"/>
    <w:rsid w:val="000F59C3"/>
    <w:rsid w:val="000F5A98"/>
    <w:rsid w:val="000F5C93"/>
    <w:rsid w:val="000F5CFD"/>
    <w:rsid w:val="000F5F23"/>
    <w:rsid w:val="000F607D"/>
    <w:rsid w:val="000F6631"/>
    <w:rsid w:val="000F6658"/>
    <w:rsid w:val="000F67C1"/>
    <w:rsid w:val="000F687E"/>
    <w:rsid w:val="000F6932"/>
    <w:rsid w:val="000F69BA"/>
    <w:rsid w:val="000F6AA0"/>
    <w:rsid w:val="000F6AA9"/>
    <w:rsid w:val="000F6BFB"/>
    <w:rsid w:val="000F6C06"/>
    <w:rsid w:val="000F6C82"/>
    <w:rsid w:val="000F6ED8"/>
    <w:rsid w:val="000F6F1C"/>
    <w:rsid w:val="000F6F7C"/>
    <w:rsid w:val="000F6F9E"/>
    <w:rsid w:val="000F6FA3"/>
    <w:rsid w:val="000F7020"/>
    <w:rsid w:val="000F7092"/>
    <w:rsid w:val="000F7148"/>
    <w:rsid w:val="000F720C"/>
    <w:rsid w:val="000F729C"/>
    <w:rsid w:val="000F72EE"/>
    <w:rsid w:val="000F7373"/>
    <w:rsid w:val="000F7441"/>
    <w:rsid w:val="000F7530"/>
    <w:rsid w:val="000F771F"/>
    <w:rsid w:val="000F78FF"/>
    <w:rsid w:val="000F7999"/>
    <w:rsid w:val="000F79A4"/>
    <w:rsid w:val="000F7B81"/>
    <w:rsid w:val="000F7BFF"/>
    <w:rsid w:val="000F7C2B"/>
    <w:rsid w:val="000F7CB7"/>
    <w:rsid w:val="000F7F95"/>
    <w:rsid w:val="000F7FAA"/>
    <w:rsid w:val="0010000F"/>
    <w:rsid w:val="0010003E"/>
    <w:rsid w:val="00100172"/>
    <w:rsid w:val="0010021C"/>
    <w:rsid w:val="001002AA"/>
    <w:rsid w:val="0010035B"/>
    <w:rsid w:val="00100405"/>
    <w:rsid w:val="0010042F"/>
    <w:rsid w:val="00100431"/>
    <w:rsid w:val="00100602"/>
    <w:rsid w:val="00100771"/>
    <w:rsid w:val="0010086F"/>
    <w:rsid w:val="001008A9"/>
    <w:rsid w:val="001008C6"/>
    <w:rsid w:val="001009E4"/>
    <w:rsid w:val="00100F29"/>
    <w:rsid w:val="0010108C"/>
    <w:rsid w:val="001010CB"/>
    <w:rsid w:val="001010E9"/>
    <w:rsid w:val="001012C5"/>
    <w:rsid w:val="0010135C"/>
    <w:rsid w:val="00101525"/>
    <w:rsid w:val="00101727"/>
    <w:rsid w:val="00101B9A"/>
    <w:rsid w:val="00101CF6"/>
    <w:rsid w:val="00101E90"/>
    <w:rsid w:val="00101EB5"/>
    <w:rsid w:val="00101ECC"/>
    <w:rsid w:val="00102190"/>
    <w:rsid w:val="001021CF"/>
    <w:rsid w:val="00102300"/>
    <w:rsid w:val="0010239E"/>
    <w:rsid w:val="00102434"/>
    <w:rsid w:val="0010245E"/>
    <w:rsid w:val="001024DA"/>
    <w:rsid w:val="001025A9"/>
    <w:rsid w:val="0010269B"/>
    <w:rsid w:val="001029E4"/>
    <w:rsid w:val="00102A1E"/>
    <w:rsid w:val="00102EF0"/>
    <w:rsid w:val="00102F25"/>
    <w:rsid w:val="00102FD1"/>
    <w:rsid w:val="00103063"/>
    <w:rsid w:val="001030D5"/>
    <w:rsid w:val="0010337C"/>
    <w:rsid w:val="00103576"/>
    <w:rsid w:val="00103848"/>
    <w:rsid w:val="001038DE"/>
    <w:rsid w:val="001038FD"/>
    <w:rsid w:val="001040ED"/>
    <w:rsid w:val="001041ED"/>
    <w:rsid w:val="001042C0"/>
    <w:rsid w:val="001045D9"/>
    <w:rsid w:val="00104728"/>
    <w:rsid w:val="001047D2"/>
    <w:rsid w:val="00104880"/>
    <w:rsid w:val="0010495A"/>
    <w:rsid w:val="00104B46"/>
    <w:rsid w:val="00104B7E"/>
    <w:rsid w:val="00104BFD"/>
    <w:rsid w:val="00104FEC"/>
    <w:rsid w:val="001050B0"/>
    <w:rsid w:val="001050B3"/>
    <w:rsid w:val="00105152"/>
    <w:rsid w:val="001051AA"/>
    <w:rsid w:val="0010532E"/>
    <w:rsid w:val="00105414"/>
    <w:rsid w:val="0010553A"/>
    <w:rsid w:val="001055EB"/>
    <w:rsid w:val="001055F7"/>
    <w:rsid w:val="001056C4"/>
    <w:rsid w:val="00105775"/>
    <w:rsid w:val="00105841"/>
    <w:rsid w:val="00105861"/>
    <w:rsid w:val="001059A2"/>
    <w:rsid w:val="00105C0D"/>
    <w:rsid w:val="00105C7F"/>
    <w:rsid w:val="00106052"/>
    <w:rsid w:val="0010608C"/>
    <w:rsid w:val="001062DC"/>
    <w:rsid w:val="001063BA"/>
    <w:rsid w:val="001064BB"/>
    <w:rsid w:val="001064CB"/>
    <w:rsid w:val="0010664B"/>
    <w:rsid w:val="001068E2"/>
    <w:rsid w:val="00106A23"/>
    <w:rsid w:val="00106AAD"/>
    <w:rsid w:val="00106B36"/>
    <w:rsid w:val="00106B91"/>
    <w:rsid w:val="00106DDF"/>
    <w:rsid w:val="00106E0E"/>
    <w:rsid w:val="00106E1A"/>
    <w:rsid w:val="00106E87"/>
    <w:rsid w:val="00107024"/>
    <w:rsid w:val="00107082"/>
    <w:rsid w:val="0010715D"/>
    <w:rsid w:val="00107365"/>
    <w:rsid w:val="00107400"/>
    <w:rsid w:val="0010769B"/>
    <w:rsid w:val="001076A2"/>
    <w:rsid w:val="001078D6"/>
    <w:rsid w:val="00107993"/>
    <w:rsid w:val="00107B23"/>
    <w:rsid w:val="00107B46"/>
    <w:rsid w:val="00107E91"/>
    <w:rsid w:val="00110145"/>
    <w:rsid w:val="00110257"/>
    <w:rsid w:val="00110285"/>
    <w:rsid w:val="00110630"/>
    <w:rsid w:val="0011063D"/>
    <w:rsid w:val="001106C7"/>
    <w:rsid w:val="0011085B"/>
    <w:rsid w:val="001109DE"/>
    <w:rsid w:val="00110B04"/>
    <w:rsid w:val="00110FD3"/>
    <w:rsid w:val="0011129F"/>
    <w:rsid w:val="001112F0"/>
    <w:rsid w:val="00111354"/>
    <w:rsid w:val="001113DB"/>
    <w:rsid w:val="0011141B"/>
    <w:rsid w:val="00111452"/>
    <w:rsid w:val="00111574"/>
    <w:rsid w:val="0011158D"/>
    <w:rsid w:val="00111795"/>
    <w:rsid w:val="0011179C"/>
    <w:rsid w:val="00111A0C"/>
    <w:rsid w:val="00111B59"/>
    <w:rsid w:val="00111BE4"/>
    <w:rsid w:val="00111C44"/>
    <w:rsid w:val="00111DA4"/>
    <w:rsid w:val="00111EA3"/>
    <w:rsid w:val="00111EDA"/>
    <w:rsid w:val="00112061"/>
    <w:rsid w:val="001122F8"/>
    <w:rsid w:val="00112360"/>
    <w:rsid w:val="00112390"/>
    <w:rsid w:val="001123D7"/>
    <w:rsid w:val="0011240A"/>
    <w:rsid w:val="00112492"/>
    <w:rsid w:val="00112684"/>
    <w:rsid w:val="001126C2"/>
    <w:rsid w:val="001126D2"/>
    <w:rsid w:val="00112860"/>
    <w:rsid w:val="00112873"/>
    <w:rsid w:val="001128AA"/>
    <w:rsid w:val="001128B2"/>
    <w:rsid w:val="001129B3"/>
    <w:rsid w:val="00112A3C"/>
    <w:rsid w:val="00112A8C"/>
    <w:rsid w:val="00112AF7"/>
    <w:rsid w:val="00112C3E"/>
    <w:rsid w:val="00112CC4"/>
    <w:rsid w:val="00112CC9"/>
    <w:rsid w:val="00112D49"/>
    <w:rsid w:val="00112F9A"/>
    <w:rsid w:val="00113116"/>
    <w:rsid w:val="00113175"/>
    <w:rsid w:val="00113278"/>
    <w:rsid w:val="0011333C"/>
    <w:rsid w:val="001133B0"/>
    <w:rsid w:val="001134A4"/>
    <w:rsid w:val="00113590"/>
    <w:rsid w:val="001135EB"/>
    <w:rsid w:val="001136C4"/>
    <w:rsid w:val="001138AD"/>
    <w:rsid w:val="00113B78"/>
    <w:rsid w:val="00113B81"/>
    <w:rsid w:val="00113C1D"/>
    <w:rsid w:val="00113C9B"/>
    <w:rsid w:val="00113CB4"/>
    <w:rsid w:val="00113D31"/>
    <w:rsid w:val="00113D70"/>
    <w:rsid w:val="00113E24"/>
    <w:rsid w:val="00113FD9"/>
    <w:rsid w:val="0011405F"/>
    <w:rsid w:val="00114221"/>
    <w:rsid w:val="00114432"/>
    <w:rsid w:val="00114436"/>
    <w:rsid w:val="0011449C"/>
    <w:rsid w:val="00114583"/>
    <w:rsid w:val="001145D9"/>
    <w:rsid w:val="0011461F"/>
    <w:rsid w:val="00114635"/>
    <w:rsid w:val="001146D4"/>
    <w:rsid w:val="001148DC"/>
    <w:rsid w:val="00114AD4"/>
    <w:rsid w:val="00114B0A"/>
    <w:rsid w:val="00114B11"/>
    <w:rsid w:val="00114B24"/>
    <w:rsid w:val="00114BA2"/>
    <w:rsid w:val="00114BD7"/>
    <w:rsid w:val="00114C65"/>
    <w:rsid w:val="00114CD4"/>
    <w:rsid w:val="00114D94"/>
    <w:rsid w:val="00114F29"/>
    <w:rsid w:val="00114FF3"/>
    <w:rsid w:val="001151E6"/>
    <w:rsid w:val="001152D1"/>
    <w:rsid w:val="0011541B"/>
    <w:rsid w:val="00115735"/>
    <w:rsid w:val="001157A9"/>
    <w:rsid w:val="00115821"/>
    <w:rsid w:val="00115A79"/>
    <w:rsid w:val="00115AC4"/>
    <w:rsid w:val="00115AC9"/>
    <w:rsid w:val="00115B44"/>
    <w:rsid w:val="00115E02"/>
    <w:rsid w:val="00115EF9"/>
    <w:rsid w:val="001160E7"/>
    <w:rsid w:val="001163B2"/>
    <w:rsid w:val="00116423"/>
    <w:rsid w:val="0011683D"/>
    <w:rsid w:val="00116852"/>
    <w:rsid w:val="001169F9"/>
    <w:rsid w:val="00116ABE"/>
    <w:rsid w:val="00116B32"/>
    <w:rsid w:val="00116C93"/>
    <w:rsid w:val="00116D04"/>
    <w:rsid w:val="00116DFB"/>
    <w:rsid w:val="00116E13"/>
    <w:rsid w:val="00116EDB"/>
    <w:rsid w:val="00116F1E"/>
    <w:rsid w:val="00116F58"/>
    <w:rsid w:val="00116FFB"/>
    <w:rsid w:val="001171B0"/>
    <w:rsid w:val="001171C3"/>
    <w:rsid w:val="00117290"/>
    <w:rsid w:val="001174A5"/>
    <w:rsid w:val="001175F9"/>
    <w:rsid w:val="00117616"/>
    <w:rsid w:val="00117618"/>
    <w:rsid w:val="001177F1"/>
    <w:rsid w:val="00117A06"/>
    <w:rsid w:val="00117AE0"/>
    <w:rsid w:val="00117EF0"/>
    <w:rsid w:val="001201D0"/>
    <w:rsid w:val="001202EE"/>
    <w:rsid w:val="00120894"/>
    <w:rsid w:val="001208E7"/>
    <w:rsid w:val="00120949"/>
    <w:rsid w:val="00120A90"/>
    <w:rsid w:val="00120AFF"/>
    <w:rsid w:val="00120B6A"/>
    <w:rsid w:val="00120BC8"/>
    <w:rsid w:val="00120F03"/>
    <w:rsid w:val="001213C4"/>
    <w:rsid w:val="001214F4"/>
    <w:rsid w:val="001215E5"/>
    <w:rsid w:val="001216D7"/>
    <w:rsid w:val="001217AA"/>
    <w:rsid w:val="001217AE"/>
    <w:rsid w:val="0012188D"/>
    <w:rsid w:val="001219C8"/>
    <w:rsid w:val="00121A12"/>
    <w:rsid w:val="00121A24"/>
    <w:rsid w:val="00121A99"/>
    <w:rsid w:val="00121A9E"/>
    <w:rsid w:val="00121BAB"/>
    <w:rsid w:val="00121C08"/>
    <w:rsid w:val="00121C34"/>
    <w:rsid w:val="00121C89"/>
    <w:rsid w:val="00121EAD"/>
    <w:rsid w:val="00121F6B"/>
    <w:rsid w:val="00121F96"/>
    <w:rsid w:val="00122044"/>
    <w:rsid w:val="001220E9"/>
    <w:rsid w:val="0012223E"/>
    <w:rsid w:val="001222D6"/>
    <w:rsid w:val="001224D0"/>
    <w:rsid w:val="0012280C"/>
    <w:rsid w:val="001228FD"/>
    <w:rsid w:val="001229F4"/>
    <w:rsid w:val="00122A13"/>
    <w:rsid w:val="00122A61"/>
    <w:rsid w:val="00122A7F"/>
    <w:rsid w:val="00122AAB"/>
    <w:rsid w:val="00122C4A"/>
    <w:rsid w:val="00122D4C"/>
    <w:rsid w:val="00122F68"/>
    <w:rsid w:val="0012301D"/>
    <w:rsid w:val="001231BD"/>
    <w:rsid w:val="001233A2"/>
    <w:rsid w:val="001233B1"/>
    <w:rsid w:val="001234BD"/>
    <w:rsid w:val="001237E5"/>
    <w:rsid w:val="00123976"/>
    <w:rsid w:val="0012398F"/>
    <w:rsid w:val="00123AB3"/>
    <w:rsid w:val="00123C12"/>
    <w:rsid w:val="00123F25"/>
    <w:rsid w:val="001241FB"/>
    <w:rsid w:val="00124343"/>
    <w:rsid w:val="001244F7"/>
    <w:rsid w:val="00124865"/>
    <w:rsid w:val="001249B7"/>
    <w:rsid w:val="00124BAC"/>
    <w:rsid w:val="00124D0B"/>
    <w:rsid w:val="00124DB3"/>
    <w:rsid w:val="00124E7F"/>
    <w:rsid w:val="00124ED8"/>
    <w:rsid w:val="00124FDC"/>
    <w:rsid w:val="0012501A"/>
    <w:rsid w:val="00125289"/>
    <w:rsid w:val="00125448"/>
    <w:rsid w:val="00125807"/>
    <w:rsid w:val="001258BB"/>
    <w:rsid w:val="001259B0"/>
    <w:rsid w:val="00125A97"/>
    <w:rsid w:val="00125AF9"/>
    <w:rsid w:val="00125CA3"/>
    <w:rsid w:val="00125D27"/>
    <w:rsid w:val="00125D31"/>
    <w:rsid w:val="00125E3C"/>
    <w:rsid w:val="00125F67"/>
    <w:rsid w:val="00126003"/>
    <w:rsid w:val="00126094"/>
    <w:rsid w:val="0012628A"/>
    <w:rsid w:val="00126309"/>
    <w:rsid w:val="001263C5"/>
    <w:rsid w:val="00126567"/>
    <w:rsid w:val="00126612"/>
    <w:rsid w:val="001268E1"/>
    <w:rsid w:val="00126A32"/>
    <w:rsid w:val="00126A7D"/>
    <w:rsid w:val="00126AC1"/>
    <w:rsid w:val="00126C49"/>
    <w:rsid w:val="00126CD2"/>
    <w:rsid w:val="00126D33"/>
    <w:rsid w:val="00126D41"/>
    <w:rsid w:val="00126DBA"/>
    <w:rsid w:val="00126EB7"/>
    <w:rsid w:val="00127316"/>
    <w:rsid w:val="001275BC"/>
    <w:rsid w:val="001275E8"/>
    <w:rsid w:val="0012770F"/>
    <w:rsid w:val="001277DD"/>
    <w:rsid w:val="0012789E"/>
    <w:rsid w:val="0012790E"/>
    <w:rsid w:val="00127AFE"/>
    <w:rsid w:val="00127BE5"/>
    <w:rsid w:val="00127DE7"/>
    <w:rsid w:val="00127F12"/>
    <w:rsid w:val="00127F4E"/>
    <w:rsid w:val="001300C5"/>
    <w:rsid w:val="001301A5"/>
    <w:rsid w:val="0013025C"/>
    <w:rsid w:val="0013042E"/>
    <w:rsid w:val="001304C1"/>
    <w:rsid w:val="00130851"/>
    <w:rsid w:val="0013089C"/>
    <w:rsid w:val="001308A3"/>
    <w:rsid w:val="001309A6"/>
    <w:rsid w:val="00130A5E"/>
    <w:rsid w:val="00130AB8"/>
    <w:rsid w:val="00130C5C"/>
    <w:rsid w:val="0013115F"/>
    <w:rsid w:val="0013120E"/>
    <w:rsid w:val="00131212"/>
    <w:rsid w:val="00131255"/>
    <w:rsid w:val="001313C7"/>
    <w:rsid w:val="00131577"/>
    <w:rsid w:val="001316BC"/>
    <w:rsid w:val="001316E2"/>
    <w:rsid w:val="00131762"/>
    <w:rsid w:val="001317CC"/>
    <w:rsid w:val="001318FA"/>
    <w:rsid w:val="00131A88"/>
    <w:rsid w:val="00131A9C"/>
    <w:rsid w:val="00131AF5"/>
    <w:rsid w:val="00131BE2"/>
    <w:rsid w:val="00131D60"/>
    <w:rsid w:val="00131EFF"/>
    <w:rsid w:val="0013205C"/>
    <w:rsid w:val="00132075"/>
    <w:rsid w:val="001320CA"/>
    <w:rsid w:val="0013229D"/>
    <w:rsid w:val="001322F9"/>
    <w:rsid w:val="00132336"/>
    <w:rsid w:val="001323FA"/>
    <w:rsid w:val="00132630"/>
    <w:rsid w:val="00132655"/>
    <w:rsid w:val="001326D9"/>
    <w:rsid w:val="00132703"/>
    <w:rsid w:val="001327B0"/>
    <w:rsid w:val="0013281E"/>
    <w:rsid w:val="0013296A"/>
    <w:rsid w:val="0013299C"/>
    <w:rsid w:val="001329ED"/>
    <w:rsid w:val="00132B95"/>
    <w:rsid w:val="00132C03"/>
    <w:rsid w:val="00132CED"/>
    <w:rsid w:val="00132DFA"/>
    <w:rsid w:val="00132EBA"/>
    <w:rsid w:val="00132F07"/>
    <w:rsid w:val="00132F4C"/>
    <w:rsid w:val="00132FFA"/>
    <w:rsid w:val="00133118"/>
    <w:rsid w:val="001331C7"/>
    <w:rsid w:val="001331DA"/>
    <w:rsid w:val="001338AE"/>
    <w:rsid w:val="0013393E"/>
    <w:rsid w:val="001339A1"/>
    <w:rsid w:val="00133A76"/>
    <w:rsid w:val="00133A95"/>
    <w:rsid w:val="00133CA2"/>
    <w:rsid w:val="00133E0B"/>
    <w:rsid w:val="00133E69"/>
    <w:rsid w:val="00133F4D"/>
    <w:rsid w:val="0013438A"/>
    <w:rsid w:val="001343AE"/>
    <w:rsid w:val="001343FD"/>
    <w:rsid w:val="00134567"/>
    <w:rsid w:val="0013467B"/>
    <w:rsid w:val="001347C3"/>
    <w:rsid w:val="0013485C"/>
    <w:rsid w:val="00134D59"/>
    <w:rsid w:val="00134FD7"/>
    <w:rsid w:val="001351C6"/>
    <w:rsid w:val="001351E4"/>
    <w:rsid w:val="001353CA"/>
    <w:rsid w:val="001353D5"/>
    <w:rsid w:val="00135644"/>
    <w:rsid w:val="00135697"/>
    <w:rsid w:val="00135722"/>
    <w:rsid w:val="001357BE"/>
    <w:rsid w:val="00135AC9"/>
    <w:rsid w:val="00135BC4"/>
    <w:rsid w:val="00135D76"/>
    <w:rsid w:val="00135E77"/>
    <w:rsid w:val="00135F8A"/>
    <w:rsid w:val="0013619A"/>
    <w:rsid w:val="00136261"/>
    <w:rsid w:val="0013627B"/>
    <w:rsid w:val="00136291"/>
    <w:rsid w:val="0013641F"/>
    <w:rsid w:val="00136486"/>
    <w:rsid w:val="001364A0"/>
    <w:rsid w:val="001365A4"/>
    <w:rsid w:val="00136608"/>
    <w:rsid w:val="001366F8"/>
    <w:rsid w:val="00136E0F"/>
    <w:rsid w:val="00136E41"/>
    <w:rsid w:val="00137001"/>
    <w:rsid w:val="00137286"/>
    <w:rsid w:val="001375CD"/>
    <w:rsid w:val="001376E3"/>
    <w:rsid w:val="0013776E"/>
    <w:rsid w:val="00137812"/>
    <w:rsid w:val="00137B66"/>
    <w:rsid w:val="00137C1B"/>
    <w:rsid w:val="00137C5A"/>
    <w:rsid w:val="00137C67"/>
    <w:rsid w:val="00137CE0"/>
    <w:rsid w:val="00137F8A"/>
    <w:rsid w:val="001400F1"/>
    <w:rsid w:val="00140183"/>
    <w:rsid w:val="00140341"/>
    <w:rsid w:val="00140353"/>
    <w:rsid w:val="001403AE"/>
    <w:rsid w:val="00140508"/>
    <w:rsid w:val="00140538"/>
    <w:rsid w:val="00140545"/>
    <w:rsid w:val="00140619"/>
    <w:rsid w:val="001407B4"/>
    <w:rsid w:val="00140835"/>
    <w:rsid w:val="001408FF"/>
    <w:rsid w:val="00140B7F"/>
    <w:rsid w:val="00140D68"/>
    <w:rsid w:val="00140E62"/>
    <w:rsid w:val="00141091"/>
    <w:rsid w:val="001410F1"/>
    <w:rsid w:val="0014132F"/>
    <w:rsid w:val="001413A4"/>
    <w:rsid w:val="00141514"/>
    <w:rsid w:val="00141538"/>
    <w:rsid w:val="0014156D"/>
    <w:rsid w:val="00141576"/>
    <w:rsid w:val="0014178A"/>
    <w:rsid w:val="001417AC"/>
    <w:rsid w:val="0014185F"/>
    <w:rsid w:val="001418B9"/>
    <w:rsid w:val="00141C12"/>
    <w:rsid w:val="00141EFD"/>
    <w:rsid w:val="00141F02"/>
    <w:rsid w:val="00141F2D"/>
    <w:rsid w:val="00141F4E"/>
    <w:rsid w:val="00142080"/>
    <w:rsid w:val="00142084"/>
    <w:rsid w:val="001420A8"/>
    <w:rsid w:val="001420CD"/>
    <w:rsid w:val="00142311"/>
    <w:rsid w:val="00142345"/>
    <w:rsid w:val="0014237B"/>
    <w:rsid w:val="0014238D"/>
    <w:rsid w:val="001428F9"/>
    <w:rsid w:val="001429DB"/>
    <w:rsid w:val="00142C09"/>
    <w:rsid w:val="00142F02"/>
    <w:rsid w:val="00142FEF"/>
    <w:rsid w:val="001432AA"/>
    <w:rsid w:val="001432E0"/>
    <w:rsid w:val="0014330F"/>
    <w:rsid w:val="001433CC"/>
    <w:rsid w:val="001433FA"/>
    <w:rsid w:val="0014361C"/>
    <w:rsid w:val="001436E6"/>
    <w:rsid w:val="00143716"/>
    <w:rsid w:val="0014374E"/>
    <w:rsid w:val="00143768"/>
    <w:rsid w:val="001438AB"/>
    <w:rsid w:val="001438F0"/>
    <w:rsid w:val="0014390C"/>
    <w:rsid w:val="001439E6"/>
    <w:rsid w:val="00143A7F"/>
    <w:rsid w:val="00143AB8"/>
    <w:rsid w:val="00143B0D"/>
    <w:rsid w:val="00143BC2"/>
    <w:rsid w:val="00143BF6"/>
    <w:rsid w:val="00143E6F"/>
    <w:rsid w:val="001440E3"/>
    <w:rsid w:val="00144244"/>
    <w:rsid w:val="001442CC"/>
    <w:rsid w:val="00144353"/>
    <w:rsid w:val="001446B6"/>
    <w:rsid w:val="00144884"/>
    <w:rsid w:val="00144A39"/>
    <w:rsid w:val="00144C38"/>
    <w:rsid w:val="00144C5F"/>
    <w:rsid w:val="00144CED"/>
    <w:rsid w:val="00144D95"/>
    <w:rsid w:val="00144EEA"/>
    <w:rsid w:val="00144EFD"/>
    <w:rsid w:val="00144FCB"/>
    <w:rsid w:val="00145040"/>
    <w:rsid w:val="00145123"/>
    <w:rsid w:val="001451E2"/>
    <w:rsid w:val="00145491"/>
    <w:rsid w:val="00145512"/>
    <w:rsid w:val="00145648"/>
    <w:rsid w:val="00145692"/>
    <w:rsid w:val="0014573F"/>
    <w:rsid w:val="00145B84"/>
    <w:rsid w:val="00145BF9"/>
    <w:rsid w:val="00145C53"/>
    <w:rsid w:val="00145CCF"/>
    <w:rsid w:val="00145E06"/>
    <w:rsid w:val="00145E4C"/>
    <w:rsid w:val="00145E54"/>
    <w:rsid w:val="00145EDB"/>
    <w:rsid w:val="00145F36"/>
    <w:rsid w:val="00145F3E"/>
    <w:rsid w:val="00146025"/>
    <w:rsid w:val="00146034"/>
    <w:rsid w:val="001460B8"/>
    <w:rsid w:val="00146181"/>
    <w:rsid w:val="001461B1"/>
    <w:rsid w:val="00146392"/>
    <w:rsid w:val="001463BC"/>
    <w:rsid w:val="00146487"/>
    <w:rsid w:val="00146545"/>
    <w:rsid w:val="0014671D"/>
    <w:rsid w:val="00146CBF"/>
    <w:rsid w:val="00146D9E"/>
    <w:rsid w:val="00146F3F"/>
    <w:rsid w:val="0014705C"/>
    <w:rsid w:val="00147096"/>
    <w:rsid w:val="00147494"/>
    <w:rsid w:val="001475FC"/>
    <w:rsid w:val="00147617"/>
    <w:rsid w:val="0014766D"/>
    <w:rsid w:val="001476A0"/>
    <w:rsid w:val="001476B3"/>
    <w:rsid w:val="0014779D"/>
    <w:rsid w:val="00147901"/>
    <w:rsid w:val="001479E6"/>
    <w:rsid w:val="00147D22"/>
    <w:rsid w:val="00147D9E"/>
    <w:rsid w:val="0015003B"/>
    <w:rsid w:val="0015015F"/>
    <w:rsid w:val="00150219"/>
    <w:rsid w:val="001502A2"/>
    <w:rsid w:val="00150423"/>
    <w:rsid w:val="001505C9"/>
    <w:rsid w:val="0015073F"/>
    <w:rsid w:val="00150796"/>
    <w:rsid w:val="00150955"/>
    <w:rsid w:val="00150A1E"/>
    <w:rsid w:val="00150B13"/>
    <w:rsid w:val="00150B61"/>
    <w:rsid w:val="00150BCE"/>
    <w:rsid w:val="00150C82"/>
    <w:rsid w:val="00150CD8"/>
    <w:rsid w:val="00150F1D"/>
    <w:rsid w:val="00150FB8"/>
    <w:rsid w:val="00151088"/>
    <w:rsid w:val="001510D3"/>
    <w:rsid w:val="0015111F"/>
    <w:rsid w:val="00151204"/>
    <w:rsid w:val="0015120C"/>
    <w:rsid w:val="001512E2"/>
    <w:rsid w:val="00151697"/>
    <w:rsid w:val="001519AB"/>
    <w:rsid w:val="00151AE7"/>
    <w:rsid w:val="00151C2D"/>
    <w:rsid w:val="00151CD7"/>
    <w:rsid w:val="00151E54"/>
    <w:rsid w:val="00151FBB"/>
    <w:rsid w:val="001521B2"/>
    <w:rsid w:val="00152221"/>
    <w:rsid w:val="001522F9"/>
    <w:rsid w:val="001523D3"/>
    <w:rsid w:val="00152421"/>
    <w:rsid w:val="001524EA"/>
    <w:rsid w:val="00152521"/>
    <w:rsid w:val="001525E7"/>
    <w:rsid w:val="001527BB"/>
    <w:rsid w:val="001528D0"/>
    <w:rsid w:val="00152942"/>
    <w:rsid w:val="0015294E"/>
    <w:rsid w:val="00152969"/>
    <w:rsid w:val="00152AED"/>
    <w:rsid w:val="00152D85"/>
    <w:rsid w:val="00152DD9"/>
    <w:rsid w:val="00152F9A"/>
    <w:rsid w:val="0015314F"/>
    <w:rsid w:val="001531DE"/>
    <w:rsid w:val="0015340B"/>
    <w:rsid w:val="0015376A"/>
    <w:rsid w:val="001537E1"/>
    <w:rsid w:val="0015391F"/>
    <w:rsid w:val="00153AA8"/>
    <w:rsid w:val="00153ADA"/>
    <w:rsid w:val="00153C42"/>
    <w:rsid w:val="00153CC5"/>
    <w:rsid w:val="00153D47"/>
    <w:rsid w:val="00153D60"/>
    <w:rsid w:val="00153EF6"/>
    <w:rsid w:val="00153FDC"/>
    <w:rsid w:val="00154244"/>
    <w:rsid w:val="00154640"/>
    <w:rsid w:val="0015465D"/>
    <w:rsid w:val="001546A4"/>
    <w:rsid w:val="0015471B"/>
    <w:rsid w:val="00154835"/>
    <w:rsid w:val="00154956"/>
    <w:rsid w:val="00154975"/>
    <w:rsid w:val="00154995"/>
    <w:rsid w:val="00154A51"/>
    <w:rsid w:val="00154CA5"/>
    <w:rsid w:val="00154CC5"/>
    <w:rsid w:val="00154D40"/>
    <w:rsid w:val="00154EC1"/>
    <w:rsid w:val="00154ED7"/>
    <w:rsid w:val="00154F74"/>
    <w:rsid w:val="00154FD8"/>
    <w:rsid w:val="001550BB"/>
    <w:rsid w:val="001550CF"/>
    <w:rsid w:val="001550E1"/>
    <w:rsid w:val="001550F6"/>
    <w:rsid w:val="00155167"/>
    <w:rsid w:val="001551E4"/>
    <w:rsid w:val="001552AF"/>
    <w:rsid w:val="001553AE"/>
    <w:rsid w:val="0015540A"/>
    <w:rsid w:val="001555FB"/>
    <w:rsid w:val="001556DF"/>
    <w:rsid w:val="00155750"/>
    <w:rsid w:val="001557DC"/>
    <w:rsid w:val="00155819"/>
    <w:rsid w:val="00155841"/>
    <w:rsid w:val="00155887"/>
    <w:rsid w:val="00155A30"/>
    <w:rsid w:val="00155B5A"/>
    <w:rsid w:val="00155D60"/>
    <w:rsid w:val="001560A0"/>
    <w:rsid w:val="00156203"/>
    <w:rsid w:val="001562C1"/>
    <w:rsid w:val="001567B0"/>
    <w:rsid w:val="0015693B"/>
    <w:rsid w:val="001569FD"/>
    <w:rsid w:val="00156C0A"/>
    <w:rsid w:val="00156C12"/>
    <w:rsid w:val="00156CEF"/>
    <w:rsid w:val="00156D6A"/>
    <w:rsid w:val="00157117"/>
    <w:rsid w:val="00157124"/>
    <w:rsid w:val="00157127"/>
    <w:rsid w:val="0015722F"/>
    <w:rsid w:val="00157302"/>
    <w:rsid w:val="00157465"/>
    <w:rsid w:val="0015754C"/>
    <w:rsid w:val="001577D6"/>
    <w:rsid w:val="001577F2"/>
    <w:rsid w:val="001577F7"/>
    <w:rsid w:val="00157873"/>
    <w:rsid w:val="00157907"/>
    <w:rsid w:val="00157991"/>
    <w:rsid w:val="00157AF7"/>
    <w:rsid w:val="00157B99"/>
    <w:rsid w:val="00157D84"/>
    <w:rsid w:val="00157E0A"/>
    <w:rsid w:val="00157E7E"/>
    <w:rsid w:val="00160218"/>
    <w:rsid w:val="001602E2"/>
    <w:rsid w:val="001605A2"/>
    <w:rsid w:val="001606E4"/>
    <w:rsid w:val="0016072F"/>
    <w:rsid w:val="0016096F"/>
    <w:rsid w:val="001609C9"/>
    <w:rsid w:val="00160AD0"/>
    <w:rsid w:val="00160B89"/>
    <w:rsid w:val="00160C74"/>
    <w:rsid w:val="00160CB8"/>
    <w:rsid w:val="00160D1C"/>
    <w:rsid w:val="00160D30"/>
    <w:rsid w:val="00160DF4"/>
    <w:rsid w:val="00160E14"/>
    <w:rsid w:val="00160EC4"/>
    <w:rsid w:val="00160ECC"/>
    <w:rsid w:val="00160EF9"/>
    <w:rsid w:val="0016101A"/>
    <w:rsid w:val="00161135"/>
    <w:rsid w:val="001612A5"/>
    <w:rsid w:val="001612E4"/>
    <w:rsid w:val="0016139B"/>
    <w:rsid w:val="001613AA"/>
    <w:rsid w:val="0016140B"/>
    <w:rsid w:val="0016151C"/>
    <w:rsid w:val="00161589"/>
    <w:rsid w:val="001617B7"/>
    <w:rsid w:val="00161A10"/>
    <w:rsid w:val="00161A38"/>
    <w:rsid w:val="00161A95"/>
    <w:rsid w:val="00161B0C"/>
    <w:rsid w:val="00161D73"/>
    <w:rsid w:val="00161E36"/>
    <w:rsid w:val="00161E45"/>
    <w:rsid w:val="00161E4B"/>
    <w:rsid w:val="00161FF8"/>
    <w:rsid w:val="001620A1"/>
    <w:rsid w:val="0016237C"/>
    <w:rsid w:val="00162547"/>
    <w:rsid w:val="001627CA"/>
    <w:rsid w:val="00162AD8"/>
    <w:rsid w:val="00162BDC"/>
    <w:rsid w:val="00162C7C"/>
    <w:rsid w:val="00162E82"/>
    <w:rsid w:val="00162ECC"/>
    <w:rsid w:val="00162FF5"/>
    <w:rsid w:val="00163167"/>
    <w:rsid w:val="00163197"/>
    <w:rsid w:val="001631F8"/>
    <w:rsid w:val="0016330A"/>
    <w:rsid w:val="00163311"/>
    <w:rsid w:val="00163557"/>
    <w:rsid w:val="001636EB"/>
    <w:rsid w:val="001637ED"/>
    <w:rsid w:val="001639F1"/>
    <w:rsid w:val="00163A01"/>
    <w:rsid w:val="00163A3F"/>
    <w:rsid w:val="00163AA8"/>
    <w:rsid w:val="00163AD5"/>
    <w:rsid w:val="00163D04"/>
    <w:rsid w:val="00163D20"/>
    <w:rsid w:val="00163E63"/>
    <w:rsid w:val="00163F56"/>
    <w:rsid w:val="00163F9A"/>
    <w:rsid w:val="00164029"/>
    <w:rsid w:val="0016435A"/>
    <w:rsid w:val="00164599"/>
    <w:rsid w:val="00164926"/>
    <w:rsid w:val="00164A8F"/>
    <w:rsid w:val="00164A93"/>
    <w:rsid w:val="00164C98"/>
    <w:rsid w:val="00164C9F"/>
    <w:rsid w:val="00164D18"/>
    <w:rsid w:val="00164DEE"/>
    <w:rsid w:val="00164FEB"/>
    <w:rsid w:val="00165096"/>
    <w:rsid w:val="001650B3"/>
    <w:rsid w:val="001650D2"/>
    <w:rsid w:val="001650DF"/>
    <w:rsid w:val="00165106"/>
    <w:rsid w:val="00165399"/>
    <w:rsid w:val="00165470"/>
    <w:rsid w:val="001654CC"/>
    <w:rsid w:val="001655AA"/>
    <w:rsid w:val="001655FA"/>
    <w:rsid w:val="00165627"/>
    <w:rsid w:val="001656BB"/>
    <w:rsid w:val="00165834"/>
    <w:rsid w:val="00165901"/>
    <w:rsid w:val="00165927"/>
    <w:rsid w:val="00165BA2"/>
    <w:rsid w:val="00166168"/>
    <w:rsid w:val="00166195"/>
    <w:rsid w:val="001661C8"/>
    <w:rsid w:val="0016625E"/>
    <w:rsid w:val="001662A4"/>
    <w:rsid w:val="001662F1"/>
    <w:rsid w:val="0016643B"/>
    <w:rsid w:val="0016645D"/>
    <w:rsid w:val="001665A8"/>
    <w:rsid w:val="00166839"/>
    <w:rsid w:val="00166860"/>
    <w:rsid w:val="00166895"/>
    <w:rsid w:val="0016694B"/>
    <w:rsid w:val="00166AE5"/>
    <w:rsid w:val="00166B87"/>
    <w:rsid w:val="00166BEE"/>
    <w:rsid w:val="00166C99"/>
    <w:rsid w:val="00166D38"/>
    <w:rsid w:val="00166DF0"/>
    <w:rsid w:val="00167150"/>
    <w:rsid w:val="001671D6"/>
    <w:rsid w:val="001671E9"/>
    <w:rsid w:val="00167227"/>
    <w:rsid w:val="00167393"/>
    <w:rsid w:val="00167452"/>
    <w:rsid w:val="00167605"/>
    <w:rsid w:val="001677D1"/>
    <w:rsid w:val="00167842"/>
    <w:rsid w:val="00167A48"/>
    <w:rsid w:val="00167A91"/>
    <w:rsid w:val="00167BAC"/>
    <w:rsid w:val="00167C57"/>
    <w:rsid w:val="00167D9D"/>
    <w:rsid w:val="00167DA6"/>
    <w:rsid w:val="00170062"/>
    <w:rsid w:val="001701BF"/>
    <w:rsid w:val="001701DF"/>
    <w:rsid w:val="001703BE"/>
    <w:rsid w:val="0017054E"/>
    <w:rsid w:val="00170551"/>
    <w:rsid w:val="001705EB"/>
    <w:rsid w:val="00170832"/>
    <w:rsid w:val="00170A85"/>
    <w:rsid w:val="00170B68"/>
    <w:rsid w:val="00170B9C"/>
    <w:rsid w:val="001710B0"/>
    <w:rsid w:val="001710E6"/>
    <w:rsid w:val="00171170"/>
    <w:rsid w:val="001711EB"/>
    <w:rsid w:val="0017157B"/>
    <w:rsid w:val="00171984"/>
    <w:rsid w:val="00171C6C"/>
    <w:rsid w:val="0017202C"/>
    <w:rsid w:val="001720F0"/>
    <w:rsid w:val="0017237A"/>
    <w:rsid w:val="00172483"/>
    <w:rsid w:val="001725EE"/>
    <w:rsid w:val="0017264E"/>
    <w:rsid w:val="0017294C"/>
    <w:rsid w:val="00172B55"/>
    <w:rsid w:val="00172BA2"/>
    <w:rsid w:val="00172CAB"/>
    <w:rsid w:val="00172D4D"/>
    <w:rsid w:val="00172DF9"/>
    <w:rsid w:val="00172DFC"/>
    <w:rsid w:val="00172EC7"/>
    <w:rsid w:val="00172FFD"/>
    <w:rsid w:val="0017305D"/>
    <w:rsid w:val="001730A8"/>
    <w:rsid w:val="00173146"/>
    <w:rsid w:val="00173212"/>
    <w:rsid w:val="001732B7"/>
    <w:rsid w:val="001732BC"/>
    <w:rsid w:val="001732DA"/>
    <w:rsid w:val="00173430"/>
    <w:rsid w:val="00173482"/>
    <w:rsid w:val="00173601"/>
    <w:rsid w:val="00173728"/>
    <w:rsid w:val="001738A6"/>
    <w:rsid w:val="00173931"/>
    <w:rsid w:val="0017394A"/>
    <w:rsid w:val="00173B6B"/>
    <w:rsid w:val="00173B95"/>
    <w:rsid w:val="00173E87"/>
    <w:rsid w:val="00173FC6"/>
    <w:rsid w:val="00174342"/>
    <w:rsid w:val="00174664"/>
    <w:rsid w:val="00174705"/>
    <w:rsid w:val="00174739"/>
    <w:rsid w:val="00174795"/>
    <w:rsid w:val="00174821"/>
    <w:rsid w:val="00174826"/>
    <w:rsid w:val="001748B3"/>
    <w:rsid w:val="001748F4"/>
    <w:rsid w:val="00174B52"/>
    <w:rsid w:val="00174B75"/>
    <w:rsid w:val="00174BB0"/>
    <w:rsid w:val="00174CE0"/>
    <w:rsid w:val="00174CF8"/>
    <w:rsid w:val="00174DEC"/>
    <w:rsid w:val="00174E18"/>
    <w:rsid w:val="00174F74"/>
    <w:rsid w:val="00174F8F"/>
    <w:rsid w:val="00174F9D"/>
    <w:rsid w:val="00175013"/>
    <w:rsid w:val="00175553"/>
    <w:rsid w:val="00175605"/>
    <w:rsid w:val="0017598C"/>
    <w:rsid w:val="001759E0"/>
    <w:rsid w:val="001759FD"/>
    <w:rsid w:val="00175B72"/>
    <w:rsid w:val="00175BBD"/>
    <w:rsid w:val="00175CE4"/>
    <w:rsid w:val="00175D15"/>
    <w:rsid w:val="00175ED7"/>
    <w:rsid w:val="00175F7E"/>
    <w:rsid w:val="001760DC"/>
    <w:rsid w:val="001761FE"/>
    <w:rsid w:val="00176221"/>
    <w:rsid w:val="00176335"/>
    <w:rsid w:val="001763C3"/>
    <w:rsid w:val="001763FA"/>
    <w:rsid w:val="001764DE"/>
    <w:rsid w:val="001765F7"/>
    <w:rsid w:val="001765FA"/>
    <w:rsid w:val="0017665D"/>
    <w:rsid w:val="0017694F"/>
    <w:rsid w:val="00176972"/>
    <w:rsid w:val="00176AAF"/>
    <w:rsid w:val="00176CD9"/>
    <w:rsid w:val="00176E01"/>
    <w:rsid w:val="00176EAE"/>
    <w:rsid w:val="0017719A"/>
    <w:rsid w:val="0017723D"/>
    <w:rsid w:val="0017728F"/>
    <w:rsid w:val="00177347"/>
    <w:rsid w:val="00177478"/>
    <w:rsid w:val="00177492"/>
    <w:rsid w:val="001774B5"/>
    <w:rsid w:val="00177712"/>
    <w:rsid w:val="00177717"/>
    <w:rsid w:val="001777E6"/>
    <w:rsid w:val="00177859"/>
    <w:rsid w:val="001778B7"/>
    <w:rsid w:val="001779FD"/>
    <w:rsid w:val="00177E45"/>
    <w:rsid w:val="00177E6A"/>
    <w:rsid w:val="00177E7D"/>
    <w:rsid w:val="00177F42"/>
    <w:rsid w:val="00177FDA"/>
    <w:rsid w:val="001801D8"/>
    <w:rsid w:val="001801F6"/>
    <w:rsid w:val="00180271"/>
    <w:rsid w:val="0018045C"/>
    <w:rsid w:val="001805F0"/>
    <w:rsid w:val="00180631"/>
    <w:rsid w:val="0018065E"/>
    <w:rsid w:val="001808AA"/>
    <w:rsid w:val="0018094A"/>
    <w:rsid w:val="00180A57"/>
    <w:rsid w:val="00180A59"/>
    <w:rsid w:val="00180AF0"/>
    <w:rsid w:val="00180BE6"/>
    <w:rsid w:val="00180C53"/>
    <w:rsid w:val="00180E08"/>
    <w:rsid w:val="00180E21"/>
    <w:rsid w:val="00181107"/>
    <w:rsid w:val="00181187"/>
    <w:rsid w:val="001814B1"/>
    <w:rsid w:val="0018155A"/>
    <w:rsid w:val="0018160A"/>
    <w:rsid w:val="0018163F"/>
    <w:rsid w:val="001818E3"/>
    <w:rsid w:val="001819D6"/>
    <w:rsid w:val="00181A8C"/>
    <w:rsid w:val="00181AA9"/>
    <w:rsid w:val="00181D80"/>
    <w:rsid w:val="00181E21"/>
    <w:rsid w:val="00182271"/>
    <w:rsid w:val="00182401"/>
    <w:rsid w:val="00182546"/>
    <w:rsid w:val="0018254C"/>
    <w:rsid w:val="001825E8"/>
    <w:rsid w:val="00182603"/>
    <w:rsid w:val="001826C6"/>
    <w:rsid w:val="00182811"/>
    <w:rsid w:val="00182AB7"/>
    <w:rsid w:val="00182B46"/>
    <w:rsid w:val="00182D1C"/>
    <w:rsid w:val="00182FFA"/>
    <w:rsid w:val="001830E4"/>
    <w:rsid w:val="00183110"/>
    <w:rsid w:val="00183195"/>
    <w:rsid w:val="00183293"/>
    <w:rsid w:val="00183677"/>
    <w:rsid w:val="0018370B"/>
    <w:rsid w:val="00183808"/>
    <w:rsid w:val="001838C1"/>
    <w:rsid w:val="001838CE"/>
    <w:rsid w:val="00183930"/>
    <w:rsid w:val="001839C4"/>
    <w:rsid w:val="00183D1A"/>
    <w:rsid w:val="00183FBC"/>
    <w:rsid w:val="00184074"/>
    <w:rsid w:val="0018418C"/>
    <w:rsid w:val="001841EB"/>
    <w:rsid w:val="0018429B"/>
    <w:rsid w:val="001842E1"/>
    <w:rsid w:val="0018451B"/>
    <w:rsid w:val="00184676"/>
    <w:rsid w:val="0018473D"/>
    <w:rsid w:val="001847B0"/>
    <w:rsid w:val="00184843"/>
    <w:rsid w:val="0018504D"/>
    <w:rsid w:val="00185086"/>
    <w:rsid w:val="001852CD"/>
    <w:rsid w:val="00185358"/>
    <w:rsid w:val="0018551F"/>
    <w:rsid w:val="001856BB"/>
    <w:rsid w:val="00185A48"/>
    <w:rsid w:val="00185C03"/>
    <w:rsid w:val="00185CAD"/>
    <w:rsid w:val="00185DAF"/>
    <w:rsid w:val="00185E3A"/>
    <w:rsid w:val="00185FE7"/>
    <w:rsid w:val="0018600F"/>
    <w:rsid w:val="00186043"/>
    <w:rsid w:val="00186098"/>
    <w:rsid w:val="001860D8"/>
    <w:rsid w:val="001860DF"/>
    <w:rsid w:val="00186177"/>
    <w:rsid w:val="0018631C"/>
    <w:rsid w:val="001863CE"/>
    <w:rsid w:val="00186436"/>
    <w:rsid w:val="0018659D"/>
    <w:rsid w:val="001865CF"/>
    <w:rsid w:val="00186622"/>
    <w:rsid w:val="00186A62"/>
    <w:rsid w:val="00186B9A"/>
    <w:rsid w:val="00186C0B"/>
    <w:rsid w:val="00186F6F"/>
    <w:rsid w:val="00186FD8"/>
    <w:rsid w:val="0018703B"/>
    <w:rsid w:val="00187169"/>
    <w:rsid w:val="0018730B"/>
    <w:rsid w:val="001873A9"/>
    <w:rsid w:val="00187491"/>
    <w:rsid w:val="001875F8"/>
    <w:rsid w:val="0018784F"/>
    <w:rsid w:val="00187A76"/>
    <w:rsid w:val="00187BE1"/>
    <w:rsid w:val="00187C4D"/>
    <w:rsid w:val="00187C73"/>
    <w:rsid w:val="00187CC5"/>
    <w:rsid w:val="00187DC3"/>
    <w:rsid w:val="00187E33"/>
    <w:rsid w:val="00187E67"/>
    <w:rsid w:val="0019002F"/>
    <w:rsid w:val="0019003A"/>
    <w:rsid w:val="00190359"/>
    <w:rsid w:val="0019037E"/>
    <w:rsid w:val="001904DD"/>
    <w:rsid w:val="0019055E"/>
    <w:rsid w:val="0019059A"/>
    <w:rsid w:val="001905B8"/>
    <w:rsid w:val="00190613"/>
    <w:rsid w:val="001906D4"/>
    <w:rsid w:val="001907BA"/>
    <w:rsid w:val="001908F0"/>
    <w:rsid w:val="00190AEB"/>
    <w:rsid w:val="00190B05"/>
    <w:rsid w:val="00190BD3"/>
    <w:rsid w:val="00190F50"/>
    <w:rsid w:val="001910A8"/>
    <w:rsid w:val="001911AA"/>
    <w:rsid w:val="001912ED"/>
    <w:rsid w:val="00191312"/>
    <w:rsid w:val="00191542"/>
    <w:rsid w:val="0019164C"/>
    <w:rsid w:val="00191704"/>
    <w:rsid w:val="001918B9"/>
    <w:rsid w:val="00191BB9"/>
    <w:rsid w:val="00191C86"/>
    <w:rsid w:val="00191DD5"/>
    <w:rsid w:val="00191EC5"/>
    <w:rsid w:val="00191FA0"/>
    <w:rsid w:val="00192117"/>
    <w:rsid w:val="00192303"/>
    <w:rsid w:val="00192421"/>
    <w:rsid w:val="0019280A"/>
    <w:rsid w:val="001929BA"/>
    <w:rsid w:val="001929E6"/>
    <w:rsid w:val="00192A30"/>
    <w:rsid w:val="00192AE7"/>
    <w:rsid w:val="00192BDB"/>
    <w:rsid w:val="00192DBE"/>
    <w:rsid w:val="00192FDF"/>
    <w:rsid w:val="001930F2"/>
    <w:rsid w:val="0019318C"/>
    <w:rsid w:val="00193245"/>
    <w:rsid w:val="00193300"/>
    <w:rsid w:val="00193488"/>
    <w:rsid w:val="00193677"/>
    <w:rsid w:val="0019371C"/>
    <w:rsid w:val="00193739"/>
    <w:rsid w:val="0019394C"/>
    <w:rsid w:val="00193B5D"/>
    <w:rsid w:val="00193E2D"/>
    <w:rsid w:val="00193F50"/>
    <w:rsid w:val="00193FBE"/>
    <w:rsid w:val="001940F2"/>
    <w:rsid w:val="001942EF"/>
    <w:rsid w:val="00194498"/>
    <w:rsid w:val="00194689"/>
    <w:rsid w:val="001946CF"/>
    <w:rsid w:val="0019476A"/>
    <w:rsid w:val="001948BD"/>
    <w:rsid w:val="00194953"/>
    <w:rsid w:val="00194958"/>
    <w:rsid w:val="00194B15"/>
    <w:rsid w:val="00194B7F"/>
    <w:rsid w:val="00194C79"/>
    <w:rsid w:val="00194DE3"/>
    <w:rsid w:val="00194FF4"/>
    <w:rsid w:val="00195069"/>
    <w:rsid w:val="00195278"/>
    <w:rsid w:val="0019558C"/>
    <w:rsid w:val="0019579D"/>
    <w:rsid w:val="001958B8"/>
    <w:rsid w:val="00195A06"/>
    <w:rsid w:val="00195FE6"/>
    <w:rsid w:val="00196017"/>
    <w:rsid w:val="00196020"/>
    <w:rsid w:val="0019608D"/>
    <w:rsid w:val="001962E9"/>
    <w:rsid w:val="001962FD"/>
    <w:rsid w:val="00196394"/>
    <w:rsid w:val="00196482"/>
    <w:rsid w:val="001965C1"/>
    <w:rsid w:val="001965F1"/>
    <w:rsid w:val="00196762"/>
    <w:rsid w:val="0019681F"/>
    <w:rsid w:val="00196858"/>
    <w:rsid w:val="00196C73"/>
    <w:rsid w:val="00196C92"/>
    <w:rsid w:val="00196E82"/>
    <w:rsid w:val="00196EAE"/>
    <w:rsid w:val="00196EB8"/>
    <w:rsid w:val="0019729E"/>
    <w:rsid w:val="001974DB"/>
    <w:rsid w:val="0019765C"/>
    <w:rsid w:val="001976D0"/>
    <w:rsid w:val="001977D3"/>
    <w:rsid w:val="001977F7"/>
    <w:rsid w:val="00197B79"/>
    <w:rsid w:val="00197D02"/>
    <w:rsid w:val="00197E9D"/>
    <w:rsid w:val="00197F71"/>
    <w:rsid w:val="001A0374"/>
    <w:rsid w:val="001A0440"/>
    <w:rsid w:val="001A04AE"/>
    <w:rsid w:val="001A057A"/>
    <w:rsid w:val="001A05E8"/>
    <w:rsid w:val="001A0619"/>
    <w:rsid w:val="001A0639"/>
    <w:rsid w:val="001A0753"/>
    <w:rsid w:val="001A080B"/>
    <w:rsid w:val="001A0849"/>
    <w:rsid w:val="001A0A72"/>
    <w:rsid w:val="001A0E96"/>
    <w:rsid w:val="001A0EC8"/>
    <w:rsid w:val="001A10E8"/>
    <w:rsid w:val="001A10F6"/>
    <w:rsid w:val="001A11A1"/>
    <w:rsid w:val="001A11B0"/>
    <w:rsid w:val="001A12B1"/>
    <w:rsid w:val="001A12C6"/>
    <w:rsid w:val="001A13B2"/>
    <w:rsid w:val="001A1515"/>
    <w:rsid w:val="001A189C"/>
    <w:rsid w:val="001A1A2B"/>
    <w:rsid w:val="001A1A6C"/>
    <w:rsid w:val="001A1A8C"/>
    <w:rsid w:val="001A1B0B"/>
    <w:rsid w:val="001A1B40"/>
    <w:rsid w:val="001A1B5D"/>
    <w:rsid w:val="001A1F07"/>
    <w:rsid w:val="001A1F30"/>
    <w:rsid w:val="001A200F"/>
    <w:rsid w:val="001A20A5"/>
    <w:rsid w:val="001A20DD"/>
    <w:rsid w:val="001A229D"/>
    <w:rsid w:val="001A240F"/>
    <w:rsid w:val="001A24BC"/>
    <w:rsid w:val="001A25A6"/>
    <w:rsid w:val="001A2640"/>
    <w:rsid w:val="001A26A9"/>
    <w:rsid w:val="001A26FD"/>
    <w:rsid w:val="001A29F9"/>
    <w:rsid w:val="001A2A8D"/>
    <w:rsid w:val="001A2AAE"/>
    <w:rsid w:val="001A2EA4"/>
    <w:rsid w:val="001A2EEF"/>
    <w:rsid w:val="001A33D4"/>
    <w:rsid w:val="001A346D"/>
    <w:rsid w:val="001A35A2"/>
    <w:rsid w:val="001A380F"/>
    <w:rsid w:val="001A38B2"/>
    <w:rsid w:val="001A3AE2"/>
    <w:rsid w:val="001A3B0A"/>
    <w:rsid w:val="001A3BC2"/>
    <w:rsid w:val="001A3CAE"/>
    <w:rsid w:val="001A3E30"/>
    <w:rsid w:val="001A3E8D"/>
    <w:rsid w:val="001A4350"/>
    <w:rsid w:val="001A446C"/>
    <w:rsid w:val="001A45E4"/>
    <w:rsid w:val="001A471C"/>
    <w:rsid w:val="001A47BD"/>
    <w:rsid w:val="001A494C"/>
    <w:rsid w:val="001A4B90"/>
    <w:rsid w:val="001A4BD5"/>
    <w:rsid w:val="001A4CA0"/>
    <w:rsid w:val="001A4D95"/>
    <w:rsid w:val="001A4E34"/>
    <w:rsid w:val="001A4FBA"/>
    <w:rsid w:val="001A4FC1"/>
    <w:rsid w:val="001A4FEB"/>
    <w:rsid w:val="001A50C6"/>
    <w:rsid w:val="001A5129"/>
    <w:rsid w:val="001A5177"/>
    <w:rsid w:val="001A5316"/>
    <w:rsid w:val="001A5397"/>
    <w:rsid w:val="001A53B5"/>
    <w:rsid w:val="001A5A5E"/>
    <w:rsid w:val="001A5A9B"/>
    <w:rsid w:val="001A5B07"/>
    <w:rsid w:val="001A5C55"/>
    <w:rsid w:val="001A5D6C"/>
    <w:rsid w:val="001A6144"/>
    <w:rsid w:val="001A61EB"/>
    <w:rsid w:val="001A62E7"/>
    <w:rsid w:val="001A646E"/>
    <w:rsid w:val="001A649A"/>
    <w:rsid w:val="001A6590"/>
    <w:rsid w:val="001A683B"/>
    <w:rsid w:val="001A69E9"/>
    <w:rsid w:val="001A6AE3"/>
    <w:rsid w:val="001A6C59"/>
    <w:rsid w:val="001A6C5A"/>
    <w:rsid w:val="001A6DEA"/>
    <w:rsid w:val="001A6DF0"/>
    <w:rsid w:val="001A7366"/>
    <w:rsid w:val="001A73DC"/>
    <w:rsid w:val="001A7555"/>
    <w:rsid w:val="001A76A2"/>
    <w:rsid w:val="001A78AD"/>
    <w:rsid w:val="001A7960"/>
    <w:rsid w:val="001A79A5"/>
    <w:rsid w:val="001A7A20"/>
    <w:rsid w:val="001A7B0E"/>
    <w:rsid w:val="001A7B6E"/>
    <w:rsid w:val="001A7D58"/>
    <w:rsid w:val="001A7DED"/>
    <w:rsid w:val="001A7F1B"/>
    <w:rsid w:val="001A7F61"/>
    <w:rsid w:val="001B0008"/>
    <w:rsid w:val="001B0082"/>
    <w:rsid w:val="001B032F"/>
    <w:rsid w:val="001B037C"/>
    <w:rsid w:val="001B03CE"/>
    <w:rsid w:val="001B041F"/>
    <w:rsid w:val="001B044E"/>
    <w:rsid w:val="001B052F"/>
    <w:rsid w:val="001B07A8"/>
    <w:rsid w:val="001B0835"/>
    <w:rsid w:val="001B08A3"/>
    <w:rsid w:val="001B096F"/>
    <w:rsid w:val="001B098C"/>
    <w:rsid w:val="001B09A4"/>
    <w:rsid w:val="001B0EE7"/>
    <w:rsid w:val="001B0F68"/>
    <w:rsid w:val="001B121F"/>
    <w:rsid w:val="001B1411"/>
    <w:rsid w:val="001B17AC"/>
    <w:rsid w:val="001B17D9"/>
    <w:rsid w:val="001B1945"/>
    <w:rsid w:val="001B1A24"/>
    <w:rsid w:val="001B1A7C"/>
    <w:rsid w:val="001B1AF8"/>
    <w:rsid w:val="001B1F5D"/>
    <w:rsid w:val="001B2037"/>
    <w:rsid w:val="001B2140"/>
    <w:rsid w:val="001B215F"/>
    <w:rsid w:val="001B216C"/>
    <w:rsid w:val="001B2176"/>
    <w:rsid w:val="001B21FB"/>
    <w:rsid w:val="001B2367"/>
    <w:rsid w:val="001B2407"/>
    <w:rsid w:val="001B258A"/>
    <w:rsid w:val="001B2628"/>
    <w:rsid w:val="001B26F2"/>
    <w:rsid w:val="001B2764"/>
    <w:rsid w:val="001B276D"/>
    <w:rsid w:val="001B2794"/>
    <w:rsid w:val="001B28F8"/>
    <w:rsid w:val="001B29FE"/>
    <w:rsid w:val="001B2D5C"/>
    <w:rsid w:val="001B2EC7"/>
    <w:rsid w:val="001B2F7E"/>
    <w:rsid w:val="001B31CE"/>
    <w:rsid w:val="001B31E8"/>
    <w:rsid w:val="001B32B1"/>
    <w:rsid w:val="001B33D5"/>
    <w:rsid w:val="001B38EF"/>
    <w:rsid w:val="001B39B7"/>
    <w:rsid w:val="001B3A2D"/>
    <w:rsid w:val="001B3BBB"/>
    <w:rsid w:val="001B3C11"/>
    <w:rsid w:val="001B3D13"/>
    <w:rsid w:val="001B3DB3"/>
    <w:rsid w:val="001B3E40"/>
    <w:rsid w:val="001B3EC4"/>
    <w:rsid w:val="001B3F09"/>
    <w:rsid w:val="001B3F89"/>
    <w:rsid w:val="001B3F93"/>
    <w:rsid w:val="001B4204"/>
    <w:rsid w:val="001B4372"/>
    <w:rsid w:val="001B4380"/>
    <w:rsid w:val="001B449D"/>
    <w:rsid w:val="001B44F9"/>
    <w:rsid w:val="001B46E9"/>
    <w:rsid w:val="001B4923"/>
    <w:rsid w:val="001B49B3"/>
    <w:rsid w:val="001B4A5D"/>
    <w:rsid w:val="001B4C5F"/>
    <w:rsid w:val="001B4D43"/>
    <w:rsid w:val="001B4E21"/>
    <w:rsid w:val="001B4EED"/>
    <w:rsid w:val="001B5027"/>
    <w:rsid w:val="001B5170"/>
    <w:rsid w:val="001B52E4"/>
    <w:rsid w:val="001B53BC"/>
    <w:rsid w:val="001B53D3"/>
    <w:rsid w:val="001B5497"/>
    <w:rsid w:val="001B5530"/>
    <w:rsid w:val="001B55E3"/>
    <w:rsid w:val="001B562A"/>
    <w:rsid w:val="001B578C"/>
    <w:rsid w:val="001B5AA4"/>
    <w:rsid w:val="001B5CAA"/>
    <w:rsid w:val="001B5D0A"/>
    <w:rsid w:val="001B5F5D"/>
    <w:rsid w:val="001B5FFB"/>
    <w:rsid w:val="001B6002"/>
    <w:rsid w:val="001B60CF"/>
    <w:rsid w:val="001B623C"/>
    <w:rsid w:val="001B626C"/>
    <w:rsid w:val="001B62CC"/>
    <w:rsid w:val="001B6412"/>
    <w:rsid w:val="001B6557"/>
    <w:rsid w:val="001B6579"/>
    <w:rsid w:val="001B65FB"/>
    <w:rsid w:val="001B6708"/>
    <w:rsid w:val="001B68F9"/>
    <w:rsid w:val="001B6C97"/>
    <w:rsid w:val="001B6E43"/>
    <w:rsid w:val="001B71F9"/>
    <w:rsid w:val="001B72C3"/>
    <w:rsid w:val="001B73F6"/>
    <w:rsid w:val="001B743B"/>
    <w:rsid w:val="001B751E"/>
    <w:rsid w:val="001B7781"/>
    <w:rsid w:val="001B7A28"/>
    <w:rsid w:val="001B7DE7"/>
    <w:rsid w:val="001B7F05"/>
    <w:rsid w:val="001B7FBA"/>
    <w:rsid w:val="001C010F"/>
    <w:rsid w:val="001C01AD"/>
    <w:rsid w:val="001C026D"/>
    <w:rsid w:val="001C02BC"/>
    <w:rsid w:val="001C04F5"/>
    <w:rsid w:val="001C0521"/>
    <w:rsid w:val="001C05B6"/>
    <w:rsid w:val="001C0674"/>
    <w:rsid w:val="001C0722"/>
    <w:rsid w:val="001C0839"/>
    <w:rsid w:val="001C098A"/>
    <w:rsid w:val="001C0B78"/>
    <w:rsid w:val="001C0C26"/>
    <w:rsid w:val="001C0C6D"/>
    <w:rsid w:val="001C0D8B"/>
    <w:rsid w:val="001C0E70"/>
    <w:rsid w:val="001C0FCB"/>
    <w:rsid w:val="001C0FFF"/>
    <w:rsid w:val="001C1012"/>
    <w:rsid w:val="001C1120"/>
    <w:rsid w:val="001C1168"/>
    <w:rsid w:val="001C1172"/>
    <w:rsid w:val="001C1262"/>
    <w:rsid w:val="001C12D4"/>
    <w:rsid w:val="001C1316"/>
    <w:rsid w:val="001C1477"/>
    <w:rsid w:val="001C156F"/>
    <w:rsid w:val="001C161F"/>
    <w:rsid w:val="001C1669"/>
    <w:rsid w:val="001C17B0"/>
    <w:rsid w:val="001C1AAC"/>
    <w:rsid w:val="001C1AC1"/>
    <w:rsid w:val="001C1C62"/>
    <w:rsid w:val="001C1D2F"/>
    <w:rsid w:val="001C1FBC"/>
    <w:rsid w:val="001C1FF6"/>
    <w:rsid w:val="001C2034"/>
    <w:rsid w:val="001C2153"/>
    <w:rsid w:val="001C2196"/>
    <w:rsid w:val="001C21BB"/>
    <w:rsid w:val="001C23AD"/>
    <w:rsid w:val="001C23D2"/>
    <w:rsid w:val="001C24FE"/>
    <w:rsid w:val="001C25AD"/>
    <w:rsid w:val="001C26E8"/>
    <w:rsid w:val="001C28BA"/>
    <w:rsid w:val="001C29E1"/>
    <w:rsid w:val="001C2B6C"/>
    <w:rsid w:val="001C2DCD"/>
    <w:rsid w:val="001C2E24"/>
    <w:rsid w:val="001C2EEC"/>
    <w:rsid w:val="001C2FF8"/>
    <w:rsid w:val="001C346F"/>
    <w:rsid w:val="001C34B4"/>
    <w:rsid w:val="001C361C"/>
    <w:rsid w:val="001C36F5"/>
    <w:rsid w:val="001C3894"/>
    <w:rsid w:val="001C3E0C"/>
    <w:rsid w:val="001C3E40"/>
    <w:rsid w:val="001C3EA0"/>
    <w:rsid w:val="001C4019"/>
    <w:rsid w:val="001C4201"/>
    <w:rsid w:val="001C42F3"/>
    <w:rsid w:val="001C435D"/>
    <w:rsid w:val="001C472E"/>
    <w:rsid w:val="001C4789"/>
    <w:rsid w:val="001C47A7"/>
    <w:rsid w:val="001C48F0"/>
    <w:rsid w:val="001C498A"/>
    <w:rsid w:val="001C4A24"/>
    <w:rsid w:val="001C4A48"/>
    <w:rsid w:val="001C4B50"/>
    <w:rsid w:val="001C4B53"/>
    <w:rsid w:val="001C4BF4"/>
    <w:rsid w:val="001C4C93"/>
    <w:rsid w:val="001C4CBD"/>
    <w:rsid w:val="001C4DD4"/>
    <w:rsid w:val="001C4E32"/>
    <w:rsid w:val="001C4EF5"/>
    <w:rsid w:val="001C4F7D"/>
    <w:rsid w:val="001C502D"/>
    <w:rsid w:val="001C5030"/>
    <w:rsid w:val="001C50E0"/>
    <w:rsid w:val="001C5226"/>
    <w:rsid w:val="001C5283"/>
    <w:rsid w:val="001C52C2"/>
    <w:rsid w:val="001C5365"/>
    <w:rsid w:val="001C53F4"/>
    <w:rsid w:val="001C5441"/>
    <w:rsid w:val="001C54C2"/>
    <w:rsid w:val="001C55A0"/>
    <w:rsid w:val="001C5969"/>
    <w:rsid w:val="001C5ABF"/>
    <w:rsid w:val="001C5C09"/>
    <w:rsid w:val="001C5C2A"/>
    <w:rsid w:val="001C5D64"/>
    <w:rsid w:val="001C5D8C"/>
    <w:rsid w:val="001C5E2F"/>
    <w:rsid w:val="001C5E39"/>
    <w:rsid w:val="001C5F84"/>
    <w:rsid w:val="001C6072"/>
    <w:rsid w:val="001C60E2"/>
    <w:rsid w:val="001C610D"/>
    <w:rsid w:val="001C6278"/>
    <w:rsid w:val="001C628F"/>
    <w:rsid w:val="001C62DA"/>
    <w:rsid w:val="001C6336"/>
    <w:rsid w:val="001C64EB"/>
    <w:rsid w:val="001C6822"/>
    <w:rsid w:val="001C689F"/>
    <w:rsid w:val="001C6900"/>
    <w:rsid w:val="001C6EC5"/>
    <w:rsid w:val="001C6F91"/>
    <w:rsid w:val="001C7117"/>
    <w:rsid w:val="001C738C"/>
    <w:rsid w:val="001C73BF"/>
    <w:rsid w:val="001C75EE"/>
    <w:rsid w:val="001C788C"/>
    <w:rsid w:val="001C78BF"/>
    <w:rsid w:val="001C78CA"/>
    <w:rsid w:val="001C7952"/>
    <w:rsid w:val="001C7CAB"/>
    <w:rsid w:val="001C7D77"/>
    <w:rsid w:val="001C7DEE"/>
    <w:rsid w:val="001D0265"/>
    <w:rsid w:val="001D02E6"/>
    <w:rsid w:val="001D03BD"/>
    <w:rsid w:val="001D045E"/>
    <w:rsid w:val="001D04AB"/>
    <w:rsid w:val="001D0654"/>
    <w:rsid w:val="001D0846"/>
    <w:rsid w:val="001D0958"/>
    <w:rsid w:val="001D098A"/>
    <w:rsid w:val="001D0A8A"/>
    <w:rsid w:val="001D0F05"/>
    <w:rsid w:val="001D13F9"/>
    <w:rsid w:val="001D1450"/>
    <w:rsid w:val="001D14F0"/>
    <w:rsid w:val="001D155E"/>
    <w:rsid w:val="001D1695"/>
    <w:rsid w:val="001D1878"/>
    <w:rsid w:val="001D1AF6"/>
    <w:rsid w:val="001D1FBF"/>
    <w:rsid w:val="001D1FC2"/>
    <w:rsid w:val="001D225F"/>
    <w:rsid w:val="001D22FC"/>
    <w:rsid w:val="001D2447"/>
    <w:rsid w:val="001D2583"/>
    <w:rsid w:val="001D266D"/>
    <w:rsid w:val="001D26D5"/>
    <w:rsid w:val="001D2846"/>
    <w:rsid w:val="001D2A22"/>
    <w:rsid w:val="001D2B44"/>
    <w:rsid w:val="001D2B5B"/>
    <w:rsid w:val="001D2C44"/>
    <w:rsid w:val="001D2E7A"/>
    <w:rsid w:val="001D301D"/>
    <w:rsid w:val="001D3308"/>
    <w:rsid w:val="001D3358"/>
    <w:rsid w:val="001D3737"/>
    <w:rsid w:val="001D3746"/>
    <w:rsid w:val="001D386D"/>
    <w:rsid w:val="001D38D5"/>
    <w:rsid w:val="001D3975"/>
    <w:rsid w:val="001D39B0"/>
    <w:rsid w:val="001D3CF3"/>
    <w:rsid w:val="001D3D24"/>
    <w:rsid w:val="001D3DF7"/>
    <w:rsid w:val="001D3E52"/>
    <w:rsid w:val="001D41B6"/>
    <w:rsid w:val="001D4360"/>
    <w:rsid w:val="001D43FD"/>
    <w:rsid w:val="001D4419"/>
    <w:rsid w:val="001D4435"/>
    <w:rsid w:val="001D4496"/>
    <w:rsid w:val="001D456F"/>
    <w:rsid w:val="001D466B"/>
    <w:rsid w:val="001D486E"/>
    <w:rsid w:val="001D492C"/>
    <w:rsid w:val="001D49F7"/>
    <w:rsid w:val="001D4A40"/>
    <w:rsid w:val="001D4AA1"/>
    <w:rsid w:val="001D4AD5"/>
    <w:rsid w:val="001D4B45"/>
    <w:rsid w:val="001D4C17"/>
    <w:rsid w:val="001D4C3B"/>
    <w:rsid w:val="001D4C3C"/>
    <w:rsid w:val="001D4FB9"/>
    <w:rsid w:val="001D52B3"/>
    <w:rsid w:val="001D537C"/>
    <w:rsid w:val="001D539F"/>
    <w:rsid w:val="001D5646"/>
    <w:rsid w:val="001D569D"/>
    <w:rsid w:val="001D5799"/>
    <w:rsid w:val="001D586A"/>
    <w:rsid w:val="001D587A"/>
    <w:rsid w:val="001D5AE8"/>
    <w:rsid w:val="001D5BE5"/>
    <w:rsid w:val="001D5C04"/>
    <w:rsid w:val="001D5C98"/>
    <w:rsid w:val="001D5CBF"/>
    <w:rsid w:val="001D5D1B"/>
    <w:rsid w:val="001D5D1C"/>
    <w:rsid w:val="001D5E64"/>
    <w:rsid w:val="001D5F0E"/>
    <w:rsid w:val="001D60FF"/>
    <w:rsid w:val="001D6158"/>
    <w:rsid w:val="001D6199"/>
    <w:rsid w:val="001D61B0"/>
    <w:rsid w:val="001D64AE"/>
    <w:rsid w:val="001D6663"/>
    <w:rsid w:val="001D6691"/>
    <w:rsid w:val="001D670A"/>
    <w:rsid w:val="001D69ED"/>
    <w:rsid w:val="001D6A39"/>
    <w:rsid w:val="001D6A88"/>
    <w:rsid w:val="001D6D05"/>
    <w:rsid w:val="001D6DAC"/>
    <w:rsid w:val="001D6E23"/>
    <w:rsid w:val="001D6FF5"/>
    <w:rsid w:val="001D7207"/>
    <w:rsid w:val="001D7278"/>
    <w:rsid w:val="001D72B5"/>
    <w:rsid w:val="001D7326"/>
    <w:rsid w:val="001D7405"/>
    <w:rsid w:val="001D7459"/>
    <w:rsid w:val="001D752A"/>
    <w:rsid w:val="001D7591"/>
    <w:rsid w:val="001D7614"/>
    <w:rsid w:val="001D77B5"/>
    <w:rsid w:val="001D790B"/>
    <w:rsid w:val="001D7C13"/>
    <w:rsid w:val="001D7D7D"/>
    <w:rsid w:val="001D7D80"/>
    <w:rsid w:val="001D7E41"/>
    <w:rsid w:val="001D7F31"/>
    <w:rsid w:val="001E004B"/>
    <w:rsid w:val="001E0060"/>
    <w:rsid w:val="001E00F4"/>
    <w:rsid w:val="001E014D"/>
    <w:rsid w:val="001E0251"/>
    <w:rsid w:val="001E02BA"/>
    <w:rsid w:val="001E04DE"/>
    <w:rsid w:val="001E060F"/>
    <w:rsid w:val="001E0752"/>
    <w:rsid w:val="001E09FD"/>
    <w:rsid w:val="001E0AD0"/>
    <w:rsid w:val="001E0AD3"/>
    <w:rsid w:val="001E0C29"/>
    <w:rsid w:val="001E0C7B"/>
    <w:rsid w:val="001E0CE2"/>
    <w:rsid w:val="001E0D89"/>
    <w:rsid w:val="001E0F06"/>
    <w:rsid w:val="001E10F8"/>
    <w:rsid w:val="001E1193"/>
    <w:rsid w:val="001E1356"/>
    <w:rsid w:val="001E13B1"/>
    <w:rsid w:val="001E1558"/>
    <w:rsid w:val="001E16DB"/>
    <w:rsid w:val="001E1736"/>
    <w:rsid w:val="001E1788"/>
    <w:rsid w:val="001E19E7"/>
    <w:rsid w:val="001E1A45"/>
    <w:rsid w:val="001E1C24"/>
    <w:rsid w:val="001E1DD2"/>
    <w:rsid w:val="001E1E04"/>
    <w:rsid w:val="001E1E30"/>
    <w:rsid w:val="001E1F4F"/>
    <w:rsid w:val="001E2148"/>
    <w:rsid w:val="001E21DA"/>
    <w:rsid w:val="001E23D1"/>
    <w:rsid w:val="001E2438"/>
    <w:rsid w:val="001E2478"/>
    <w:rsid w:val="001E2580"/>
    <w:rsid w:val="001E25D0"/>
    <w:rsid w:val="001E286E"/>
    <w:rsid w:val="001E2A5B"/>
    <w:rsid w:val="001E2A72"/>
    <w:rsid w:val="001E2C48"/>
    <w:rsid w:val="001E2D9B"/>
    <w:rsid w:val="001E2DBF"/>
    <w:rsid w:val="001E2DD4"/>
    <w:rsid w:val="001E2E1A"/>
    <w:rsid w:val="001E2FAF"/>
    <w:rsid w:val="001E306B"/>
    <w:rsid w:val="001E3154"/>
    <w:rsid w:val="001E3238"/>
    <w:rsid w:val="001E325B"/>
    <w:rsid w:val="001E3269"/>
    <w:rsid w:val="001E32CE"/>
    <w:rsid w:val="001E3505"/>
    <w:rsid w:val="001E376E"/>
    <w:rsid w:val="001E389F"/>
    <w:rsid w:val="001E3A6B"/>
    <w:rsid w:val="001E3C0E"/>
    <w:rsid w:val="001E3CBA"/>
    <w:rsid w:val="001E3FD6"/>
    <w:rsid w:val="001E3FEA"/>
    <w:rsid w:val="001E4021"/>
    <w:rsid w:val="001E41DA"/>
    <w:rsid w:val="001E4266"/>
    <w:rsid w:val="001E426C"/>
    <w:rsid w:val="001E4312"/>
    <w:rsid w:val="001E44A9"/>
    <w:rsid w:val="001E44B5"/>
    <w:rsid w:val="001E4538"/>
    <w:rsid w:val="001E4757"/>
    <w:rsid w:val="001E481A"/>
    <w:rsid w:val="001E4A4D"/>
    <w:rsid w:val="001E4ABD"/>
    <w:rsid w:val="001E4BE9"/>
    <w:rsid w:val="001E4BEB"/>
    <w:rsid w:val="001E4D6B"/>
    <w:rsid w:val="001E4FB4"/>
    <w:rsid w:val="001E503B"/>
    <w:rsid w:val="001E5169"/>
    <w:rsid w:val="001E5223"/>
    <w:rsid w:val="001E5245"/>
    <w:rsid w:val="001E53E1"/>
    <w:rsid w:val="001E5423"/>
    <w:rsid w:val="001E5492"/>
    <w:rsid w:val="001E54A4"/>
    <w:rsid w:val="001E54F3"/>
    <w:rsid w:val="001E5550"/>
    <w:rsid w:val="001E5551"/>
    <w:rsid w:val="001E561D"/>
    <w:rsid w:val="001E571C"/>
    <w:rsid w:val="001E5822"/>
    <w:rsid w:val="001E5854"/>
    <w:rsid w:val="001E5CB4"/>
    <w:rsid w:val="001E6156"/>
    <w:rsid w:val="001E6189"/>
    <w:rsid w:val="001E61DC"/>
    <w:rsid w:val="001E6238"/>
    <w:rsid w:val="001E62E4"/>
    <w:rsid w:val="001E631B"/>
    <w:rsid w:val="001E6347"/>
    <w:rsid w:val="001E63A6"/>
    <w:rsid w:val="001E6434"/>
    <w:rsid w:val="001E652A"/>
    <w:rsid w:val="001E6851"/>
    <w:rsid w:val="001E688E"/>
    <w:rsid w:val="001E69F5"/>
    <w:rsid w:val="001E6A1F"/>
    <w:rsid w:val="001E6ADD"/>
    <w:rsid w:val="001E6BE7"/>
    <w:rsid w:val="001E6FA6"/>
    <w:rsid w:val="001E6FE9"/>
    <w:rsid w:val="001E71DA"/>
    <w:rsid w:val="001E739A"/>
    <w:rsid w:val="001E7591"/>
    <w:rsid w:val="001E75B9"/>
    <w:rsid w:val="001E7646"/>
    <w:rsid w:val="001E767C"/>
    <w:rsid w:val="001E771E"/>
    <w:rsid w:val="001E7858"/>
    <w:rsid w:val="001E79B3"/>
    <w:rsid w:val="001E7AC8"/>
    <w:rsid w:val="001E7B70"/>
    <w:rsid w:val="001E7B7E"/>
    <w:rsid w:val="001E7C2D"/>
    <w:rsid w:val="001E7C6B"/>
    <w:rsid w:val="001E7F0C"/>
    <w:rsid w:val="001F0076"/>
    <w:rsid w:val="001F0195"/>
    <w:rsid w:val="001F0244"/>
    <w:rsid w:val="001F0698"/>
    <w:rsid w:val="001F070B"/>
    <w:rsid w:val="001F085E"/>
    <w:rsid w:val="001F0C7F"/>
    <w:rsid w:val="001F0C85"/>
    <w:rsid w:val="001F0DCE"/>
    <w:rsid w:val="001F0E67"/>
    <w:rsid w:val="001F0FF6"/>
    <w:rsid w:val="001F132A"/>
    <w:rsid w:val="001F1472"/>
    <w:rsid w:val="001F1649"/>
    <w:rsid w:val="001F167C"/>
    <w:rsid w:val="001F180B"/>
    <w:rsid w:val="001F1859"/>
    <w:rsid w:val="001F1AFB"/>
    <w:rsid w:val="001F1D39"/>
    <w:rsid w:val="001F1E26"/>
    <w:rsid w:val="001F1E35"/>
    <w:rsid w:val="001F1E73"/>
    <w:rsid w:val="001F1F90"/>
    <w:rsid w:val="001F2011"/>
    <w:rsid w:val="001F205A"/>
    <w:rsid w:val="001F21A0"/>
    <w:rsid w:val="001F23B5"/>
    <w:rsid w:val="001F2453"/>
    <w:rsid w:val="001F248F"/>
    <w:rsid w:val="001F2503"/>
    <w:rsid w:val="001F2506"/>
    <w:rsid w:val="001F258A"/>
    <w:rsid w:val="001F25D9"/>
    <w:rsid w:val="001F2635"/>
    <w:rsid w:val="001F2696"/>
    <w:rsid w:val="001F26BD"/>
    <w:rsid w:val="001F2740"/>
    <w:rsid w:val="001F2952"/>
    <w:rsid w:val="001F2ADE"/>
    <w:rsid w:val="001F2B57"/>
    <w:rsid w:val="001F2C50"/>
    <w:rsid w:val="001F2EC7"/>
    <w:rsid w:val="001F2F6A"/>
    <w:rsid w:val="001F31C7"/>
    <w:rsid w:val="001F31E4"/>
    <w:rsid w:val="001F3213"/>
    <w:rsid w:val="001F3230"/>
    <w:rsid w:val="001F336A"/>
    <w:rsid w:val="001F3460"/>
    <w:rsid w:val="001F35D9"/>
    <w:rsid w:val="001F3789"/>
    <w:rsid w:val="001F3838"/>
    <w:rsid w:val="001F38E7"/>
    <w:rsid w:val="001F3921"/>
    <w:rsid w:val="001F392C"/>
    <w:rsid w:val="001F39FC"/>
    <w:rsid w:val="001F3A23"/>
    <w:rsid w:val="001F3A56"/>
    <w:rsid w:val="001F3BBD"/>
    <w:rsid w:val="001F3C7B"/>
    <w:rsid w:val="001F3CEA"/>
    <w:rsid w:val="001F3D24"/>
    <w:rsid w:val="001F3E44"/>
    <w:rsid w:val="001F3E59"/>
    <w:rsid w:val="001F4021"/>
    <w:rsid w:val="001F4075"/>
    <w:rsid w:val="001F4126"/>
    <w:rsid w:val="001F4341"/>
    <w:rsid w:val="001F4363"/>
    <w:rsid w:val="001F43FC"/>
    <w:rsid w:val="001F4448"/>
    <w:rsid w:val="001F4667"/>
    <w:rsid w:val="001F4835"/>
    <w:rsid w:val="001F4923"/>
    <w:rsid w:val="001F49B9"/>
    <w:rsid w:val="001F4A18"/>
    <w:rsid w:val="001F4CDD"/>
    <w:rsid w:val="001F4D4F"/>
    <w:rsid w:val="001F4E8D"/>
    <w:rsid w:val="001F4FA4"/>
    <w:rsid w:val="001F511A"/>
    <w:rsid w:val="001F52A7"/>
    <w:rsid w:val="001F52D3"/>
    <w:rsid w:val="001F5467"/>
    <w:rsid w:val="001F557C"/>
    <w:rsid w:val="001F55C2"/>
    <w:rsid w:val="001F5792"/>
    <w:rsid w:val="001F58C4"/>
    <w:rsid w:val="001F59DC"/>
    <w:rsid w:val="001F5A83"/>
    <w:rsid w:val="001F5CC8"/>
    <w:rsid w:val="001F6057"/>
    <w:rsid w:val="001F60C2"/>
    <w:rsid w:val="001F6173"/>
    <w:rsid w:val="001F619C"/>
    <w:rsid w:val="001F63D8"/>
    <w:rsid w:val="001F64A0"/>
    <w:rsid w:val="001F659B"/>
    <w:rsid w:val="001F664A"/>
    <w:rsid w:val="001F67F2"/>
    <w:rsid w:val="001F67FD"/>
    <w:rsid w:val="001F6955"/>
    <w:rsid w:val="001F6B00"/>
    <w:rsid w:val="001F6B27"/>
    <w:rsid w:val="001F6B6C"/>
    <w:rsid w:val="001F6E60"/>
    <w:rsid w:val="001F6FE2"/>
    <w:rsid w:val="001F7334"/>
    <w:rsid w:val="001F7411"/>
    <w:rsid w:val="001F764D"/>
    <w:rsid w:val="001F7763"/>
    <w:rsid w:val="001F7863"/>
    <w:rsid w:val="001F7918"/>
    <w:rsid w:val="001F7935"/>
    <w:rsid w:val="001F79AB"/>
    <w:rsid w:val="001F7A43"/>
    <w:rsid w:val="001F7BDA"/>
    <w:rsid w:val="001F7C88"/>
    <w:rsid w:val="001F7EE5"/>
    <w:rsid w:val="002001C4"/>
    <w:rsid w:val="002001F4"/>
    <w:rsid w:val="002002C0"/>
    <w:rsid w:val="002003C0"/>
    <w:rsid w:val="00200662"/>
    <w:rsid w:val="0020066F"/>
    <w:rsid w:val="002006B9"/>
    <w:rsid w:val="00200896"/>
    <w:rsid w:val="00200A47"/>
    <w:rsid w:val="00200E35"/>
    <w:rsid w:val="00200E5F"/>
    <w:rsid w:val="00200E90"/>
    <w:rsid w:val="00200F96"/>
    <w:rsid w:val="0020104C"/>
    <w:rsid w:val="002010A2"/>
    <w:rsid w:val="00201216"/>
    <w:rsid w:val="00201275"/>
    <w:rsid w:val="002012B5"/>
    <w:rsid w:val="00201437"/>
    <w:rsid w:val="002014CA"/>
    <w:rsid w:val="002016CE"/>
    <w:rsid w:val="00201940"/>
    <w:rsid w:val="00201B69"/>
    <w:rsid w:val="00201B6C"/>
    <w:rsid w:val="00201BC0"/>
    <w:rsid w:val="00201E7A"/>
    <w:rsid w:val="00201F11"/>
    <w:rsid w:val="00202105"/>
    <w:rsid w:val="0020221D"/>
    <w:rsid w:val="00202226"/>
    <w:rsid w:val="00202341"/>
    <w:rsid w:val="002024C7"/>
    <w:rsid w:val="0020264B"/>
    <w:rsid w:val="002028C7"/>
    <w:rsid w:val="002028DC"/>
    <w:rsid w:val="00202A4E"/>
    <w:rsid w:val="00202A74"/>
    <w:rsid w:val="00202B0D"/>
    <w:rsid w:val="00202D64"/>
    <w:rsid w:val="00202E15"/>
    <w:rsid w:val="00202E6B"/>
    <w:rsid w:val="00203226"/>
    <w:rsid w:val="00203291"/>
    <w:rsid w:val="00203445"/>
    <w:rsid w:val="00203511"/>
    <w:rsid w:val="0020362C"/>
    <w:rsid w:val="002036D1"/>
    <w:rsid w:val="00203737"/>
    <w:rsid w:val="00203C7A"/>
    <w:rsid w:val="00203D9F"/>
    <w:rsid w:val="00203E61"/>
    <w:rsid w:val="00203F09"/>
    <w:rsid w:val="0020409A"/>
    <w:rsid w:val="00204194"/>
    <w:rsid w:val="0020445A"/>
    <w:rsid w:val="0020445C"/>
    <w:rsid w:val="0020447E"/>
    <w:rsid w:val="0020450D"/>
    <w:rsid w:val="002046DD"/>
    <w:rsid w:val="002046FD"/>
    <w:rsid w:val="00204700"/>
    <w:rsid w:val="0020473B"/>
    <w:rsid w:val="0020497F"/>
    <w:rsid w:val="00204BFA"/>
    <w:rsid w:val="00204CCA"/>
    <w:rsid w:val="002050FA"/>
    <w:rsid w:val="002052F4"/>
    <w:rsid w:val="002056D0"/>
    <w:rsid w:val="002057CC"/>
    <w:rsid w:val="00205807"/>
    <w:rsid w:val="00205B79"/>
    <w:rsid w:val="00206181"/>
    <w:rsid w:val="00206529"/>
    <w:rsid w:val="002066CD"/>
    <w:rsid w:val="0020680B"/>
    <w:rsid w:val="00206C2B"/>
    <w:rsid w:val="00206C4E"/>
    <w:rsid w:val="00206CFC"/>
    <w:rsid w:val="002070A5"/>
    <w:rsid w:val="002072D7"/>
    <w:rsid w:val="002074C5"/>
    <w:rsid w:val="002074E6"/>
    <w:rsid w:val="002075A8"/>
    <w:rsid w:val="002075CE"/>
    <w:rsid w:val="0020777F"/>
    <w:rsid w:val="002079FA"/>
    <w:rsid w:val="00207AA9"/>
    <w:rsid w:val="00207B01"/>
    <w:rsid w:val="00207B3C"/>
    <w:rsid w:val="00207B82"/>
    <w:rsid w:val="00207D04"/>
    <w:rsid w:val="00207D71"/>
    <w:rsid w:val="00207DF5"/>
    <w:rsid w:val="00207E48"/>
    <w:rsid w:val="0021019C"/>
    <w:rsid w:val="00210244"/>
    <w:rsid w:val="0021034F"/>
    <w:rsid w:val="002104DF"/>
    <w:rsid w:val="002105AE"/>
    <w:rsid w:val="002106CA"/>
    <w:rsid w:val="002106E1"/>
    <w:rsid w:val="002106F9"/>
    <w:rsid w:val="00210753"/>
    <w:rsid w:val="0021079E"/>
    <w:rsid w:val="00210A1D"/>
    <w:rsid w:val="00210B96"/>
    <w:rsid w:val="00210C05"/>
    <w:rsid w:val="00210DCB"/>
    <w:rsid w:val="00210E39"/>
    <w:rsid w:val="00210E46"/>
    <w:rsid w:val="00210EFE"/>
    <w:rsid w:val="002110FC"/>
    <w:rsid w:val="002112E3"/>
    <w:rsid w:val="00211349"/>
    <w:rsid w:val="0021134B"/>
    <w:rsid w:val="002113E8"/>
    <w:rsid w:val="00211436"/>
    <w:rsid w:val="002114A2"/>
    <w:rsid w:val="00211581"/>
    <w:rsid w:val="00211697"/>
    <w:rsid w:val="002117DD"/>
    <w:rsid w:val="00211833"/>
    <w:rsid w:val="0021183C"/>
    <w:rsid w:val="00211BBB"/>
    <w:rsid w:val="00211BE2"/>
    <w:rsid w:val="00211C38"/>
    <w:rsid w:val="00211D16"/>
    <w:rsid w:val="00211E8A"/>
    <w:rsid w:val="00211F51"/>
    <w:rsid w:val="00212021"/>
    <w:rsid w:val="0021202E"/>
    <w:rsid w:val="00212033"/>
    <w:rsid w:val="00212076"/>
    <w:rsid w:val="002120A1"/>
    <w:rsid w:val="00212460"/>
    <w:rsid w:val="002125BF"/>
    <w:rsid w:val="00212783"/>
    <w:rsid w:val="00212B97"/>
    <w:rsid w:val="00212C9D"/>
    <w:rsid w:val="00212ED9"/>
    <w:rsid w:val="00212F03"/>
    <w:rsid w:val="0021303D"/>
    <w:rsid w:val="00213126"/>
    <w:rsid w:val="00213267"/>
    <w:rsid w:val="00213279"/>
    <w:rsid w:val="0021348C"/>
    <w:rsid w:val="002136CB"/>
    <w:rsid w:val="002137B7"/>
    <w:rsid w:val="00213B30"/>
    <w:rsid w:val="00213B4C"/>
    <w:rsid w:val="00213BB1"/>
    <w:rsid w:val="00213BD7"/>
    <w:rsid w:val="00213C19"/>
    <w:rsid w:val="00213C4E"/>
    <w:rsid w:val="00213C5D"/>
    <w:rsid w:val="00213D30"/>
    <w:rsid w:val="00213D44"/>
    <w:rsid w:val="00213E5E"/>
    <w:rsid w:val="00213EC4"/>
    <w:rsid w:val="00213F61"/>
    <w:rsid w:val="00213F77"/>
    <w:rsid w:val="00214042"/>
    <w:rsid w:val="00214076"/>
    <w:rsid w:val="002141D5"/>
    <w:rsid w:val="0021425F"/>
    <w:rsid w:val="002142DA"/>
    <w:rsid w:val="0021432C"/>
    <w:rsid w:val="0021437E"/>
    <w:rsid w:val="0021459E"/>
    <w:rsid w:val="00214692"/>
    <w:rsid w:val="002146C7"/>
    <w:rsid w:val="00214801"/>
    <w:rsid w:val="00214952"/>
    <w:rsid w:val="002149B8"/>
    <w:rsid w:val="00214A6C"/>
    <w:rsid w:val="00214B6B"/>
    <w:rsid w:val="00214D16"/>
    <w:rsid w:val="00214E7B"/>
    <w:rsid w:val="00214EF7"/>
    <w:rsid w:val="00215011"/>
    <w:rsid w:val="0021509C"/>
    <w:rsid w:val="0021565D"/>
    <w:rsid w:val="0021565F"/>
    <w:rsid w:val="00215729"/>
    <w:rsid w:val="00215767"/>
    <w:rsid w:val="0021584C"/>
    <w:rsid w:val="00215A80"/>
    <w:rsid w:val="00215C8C"/>
    <w:rsid w:val="00215CEC"/>
    <w:rsid w:val="00215DB4"/>
    <w:rsid w:val="00215E03"/>
    <w:rsid w:val="00215E38"/>
    <w:rsid w:val="00215E3A"/>
    <w:rsid w:val="002161F8"/>
    <w:rsid w:val="002162C0"/>
    <w:rsid w:val="002162E9"/>
    <w:rsid w:val="00216594"/>
    <w:rsid w:val="00216870"/>
    <w:rsid w:val="00216A0A"/>
    <w:rsid w:val="00216CD5"/>
    <w:rsid w:val="00217082"/>
    <w:rsid w:val="002173E0"/>
    <w:rsid w:val="0021751D"/>
    <w:rsid w:val="00217587"/>
    <w:rsid w:val="002176C6"/>
    <w:rsid w:val="002179B2"/>
    <w:rsid w:val="00217A27"/>
    <w:rsid w:val="00217A89"/>
    <w:rsid w:val="00217B3B"/>
    <w:rsid w:val="00217BD8"/>
    <w:rsid w:val="00217EDC"/>
    <w:rsid w:val="00217F0A"/>
    <w:rsid w:val="00217F2A"/>
    <w:rsid w:val="00220004"/>
    <w:rsid w:val="00220019"/>
    <w:rsid w:val="002201B3"/>
    <w:rsid w:val="0022021C"/>
    <w:rsid w:val="002202AB"/>
    <w:rsid w:val="0022033A"/>
    <w:rsid w:val="0022039F"/>
    <w:rsid w:val="0022042B"/>
    <w:rsid w:val="0022049A"/>
    <w:rsid w:val="00220E2E"/>
    <w:rsid w:val="00220E66"/>
    <w:rsid w:val="002212B9"/>
    <w:rsid w:val="0022134F"/>
    <w:rsid w:val="002213D4"/>
    <w:rsid w:val="00221430"/>
    <w:rsid w:val="00221678"/>
    <w:rsid w:val="002216D8"/>
    <w:rsid w:val="002218C9"/>
    <w:rsid w:val="00221A3B"/>
    <w:rsid w:val="00221A6D"/>
    <w:rsid w:val="00221B25"/>
    <w:rsid w:val="00221B6C"/>
    <w:rsid w:val="00221BCC"/>
    <w:rsid w:val="00221C17"/>
    <w:rsid w:val="00222655"/>
    <w:rsid w:val="00222A09"/>
    <w:rsid w:val="00222A4B"/>
    <w:rsid w:val="00222B31"/>
    <w:rsid w:val="00222C7B"/>
    <w:rsid w:val="00222D61"/>
    <w:rsid w:val="00222DAC"/>
    <w:rsid w:val="00222DE8"/>
    <w:rsid w:val="00223055"/>
    <w:rsid w:val="00223099"/>
    <w:rsid w:val="002230B9"/>
    <w:rsid w:val="0022315F"/>
    <w:rsid w:val="0022318D"/>
    <w:rsid w:val="00223266"/>
    <w:rsid w:val="002232B6"/>
    <w:rsid w:val="0022337F"/>
    <w:rsid w:val="0022339B"/>
    <w:rsid w:val="0022359B"/>
    <w:rsid w:val="002235D4"/>
    <w:rsid w:val="00223678"/>
    <w:rsid w:val="00223798"/>
    <w:rsid w:val="00223820"/>
    <w:rsid w:val="00223832"/>
    <w:rsid w:val="00223C8D"/>
    <w:rsid w:val="00223F42"/>
    <w:rsid w:val="00223FB3"/>
    <w:rsid w:val="002242A0"/>
    <w:rsid w:val="002243D3"/>
    <w:rsid w:val="0022458D"/>
    <w:rsid w:val="002246E5"/>
    <w:rsid w:val="00224825"/>
    <w:rsid w:val="002248EF"/>
    <w:rsid w:val="0022493E"/>
    <w:rsid w:val="00224C88"/>
    <w:rsid w:val="00224CF4"/>
    <w:rsid w:val="00224F5A"/>
    <w:rsid w:val="0022500B"/>
    <w:rsid w:val="002250AA"/>
    <w:rsid w:val="002251A0"/>
    <w:rsid w:val="00225277"/>
    <w:rsid w:val="00225674"/>
    <w:rsid w:val="00225863"/>
    <w:rsid w:val="002258AE"/>
    <w:rsid w:val="002258E9"/>
    <w:rsid w:val="00225CE6"/>
    <w:rsid w:val="00225D8E"/>
    <w:rsid w:val="00225DC2"/>
    <w:rsid w:val="00225DD9"/>
    <w:rsid w:val="00225E75"/>
    <w:rsid w:val="00225EE5"/>
    <w:rsid w:val="00225F1F"/>
    <w:rsid w:val="002262DD"/>
    <w:rsid w:val="002264C3"/>
    <w:rsid w:val="00226540"/>
    <w:rsid w:val="00226630"/>
    <w:rsid w:val="00226730"/>
    <w:rsid w:val="002268D8"/>
    <w:rsid w:val="00226A46"/>
    <w:rsid w:val="00226FBC"/>
    <w:rsid w:val="00226FC4"/>
    <w:rsid w:val="00226FEE"/>
    <w:rsid w:val="0022701A"/>
    <w:rsid w:val="00227049"/>
    <w:rsid w:val="002272C7"/>
    <w:rsid w:val="002275CE"/>
    <w:rsid w:val="0022761D"/>
    <w:rsid w:val="0022770A"/>
    <w:rsid w:val="00227995"/>
    <w:rsid w:val="0022799C"/>
    <w:rsid w:val="00227B9A"/>
    <w:rsid w:val="00227CD1"/>
    <w:rsid w:val="00227EB9"/>
    <w:rsid w:val="00227EFE"/>
    <w:rsid w:val="00227FCD"/>
    <w:rsid w:val="002300D7"/>
    <w:rsid w:val="00230125"/>
    <w:rsid w:val="00230137"/>
    <w:rsid w:val="002301E4"/>
    <w:rsid w:val="0023039A"/>
    <w:rsid w:val="0023039B"/>
    <w:rsid w:val="00230421"/>
    <w:rsid w:val="00230554"/>
    <w:rsid w:val="002305BF"/>
    <w:rsid w:val="002306A0"/>
    <w:rsid w:val="002306C0"/>
    <w:rsid w:val="0023074C"/>
    <w:rsid w:val="002307E6"/>
    <w:rsid w:val="00230889"/>
    <w:rsid w:val="00230894"/>
    <w:rsid w:val="002308B3"/>
    <w:rsid w:val="00230A6B"/>
    <w:rsid w:val="00230AC8"/>
    <w:rsid w:val="00230B4F"/>
    <w:rsid w:val="00230E95"/>
    <w:rsid w:val="00230F5F"/>
    <w:rsid w:val="00231184"/>
    <w:rsid w:val="002312A0"/>
    <w:rsid w:val="00231314"/>
    <w:rsid w:val="00231370"/>
    <w:rsid w:val="0023143C"/>
    <w:rsid w:val="00231491"/>
    <w:rsid w:val="00231655"/>
    <w:rsid w:val="00231CC4"/>
    <w:rsid w:val="00231DC1"/>
    <w:rsid w:val="00232009"/>
    <w:rsid w:val="00232154"/>
    <w:rsid w:val="00232577"/>
    <w:rsid w:val="002326A6"/>
    <w:rsid w:val="0023273D"/>
    <w:rsid w:val="002327D3"/>
    <w:rsid w:val="0023285F"/>
    <w:rsid w:val="002329B8"/>
    <w:rsid w:val="00232FDC"/>
    <w:rsid w:val="002332E1"/>
    <w:rsid w:val="002332EF"/>
    <w:rsid w:val="002333ED"/>
    <w:rsid w:val="002334BF"/>
    <w:rsid w:val="002335F4"/>
    <w:rsid w:val="002336DC"/>
    <w:rsid w:val="002338E1"/>
    <w:rsid w:val="0023391C"/>
    <w:rsid w:val="00233AEA"/>
    <w:rsid w:val="00233BD0"/>
    <w:rsid w:val="002341C0"/>
    <w:rsid w:val="00234242"/>
    <w:rsid w:val="00234269"/>
    <w:rsid w:val="00234271"/>
    <w:rsid w:val="00234420"/>
    <w:rsid w:val="0023446D"/>
    <w:rsid w:val="0023460C"/>
    <w:rsid w:val="0023471A"/>
    <w:rsid w:val="002348F6"/>
    <w:rsid w:val="0023498D"/>
    <w:rsid w:val="00234AA7"/>
    <w:rsid w:val="00234BD5"/>
    <w:rsid w:val="00234DFA"/>
    <w:rsid w:val="00234E04"/>
    <w:rsid w:val="00234F8D"/>
    <w:rsid w:val="0023506A"/>
    <w:rsid w:val="0023508B"/>
    <w:rsid w:val="002350B3"/>
    <w:rsid w:val="0023523C"/>
    <w:rsid w:val="00235567"/>
    <w:rsid w:val="0023578B"/>
    <w:rsid w:val="002357BE"/>
    <w:rsid w:val="00235A57"/>
    <w:rsid w:val="00235AE1"/>
    <w:rsid w:val="00235AE7"/>
    <w:rsid w:val="00235DC1"/>
    <w:rsid w:val="00235F55"/>
    <w:rsid w:val="00236109"/>
    <w:rsid w:val="00236156"/>
    <w:rsid w:val="0023639A"/>
    <w:rsid w:val="002363A7"/>
    <w:rsid w:val="002364AE"/>
    <w:rsid w:val="00236771"/>
    <w:rsid w:val="00236A0B"/>
    <w:rsid w:val="00236A15"/>
    <w:rsid w:val="00236DF5"/>
    <w:rsid w:val="00236ED9"/>
    <w:rsid w:val="00236F64"/>
    <w:rsid w:val="0023726C"/>
    <w:rsid w:val="002372D2"/>
    <w:rsid w:val="00237503"/>
    <w:rsid w:val="0023761B"/>
    <w:rsid w:val="00237654"/>
    <w:rsid w:val="0023772F"/>
    <w:rsid w:val="002377AD"/>
    <w:rsid w:val="002377B5"/>
    <w:rsid w:val="00237862"/>
    <w:rsid w:val="00237CE1"/>
    <w:rsid w:val="00237DD0"/>
    <w:rsid w:val="002400ED"/>
    <w:rsid w:val="002402AE"/>
    <w:rsid w:val="002406F5"/>
    <w:rsid w:val="002409AF"/>
    <w:rsid w:val="002409DD"/>
    <w:rsid w:val="00240A20"/>
    <w:rsid w:val="00240E39"/>
    <w:rsid w:val="00240F8A"/>
    <w:rsid w:val="00241150"/>
    <w:rsid w:val="00241339"/>
    <w:rsid w:val="002413A2"/>
    <w:rsid w:val="002414A6"/>
    <w:rsid w:val="0024159A"/>
    <w:rsid w:val="002415BC"/>
    <w:rsid w:val="002417B7"/>
    <w:rsid w:val="002419CC"/>
    <w:rsid w:val="002419DD"/>
    <w:rsid w:val="00241B79"/>
    <w:rsid w:val="00241F9B"/>
    <w:rsid w:val="00242242"/>
    <w:rsid w:val="0024271E"/>
    <w:rsid w:val="00242766"/>
    <w:rsid w:val="002427CC"/>
    <w:rsid w:val="00242959"/>
    <w:rsid w:val="00242CE0"/>
    <w:rsid w:val="0024315F"/>
    <w:rsid w:val="00243248"/>
    <w:rsid w:val="0024325B"/>
    <w:rsid w:val="002433D2"/>
    <w:rsid w:val="00243541"/>
    <w:rsid w:val="002435FB"/>
    <w:rsid w:val="00243612"/>
    <w:rsid w:val="002436DD"/>
    <w:rsid w:val="0024373B"/>
    <w:rsid w:val="00243781"/>
    <w:rsid w:val="00243864"/>
    <w:rsid w:val="0024398F"/>
    <w:rsid w:val="002439F2"/>
    <w:rsid w:val="00243AA8"/>
    <w:rsid w:val="00243AEA"/>
    <w:rsid w:val="00243B09"/>
    <w:rsid w:val="00243B5E"/>
    <w:rsid w:val="00243CB6"/>
    <w:rsid w:val="00243E7E"/>
    <w:rsid w:val="00243F28"/>
    <w:rsid w:val="0024408B"/>
    <w:rsid w:val="002441B9"/>
    <w:rsid w:val="0024425D"/>
    <w:rsid w:val="0024461A"/>
    <w:rsid w:val="002446C9"/>
    <w:rsid w:val="00244729"/>
    <w:rsid w:val="0024492C"/>
    <w:rsid w:val="002449EC"/>
    <w:rsid w:val="00244A16"/>
    <w:rsid w:val="00244BBC"/>
    <w:rsid w:val="00244C49"/>
    <w:rsid w:val="00244C5A"/>
    <w:rsid w:val="00244E24"/>
    <w:rsid w:val="00244FAF"/>
    <w:rsid w:val="002450D8"/>
    <w:rsid w:val="002451B1"/>
    <w:rsid w:val="0024526C"/>
    <w:rsid w:val="002452CA"/>
    <w:rsid w:val="00245340"/>
    <w:rsid w:val="002456BC"/>
    <w:rsid w:val="0024584A"/>
    <w:rsid w:val="0024596D"/>
    <w:rsid w:val="00245AA7"/>
    <w:rsid w:val="00245BF2"/>
    <w:rsid w:val="00245D6E"/>
    <w:rsid w:val="00245E30"/>
    <w:rsid w:val="00245EC8"/>
    <w:rsid w:val="002461B2"/>
    <w:rsid w:val="002462AF"/>
    <w:rsid w:val="0024630A"/>
    <w:rsid w:val="00246336"/>
    <w:rsid w:val="0024633E"/>
    <w:rsid w:val="002463D8"/>
    <w:rsid w:val="00246552"/>
    <w:rsid w:val="002467BB"/>
    <w:rsid w:val="00246929"/>
    <w:rsid w:val="00246A45"/>
    <w:rsid w:val="00246AF4"/>
    <w:rsid w:val="00246B37"/>
    <w:rsid w:val="00246BC5"/>
    <w:rsid w:val="00246DAC"/>
    <w:rsid w:val="00246F10"/>
    <w:rsid w:val="00247185"/>
    <w:rsid w:val="00247188"/>
    <w:rsid w:val="0024745E"/>
    <w:rsid w:val="002477B6"/>
    <w:rsid w:val="002478FA"/>
    <w:rsid w:val="00247904"/>
    <w:rsid w:val="00247B12"/>
    <w:rsid w:val="00247B9C"/>
    <w:rsid w:val="00247BB1"/>
    <w:rsid w:val="00247BE4"/>
    <w:rsid w:val="00247D7C"/>
    <w:rsid w:val="00247E8C"/>
    <w:rsid w:val="00247EED"/>
    <w:rsid w:val="0025013D"/>
    <w:rsid w:val="0025013F"/>
    <w:rsid w:val="00250214"/>
    <w:rsid w:val="00250261"/>
    <w:rsid w:val="00250279"/>
    <w:rsid w:val="002502A6"/>
    <w:rsid w:val="00250345"/>
    <w:rsid w:val="002504D4"/>
    <w:rsid w:val="0025073A"/>
    <w:rsid w:val="00250962"/>
    <w:rsid w:val="00250989"/>
    <w:rsid w:val="002509C4"/>
    <w:rsid w:val="00250A27"/>
    <w:rsid w:val="00250A50"/>
    <w:rsid w:val="00250B7C"/>
    <w:rsid w:val="00250BE3"/>
    <w:rsid w:val="00250DA3"/>
    <w:rsid w:val="00250E81"/>
    <w:rsid w:val="00250E96"/>
    <w:rsid w:val="002510C5"/>
    <w:rsid w:val="0025118B"/>
    <w:rsid w:val="002511D8"/>
    <w:rsid w:val="0025132E"/>
    <w:rsid w:val="002513D9"/>
    <w:rsid w:val="00251485"/>
    <w:rsid w:val="0025167A"/>
    <w:rsid w:val="002517B7"/>
    <w:rsid w:val="00251A74"/>
    <w:rsid w:val="00251B33"/>
    <w:rsid w:val="00251CA0"/>
    <w:rsid w:val="00251D6A"/>
    <w:rsid w:val="00251DB6"/>
    <w:rsid w:val="00251DD7"/>
    <w:rsid w:val="00251E1E"/>
    <w:rsid w:val="00251E4B"/>
    <w:rsid w:val="00251FC7"/>
    <w:rsid w:val="00252065"/>
    <w:rsid w:val="002520BF"/>
    <w:rsid w:val="0025216E"/>
    <w:rsid w:val="0025226A"/>
    <w:rsid w:val="00252290"/>
    <w:rsid w:val="002522DD"/>
    <w:rsid w:val="0025239D"/>
    <w:rsid w:val="00252421"/>
    <w:rsid w:val="00252550"/>
    <w:rsid w:val="002525CE"/>
    <w:rsid w:val="002526E2"/>
    <w:rsid w:val="002527A8"/>
    <w:rsid w:val="00252989"/>
    <w:rsid w:val="00252BBC"/>
    <w:rsid w:val="00252D37"/>
    <w:rsid w:val="00252F36"/>
    <w:rsid w:val="00252F60"/>
    <w:rsid w:val="00252F74"/>
    <w:rsid w:val="00253021"/>
    <w:rsid w:val="0025314C"/>
    <w:rsid w:val="002533CD"/>
    <w:rsid w:val="00253453"/>
    <w:rsid w:val="002534C9"/>
    <w:rsid w:val="002534F1"/>
    <w:rsid w:val="002535B4"/>
    <w:rsid w:val="002535F0"/>
    <w:rsid w:val="00253D87"/>
    <w:rsid w:val="00253E2C"/>
    <w:rsid w:val="00253EF1"/>
    <w:rsid w:val="00254024"/>
    <w:rsid w:val="0025403E"/>
    <w:rsid w:val="002541E1"/>
    <w:rsid w:val="00254260"/>
    <w:rsid w:val="002543F6"/>
    <w:rsid w:val="0025441A"/>
    <w:rsid w:val="002545DE"/>
    <w:rsid w:val="00254731"/>
    <w:rsid w:val="002547E0"/>
    <w:rsid w:val="00254AA4"/>
    <w:rsid w:val="00254BA2"/>
    <w:rsid w:val="00254BB0"/>
    <w:rsid w:val="00254C9E"/>
    <w:rsid w:val="00254CC8"/>
    <w:rsid w:val="00254CFE"/>
    <w:rsid w:val="00254E66"/>
    <w:rsid w:val="00254F6C"/>
    <w:rsid w:val="002550B6"/>
    <w:rsid w:val="002550F0"/>
    <w:rsid w:val="00255353"/>
    <w:rsid w:val="002553A9"/>
    <w:rsid w:val="002554FB"/>
    <w:rsid w:val="00255799"/>
    <w:rsid w:val="002558BC"/>
    <w:rsid w:val="00255A8C"/>
    <w:rsid w:val="00255A9D"/>
    <w:rsid w:val="00255E48"/>
    <w:rsid w:val="00256001"/>
    <w:rsid w:val="00256064"/>
    <w:rsid w:val="00256167"/>
    <w:rsid w:val="002563B2"/>
    <w:rsid w:val="00256491"/>
    <w:rsid w:val="00256579"/>
    <w:rsid w:val="0025673E"/>
    <w:rsid w:val="0025684B"/>
    <w:rsid w:val="00256892"/>
    <w:rsid w:val="00256C17"/>
    <w:rsid w:val="00256DA6"/>
    <w:rsid w:val="00256EC3"/>
    <w:rsid w:val="00256F86"/>
    <w:rsid w:val="00256FA2"/>
    <w:rsid w:val="00257038"/>
    <w:rsid w:val="002571A8"/>
    <w:rsid w:val="002572DF"/>
    <w:rsid w:val="00257471"/>
    <w:rsid w:val="00257647"/>
    <w:rsid w:val="00257649"/>
    <w:rsid w:val="002577D0"/>
    <w:rsid w:val="00257830"/>
    <w:rsid w:val="00257A49"/>
    <w:rsid w:val="00257A80"/>
    <w:rsid w:val="00257C75"/>
    <w:rsid w:val="00257D7E"/>
    <w:rsid w:val="00257DF1"/>
    <w:rsid w:val="00257FAD"/>
    <w:rsid w:val="00260050"/>
    <w:rsid w:val="00260141"/>
    <w:rsid w:val="00260566"/>
    <w:rsid w:val="002609A2"/>
    <w:rsid w:val="002609AE"/>
    <w:rsid w:val="00260A45"/>
    <w:rsid w:val="00260C6A"/>
    <w:rsid w:val="00260D32"/>
    <w:rsid w:val="00260D69"/>
    <w:rsid w:val="00260E16"/>
    <w:rsid w:val="00260F12"/>
    <w:rsid w:val="00260FAC"/>
    <w:rsid w:val="00260FB8"/>
    <w:rsid w:val="0026104A"/>
    <w:rsid w:val="002611ED"/>
    <w:rsid w:val="002612DD"/>
    <w:rsid w:val="0026134F"/>
    <w:rsid w:val="002614FF"/>
    <w:rsid w:val="002615F8"/>
    <w:rsid w:val="002616DB"/>
    <w:rsid w:val="002618DB"/>
    <w:rsid w:val="00261B4F"/>
    <w:rsid w:val="00261D10"/>
    <w:rsid w:val="00261E12"/>
    <w:rsid w:val="00261E60"/>
    <w:rsid w:val="00261E7F"/>
    <w:rsid w:val="00261EB4"/>
    <w:rsid w:val="002621DF"/>
    <w:rsid w:val="0026221D"/>
    <w:rsid w:val="002622BA"/>
    <w:rsid w:val="002622EB"/>
    <w:rsid w:val="002622F1"/>
    <w:rsid w:val="002624F3"/>
    <w:rsid w:val="00262632"/>
    <w:rsid w:val="00262649"/>
    <w:rsid w:val="002626FB"/>
    <w:rsid w:val="002628F2"/>
    <w:rsid w:val="00262B6A"/>
    <w:rsid w:val="00262BD4"/>
    <w:rsid w:val="00262D89"/>
    <w:rsid w:val="00262EC2"/>
    <w:rsid w:val="00263248"/>
    <w:rsid w:val="0026392E"/>
    <w:rsid w:val="002639B5"/>
    <w:rsid w:val="002639CA"/>
    <w:rsid w:val="00263B00"/>
    <w:rsid w:val="00263B15"/>
    <w:rsid w:val="00263B60"/>
    <w:rsid w:val="00263C27"/>
    <w:rsid w:val="00263CB5"/>
    <w:rsid w:val="00263DB5"/>
    <w:rsid w:val="00263E46"/>
    <w:rsid w:val="0026408E"/>
    <w:rsid w:val="002640BE"/>
    <w:rsid w:val="0026431E"/>
    <w:rsid w:val="00264597"/>
    <w:rsid w:val="002645F5"/>
    <w:rsid w:val="0026475B"/>
    <w:rsid w:val="00264A6E"/>
    <w:rsid w:val="00264B43"/>
    <w:rsid w:val="00264B49"/>
    <w:rsid w:val="00264BB5"/>
    <w:rsid w:val="00264BF5"/>
    <w:rsid w:val="00264E71"/>
    <w:rsid w:val="00264E76"/>
    <w:rsid w:val="00264F88"/>
    <w:rsid w:val="0026541D"/>
    <w:rsid w:val="002655E5"/>
    <w:rsid w:val="002656BA"/>
    <w:rsid w:val="0026583D"/>
    <w:rsid w:val="002658C1"/>
    <w:rsid w:val="0026593F"/>
    <w:rsid w:val="0026597E"/>
    <w:rsid w:val="002659F1"/>
    <w:rsid w:val="00265A39"/>
    <w:rsid w:val="00265AA1"/>
    <w:rsid w:val="00265FB7"/>
    <w:rsid w:val="00265FCD"/>
    <w:rsid w:val="00266137"/>
    <w:rsid w:val="002663B3"/>
    <w:rsid w:val="002664C0"/>
    <w:rsid w:val="002664CC"/>
    <w:rsid w:val="0026651D"/>
    <w:rsid w:val="00266549"/>
    <w:rsid w:val="00266774"/>
    <w:rsid w:val="00266A4D"/>
    <w:rsid w:val="00266B52"/>
    <w:rsid w:val="00266E18"/>
    <w:rsid w:val="00266EFB"/>
    <w:rsid w:val="00267224"/>
    <w:rsid w:val="0026723F"/>
    <w:rsid w:val="00267315"/>
    <w:rsid w:val="00267393"/>
    <w:rsid w:val="00267423"/>
    <w:rsid w:val="002674BB"/>
    <w:rsid w:val="00267507"/>
    <w:rsid w:val="0026787D"/>
    <w:rsid w:val="002678D8"/>
    <w:rsid w:val="00267B59"/>
    <w:rsid w:val="00267C2E"/>
    <w:rsid w:val="00267E51"/>
    <w:rsid w:val="00267E76"/>
    <w:rsid w:val="00267E9F"/>
    <w:rsid w:val="00267F7A"/>
    <w:rsid w:val="00267FC3"/>
    <w:rsid w:val="00270066"/>
    <w:rsid w:val="00270112"/>
    <w:rsid w:val="00270287"/>
    <w:rsid w:val="00270405"/>
    <w:rsid w:val="00270ABE"/>
    <w:rsid w:val="00270E21"/>
    <w:rsid w:val="00270F98"/>
    <w:rsid w:val="002710B9"/>
    <w:rsid w:val="0027112D"/>
    <w:rsid w:val="0027113F"/>
    <w:rsid w:val="00271206"/>
    <w:rsid w:val="002713D6"/>
    <w:rsid w:val="002714B3"/>
    <w:rsid w:val="0027155A"/>
    <w:rsid w:val="0027164B"/>
    <w:rsid w:val="002716F8"/>
    <w:rsid w:val="00271763"/>
    <w:rsid w:val="00271A4C"/>
    <w:rsid w:val="00271AB9"/>
    <w:rsid w:val="00271B54"/>
    <w:rsid w:val="00271B64"/>
    <w:rsid w:val="00271B74"/>
    <w:rsid w:val="00271E18"/>
    <w:rsid w:val="00271FB0"/>
    <w:rsid w:val="00272026"/>
    <w:rsid w:val="00272039"/>
    <w:rsid w:val="0027209F"/>
    <w:rsid w:val="002721A9"/>
    <w:rsid w:val="00272370"/>
    <w:rsid w:val="0027242D"/>
    <w:rsid w:val="00272431"/>
    <w:rsid w:val="0027246D"/>
    <w:rsid w:val="002725AA"/>
    <w:rsid w:val="00272852"/>
    <w:rsid w:val="002729E2"/>
    <w:rsid w:val="00272ABC"/>
    <w:rsid w:val="00272B0E"/>
    <w:rsid w:val="00272B21"/>
    <w:rsid w:val="00272BCF"/>
    <w:rsid w:val="00272CC4"/>
    <w:rsid w:val="00272F42"/>
    <w:rsid w:val="0027312E"/>
    <w:rsid w:val="0027315C"/>
    <w:rsid w:val="002732BF"/>
    <w:rsid w:val="002733E2"/>
    <w:rsid w:val="002734B8"/>
    <w:rsid w:val="00273555"/>
    <w:rsid w:val="0027366A"/>
    <w:rsid w:val="00273727"/>
    <w:rsid w:val="002738A7"/>
    <w:rsid w:val="00273BE6"/>
    <w:rsid w:val="00273C70"/>
    <w:rsid w:val="00273CEE"/>
    <w:rsid w:val="00273D05"/>
    <w:rsid w:val="00273F2B"/>
    <w:rsid w:val="00273F9B"/>
    <w:rsid w:val="0027407B"/>
    <w:rsid w:val="002740A7"/>
    <w:rsid w:val="00274143"/>
    <w:rsid w:val="0027421C"/>
    <w:rsid w:val="0027463B"/>
    <w:rsid w:val="00274817"/>
    <w:rsid w:val="00274AFC"/>
    <w:rsid w:val="00274C7F"/>
    <w:rsid w:val="00274E48"/>
    <w:rsid w:val="00275331"/>
    <w:rsid w:val="0027540E"/>
    <w:rsid w:val="00275565"/>
    <w:rsid w:val="002755A0"/>
    <w:rsid w:val="0027566D"/>
    <w:rsid w:val="0027576F"/>
    <w:rsid w:val="002759A9"/>
    <w:rsid w:val="00275A66"/>
    <w:rsid w:val="00275DFC"/>
    <w:rsid w:val="00275EE5"/>
    <w:rsid w:val="00276022"/>
    <w:rsid w:val="002760BF"/>
    <w:rsid w:val="00276119"/>
    <w:rsid w:val="002762E2"/>
    <w:rsid w:val="00276421"/>
    <w:rsid w:val="002764E6"/>
    <w:rsid w:val="0027658E"/>
    <w:rsid w:val="0027669F"/>
    <w:rsid w:val="00276718"/>
    <w:rsid w:val="00276750"/>
    <w:rsid w:val="002769F6"/>
    <w:rsid w:val="00276B13"/>
    <w:rsid w:val="00276C72"/>
    <w:rsid w:val="00276E4B"/>
    <w:rsid w:val="00277239"/>
    <w:rsid w:val="0027733E"/>
    <w:rsid w:val="00277369"/>
    <w:rsid w:val="002775DC"/>
    <w:rsid w:val="0027762B"/>
    <w:rsid w:val="0027766A"/>
    <w:rsid w:val="00277B27"/>
    <w:rsid w:val="00277C1D"/>
    <w:rsid w:val="00277D5F"/>
    <w:rsid w:val="00277D6D"/>
    <w:rsid w:val="00280006"/>
    <w:rsid w:val="0028009E"/>
    <w:rsid w:val="002800D8"/>
    <w:rsid w:val="002800F3"/>
    <w:rsid w:val="0028016E"/>
    <w:rsid w:val="002801FE"/>
    <w:rsid w:val="00280201"/>
    <w:rsid w:val="0028030A"/>
    <w:rsid w:val="00280642"/>
    <w:rsid w:val="0028076D"/>
    <w:rsid w:val="00280890"/>
    <w:rsid w:val="00280B63"/>
    <w:rsid w:val="00280C86"/>
    <w:rsid w:val="00280F9E"/>
    <w:rsid w:val="00281208"/>
    <w:rsid w:val="0028129C"/>
    <w:rsid w:val="002812CD"/>
    <w:rsid w:val="00281343"/>
    <w:rsid w:val="002813A1"/>
    <w:rsid w:val="00281409"/>
    <w:rsid w:val="00281471"/>
    <w:rsid w:val="0028148F"/>
    <w:rsid w:val="0028149A"/>
    <w:rsid w:val="002819BD"/>
    <w:rsid w:val="00281C8E"/>
    <w:rsid w:val="002821D0"/>
    <w:rsid w:val="00282266"/>
    <w:rsid w:val="0028237F"/>
    <w:rsid w:val="00282B1E"/>
    <w:rsid w:val="00282B34"/>
    <w:rsid w:val="00282B91"/>
    <w:rsid w:val="00282C6E"/>
    <w:rsid w:val="00282D36"/>
    <w:rsid w:val="00282D8C"/>
    <w:rsid w:val="00282DE9"/>
    <w:rsid w:val="00282EDC"/>
    <w:rsid w:val="00282F84"/>
    <w:rsid w:val="00282FEE"/>
    <w:rsid w:val="00283060"/>
    <w:rsid w:val="00283067"/>
    <w:rsid w:val="002830C2"/>
    <w:rsid w:val="00283252"/>
    <w:rsid w:val="002832B0"/>
    <w:rsid w:val="002832EA"/>
    <w:rsid w:val="00283407"/>
    <w:rsid w:val="00283525"/>
    <w:rsid w:val="002835A3"/>
    <w:rsid w:val="00283917"/>
    <w:rsid w:val="00283C29"/>
    <w:rsid w:val="00283DD4"/>
    <w:rsid w:val="00284399"/>
    <w:rsid w:val="00284772"/>
    <w:rsid w:val="00284975"/>
    <w:rsid w:val="002849E4"/>
    <w:rsid w:val="00284B08"/>
    <w:rsid w:val="00284B0F"/>
    <w:rsid w:val="00284C3D"/>
    <w:rsid w:val="00284CC3"/>
    <w:rsid w:val="00284D02"/>
    <w:rsid w:val="00284D24"/>
    <w:rsid w:val="00284D2A"/>
    <w:rsid w:val="00284DF0"/>
    <w:rsid w:val="00284E2B"/>
    <w:rsid w:val="00284F52"/>
    <w:rsid w:val="0028501A"/>
    <w:rsid w:val="00285066"/>
    <w:rsid w:val="0028506A"/>
    <w:rsid w:val="0028511C"/>
    <w:rsid w:val="00285120"/>
    <w:rsid w:val="00285129"/>
    <w:rsid w:val="002853B1"/>
    <w:rsid w:val="002853F7"/>
    <w:rsid w:val="002854D5"/>
    <w:rsid w:val="00285981"/>
    <w:rsid w:val="0028599C"/>
    <w:rsid w:val="00285AAA"/>
    <w:rsid w:val="00286388"/>
    <w:rsid w:val="002863BF"/>
    <w:rsid w:val="00286453"/>
    <w:rsid w:val="002864E9"/>
    <w:rsid w:val="0028658F"/>
    <w:rsid w:val="00286787"/>
    <w:rsid w:val="002869A3"/>
    <w:rsid w:val="00286A19"/>
    <w:rsid w:val="00286CAE"/>
    <w:rsid w:val="00286DD2"/>
    <w:rsid w:val="00286E50"/>
    <w:rsid w:val="00286FC9"/>
    <w:rsid w:val="002871AC"/>
    <w:rsid w:val="0028743D"/>
    <w:rsid w:val="00287506"/>
    <w:rsid w:val="00287536"/>
    <w:rsid w:val="002876C0"/>
    <w:rsid w:val="002876E0"/>
    <w:rsid w:val="002878E5"/>
    <w:rsid w:val="002879CA"/>
    <w:rsid w:val="00287A89"/>
    <w:rsid w:val="00287C9E"/>
    <w:rsid w:val="00287CF0"/>
    <w:rsid w:val="00287D32"/>
    <w:rsid w:val="00287D5D"/>
    <w:rsid w:val="00287ED1"/>
    <w:rsid w:val="00287F7F"/>
    <w:rsid w:val="0029015B"/>
    <w:rsid w:val="00290241"/>
    <w:rsid w:val="0029034E"/>
    <w:rsid w:val="00290399"/>
    <w:rsid w:val="002904C8"/>
    <w:rsid w:val="00290762"/>
    <w:rsid w:val="00290A58"/>
    <w:rsid w:val="00290AD7"/>
    <w:rsid w:val="00290B91"/>
    <w:rsid w:val="00290C0C"/>
    <w:rsid w:val="00290EA7"/>
    <w:rsid w:val="00290F68"/>
    <w:rsid w:val="00290FB5"/>
    <w:rsid w:val="002910A0"/>
    <w:rsid w:val="0029142D"/>
    <w:rsid w:val="0029151D"/>
    <w:rsid w:val="002915C6"/>
    <w:rsid w:val="00291A0F"/>
    <w:rsid w:val="00291B6B"/>
    <w:rsid w:val="00291BE8"/>
    <w:rsid w:val="00291DA3"/>
    <w:rsid w:val="00291F8F"/>
    <w:rsid w:val="00291FB2"/>
    <w:rsid w:val="002921F0"/>
    <w:rsid w:val="0029222D"/>
    <w:rsid w:val="002923AC"/>
    <w:rsid w:val="0029252C"/>
    <w:rsid w:val="0029257D"/>
    <w:rsid w:val="00292651"/>
    <w:rsid w:val="002926F5"/>
    <w:rsid w:val="0029274D"/>
    <w:rsid w:val="00292837"/>
    <w:rsid w:val="002929AD"/>
    <w:rsid w:val="00292A95"/>
    <w:rsid w:val="00292BA0"/>
    <w:rsid w:val="00292C34"/>
    <w:rsid w:val="00292C59"/>
    <w:rsid w:val="00292CF9"/>
    <w:rsid w:val="00292F35"/>
    <w:rsid w:val="002930B4"/>
    <w:rsid w:val="00293156"/>
    <w:rsid w:val="00293171"/>
    <w:rsid w:val="002932FF"/>
    <w:rsid w:val="0029356A"/>
    <w:rsid w:val="002935B7"/>
    <w:rsid w:val="002936E1"/>
    <w:rsid w:val="00293764"/>
    <w:rsid w:val="00293814"/>
    <w:rsid w:val="0029393A"/>
    <w:rsid w:val="00293B4D"/>
    <w:rsid w:val="00293CDE"/>
    <w:rsid w:val="00293EE6"/>
    <w:rsid w:val="00293F16"/>
    <w:rsid w:val="00293F6A"/>
    <w:rsid w:val="00293FC5"/>
    <w:rsid w:val="00294091"/>
    <w:rsid w:val="0029409A"/>
    <w:rsid w:val="002940B5"/>
    <w:rsid w:val="00294345"/>
    <w:rsid w:val="00294396"/>
    <w:rsid w:val="002944BC"/>
    <w:rsid w:val="00294506"/>
    <w:rsid w:val="0029476D"/>
    <w:rsid w:val="00294783"/>
    <w:rsid w:val="002947C6"/>
    <w:rsid w:val="0029487C"/>
    <w:rsid w:val="00294997"/>
    <w:rsid w:val="00294ABF"/>
    <w:rsid w:val="00294B25"/>
    <w:rsid w:val="00294B37"/>
    <w:rsid w:val="00294B7A"/>
    <w:rsid w:val="00294E33"/>
    <w:rsid w:val="00294F47"/>
    <w:rsid w:val="00294F52"/>
    <w:rsid w:val="0029504D"/>
    <w:rsid w:val="0029508A"/>
    <w:rsid w:val="00295311"/>
    <w:rsid w:val="00295459"/>
    <w:rsid w:val="002954E2"/>
    <w:rsid w:val="0029551B"/>
    <w:rsid w:val="00295745"/>
    <w:rsid w:val="00295767"/>
    <w:rsid w:val="0029577D"/>
    <w:rsid w:val="002957EE"/>
    <w:rsid w:val="00295B55"/>
    <w:rsid w:val="00295B7A"/>
    <w:rsid w:val="00295C8F"/>
    <w:rsid w:val="00295C9B"/>
    <w:rsid w:val="00295D7D"/>
    <w:rsid w:val="00295D9B"/>
    <w:rsid w:val="00295E1D"/>
    <w:rsid w:val="00295EDC"/>
    <w:rsid w:val="002960A9"/>
    <w:rsid w:val="00296281"/>
    <w:rsid w:val="0029628A"/>
    <w:rsid w:val="002966E4"/>
    <w:rsid w:val="002966F3"/>
    <w:rsid w:val="0029670C"/>
    <w:rsid w:val="00296A63"/>
    <w:rsid w:val="00296D1D"/>
    <w:rsid w:val="00296D26"/>
    <w:rsid w:val="00296D4A"/>
    <w:rsid w:val="00296DA9"/>
    <w:rsid w:val="00296DD9"/>
    <w:rsid w:val="00296E6B"/>
    <w:rsid w:val="00296EE9"/>
    <w:rsid w:val="00296F60"/>
    <w:rsid w:val="00296F7F"/>
    <w:rsid w:val="0029744B"/>
    <w:rsid w:val="002976A9"/>
    <w:rsid w:val="0029770F"/>
    <w:rsid w:val="0029775E"/>
    <w:rsid w:val="0029780F"/>
    <w:rsid w:val="00297857"/>
    <w:rsid w:val="002978AB"/>
    <w:rsid w:val="00297A62"/>
    <w:rsid w:val="00297B2B"/>
    <w:rsid w:val="00297F31"/>
    <w:rsid w:val="002A0180"/>
    <w:rsid w:val="002A020A"/>
    <w:rsid w:val="002A02B8"/>
    <w:rsid w:val="002A0367"/>
    <w:rsid w:val="002A0374"/>
    <w:rsid w:val="002A03BB"/>
    <w:rsid w:val="002A0629"/>
    <w:rsid w:val="002A0672"/>
    <w:rsid w:val="002A06CF"/>
    <w:rsid w:val="002A0849"/>
    <w:rsid w:val="002A09B1"/>
    <w:rsid w:val="002A0AD7"/>
    <w:rsid w:val="002A0E23"/>
    <w:rsid w:val="002A0E7A"/>
    <w:rsid w:val="002A12CC"/>
    <w:rsid w:val="002A14B4"/>
    <w:rsid w:val="002A16C0"/>
    <w:rsid w:val="002A16C9"/>
    <w:rsid w:val="002A182A"/>
    <w:rsid w:val="002A18B6"/>
    <w:rsid w:val="002A1903"/>
    <w:rsid w:val="002A1946"/>
    <w:rsid w:val="002A19D7"/>
    <w:rsid w:val="002A1D1B"/>
    <w:rsid w:val="002A1D60"/>
    <w:rsid w:val="002A1D63"/>
    <w:rsid w:val="002A1D84"/>
    <w:rsid w:val="002A1E17"/>
    <w:rsid w:val="002A1E36"/>
    <w:rsid w:val="002A1EA1"/>
    <w:rsid w:val="002A1FB7"/>
    <w:rsid w:val="002A209B"/>
    <w:rsid w:val="002A21D1"/>
    <w:rsid w:val="002A2305"/>
    <w:rsid w:val="002A23DC"/>
    <w:rsid w:val="002A26BD"/>
    <w:rsid w:val="002A27E2"/>
    <w:rsid w:val="002A27F4"/>
    <w:rsid w:val="002A2812"/>
    <w:rsid w:val="002A2875"/>
    <w:rsid w:val="002A28FB"/>
    <w:rsid w:val="002A2A4B"/>
    <w:rsid w:val="002A2AFF"/>
    <w:rsid w:val="002A2B2B"/>
    <w:rsid w:val="002A2B47"/>
    <w:rsid w:val="002A2B60"/>
    <w:rsid w:val="002A2C4C"/>
    <w:rsid w:val="002A2C65"/>
    <w:rsid w:val="002A2E17"/>
    <w:rsid w:val="002A3050"/>
    <w:rsid w:val="002A3053"/>
    <w:rsid w:val="002A3247"/>
    <w:rsid w:val="002A32E5"/>
    <w:rsid w:val="002A34B6"/>
    <w:rsid w:val="002A3B98"/>
    <w:rsid w:val="002A3BE8"/>
    <w:rsid w:val="002A3BF1"/>
    <w:rsid w:val="002A3C47"/>
    <w:rsid w:val="002A3CBC"/>
    <w:rsid w:val="002A3DA0"/>
    <w:rsid w:val="002A4023"/>
    <w:rsid w:val="002A4148"/>
    <w:rsid w:val="002A42F1"/>
    <w:rsid w:val="002A435F"/>
    <w:rsid w:val="002A450A"/>
    <w:rsid w:val="002A4939"/>
    <w:rsid w:val="002A4979"/>
    <w:rsid w:val="002A4AD3"/>
    <w:rsid w:val="002A4CD7"/>
    <w:rsid w:val="002A4D18"/>
    <w:rsid w:val="002A4D49"/>
    <w:rsid w:val="002A4E48"/>
    <w:rsid w:val="002A4E7D"/>
    <w:rsid w:val="002A50A3"/>
    <w:rsid w:val="002A54BD"/>
    <w:rsid w:val="002A5915"/>
    <w:rsid w:val="002A59B9"/>
    <w:rsid w:val="002A5AC5"/>
    <w:rsid w:val="002A5AEC"/>
    <w:rsid w:val="002A5B68"/>
    <w:rsid w:val="002A5EEB"/>
    <w:rsid w:val="002A6180"/>
    <w:rsid w:val="002A61B0"/>
    <w:rsid w:val="002A63B7"/>
    <w:rsid w:val="002A6552"/>
    <w:rsid w:val="002A6594"/>
    <w:rsid w:val="002A666D"/>
    <w:rsid w:val="002A675D"/>
    <w:rsid w:val="002A67A9"/>
    <w:rsid w:val="002A69AF"/>
    <w:rsid w:val="002A6B02"/>
    <w:rsid w:val="002A6D12"/>
    <w:rsid w:val="002A6DCA"/>
    <w:rsid w:val="002A6ED1"/>
    <w:rsid w:val="002A6F90"/>
    <w:rsid w:val="002A70BB"/>
    <w:rsid w:val="002A7136"/>
    <w:rsid w:val="002A7390"/>
    <w:rsid w:val="002A7569"/>
    <w:rsid w:val="002A75AE"/>
    <w:rsid w:val="002A7857"/>
    <w:rsid w:val="002A7A87"/>
    <w:rsid w:val="002A7D3C"/>
    <w:rsid w:val="002A7DFA"/>
    <w:rsid w:val="002A7EAA"/>
    <w:rsid w:val="002A7EC4"/>
    <w:rsid w:val="002A7ED2"/>
    <w:rsid w:val="002A7FED"/>
    <w:rsid w:val="002B0014"/>
    <w:rsid w:val="002B011E"/>
    <w:rsid w:val="002B0389"/>
    <w:rsid w:val="002B04C1"/>
    <w:rsid w:val="002B0525"/>
    <w:rsid w:val="002B06AC"/>
    <w:rsid w:val="002B08B0"/>
    <w:rsid w:val="002B0BCC"/>
    <w:rsid w:val="002B0C56"/>
    <w:rsid w:val="002B0D6D"/>
    <w:rsid w:val="002B0EAE"/>
    <w:rsid w:val="002B0FF7"/>
    <w:rsid w:val="002B10F7"/>
    <w:rsid w:val="002B129C"/>
    <w:rsid w:val="002B14FA"/>
    <w:rsid w:val="002B1653"/>
    <w:rsid w:val="002B187A"/>
    <w:rsid w:val="002B1B2D"/>
    <w:rsid w:val="002B1C79"/>
    <w:rsid w:val="002B1CA4"/>
    <w:rsid w:val="002B1D9B"/>
    <w:rsid w:val="002B20F8"/>
    <w:rsid w:val="002B2106"/>
    <w:rsid w:val="002B21FD"/>
    <w:rsid w:val="002B224D"/>
    <w:rsid w:val="002B2378"/>
    <w:rsid w:val="002B249A"/>
    <w:rsid w:val="002B2505"/>
    <w:rsid w:val="002B273F"/>
    <w:rsid w:val="002B2979"/>
    <w:rsid w:val="002B2C72"/>
    <w:rsid w:val="002B2CC7"/>
    <w:rsid w:val="002B2E15"/>
    <w:rsid w:val="002B300F"/>
    <w:rsid w:val="002B31B7"/>
    <w:rsid w:val="002B32D0"/>
    <w:rsid w:val="002B333E"/>
    <w:rsid w:val="002B33DD"/>
    <w:rsid w:val="002B393A"/>
    <w:rsid w:val="002B3ABB"/>
    <w:rsid w:val="002B3DEF"/>
    <w:rsid w:val="002B3E82"/>
    <w:rsid w:val="002B3E89"/>
    <w:rsid w:val="002B3E97"/>
    <w:rsid w:val="002B3EB9"/>
    <w:rsid w:val="002B3F2A"/>
    <w:rsid w:val="002B3F3E"/>
    <w:rsid w:val="002B416F"/>
    <w:rsid w:val="002B4298"/>
    <w:rsid w:val="002B445F"/>
    <w:rsid w:val="002B44AD"/>
    <w:rsid w:val="002B44F5"/>
    <w:rsid w:val="002B452E"/>
    <w:rsid w:val="002B45EE"/>
    <w:rsid w:val="002B47B0"/>
    <w:rsid w:val="002B4BBD"/>
    <w:rsid w:val="002B4DCC"/>
    <w:rsid w:val="002B4E5E"/>
    <w:rsid w:val="002B555A"/>
    <w:rsid w:val="002B5614"/>
    <w:rsid w:val="002B566B"/>
    <w:rsid w:val="002B56A7"/>
    <w:rsid w:val="002B574F"/>
    <w:rsid w:val="002B57AE"/>
    <w:rsid w:val="002B58FE"/>
    <w:rsid w:val="002B5A83"/>
    <w:rsid w:val="002B5D82"/>
    <w:rsid w:val="002B5E3D"/>
    <w:rsid w:val="002B5E7B"/>
    <w:rsid w:val="002B6068"/>
    <w:rsid w:val="002B617E"/>
    <w:rsid w:val="002B62A3"/>
    <w:rsid w:val="002B63EF"/>
    <w:rsid w:val="002B6410"/>
    <w:rsid w:val="002B6567"/>
    <w:rsid w:val="002B678C"/>
    <w:rsid w:val="002B67A3"/>
    <w:rsid w:val="002B685A"/>
    <w:rsid w:val="002B6A5F"/>
    <w:rsid w:val="002B6B73"/>
    <w:rsid w:val="002B6E0A"/>
    <w:rsid w:val="002B6F31"/>
    <w:rsid w:val="002B6F6A"/>
    <w:rsid w:val="002B7061"/>
    <w:rsid w:val="002B71C8"/>
    <w:rsid w:val="002B7209"/>
    <w:rsid w:val="002B720E"/>
    <w:rsid w:val="002B7352"/>
    <w:rsid w:val="002B7382"/>
    <w:rsid w:val="002B7412"/>
    <w:rsid w:val="002B7513"/>
    <w:rsid w:val="002B75DF"/>
    <w:rsid w:val="002B77B6"/>
    <w:rsid w:val="002B77C4"/>
    <w:rsid w:val="002B7927"/>
    <w:rsid w:val="002B7A5C"/>
    <w:rsid w:val="002B7DD4"/>
    <w:rsid w:val="002B7EB9"/>
    <w:rsid w:val="002C02DB"/>
    <w:rsid w:val="002C034F"/>
    <w:rsid w:val="002C0499"/>
    <w:rsid w:val="002C05C4"/>
    <w:rsid w:val="002C0737"/>
    <w:rsid w:val="002C0AE1"/>
    <w:rsid w:val="002C0BB0"/>
    <w:rsid w:val="002C103A"/>
    <w:rsid w:val="002C10BD"/>
    <w:rsid w:val="002C1357"/>
    <w:rsid w:val="002C1452"/>
    <w:rsid w:val="002C14D0"/>
    <w:rsid w:val="002C16A1"/>
    <w:rsid w:val="002C1A5D"/>
    <w:rsid w:val="002C1B75"/>
    <w:rsid w:val="002C1D3D"/>
    <w:rsid w:val="002C1EE7"/>
    <w:rsid w:val="002C21BF"/>
    <w:rsid w:val="002C24F7"/>
    <w:rsid w:val="002C2571"/>
    <w:rsid w:val="002C2574"/>
    <w:rsid w:val="002C25D4"/>
    <w:rsid w:val="002C26DD"/>
    <w:rsid w:val="002C2712"/>
    <w:rsid w:val="002C2793"/>
    <w:rsid w:val="002C2816"/>
    <w:rsid w:val="002C28DF"/>
    <w:rsid w:val="002C29BF"/>
    <w:rsid w:val="002C2A3A"/>
    <w:rsid w:val="002C2B80"/>
    <w:rsid w:val="002C2DCB"/>
    <w:rsid w:val="002C2DE2"/>
    <w:rsid w:val="002C2EA9"/>
    <w:rsid w:val="002C2F5E"/>
    <w:rsid w:val="002C3168"/>
    <w:rsid w:val="002C3219"/>
    <w:rsid w:val="002C326A"/>
    <w:rsid w:val="002C345F"/>
    <w:rsid w:val="002C3550"/>
    <w:rsid w:val="002C357A"/>
    <w:rsid w:val="002C358D"/>
    <w:rsid w:val="002C366D"/>
    <w:rsid w:val="002C383C"/>
    <w:rsid w:val="002C3BA6"/>
    <w:rsid w:val="002C3C11"/>
    <w:rsid w:val="002C3C46"/>
    <w:rsid w:val="002C3C70"/>
    <w:rsid w:val="002C3DDE"/>
    <w:rsid w:val="002C3E3A"/>
    <w:rsid w:val="002C3F29"/>
    <w:rsid w:val="002C3F9B"/>
    <w:rsid w:val="002C3FB9"/>
    <w:rsid w:val="002C414B"/>
    <w:rsid w:val="002C4295"/>
    <w:rsid w:val="002C429A"/>
    <w:rsid w:val="002C4303"/>
    <w:rsid w:val="002C448B"/>
    <w:rsid w:val="002C4494"/>
    <w:rsid w:val="002C4680"/>
    <w:rsid w:val="002C4DD6"/>
    <w:rsid w:val="002C4E07"/>
    <w:rsid w:val="002C50D7"/>
    <w:rsid w:val="002C51BE"/>
    <w:rsid w:val="002C51EE"/>
    <w:rsid w:val="002C520A"/>
    <w:rsid w:val="002C5230"/>
    <w:rsid w:val="002C5417"/>
    <w:rsid w:val="002C5630"/>
    <w:rsid w:val="002C5865"/>
    <w:rsid w:val="002C58DC"/>
    <w:rsid w:val="002C59B7"/>
    <w:rsid w:val="002C5B99"/>
    <w:rsid w:val="002C5BC0"/>
    <w:rsid w:val="002C5C90"/>
    <w:rsid w:val="002C5CE0"/>
    <w:rsid w:val="002C5E1E"/>
    <w:rsid w:val="002C61C3"/>
    <w:rsid w:val="002C62AE"/>
    <w:rsid w:val="002C637E"/>
    <w:rsid w:val="002C6491"/>
    <w:rsid w:val="002C658E"/>
    <w:rsid w:val="002C6630"/>
    <w:rsid w:val="002C6671"/>
    <w:rsid w:val="002C66CC"/>
    <w:rsid w:val="002C683E"/>
    <w:rsid w:val="002C69E9"/>
    <w:rsid w:val="002C6B42"/>
    <w:rsid w:val="002C6B53"/>
    <w:rsid w:val="002C6C82"/>
    <w:rsid w:val="002C6E87"/>
    <w:rsid w:val="002C6EC2"/>
    <w:rsid w:val="002C71F3"/>
    <w:rsid w:val="002C7274"/>
    <w:rsid w:val="002C73AB"/>
    <w:rsid w:val="002C74EA"/>
    <w:rsid w:val="002C759A"/>
    <w:rsid w:val="002C776A"/>
    <w:rsid w:val="002C7915"/>
    <w:rsid w:val="002C7B74"/>
    <w:rsid w:val="002C7B76"/>
    <w:rsid w:val="002C7C19"/>
    <w:rsid w:val="002C7F6B"/>
    <w:rsid w:val="002C7FC6"/>
    <w:rsid w:val="002D0116"/>
    <w:rsid w:val="002D015F"/>
    <w:rsid w:val="002D01D7"/>
    <w:rsid w:val="002D02C8"/>
    <w:rsid w:val="002D0354"/>
    <w:rsid w:val="002D035A"/>
    <w:rsid w:val="002D045E"/>
    <w:rsid w:val="002D06E7"/>
    <w:rsid w:val="002D072B"/>
    <w:rsid w:val="002D0807"/>
    <w:rsid w:val="002D0929"/>
    <w:rsid w:val="002D0A29"/>
    <w:rsid w:val="002D0B1D"/>
    <w:rsid w:val="002D0BF4"/>
    <w:rsid w:val="002D0C65"/>
    <w:rsid w:val="002D0C88"/>
    <w:rsid w:val="002D0CC4"/>
    <w:rsid w:val="002D0CCE"/>
    <w:rsid w:val="002D0ED8"/>
    <w:rsid w:val="002D0F69"/>
    <w:rsid w:val="002D100D"/>
    <w:rsid w:val="002D1519"/>
    <w:rsid w:val="002D1539"/>
    <w:rsid w:val="002D16AF"/>
    <w:rsid w:val="002D17C4"/>
    <w:rsid w:val="002D195E"/>
    <w:rsid w:val="002D1A59"/>
    <w:rsid w:val="002D1B0C"/>
    <w:rsid w:val="002D1BB7"/>
    <w:rsid w:val="002D1C4D"/>
    <w:rsid w:val="002D1D2C"/>
    <w:rsid w:val="002D20F6"/>
    <w:rsid w:val="002D234E"/>
    <w:rsid w:val="002D2525"/>
    <w:rsid w:val="002D2590"/>
    <w:rsid w:val="002D2691"/>
    <w:rsid w:val="002D292B"/>
    <w:rsid w:val="002D2B72"/>
    <w:rsid w:val="002D2E95"/>
    <w:rsid w:val="002D2F0A"/>
    <w:rsid w:val="002D3042"/>
    <w:rsid w:val="002D304F"/>
    <w:rsid w:val="002D30A0"/>
    <w:rsid w:val="002D31CA"/>
    <w:rsid w:val="002D33AA"/>
    <w:rsid w:val="002D366C"/>
    <w:rsid w:val="002D3671"/>
    <w:rsid w:val="002D3696"/>
    <w:rsid w:val="002D36F0"/>
    <w:rsid w:val="002D37EB"/>
    <w:rsid w:val="002D384D"/>
    <w:rsid w:val="002D394B"/>
    <w:rsid w:val="002D3A41"/>
    <w:rsid w:val="002D3B3A"/>
    <w:rsid w:val="002D3C9F"/>
    <w:rsid w:val="002D3D22"/>
    <w:rsid w:val="002D3D9F"/>
    <w:rsid w:val="002D3E6B"/>
    <w:rsid w:val="002D3F27"/>
    <w:rsid w:val="002D4052"/>
    <w:rsid w:val="002D406F"/>
    <w:rsid w:val="002D41B3"/>
    <w:rsid w:val="002D41B5"/>
    <w:rsid w:val="002D4270"/>
    <w:rsid w:val="002D4284"/>
    <w:rsid w:val="002D4310"/>
    <w:rsid w:val="002D4437"/>
    <w:rsid w:val="002D4563"/>
    <w:rsid w:val="002D476D"/>
    <w:rsid w:val="002D48F4"/>
    <w:rsid w:val="002D4904"/>
    <w:rsid w:val="002D4980"/>
    <w:rsid w:val="002D49FD"/>
    <w:rsid w:val="002D4A1A"/>
    <w:rsid w:val="002D4A35"/>
    <w:rsid w:val="002D4B30"/>
    <w:rsid w:val="002D4BA4"/>
    <w:rsid w:val="002D4E37"/>
    <w:rsid w:val="002D4EBE"/>
    <w:rsid w:val="002D4ED5"/>
    <w:rsid w:val="002D50D3"/>
    <w:rsid w:val="002D514D"/>
    <w:rsid w:val="002D52F9"/>
    <w:rsid w:val="002D537C"/>
    <w:rsid w:val="002D5595"/>
    <w:rsid w:val="002D589E"/>
    <w:rsid w:val="002D59C3"/>
    <w:rsid w:val="002D5AE6"/>
    <w:rsid w:val="002D5B6F"/>
    <w:rsid w:val="002D5C1D"/>
    <w:rsid w:val="002D5C5D"/>
    <w:rsid w:val="002D5CF0"/>
    <w:rsid w:val="002D5DA5"/>
    <w:rsid w:val="002D5EAB"/>
    <w:rsid w:val="002D5EBF"/>
    <w:rsid w:val="002D5F67"/>
    <w:rsid w:val="002D5F9C"/>
    <w:rsid w:val="002D6004"/>
    <w:rsid w:val="002D6043"/>
    <w:rsid w:val="002D6062"/>
    <w:rsid w:val="002D65C3"/>
    <w:rsid w:val="002D667C"/>
    <w:rsid w:val="002D6767"/>
    <w:rsid w:val="002D68E0"/>
    <w:rsid w:val="002D6B97"/>
    <w:rsid w:val="002D6BC5"/>
    <w:rsid w:val="002D6C32"/>
    <w:rsid w:val="002D6DC6"/>
    <w:rsid w:val="002D6F2F"/>
    <w:rsid w:val="002D7231"/>
    <w:rsid w:val="002D7453"/>
    <w:rsid w:val="002D7509"/>
    <w:rsid w:val="002D7723"/>
    <w:rsid w:val="002D77BD"/>
    <w:rsid w:val="002D7808"/>
    <w:rsid w:val="002D780F"/>
    <w:rsid w:val="002D78EC"/>
    <w:rsid w:val="002D7944"/>
    <w:rsid w:val="002D794C"/>
    <w:rsid w:val="002D7979"/>
    <w:rsid w:val="002D7AC3"/>
    <w:rsid w:val="002D7B76"/>
    <w:rsid w:val="002D7DB9"/>
    <w:rsid w:val="002D7EBE"/>
    <w:rsid w:val="002D7FF7"/>
    <w:rsid w:val="002E0051"/>
    <w:rsid w:val="002E0110"/>
    <w:rsid w:val="002E01CD"/>
    <w:rsid w:val="002E02AB"/>
    <w:rsid w:val="002E02BC"/>
    <w:rsid w:val="002E0868"/>
    <w:rsid w:val="002E08A3"/>
    <w:rsid w:val="002E0CF9"/>
    <w:rsid w:val="002E0E96"/>
    <w:rsid w:val="002E0ED2"/>
    <w:rsid w:val="002E108E"/>
    <w:rsid w:val="002E11F2"/>
    <w:rsid w:val="002E1228"/>
    <w:rsid w:val="002E168C"/>
    <w:rsid w:val="002E175E"/>
    <w:rsid w:val="002E176B"/>
    <w:rsid w:val="002E17EF"/>
    <w:rsid w:val="002E190E"/>
    <w:rsid w:val="002E19C8"/>
    <w:rsid w:val="002E1BD1"/>
    <w:rsid w:val="002E1BDC"/>
    <w:rsid w:val="002E1C15"/>
    <w:rsid w:val="002E1C57"/>
    <w:rsid w:val="002E1C64"/>
    <w:rsid w:val="002E1D10"/>
    <w:rsid w:val="002E1D21"/>
    <w:rsid w:val="002E1E06"/>
    <w:rsid w:val="002E1E16"/>
    <w:rsid w:val="002E1E70"/>
    <w:rsid w:val="002E2116"/>
    <w:rsid w:val="002E2490"/>
    <w:rsid w:val="002E24B1"/>
    <w:rsid w:val="002E24F7"/>
    <w:rsid w:val="002E2601"/>
    <w:rsid w:val="002E2639"/>
    <w:rsid w:val="002E26F1"/>
    <w:rsid w:val="002E2951"/>
    <w:rsid w:val="002E29DF"/>
    <w:rsid w:val="002E2B2B"/>
    <w:rsid w:val="002E2B3D"/>
    <w:rsid w:val="002E2B84"/>
    <w:rsid w:val="002E2C2C"/>
    <w:rsid w:val="002E2F09"/>
    <w:rsid w:val="002E2F67"/>
    <w:rsid w:val="002E3290"/>
    <w:rsid w:val="002E32F4"/>
    <w:rsid w:val="002E34B2"/>
    <w:rsid w:val="002E35D1"/>
    <w:rsid w:val="002E374A"/>
    <w:rsid w:val="002E38C5"/>
    <w:rsid w:val="002E3D36"/>
    <w:rsid w:val="002E3D61"/>
    <w:rsid w:val="002E3D8A"/>
    <w:rsid w:val="002E3DC4"/>
    <w:rsid w:val="002E4011"/>
    <w:rsid w:val="002E40C7"/>
    <w:rsid w:val="002E413F"/>
    <w:rsid w:val="002E431D"/>
    <w:rsid w:val="002E4322"/>
    <w:rsid w:val="002E44C0"/>
    <w:rsid w:val="002E44FB"/>
    <w:rsid w:val="002E44FC"/>
    <w:rsid w:val="002E459A"/>
    <w:rsid w:val="002E4667"/>
    <w:rsid w:val="002E4731"/>
    <w:rsid w:val="002E4733"/>
    <w:rsid w:val="002E47EE"/>
    <w:rsid w:val="002E4917"/>
    <w:rsid w:val="002E4DCE"/>
    <w:rsid w:val="002E4F70"/>
    <w:rsid w:val="002E4F90"/>
    <w:rsid w:val="002E5293"/>
    <w:rsid w:val="002E54C9"/>
    <w:rsid w:val="002E570E"/>
    <w:rsid w:val="002E5714"/>
    <w:rsid w:val="002E57E3"/>
    <w:rsid w:val="002E5909"/>
    <w:rsid w:val="002E5E1D"/>
    <w:rsid w:val="002E5EA2"/>
    <w:rsid w:val="002E620B"/>
    <w:rsid w:val="002E62B1"/>
    <w:rsid w:val="002E63A8"/>
    <w:rsid w:val="002E6672"/>
    <w:rsid w:val="002E667C"/>
    <w:rsid w:val="002E6719"/>
    <w:rsid w:val="002E6769"/>
    <w:rsid w:val="002E6922"/>
    <w:rsid w:val="002E6B0B"/>
    <w:rsid w:val="002E6BC8"/>
    <w:rsid w:val="002E6BDA"/>
    <w:rsid w:val="002E6C53"/>
    <w:rsid w:val="002E6DDA"/>
    <w:rsid w:val="002E6F66"/>
    <w:rsid w:val="002E7117"/>
    <w:rsid w:val="002E713E"/>
    <w:rsid w:val="002E728E"/>
    <w:rsid w:val="002E7415"/>
    <w:rsid w:val="002E7486"/>
    <w:rsid w:val="002E74E1"/>
    <w:rsid w:val="002E77D5"/>
    <w:rsid w:val="002E794A"/>
    <w:rsid w:val="002E7991"/>
    <w:rsid w:val="002E7A3F"/>
    <w:rsid w:val="002E7B18"/>
    <w:rsid w:val="002E7C5A"/>
    <w:rsid w:val="002E7C9A"/>
    <w:rsid w:val="002E7EF1"/>
    <w:rsid w:val="002E7F13"/>
    <w:rsid w:val="002F002D"/>
    <w:rsid w:val="002F044A"/>
    <w:rsid w:val="002F0535"/>
    <w:rsid w:val="002F056A"/>
    <w:rsid w:val="002F06B7"/>
    <w:rsid w:val="002F0998"/>
    <w:rsid w:val="002F0B15"/>
    <w:rsid w:val="002F0BF2"/>
    <w:rsid w:val="002F0C51"/>
    <w:rsid w:val="002F0CB4"/>
    <w:rsid w:val="002F0D04"/>
    <w:rsid w:val="002F0D71"/>
    <w:rsid w:val="002F1267"/>
    <w:rsid w:val="002F12AA"/>
    <w:rsid w:val="002F131E"/>
    <w:rsid w:val="002F1399"/>
    <w:rsid w:val="002F1B04"/>
    <w:rsid w:val="002F1BC9"/>
    <w:rsid w:val="002F1C04"/>
    <w:rsid w:val="002F1C55"/>
    <w:rsid w:val="002F1C6E"/>
    <w:rsid w:val="002F1CAB"/>
    <w:rsid w:val="002F1EA5"/>
    <w:rsid w:val="002F1EB8"/>
    <w:rsid w:val="002F2076"/>
    <w:rsid w:val="002F21F8"/>
    <w:rsid w:val="002F22A0"/>
    <w:rsid w:val="002F22BF"/>
    <w:rsid w:val="002F22EE"/>
    <w:rsid w:val="002F23E7"/>
    <w:rsid w:val="002F253C"/>
    <w:rsid w:val="002F2815"/>
    <w:rsid w:val="002F28D6"/>
    <w:rsid w:val="002F2909"/>
    <w:rsid w:val="002F2A86"/>
    <w:rsid w:val="002F2CED"/>
    <w:rsid w:val="002F3020"/>
    <w:rsid w:val="002F3132"/>
    <w:rsid w:val="002F314E"/>
    <w:rsid w:val="002F31E9"/>
    <w:rsid w:val="002F31EB"/>
    <w:rsid w:val="002F32EF"/>
    <w:rsid w:val="002F3330"/>
    <w:rsid w:val="002F34B7"/>
    <w:rsid w:val="002F350C"/>
    <w:rsid w:val="002F353A"/>
    <w:rsid w:val="002F356C"/>
    <w:rsid w:val="002F364A"/>
    <w:rsid w:val="002F39C2"/>
    <w:rsid w:val="002F39D2"/>
    <w:rsid w:val="002F3AD6"/>
    <w:rsid w:val="002F3D2B"/>
    <w:rsid w:val="002F3D82"/>
    <w:rsid w:val="002F3DA6"/>
    <w:rsid w:val="002F3F9D"/>
    <w:rsid w:val="002F3FE6"/>
    <w:rsid w:val="002F40CB"/>
    <w:rsid w:val="002F40F9"/>
    <w:rsid w:val="002F4174"/>
    <w:rsid w:val="002F445B"/>
    <w:rsid w:val="002F449F"/>
    <w:rsid w:val="002F4565"/>
    <w:rsid w:val="002F45D0"/>
    <w:rsid w:val="002F4633"/>
    <w:rsid w:val="002F4668"/>
    <w:rsid w:val="002F46CF"/>
    <w:rsid w:val="002F4770"/>
    <w:rsid w:val="002F4843"/>
    <w:rsid w:val="002F498F"/>
    <w:rsid w:val="002F4A62"/>
    <w:rsid w:val="002F4A69"/>
    <w:rsid w:val="002F4C26"/>
    <w:rsid w:val="002F4C6B"/>
    <w:rsid w:val="002F4EAE"/>
    <w:rsid w:val="002F50D6"/>
    <w:rsid w:val="002F516D"/>
    <w:rsid w:val="002F51B1"/>
    <w:rsid w:val="002F53A1"/>
    <w:rsid w:val="002F5667"/>
    <w:rsid w:val="002F5899"/>
    <w:rsid w:val="002F59A6"/>
    <w:rsid w:val="002F5A42"/>
    <w:rsid w:val="002F5CCC"/>
    <w:rsid w:val="002F5E01"/>
    <w:rsid w:val="002F6045"/>
    <w:rsid w:val="002F6083"/>
    <w:rsid w:val="002F61FD"/>
    <w:rsid w:val="002F64C9"/>
    <w:rsid w:val="002F651C"/>
    <w:rsid w:val="002F6655"/>
    <w:rsid w:val="002F67FE"/>
    <w:rsid w:val="002F69F5"/>
    <w:rsid w:val="002F6AB8"/>
    <w:rsid w:val="002F6B7C"/>
    <w:rsid w:val="002F6E94"/>
    <w:rsid w:val="002F6EDF"/>
    <w:rsid w:val="002F701E"/>
    <w:rsid w:val="002F72BC"/>
    <w:rsid w:val="002F73D0"/>
    <w:rsid w:val="002F7642"/>
    <w:rsid w:val="002F76AE"/>
    <w:rsid w:val="002F7751"/>
    <w:rsid w:val="002F7822"/>
    <w:rsid w:val="002F796E"/>
    <w:rsid w:val="002F7A8A"/>
    <w:rsid w:val="002F7B1B"/>
    <w:rsid w:val="002F7B49"/>
    <w:rsid w:val="002F7D39"/>
    <w:rsid w:val="002F7D88"/>
    <w:rsid w:val="002F7DEA"/>
    <w:rsid w:val="002F7F0E"/>
    <w:rsid w:val="0030027E"/>
    <w:rsid w:val="0030043F"/>
    <w:rsid w:val="003004D2"/>
    <w:rsid w:val="00300581"/>
    <w:rsid w:val="003005E0"/>
    <w:rsid w:val="00300603"/>
    <w:rsid w:val="00300627"/>
    <w:rsid w:val="00300686"/>
    <w:rsid w:val="0030069D"/>
    <w:rsid w:val="003006BA"/>
    <w:rsid w:val="00300900"/>
    <w:rsid w:val="00300909"/>
    <w:rsid w:val="00300C1C"/>
    <w:rsid w:val="00300CD0"/>
    <w:rsid w:val="00300CE8"/>
    <w:rsid w:val="00300DC5"/>
    <w:rsid w:val="00300E19"/>
    <w:rsid w:val="00300E69"/>
    <w:rsid w:val="003010D3"/>
    <w:rsid w:val="003010E9"/>
    <w:rsid w:val="00301592"/>
    <w:rsid w:val="0030178C"/>
    <w:rsid w:val="003018EA"/>
    <w:rsid w:val="00301919"/>
    <w:rsid w:val="00301994"/>
    <w:rsid w:val="003019E5"/>
    <w:rsid w:val="00301A37"/>
    <w:rsid w:val="00301A61"/>
    <w:rsid w:val="00301C8E"/>
    <w:rsid w:val="00301D44"/>
    <w:rsid w:val="00301DAC"/>
    <w:rsid w:val="0030203D"/>
    <w:rsid w:val="00302157"/>
    <w:rsid w:val="00302194"/>
    <w:rsid w:val="003021ED"/>
    <w:rsid w:val="003022DF"/>
    <w:rsid w:val="003022EE"/>
    <w:rsid w:val="00302368"/>
    <w:rsid w:val="00302556"/>
    <w:rsid w:val="0030263C"/>
    <w:rsid w:val="00302934"/>
    <w:rsid w:val="003029EF"/>
    <w:rsid w:val="00302AB7"/>
    <w:rsid w:val="00302BA8"/>
    <w:rsid w:val="00302D35"/>
    <w:rsid w:val="00302FD1"/>
    <w:rsid w:val="003031E6"/>
    <w:rsid w:val="003032E3"/>
    <w:rsid w:val="003032E4"/>
    <w:rsid w:val="003032E7"/>
    <w:rsid w:val="0030342A"/>
    <w:rsid w:val="00303597"/>
    <w:rsid w:val="003036CB"/>
    <w:rsid w:val="0030392B"/>
    <w:rsid w:val="0030398E"/>
    <w:rsid w:val="00303A11"/>
    <w:rsid w:val="00303BB8"/>
    <w:rsid w:val="00303BF6"/>
    <w:rsid w:val="00303EF1"/>
    <w:rsid w:val="00303F4B"/>
    <w:rsid w:val="00303FDE"/>
    <w:rsid w:val="00304054"/>
    <w:rsid w:val="00304058"/>
    <w:rsid w:val="00304075"/>
    <w:rsid w:val="003040B0"/>
    <w:rsid w:val="00304105"/>
    <w:rsid w:val="003041C1"/>
    <w:rsid w:val="00304298"/>
    <w:rsid w:val="003042E8"/>
    <w:rsid w:val="003043F4"/>
    <w:rsid w:val="00304464"/>
    <w:rsid w:val="003045D7"/>
    <w:rsid w:val="00304657"/>
    <w:rsid w:val="003046A5"/>
    <w:rsid w:val="003046FF"/>
    <w:rsid w:val="00304C3E"/>
    <w:rsid w:val="00304D45"/>
    <w:rsid w:val="00304DB3"/>
    <w:rsid w:val="00304EAD"/>
    <w:rsid w:val="00304FB4"/>
    <w:rsid w:val="00304FB9"/>
    <w:rsid w:val="003050A8"/>
    <w:rsid w:val="003050ED"/>
    <w:rsid w:val="00305123"/>
    <w:rsid w:val="003055FF"/>
    <w:rsid w:val="003056A4"/>
    <w:rsid w:val="003057D9"/>
    <w:rsid w:val="00305A8B"/>
    <w:rsid w:val="00305BF4"/>
    <w:rsid w:val="00305C16"/>
    <w:rsid w:val="00305D2E"/>
    <w:rsid w:val="00305DEA"/>
    <w:rsid w:val="00305E2C"/>
    <w:rsid w:val="00306083"/>
    <w:rsid w:val="00306396"/>
    <w:rsid w:val="00306414"/>
    <w:rsid w:val="00306CF8"/>
    <w:rsid w:val="00306E68"/>
    <w:rsid w:val="00306EB3"/>
    <w:rsid w:val="00306F8B"/>
    <w:rsid w:val="00307045"/>
    <w:rsid w:val="003075F5"/>
    <w:rsid w:val="0030768B"/>
    <w:rsid w:val="00307736"/>
    <w:rsid w:val="003078A7"/>
    <w:rsid w:val="003078EC"/>
    <w:rsid w:val="003079FF"/>
    <w:rsid w:val="00307A47"/>
    <w:rsid w:val="00307AF2"/>
    <w:rsid w:val="00307B9C"/>
    <w:rsid w:val="00307C05"/>
    <w:rsid w:val="00307F90"/>
    <w:rsid w:val="0031030D"/>
    <w:rsid w:val="00310362"/>
    <w:rsid w:val="00310424"/>
    <w:rsid w:val="00310461"/>
    <w:rsid w:val="0031052F"/>
    <w:rsid w:val="003105F1"/>
    <w:rsid w:val="003107C9"/>
    <w:rsid w:val="003108D6"/>
    <w:rsid w:val="00310A1C"/>
    <w:rsid w:val="00310B01"/>
    <w:rsid w:val="00310C4C"/>
    <w:rsid w:val="00310CF1"/>
    <w:rsid w:val="00310DC8"/>
    <w:rsid w:val="00310DDF"/>
    <w:rsid w:val="00310EB3"/>
    <w:rsid w:val="00310EDC"/>
    <w:rsid w:val="00311102"/>
    <w:rsid w:val="00311112"/>
    <w:rsid w:val="00311228"/>
    <w:rsid w:val="00311460"/>
    <w:rsid w:val="00311494"/>
    <w:rsid w:val="003115EE"/>
    <w:rsid w:val="00311BD6"/>
    <w:rsid w:val="00311BE7"/>
    <w:rsid w:val="00311C03"/>
    <w:rsid w:val="00311C82"/>
    <w:rsid w:val="00311CF9"/>
    <w:rsid w:val="00311D94"/>
    <w:rsid w:val="00311E8F"/>
    <w:rsid w:val="00311F68"/>
    <w:rsid w:val="0031228D"/>
    <w:rsid w:val="00312754"/>
    <w:rsid w:val="003129BF"/>
    <w:rsid w:val="00312A5E"/>
    <w:rsid w:val="00312AEB"/>
    <w:rsid w:val="00312D48"/>
    <w:rsid w:val="00312EC4"/>
    <w:rsid w:val="003130B3"/>
    <w:rsid w:val="00313141"/>
    <w:rsid w:val="0031316F"/>
    <w:rsid w:val="0031317B"/>
    <w:rsid w:val="003133F3"/>
    <w:rsid w:val="003135E4"/>
    <w:rsid w:val="003136FB"/>
    <w:rsid w:val="00313791"/>
    <w:rsid w:val="003137F1"/>
    <w:rsid w:val="003138BA"/>
    <w:rsid w:val="003139F0"/>
    <w:rsid w:val="00313A81"/>
    <w:rsid w:val="00313C4B"/>
    <w:rsid w:val="00313E69"/>
    <w:rsid w:val="00313F9B"/>
    <w:rsid w:val="00313FF1"/>
    <w:rsid w:val="0031410B"/>
    <w:rsid w:val="0031417B"/>
    <w:rsid w:val="00314377"/>
    <w:rsid w:val="003145B2"/>
    <w:rsid w:val="00314644"/>
    <w:rsid w:val="00314A6B"/>
    <w:rsid w:val="00314AF0"/>
    <w:rsid w:val="00314B60"/>
    <w:rsid w:val="00314B6E"/>
    <w:rsid w:val="00314DFD"/>
    <w:rsid w:val="00314E4D"/>
    <w:rsid w:val="00314EC1"/>
    <w:rsid w:val="00314F80"/>
    <w:rsid w:val="00315015"/>
    <w:rsid w:val="00315232"/>
    <w:rsid w:val="003152EC"/>
    <w:rsid w:val="0031532F"/>
    <w:rsid w:val="00315962"/>
    <w:rsid w:val="00315A24"/>
    <w:rsid w:val="00315A26"/>
    <w:rsid w:val="00315A57"/>
    <w:rsid w:val="00315ADC"/>
    <w:rsid w:val="00315CBC"/>
    <w:rsid w:val="00315CC7"/>
    <w:rsid w:val="00315D44"/>
    <w:rsid w:val="00315DA3"/>
    <w:rsid w:val="0031600A"/>
    <w:rsid w:val="003161C7"/>
    <w:rsid w:val="00316374"/>
    <w:rsid w:val="0031640B"/>
    <w:rsid w:val="003164AD"/>
    <w:rsid w:val="003167CA"/>
    <w:rsid w:val="0031690D"/>
    <w:rsid w:val="00316A21"/>
    <w:rsid w:val="00316B76"/>
    <w:rsid w:val="00316C1C"/>
    <w:rsid w:val="00316D48"/>
    <w:rsid w:val="00316ECD"/>
    <w:rsid w:val="003171CD"/>
    <w:rsid w:val="00317327"/>
    <w:rsid w:val="003173C9"/>
    <w:rsid w:val="00317402"/>
    <w:rsid w:val="00317706"/>
    <w:rsid w:val="0031779C"/>
    <w:rsid w:val="0031789C"/>
    <w:rsid w:val="00317AB8"/>
    <w:rsid w:val="00317B70"/>
    <w:rsid w:val="00317C7A"/>
    <w:rsid w:val="00317F0D"/>
    <w:rsid w:val="00317F48"/>
    <w:rsid w:val="00317F6E"/>
    <w:rsid w:val="00317F78"/>
    <w:rsid w:val="00320026"/>
    <w:rsid w:val="00320066"/>
    <w:rsid w:val="0032033E"/>
    <w:rsid w:val="003204DA"/>
    <w:rsid w:val="003204E8"/>
    <w:rsid w:val="00320609"/>
    <w:rsid w:val="00320634"/>
    <w:rsid w:val="003209E0"/>
    <w:rsid w:val="00320ACB"/>
    <w:rsid w:val="00320B13"/>
    <w:rsid w:val="00320BFE"/>
    <w:rsid w:val="00320C2E"/>
    <w:rsid w:val="00320D08"/>
    <w:rsid w:val="00320D77"/>
    <w:rsid w:val="00320E1C"/>
    <w:rsid w:val="00320E82"/>
    <w:rsid w:val="00321143"/>
    <w:rsid w:val="003212C4"/>
    <w:rsid w:val="00321411"/>
    <w:rsid w:val="00321419"/>
    <w:rsid w:val="00321621"/>
    <w:rsid w:val="00321741"/>
    <w:rsid w:val="00321778"/>
    <w:rsid w:val="00321A18"/>
    <w:rsid w:val="00321A47"/>
    <w:rsid w:val="00321B15"/>
    <w:rsid w:val="00321B75"/>
    <w:rsid w:val="00321C00"/>
    <w:rsid w:val="00321DC2"/>
    <w:rsid w:val="00321FA4"/>
    <w:rsid w:val="00322045"/>
    <w:rsid w:val="0032215C"/>
    <w:rsid w:val="00322246"/>
    <w:rsid w:val="0032258D"/>
    <w:rsid w:val="003225D7"/>
    <w:rsid w:val="00322670"/>
    <w:rsid w:val="00322761"/>
    <w:rsid w:val="00322898"/>
    <w:rsid w:val="0032297B"/>
    <w:rsid w:val="00322B80"/>
    <w:rsid w:val="00322C86"/>
    <w:rsid w:val="00322D09"/>
    <w:rsid w:val="00322D0A"/>
    <w:rsid w:val="00322DC5"/>
    <w:rsid w:val="00322F23"/>
    <w:rsid w:val="00322FE2"/>
    <w:rsid w:val="00323350"/>
    <w:rsid w:val="003234DA"/>
    <w:rsid w:val="00323514"/>
    <w:rsid w:val="0032354D"/>
    <w:rsid w:val="003238EB"/>
    <w:rsid w:val="00323915"/>
    <w:rsid w:val="00323A65"/>
    <w:rsid w:val="00323A7E"/>
    <w:rsid w:val="00323B13"/>
    <w:rsid w:val="00323B87"/>
    <w:rsid w:val="00323D69"/>
    <w:rsid w:val="00324398"/>
    <w:rsid w:val="003244E7"/>
    <w:rsid w:val="00324599"/>
    <w:rsid w:val="003245BF"/>
    <w:rsid w:val="00324777"/>
    <w:rsid w:val="00324784"/>
    <w:rsid w:val="003248B4"/>
    <w:rsid w:val="00324A3B"/>
    <w:rsid w:val="00325191"/>
    <w:rsid w:val="003251DE"/>
    <w:rsid w:val="003251EE"/>
    <w:rsid w:val="003252CA"/>
    <w:rsid w:val="0032572A"/>
    <w:rsid w:val="0032587B"/>
    <w:rsid w:val="00325A15"/>
    <w:rsid w:val="00325B91"/>
    <w:rsid w:val="00325EE5"/>
    <w:rsid w:val="00325F62"/>
    <w:rsid w:val="00326018"/>
    <w:rsid w:val="00326098"/>
    <w:rsid w:val="003261A4"/>
    <w:rsid w:val="003261C8"/>
    <w:rsid w:val="00326312"/>
    <w:rsid w:val="003263A1"/>
    <w:rsid w:val="00326574"/>
    <w:rsid w:val="0032669A"/>
    <w:rsid w:val="003269A7"/>
    <w:rsid w:val="00326F3A"/>
    <w:rsid w:val="00326F76"/>
    <w:rsid w:val="0032713B"/>
    <w:rsid w:val="003271C8"/>
    <w:rsid w:val="00327210"/>
    <w:rsid w:val="0032726A"/>
    <w:rsid w:val="003272AB"/>
    <w:rsid w:val="003272BC"/>
    <w:rsid w:val="00327489"/>
    <w:rsid w:val="00327706"/>
    <w:rsid w:val="003277FF"/>
    <w:rsid w:val="00327A13"/>
    <w:rsid w:val="00327A21"/>
    <w:rsid w:val="00327C0A"/>
    <w:rsid w:val="00327D38"/>
    <w:rsid w:val="00327E5F"/>
    <w:rsid w:val="00327F09"/>
    <w:rsid w:val="003300A1"/>
    <w:rsid w:val="003300EA"/>
    <w:rsid w:val="00330292"/>
    <w:rsid w:val="00330517"/>
    <w:rsid w:val="003306B9"/>
    <w:rsid w:val="0033087F"/>
    <w:rsid w:val="003309A6"/>
    <w:rsid w:val="003309D4"/>
    <w:rsid w:val="00330B07"/>
    <w:rsid w:val="00330B39"/>
    <w:rsid w:val="00330BAE"/>
    <w:rsid w:val="00330DEE"/>
    <w:rsid w:val="0033114E"/>
    <w:rsid w:val="003311C9"/>
    <w:rsid w:val="00331289"/>
    <w:rsid w:val="00331295"/>
    <w:rsid w:val="003313F4"/>
    <w:rsid w:val="00331576"/>
    <w:rsid w:val="003315CD"/>
    <w:rsid w:val="003315D4"/>
    <w:rsid w:val="003317F5"/>
    <w:rsid w:val="00331DF7"/>
    <w:rsid w:val="00331F14"/>
    <w:rsid w:val="00331FEA"/>
    <w:rsid w:val="00332072"/>
    <w:rsid w:val="0033228E"/>
    <w:rsid w:val="00332469"/>
    <w:rsid w:val="00332530"/>
    <w:rsid w:val="0033266B"/>
    <w:rsid w:val="0033272E"/>
    <w:rsid w:val="003328D2"/>
    <w:rsid w:val="00332922"/>
    <w:rsid w:val="003329B6"/>
    <w:rsid w:val="003329BD"/>
    <w:rsid w:val="003329CA"/>
    <w:rsid w:val="00332E06"/>
    <w:rsid w:val="00332FE8"/>
    <w:rsid w:val="0033301A"/>
    <w:rsid w:val="003331A8"/>
    <w:rsid w:val="003331D1"/>
    <w:rsid w:val="00333301"/>
    <w:rsid w:val="003333B6"/>
    <w:rsid w:val="003333E8"/>
    <w:rsid w:val="00333513"/>
    <w:rsid w:val="003335B5"/>
    <w:rsid w:val="003336CE"/>
    <w:rsid w:val="0033375D"/>
    <w:rsid w:val="00333897"/>
    <w:rsid w:val="00333975"/>
    <w:rsid w:val="00333A42"/>
    <w:rsid w:val="00333BD7"/>
    <w:rsid w:val="00333E75"/>
    <w:rsid w:val="00333F8E"/>
    <w:rsid w:val="00333F93"/>
    <w:rsid w:val="00333FD0"/>
    <w:rsid w:val="0033408A"/>
    <w:rsid w:val="00334292"/>
    <w:rsid w:val="0033429A"/>
    <w:rsid w:val="00334340"/>
    <w:rsid w:val="003343A2"/>
    <w:rsid w:val="003343E1"/>
    <w:rsid w:val="003344B4"/>
    <w:rsid w:val="003345E4"/>
    <w:rsid w:val="00334684"/>
    <w:rsid w:val="00334A51"/>
    <w:rsid w:val="00334D55"/>
    <w:rsid w:val="00334D9A"/>
    <w:rsid w:val="00334DC7"/>
    <w:rsid w:val="00334E4C"/>
    <w:rsid w:val="00335029"/>
    <w:rsid w:val="00335199"/>
    <w:rsid w:val="003351F9"/>
    <w:rsid w:val="0033520F"/>
    <w:rsid w:val="00335313"/>
    <w:rsid w:val="0033546B"/>
    <w:rsid w:val="003354F5"/>
    <w:rsid w:val="00335504"/>
    <w:rsid w:val="003355E3"/>
    <w:rsid w:val="0033593C"/>
    <w:rsid w:val="00335A40"/>
    <w:rsid w:val="00335C32"/>
    <w:rsid w:val="00335C49"/>
    <w:rsid w:val="00335D03"/>
    <w:rsid w:val="00335DE7"/>
    <w:rsid w:val="00335FBA"/>
    <w:rsid w:val="00336006"/>
    <w:rsid w:val="00336020"/>
    <w:rsid w:val="003361BD"/>
    <w:rsid w:val="003362BA"/>
    <w:rsid w:val="003363B0"/>
    <w:rsid w:val="003363EF"/>
    <w:rsid w:val="0033654B"/>
    <w:rsid w:val="0033661A"/>
    <w:rsid w:val="0033688E"/>
    <w:rsid w:val="003368D3"/>
    <w:rsid w:val="00336985"/>
    <w:rsid w:val="003369C9"/>
    <w:rsid w:val="003369DB"/>
    <w:rsid w:val="00336DFA"/>
    <w:rsid w:val="00336FF6"/>
    <w:rsid w:val="0033703F"/>
    <w:rsid w:val="00337110"/>
    <w:rsid w:val="00337251"/>
    <w:rsid w:val="0033744C"/>
    <w:rsid w:val="003374E9"/>
    <w:rsid w:val="003376DE"/>
    <w:rsid w:val="00337783"/>
    <w:rsid w:val="00337896"/>
    <w:rsid w:val="003378F7"/>
    <w:rsid w:val="00337AD8"/>
    <w:rsid w:val="00337B16"/>
    <w:rsid w:val="00337B40"/>
    <w:rsid w:val="00337B9F"/>
    <w:rsid w:val="00337CD5"/>
    <w:rsid w:val="00337F30"/>
    <w:rsid w:val="00340076"/>
    <w:rsid w:val="003400A7"/>
    <w:rsid w:val="003402AC"/>
    <w:rsid w:val="003403C1"/>
    <w:rsid w:val="003404B3"/>
    <w:rsid w:val="00340515"/>
    <w:rsid w:val="0034052C"/>
    <w:rsid w:val="00340569"/>
    <w:rsid w:val="0034077B"/>
    <w:rsid w:val="00340780"/>
    <w:rsid w:val="00340A9E"/>
    <w:rsid w:val="00340DA0"/>
    <w:rsid w:val="00340E16"/>
    <w:rsid w:val="0034103D"/>
    <w:rsid w:val="0034127B"/>
    <w:rsid w:val="003414C7"/>
    <w:rsid w:val="00341706"/>
    <w:rsid w:val="003417DF"/>
    <w:rsid w:val="003417F0"/>
    <w:rsid w:val="0034183B"/>
    <w:rsid w:val="003418C8"/>
    <w:rsid w:val="003419B6"/>
    <w:rsid w:val="003419F7"/>
    <w:rsid w:val="003419FC"/>
    <w:rsid w:val="00341CA2"/>
    <w:rsid w:val="00341D20"/>
    <w:rsid w:val="00341D42"/>
    <w:rsid w:val="00342144"/>
    <w:rsid w:val="003421DF"/>
    <w:rsid w:val="0034239C"/>
    <w:rsid w:val="0034241C"/>
    <w:rsid w:val="00342564"/>
    <w:rsid w:val="0034262E"/>
    <w:rsid w:val="00342A07"/>
    <w:rsid w:val="00342B69"/>
    <w:rsid w:val="00342BFF"/>
    <w:rsid w:val="00342FA2"/>
    <w:rsid w:val="00342FCC"/>
    <w:rsid w:val="003430C4"/>
    <w:rsid w:val="00343109"/>
    <w:rsid w:val="0034326E"/>
    <w:rsid w:val="003434F6"/>
    <w:rsid w:val="00343588"/>
    <w:rsid w:val="003437DF"/>
    <w:rsid w:val="0034388C"/>
    <w:rsid w:val="00343894"/>
    <w:rsid w:val="0034395E"/>
    <w:rsid w:val="003439B0"/>
    <w:rsid w:val="00343A16"/>
    <w:rsid w:val="00343A8E"/>
    <w:rsid w:val="00343B3A"/>
    <w:rsid w:val="00343C39"/>
    <w:rsid w:val="00343C70"/>
    <w:rsid w:val="00343F09"/>
    <w:rsid w:val="00344125"/>
    <w:rsid w:val="00344430"/>
    <w:rsid w:val="0034446D"/>
    <w:rsid w:val="003445B5"/>
    <w:rsid w:val="00344602"/>
    <w:rsid w:val="003446D8"/>
    <w:rsid w:val="00344983"/>
    <w:rsid w:val="003449B7"/>
    <w:rsid w:val="003449EF"/>
    <w:rsid w:val="00344E15"/>
    <w:rsid w:val="00344ED2"/>
    <w:rsid w:val="0034511F"/>
    <w:rsid w:val="003451F2"/>
    <w:rsid w:val="00345398"/>
    <w:rsid w:val="0034564C"/>
    <w:rsid w:val="003457BA"/>
    <w:rsid w:val="00345881"/>
    <w:rsid w:val="0034591C"/>
    <w:rsid w:val="0034593B"/>
    <w:rsid w:val="00345AC1"/>
    <w:rsid w:val="00345C97"/>
    <w:rsid w:val="0034641F"/>
    <w:rsid w:val="0034671B"/>
    <w:rsid w:val="003468E0"/>
    <w:rsid w:val="00346B77"/>
    <w:rsid w:val="00346CA2"/>
    <w:rsid w:val="00346D16"/>
    <w:rsid w:val="00346D3E"/>
    <w:rsid w:val="00346DC3"/>
    <w:rsid w:val="00346EF8"/>
    <w:rsid w:val="00346F11"/>
    <w:rsid w:val="003471E3"/>
    <w:rsid w:val="00347219"/>
    <w:rsid w:val="003472EE"/>
    <w:rsid w:val="003473E2"/>
    <w:rsid w:val="0034741C"/>
    <w:rsid w:val="0034747B"/>
    <w:rsid w:val="00347507"/>
    <w:rsid w:val="003477B8"/>
    <w:rsid w:val="0034780F"/>
    <w:rsid w:val="003478E5"/>
    <w:rsid w:val="00347A77"/>
    <w:rsid w:val="00347B30"/>
    <w:rsid w:val="00347CC7"/>
    <w:rsid w:val="00347D66"/>
    <w:rsid w:val="00347EB1"/>
    <w:rsid w:val="0035003B"/>
    <w:rsid w:val="003500CA"/>
    <w:rsid w:val="003503D2"/>
    <w:rsid w:val="00350753"/>
    <w:rsid w:val="003507C8"/>
    <w:rsid w:val="003507F7"/>
    <w:rsid w:val="0035081E"/>
    <w:rsid w:val="003508A2"/>
    <w:rsid w:val="0035099D"/>
    <w:rsid w:val="00350B93"/>
    <w:rsid w:val="00350CD5"/>
    <w:rsid w:val="00350E14"/>
    <w:rsid w:val="00350E1C"/>
    <w:rsid w:val="00350F14"/>
    <w:rsid w:val="00350FD1"/>
    <w:rsid w:val="00351054"/>
    <w:rsid w:val="003510BA"/>
    <w:rsid w:val="00351151"/>
    <w:rsid w:val="003511FC"/>
    <w:rsid w:val="00351249"/>
    <w:rsid w:val="003512CF"/>
    <w:rsid w:val="0035142D"/>
    <w:rsid w:val="003518BE"/>
    <w:rsid w:val="00351B83"/>
    <w:rsid w:val="00351D9F"/>
    <w:rsid w:val="00351E4D"/>
    <w:rsid w:val="00351F68"/>
    <w:rsid w:val="0035208C"/>
    <w:rsid w:val="00352184"/>
    <w:rsid w:val="00352499"/>
    <w:rsid w:val="003524EB"/>
    <w:rsid w:val="00352576"/>
    <w:rsid w:val="00352A8A"/>
    <w:rsid w:val="00352BE9"/>
    <w:rsid w:val="00352C8A"/>
    <w:rsid w:val="00352CD1"/>
    <w:rsid w:val="00352E18"/>
    <w:rsid w:val="00353732"/>
    <w:rsid w:val="00353A5D"/>
    <w:rsid w:val="00353B21"/>
    <w:rsid w:val="00353BF7"/>
    <w:rsid w:val="00353D2D"/>
    <w:rsid w:val="00353E63"/>
    <w:rsid w:val="003541EC"/>
    <w:rsid w:val="003543CA"/>
    <w:rsid w:val="003544D4"/>
    <w:rsid w:val="003544F2"/>
    <w:rsid w:val="00354665"/>
    <w:rsid w:val="00354741"/>
    <w:rsid w:val="00354919"/>
    <w:rsid w:val="00354A8D"/>
    <w:rsid w:val="00354B76"/>
    <w:rsid w:val="00354DDA"/>
    <w:rsid w:val="00354E3C"/>
    <w:rsid w:val="00354F31"/>
    <w:rsid w:val="0035505C"/>
    <w:rsid w:val="0035505D"/>
    <w:rsid w:val="0035509D"/>
    <w:rsid w:val="00355550"/>
    <w:rsid w:val="003556D7"/>
    <w:rsid w:val="0035573A"/>
    <w:rsid w:val="0035579C"/>
    <w:rsid w:val="00355814"/>
    <w:rsid w:val="00355907"/>
    <w:rsid w:val="00355AB5"/>
    <w:rsid w:val="00355B77"/>
    <w:rsid w:val="00355E7B"/>
    <w:rsid w:val="00355E95"/>
    <w:rsid w:val="003560FF"/>
    <w:rsid w:val="00356152"/>
    <w:rsid w:val="003561AC"/>
    <w:rsid w:val="00356229"/>
    <w:rsid w:val="0035633B"/>
    <w:rsid w:val="00356384"/>
    <w:rsid w:val="003563D2"/>
    <w:rsid w:val="00356568"/>
    <w:rsid w:val="00356887"/>
    <w:rsid w:val="003569D2"/>
    <w:rsid w:val="003569F1"/>
    <w:rsid w:val="00356A11"/>
    <w:rsid w:val="00356A19"/>
    <w:rsid w:val="00356A32"/>
    <w:rsid w:val="00356A3E"/>
    <w:rsid w:val="00356BBF"/>
    <w:rsid w:val="00356EA4"/>
    <w:rsid w:val="00356F18"/>
    <w:rsid w:val="00356F3B"/>
    <w:rsid w:val="00356FD5"/>
    <w:rsid w:val="0035702D"/>
    <w:rsid w:val="0035703B"/>
    <w:rsid w:val="003571AF"/>
    <w:rsid w:val="003575A5"/>
    <w:rsid w:val="00357740"/>
    <w:rsid w:val="00357748"/>
    <w:rsid w:val="003577A9"/>
    <w:rsid w:val="00357856"/>
    <w:rsid w:val="00357A69"/>
    <w:rsid w:val="00357AC5"/>
    <w:rsid w:val="00357C4A"/>
    <w:rsid w:val="00357CE8"/>
    <w:rsid w:val="00357D62"/>
    <w:rsid w:val="00357E1E"/>
    <w:rsid w:val="00357F2F"/>
    <w:rsid w:val="00357FBB"/>
    <w:rsid w:val="00360086"/>
    <w:rsid w:val="00360093"/>
    <w:rsid w:val="003600F9"/>
    <w:rsid w:val="003601AF"/>
    <w:rsid w:val="0036025F"/>
    <w:rsid w:val="00360493"/>
    <w:rsid w:val="003604AC"/>
    <w:rsid w:val="003604CB"/>
    <w:rsid w:val="00360531"/>
    <w:rsid w:val="00360644"/>
    <w:rsid w:val="00360DD8"/>
    <w:rsid w:val="0036103A"/>
    <w:rsid w:val="00361250"/>
    <w:rsid w:val="0036127C"/>
    <w:rsid w:val="00361330"/>
    <w:rsid w:val="003614FB"/>
    <w:rsid w:val="003615AA"/>
    <w:rsid w:val="00361638"/>
    <w:rsid w:val="00361691"/>
    <w:rsid w:val="003616E4"/>
    <w:rsid w:val="00361701"/>
    <w:rsid w:val="00361731"/>
    <w:rsid w:val="00361848"/>
    <w:rsid w:val="0036196C"/>
    <w:rsid w:val="00361A09"/>
    <w:rsid w:val="00361C58"/>
    <w:rsid w:val="00361DD6"/>
    <w:rsid w:val="00361ED3"/>
    <w:rsid w:val="00361FDE"/>
    <w:rsid w:val="00361FE5"/>
    <w:rsid w:val="00362138"/>
    <w:rsid w:val="003621F7"/>
    <w:rsid w:val="00362317"/>
    <w:rsid w:val="00362697"/>
    <w:rsid w:val="0036272A"/>
    <w:rsid w:val="0036274C"/>
    <w:rsid w:val="00362751"/>
    <w:rsid w:val="003627CA"/>
    <w:rsid w:val="00362815"/>
    <w:rsid w:val="00362A5D"/>
    <w:rsid w:val="00362CD7"/>
    <w:rsid w:val="00362D76"/>
    <w:rsid w:val="00362DE1"/>
    <w:rsid w:val="00362DF6"/>
    <w:rsid w:val="00362EAE"/>
    <w:rsid w:val="00362F0F"/>
    <w:rsid w:val="00362FF4"/>
    <w:rsid w:val="00363141"/>
    <w:rsid w:val="00363198"/>
    <w:rsid w:val="003631DE"/>
    <w:rsid w:val="003632D4"/>
    <w:rsid w:val="003633A5"/>
    <w:rsid w:val="003635CF"/>
    <w:rsid w:val="00363601"/>
    <w:rsid w:val="003638F5"/>
    <w:rsid w:val="00363D34"/>
    <w:rsid w:val="00363E74"/>
    <w:rsid w:val="00364115"/>
    <w:rsid w:val="003641DC"/>
    <w:rsid w:val="00364233"/>
    <w:rsid w:val="0036437D"/>
    <w:rsid w:val="003643D6"/>
    <w:rsid w:val="003645BC"/>
    <w:rsid w:val="00364756"/>
    <w:rsid w:val="00364806"/>
    <w:rsid w:val="003648BF"/>
    <w:rsid w:val="003648C1"/>
    <w:rsid w:val="00364EC3"/>
    <w:rsid w:val="00364ECF"/>
    <w:rsid w:val="00364F40"/>
    <w:rsid w:val="00364FB8"/>
    <w:rsid w:val="00365052"/>
    <w:rsid w:val="003650B4"/>
    <w:rsid w:val="00365192"/>
    <w:rsid w:val="00365392"/>
    <w:rsid w:val="00365477"/>
    <w:rsid w:val="003654F0"/>
    <w:rsid w:val="00365817"/>
    <w:rsid w:val="00365854"/>
    <w:rsid w:val="003659E4"/>
    <w:rsid w:val="00365B7C"/>
    <w:rsid w:val="00365C75"/>
    <w:rsid w:val="00365E30"/>
    <w:rsid w:val="00365E4B"/>
    <w:rsid w:val="00365ED4"/>
    <w:rsid w:val="003662B0"/>
    <w:rsid w:val="00366305"/>
    <w:rsid w:val="00366503"/>
    <w:rsid w:val="00366562"/>
    <w:rsid w:val="003666B2"/>
    <w:rsid w:val="003667E0"/>
    <w:rsid w:val="00366B97"/>
    <w:rsid w:val="00366DDB"/>
    <w:rsid w:val="00366EC4"/>
    <w:rsid w:val="00366FC6"/>
    <w:rsid w:val="00367064"/>
    <w:rsid w:val="003672F0"/>
    <w:rsid w:val="0036767A"/>
    <w:rsid w:val="003676BA"/>
    <w:rsid w:val="0036772F"/>
    <w:rsid w:val="0036782B"/>
    <w:rsid w:val="003678AF"/>
    <w:rsid w:val="00367CE9"/>
    <w:rsid w:val="00367D34"/>
    <w:rsid w:val="00367DB7"/>
    <w:rsid w:val="00367EC6"/>
    <w:rsid w:val="00367F80"/>
    <w:rsid w:val="00367FD0"/>
    <w:rsid w:val="0037015F"/>
    <w:rsid w:val="00370222"/>
    <w:rsid w:val="00370240"/>
    <w:rsid w:val="0037027E"/>
    <w:rsid w:val="00370429"/>
    <w:rsid w:val="003705AA"/>
    <w:rsid w:val="003705E1"/>
    <w:rsid w:val="00370676"/>
    <w:rsid w:val="003706EF"/>
    <w:rsid w:val="00370725"/>
    <w:rsid w:val="0037073F"/>
    <w:rsid w:val="003707B2"/>
    <w:rsid w:val="003708A5"/>
    <w:rsid w:val="0037091B"/>
    <w:rsid w:val="003709CB"/>
    <w:rsid w:val="00370ADC"/>
    <w:rsid w:val="00370C2D"/>
    <w:rsid w:val="00370D09"/>
    <w:rsid w:val="00370D51"/>
    <w:rsid w:val="00370F54"/>
    <w:rsid w:val="003712D2"/>
    <w:rsid w:val="0037171F"/>
    <w:rsid w:val="00371762"/>
    <w:rsid w:val="0037187F"/>
    <w:rsid w:val="003718F2"/>
    <w:rsid w:val="00371979"/>
    <w:rsid w:val="00371988"/>
    <w:rsid w:val="00371B58"/>
    <w:rsid w:val="00371DB6"/>
    <w:rsid w:val="00371DC4"/>
    <w:rsid w:val="00371E8D"/>
    <w:rsid w:val="00371EEF"/>
    <w:rsid w:val="00371FD9"/>
    <w:rsid w:val="003722F3"/>
    <w:rsid w:val="00372666"/>
    <w:rsid w:val="0037272A"/>
    <w:rsid w:val="003727D9"/>
    <w:rsid w:val="00372B42"/>
    <w:rsid w:val="00372C36"/>
    <w:rsid w:val="00373002"/>
    <w:rsid w:val="0037308D"/>
    <w:rsid w:val="0037331A"/>
    <w:rsid w:val="003733B0"/>
    <w:rsid w:val="0037342D"/>
    <w:rsid w:val="003734C9"/>
    <w:rsid w:val="00373515"/>
    <w:rsid w:val="003735B7"/>
    <w:rsid w:val="00373621"/>
    <w:rsid w:val="0037366C"/>
    <w:rsid w:val="0037368F"/>
    <w:rsid w:val="00373717"/>
    <w:rsid w:val="00373905"/>
    <w:rsid w:val="00373955"/>
    <w:rsid w:val="00373A06"/>
    <w:rsid w:val="00373A17"/>
    <w:rsid w:val="00373B56"/>
    <w:rsid w:val="00373B90"/>
    <w:rsid w:val="00373C07"/>
    <w:rsid w:val="00373ECF"/>
    <w:rsid w:val="00373ED4"/>
    <w:rsid w:val="00373EF2"/>
    <w:rsid w:val="0037403F"/>
    <w:rsid w:val="00374048"/>
    <w:rsid w:val="003742B9"/>
    <w:rsid w:val="0037469C"/>
    <w:rsid w:val="00374745"/>
    <w:rsid w:val="0037479E"/>
    <w:rsid w:val="00374C2B"/>
    <w:rsid w:val="00374D03"/>
    <w:rsid w:val="00374DEA"/>
    <w:rsid w:val="00374E30"/>
    <w:rsid w:val="00374E9C"/>
    <w:rsid w:val="003750E9"/>
    <w:rsid w:val="003753D2"/>
    <w:rsid w:val="00375665"/>
    <w:rsid w:val="003757B2"/>
    <w:rsid w:val="003757D8"/>
    <w:rsid w:val="00375836"/>
    <w:rsid w:val="00375842"/>
    <w:rsid w:val="003759B8"/>
    <w:rsid w:val="00375C42"/>
    <w:rsid w:val="00375CBD"/>
    <w:rsid w:val="00375CDC"/>
    <w:rsid w:val="00375F60"/>
    <w:rsid w:val="00375F9D"/>
    <w:rsid w:val="00376120"/>
    <w:rsid w:val="00376166"/>
    <w:rsid w:val="0037617F"/>
    <w:rsid w:val="0037619F"/>
    <w:rsid w:val="003762E6"/>
    <w:rsid w:val="00376325"/>
    <w:rsid w:val="003763BB"/>
    <w:rsid w:val="0037654F"/>
    <w:rsid w:val="00376635"/>
    <w:rsid w:val="00376677"/>
    <w:rsid w:val="00376703"/>
    <w:rsid w:val="00376729"/>
    <w:rsid w:val="0037673F"/>
    <w:rsid w:val="003767E6"/>
    <w:rsid w:val="0037688B"/>
    <w:rsid w:val="00376AAE"/>
    <w:rsid w:val="00376C26"/>
    <w:rsid w:val="00376E13"/>
    <w:rsid w:val="00376E82"/>
    <w:rsid w:val="00377000"/>
    <w:rsid w:val="00377006"/>
    <w:rsid w:val="0037701E"/>
    <w:rsid w:val="00377041"/>
    <w:rsid w:val="00377066"/>
    <w:rsid w:val="00377181"/>
    <w:rsid w:val="003772DD"/>
    <w:rsid w:val="003774B4"/>
    <w:rsid w:val="003776AF"/>
    <w:rsid w:val="003776C5"/>
    <w:rsid w:val="003776DE"/>
    <w:rsid w:val="00377853"/>
    <w:rsid w:val="003778BD"/>
    <w:rsid w:val="00377AB2"/>
    <w:rsid w:val="00377B8D"/>
    <w:rsid w:val="00377CB6"/>
    <w:rsid w:val="00377D4C"/>
    <w:rsid w:val="00377DBD"/>
    <w:rsid w:val="0038018F"/>
    <w:rsid w:val="0038027F"/>
    <w:rsid w:val="0038043F"/>
    <w:rsid w:val="0038044F"/>
    <w:rsid w:val="00380671"/>
    <w:rsid w:val="00380687"/>
    <w:rsid w:val="0038084A"/>
    <w:rsid w:val="00380984"/>
    <w:rsid w:val="00380EA5"/>
    <w:rsid w:val="00380EC3"/>
    <w:rsid w:val="00380F57"/>
    <w:rsid w:val="00381379"/>
    <w:rsid w:val="00381383"/>
    <w:rsid w:val="003814BF"/>
    <w:rsid w:val="003817E1"/>
    <w:rsid w:val="0038186C"/>
    <w:rsid w:val="003818A0"/>
    <w:rsid w:val="003819D2"/>
    <w:rsid w:val="00381ACB"/>
    <w:rsid w:val="00381BA2"/>
    <w:rsid w:val="00381CD9"/>
    <w:rsid w:val="00381DB4"/>
    <w:rsid w:val="00382119"/>
    <w:rsid w:val="00382402"/>
    <w:rsid w:val="0038271A"/>
    <w:rsid w:val="0038278E"/>
    <w:rsid w:val="00382856"/>
    <w:rsid w:val="00382949"/>
    <w:rsid w:val="003829E6"/>
    <w:rsid w:val="00382A9A"/>
    <w:rsid w:val="00382AF5"/>
    <w:rsid w:val="00382C40"/>
    <w:rsid w:val="0038305E"/>
    <w:rsid w:val="003831B3"/>
    <w:rsid w:val="003831BC"/>
    <w:rsid w:val="00383230"/>
    <w:rsid w:val="003832BC"/>
    <w:rsid w:val="003832E4"/>
    <w:rsid w:val="00383312"/>
    <w:rsid w:val="003833D0"/>
    <w:rsid w:val="003833D2"/>
    <w:rsid w:val="00383521"/>
    <w:rsid w:val="0038352C"/>
    <w:rsid w:val="003836F3"/>
    <w:rsid w:val="00383CC2"/>
    <w:rsid w:val="00383D4D"/>
    <w:rsid w:val="00383E85"/>
    <w:rsid w:val="00383F18"/>
    <w:rsid w:val="00384084"/>
    <w:rsid w:val="00384266"/>
    <w:rsid w:val="003843D2"/>
    <w:rsid w:val="0038440C"/>
    <w:rsid w:val="00384556"/>
    <w:rsid w:val="003845E2"/>
    <w:rsid w:val="00384686"/>
    <w:rsid w:val="003846A8"/>
    <w:rsid w:val="003846B1"/>
    <w:rsid w:val="003846D5"/>
    <w:rsid w:val="00384703"/>
    <w:rsid w:val="00384816"/>
    <w:rsid w:val="0038486C"/>
    <w:rsid w:val="003848A7"/>
    <w:rsid w:val="00384BCC"/>
    <w:rsid w:val="00384CE8"/>
    <w:rsid w:val="00384D68"/>
    <w:rsid w:val="00384D93"/>
    <w:rsid w:val="00384DA0"/>
    <w:rsid w:val="00385183"/>
    <w:rsid w:val="003851E8"/>
    <w:rsid w:val="00385211"/>
    <w:rsid w:val="00385304"/>
    <w:rsid w:val="00385487"/>
    <w:rsid w:val="00385494"/>
    <w:rsid w:val="003857C8"/>
    <w:rsid w:val="00385979"/>
    <w:rsid w:val="003859D7"/>
    <w:rsid w:val="00385C9C"/>
    <w:rsid w:val="00385DBA"/>
    <w:rsid w:val="00386023"/>
    <w:rsid w:val="00386028"/>
    <w:rsid w:val="0038653E"/>
    <w:rsid w:val="0038681D"/>
    <w:rsid w:val="00386B74"/>
    <w:rsid w:val="00386D02"/>
    <w:rsid w:val="00386D46"/>
    <w:rsid w:val="00386F31"/>
    <w:rsid w:val="003871B1"/>
    <w:rsid w:val="003871C9"/>
    <w:rsid w:val="003871ED"/>
    <w:rsid w:val="00387292"/>
    <w:rsid w:val="00387294"/>
    <w:rsid w:val="00387439"/>
    <w:rsid w:val="0038756F"/>
    <w:rsid w:val="003877A0"/>
    <w:rsid w:val="003878D9"/>
    <w:rsid w:val="003879A1"/>
    <w:rsid w:val="00387AE6"/>
    <w:rsid w:val="00387B52"/>
    <w:rsid w:val="00387D26"/>
    <w:rsid w:val="00387F72"/>
    <w:rsid w:val="0039006B"/>
    <w:rsid w:val="00390376"/>
    <w:rsid w:val="003903C3"/>
    <w:rsid w:val="0039041B"/>
    <w:rsid w:val="003904B9"/>
    <w:rsid w:val="003904FE"/>
    <w:rsid w:val="00390528"/>
    <w:rsid w:val="00390647"/>
    <w:rsid w:val="003906EB"/>
    <w:rsid w:val="00390718"/>
    <w:rsid w:val="00390793"/>
    <w:rsid w:val="003908FB"/>
    <w:rsid w:val="003909DA"/>
    <w:rsid w:val="00390C16"/>
    <w:rsid w:val="00390E49"/>
    <w:rsid w:val="00390FAD"/>
    <w:rsid w:val="0039103E"/>
    <w:rsid w:val="00391068"/>
    <w:rsid w:val="003910C9"/>
    <w:rsid w:val="0039110F"/>
    <w:rsid w:val="0039118A"/>
    <w:rsid w:val="00391353"/>
    <w:rsid w:val="003913BC"/>
    <w:rsid w:val="00391571"/>
    <w:rsid w:val="003915F4"/>
    <w:rsid w:val="00391633"/>
    <w:rsid w:val="00391862"/>
    <w:rsid w:val="003919BE"/>
    <w:rsid w:val="00391C4D"/>
    <w:rsid w:val="00391C53"/>
    <w:rsid w:val="0039213A"/>
    <w:rsid w:val="003921D0"/>
    <w:rsid w:val="0039221C"/>
    <w:rsid w:val="00392356"/>
    <w:rsid w:val="003925FE"/>
    <w:rsid w:val="0039274F"/>
    <w:rsid w:val="003929BE"/>
    <w:rsid w:val="00392F5A"/>
    <w:rsid w:val="00392F7C"/>
    <w:rsid w:val="003930B5"/>
    <w:rsid w:val="003930DB"/>
    <w:rsid w:val="00393105"/>
    <w:rsid w:val="003932ED"/>
    <w:rsid w:val="00393461"/>
    <w:rsid w:val="0039364F"/>
    <w:rsid w:val="00393674"/>
    <w:rsid w:val="00393738"/>
    <w:rsid w:val="00393823"/>
    <w:rsid w:val="00393826"/>
    <w:rsid w:val="00393914"/>
    <w:rsid w:val="003939F5"/>
    <w:rsid w:val="00393B97"/>
    <w:rsid w:val="00393CBC"/>
    <w:rsid w:val="00393DC7"/>
    <w:rsid w:val="00393E5F"/>
    <w:rsid w:val="00394014"/>
    <w:rsid w:val="0039419B"/>
    <w:rsid w:val="00394200"/>
    <w:rsid w:val="00394278"/>
    <w:rsid w:val="0039429B"/>
    <w:rsid w:val="003943E9"/>
    <w:rsid w:val="0039441E"/>
    <w:rsid w:val="00394433"/>
    <w:rsid w:val="003944FA"/>
    <w:rsid w:val="003948F7"/>
    <w:rsid w:val="0039493A"/>
    <w:rsid w:val="00394B96"/>
    <w:rsid w:val="00394C2E"/>
    <w:rsid w:val="00394E16"/>
    <w:rsid w:val="00394FB7"/>
    <w:rsid w:val="0039501B"/>
    <w:rsid w:val="0039522F"/>
    <w:rsid w:val="00395283"/>
    <w:rsid w:val="0039542A"/>
    <w:rsid w:val="0039548F"/>
    <w:rsid w:val="003954CE"/>
    <w:rsid w:val="0039553A"/>
    <w:rsid w:val="0039579E"/>
    <w:rsid w:val="003957A4"/>
    <w:rsid w:val="003958FF"/>
    <w:rsid w:val="00395905"/>
    <w:rsid w:val="0039597B"/>
    <w:rsid w:val="00395A32"/>
    <w:rsid w:val="00395A86"/>
    <w:rsid w:val="00395B00"/>
    <w:rsid w:val="00395D98"/>
    <w:rsid w:val="00395EB2"/>
    <w:rsid w:val="00396210"/>
    <w:rsid w:val="00396235"/>
    <w:rsid w:val="0039624A"/>
    <w:rsid w:val="00396252"/>
    <w:rsid w:val="0039634E"/>
    <w:rsid w:val="0039659F"/>
    <w:rsid w:val="0039660C"/>
    <w:rsid w:val="00396A97"/>
    <w:rsid w:val="00396ABC"/>
    <w:rsid w:val="00396B29"/>
    <w:rsid w:val="00396BF5"/>
    <w:rsid w:val="00396CE5"/>
    <w:rsid w:val="00396F21"/>
    <w:rsid w:val="00397036"/>
    <w:rsid w:val="0039708D"/>
    <w:rsid w:val="003970C6"/>
    <w:rsid w:val="003970FF"/>
    <w:rsid w:val="00397126"/>
    <w:rsid w:val="003971D2"/>
    <w:rsid w:val="003972CC"/>
    <w:rsid w:val="003972E7"/>
    <w:rsid w:val="00397325"/>
    <w:rsid w:val="00397477"/>
    <w:rsid w:val="00397491"/>
    <w:rsid w:val="0039772C"/>
    <w:rsid w:val="0039785D"/>
    <w:rsid w:val="003978CA"/>
    <w:rsid w:val="00397A1D"/>
    <w:rsid w:val="00397A4F"/>
    <w:rsid w:val="00397C31"/>
    <w:rsid w:val="003A01B2"/>
    <w:rsid w:val="003A025E"/>
    <w:rsid w:val="003A0314"/>
    <w:rsid w:val="003A04F4"/>
    <w:rsid w:val="003A0564"/>
    <w:rsid w:val="003A0630"/>
    <w:rsid w:val="003A0661"/>
    <w:rsid w:val="003A0683"/>
    <w:rsid w:val="003A07D0"/>
    <w:rsid w:val="003A088A"/>
    <w:rsid w:val="003A08EC"/>
    <w:rsid w:val="003A093D"/>
    <w:rsid w:val="003A09EE"/>
    <w:rsid w:val="003A0A21"/>
    <w:rsid w:val="003A0B12"/>
    <w:rsid w:val="003A0DB8"/>
    <w:rsid w:val="003A0DC2"/>
    <w:rsid w:val="003A0E5D"/>
    <w:rsid w:val="003A0E71"/>
    <w:rsid w:val="003A1043"/>
    <w:rsid w:val="003A1062"/>
    <w:rsid w:val="003A13F8"/>
    <w:rsid w:val="003A1648"/>
    <w:rsid w:val="003A166A"/>
    <w:rsid w:val="003A173C"/>
    <w:rsid w:val="003A1958"/>
    <w:rsid w:val="003A1B13"/>
    <w:rsid w:val="003A1B35"/>
    <w:rsid w:val="003A1C9B"/>
    <w:rsid w:val="003A1CB2"/>
    <w:rsid w:val="003A1D17"/>
    <w:rsid w:val="003A1D1C"/>
    <w:rsid w:val="003A1D41"/>
    <w:rsid w:val="003A1F8F"/>
    <w:rsid w:val="003A20B3"/>
    <w:rsid w:val="003A2199"/>
    <w:rsid w:val="003A2328"/>
    <w:rsid w:val="003A2351"/>
    <w:rsid w:val="003A23AD"/>
    <w:rsid w:val="003A24C2"/>
    <w:rsid w:val="003A25C3"/>
    <w:rsid w:val="003A26C7"/>
    <w:rsid w:val="003A276A"/>
    <w:rsid w:val="003A27D0"/>
    <w:rsid w:val="003A2983"/>
    <w:rsid w:val="003A2A4C"/>
    <w:rsid w:val="003A2A9B"/>
    <w:rsid w:val="003A2B65"/>
    <w:rsid w:val="003A2C5E"/>
    <w:rsid w:val="003A2CC3"/>
    <w:rsid w:val="003A2CFC"/>
    <w:rsid w:val="003A2ED0"/>
    <w:rsid w:val="003A303C"/>
    <w:rsid w:val="003A3051"/>
    <w:rsid w:val="003A30AC"/>
    <w:rsid w:val="003A3193"/>
    <w:rsid w:val="003A3198"/>
    <w:rsid w:val="003A31FF"/>
    <w:rsid w:val="003A336F"/>
    <w:rsid w:val="003A3389"/>
    <w:rsid w:val="003A33B9"/>
    <w:rsid w:val="003A342D"/>
    <w:rsid w:val="003A346F"/>
    <w:rsid w:val="003A382D"/>
    <w:rsid w:val="003A385C"/>
    <w:rsid w:val="003A3917"/>
    <w:rsid w:val="003A3992"/>
    <w:rsid w:val="003A39ED"/>
    <w:rsid w:val="003A3AD1"/>
    <w:rsid w:val="003A3B9D"/>
    <w:rsid w:val="003A3BFF"/>
    <w:rsid w:val="003A3C4B"/>
    <w:rsid w:val="003A3D43"/>
    <w:rsid w:val="003A3E1F"/>
    <w:rsid w:val="003A4220"/>
    <w:rsid w:val="003A4316"/>
    <w:rsid w:val="003A465F"/>
    <w:rsid w:val="003A4718"/>
    <w:rsid w:val="003A4794"/>
    <w:rsid w:val="003A47CA"/>
    <w:rsid w:val="003A4839"/>
    <w:rsid w:val="003A4894"/>
    <w:rsid w:val="003A49FC"/>
    <w:rsid w:val="003A4B1D"/>
    <w:rsid w:val="003A4CBE"/>
    <w:rsid w:val="003A4DFD"/>
    <w:rsid w:val="003A4EFC"/>
    <w:rsid w:val="003A4FB7"/>
    <w:rsid w:val="003A4FB9"/>
    <w:rsid w:val="003A511E"/>
    <w:rsid w:val="003A523A"/>
    <w:rsid w:val="003A526F"/>
    <w:rsid w:val="003A529D"/>
    <w:rsid w:val="003A537B"/>
    <w:rsid w:val="003A53DC"/>
    <w:rsid w:val="003A59AD"/>
    <w:rsid w:val="003A5A4B"/>
    <w:rsid w:val="003A5C6E"/>
    <w:rsid w:val="003A5CB0"/>
    <w:rsid w:val="003A5D60"/>
    <w:rsid w:val="003A5E12"/>
    <w:rsid w:val="003A5F8D"/>
    <w:rsid w:val="003A5FD3"/>
    <w:rsid w:val="003A6162"/>
    <w:rsid w:val="003A6302"/>
    <w:rsid w:val="003A634E"/>
    <w:rsid w:val="003A635D"/>
    <w:rsid w:val="003A639D"/>
    <w:rsid w:val="003A6460"/>
    <w:rsid w:val="003A6480"/>
    <w:rsid w:val="003A659C"/>
    <w:rsid w:val="003A6616"/>
    <w:rsid w:val="003A6706"/>
    <w:rsid w:val="003A678C"/>
    <w:rsid w:val="003A6884"/>
    <w:rsid w:val="003A6A0A"/>
    <w:rsid w:val="003A6C38"/>
    <w:rsid w:val="003A6C82"/>
    <w:rsid w:val="003A6FB9"/>
    <w:rsid w:val="003A705A"/>
    <w:rsid w:val="003A705C"/>
    <w:rsid w:val="003A719B"/>
    <w:rsid w:val="003A71D3"/>
    <w:rsid w:val="003A7213"/>
    <w:rsid w:val="003A7267"/>
    <w:rsid w:val="003A7304"/>
    <w:rsid w:val="003A78A5"/>
    <w:rsid w:val="003A78C8"/>
    <w:rsid w:val="003A7A5E"/>
    <w:rsid w:val="003A7BA0"/>
    <w:rsid w:val="003A7C35"/>
    <w:rsid w:val="003A7F40"/>
    <w:rsid w:val="003B021B"/>
    <w:rsid w:val="003B0309"/>
    <w:rsid w:val="003B0339"/>
    <w:rsid w:val="003B07C3"/>
    <w:rsid w:val="003B0945"/>
    <w:rsid w:val="003B095C"/>
    <w:rsid w:val="003B0B5B"/>
    <w:rsid w:val="003B0CE0"/>
    <w:rsid w:val="003B0D75"/>
    <w:rsid w:val="003B0F48"/>
    <w:rsid w:val="003B1139"/>
    <w:rsid w:val="003B114D"/>
    <w:rsid w:val="003B1201"/>
    <w:rsid w:val="003B1234"/>
    <w:rsid w:val="003B1540"/>
    <w:rsid w:val="003B15A1"/>
    <w:rsid w:val="003B165D"/>
    <w:rsid w:val="003B183F"/>
    <w:rsid w:val="003B18A7"/>
    <w:rsid w:val="003B1A57"/>
    <w:rsid w:val="003B1A73"/>
    <w:rsid w:val="003B1A8D"/>
    <w:rsid w:val="003B1B8F"/>
    <w:rsid w:val="003B1D8B"/>
    <w:rsid w:val="003B1F2F"/>
    <w:rsid w:val="003B2137"/>
    <w:rsid w:val="003B2215"/>
    <w:rsid w:val="003B23BC"/>
    <w:rsid w:val="003B23C2"/>
    <w:rsid w:val="003B242B"/>
    <w:rsid w:val="003B24E6"/>
    <w:rsid w:val="003B2592"/>
    <w:rsid w:val="003B2896"/>
    <w:rsid w:val="003B2995"/>
    <w:rsid w:val="003B2BFA"/>
    <w:rsid w:val="003B2C79"/>
    <w:rsid w:val="003B2D97"/>
    <w:rsid w:val="003B2E07"/>
    <w:rsid w:val="003B2F29"/>
    <w:rsid w:val="003B30BB"/>
    <w:rsid w:val="003B340F"/>
    <w:rsid w:val="003B346E"/>
    <w:rsid w:val="003B3470"/>
    <w:rsid w:val="003B382E"/>
    <w:rsid w:val="003B38CF"/>
    <w:rsid w:val="003B3903"/>
    <w:rsid w:val="003B391F"/>
    <w:rsid w:val="003B3AB1"/>
    <w:rsid w:val="003B3AF4"/>
    <w:rsid w:val="003B3BF6"/>
    <w:rsid w:val="003B3C13"/>
    <w:rsid w:val="003B3CC5"/>
    <w:rsid w:val="003B3EC7"/>
    <w:rsid w:val="003B413F"/>
    <w:rsid w:val="003B44B3"/>
    <w:rsid w:val="003B454A"/>
    <w:rsid w:val="003B4A4B"/>
    <w:rsid w:val="003B4BCB"/>
    <w:rsid w:val="003B4D23"/>
    <w:rsid w:val="003B4FAB"/>
    <w:rsid w:val="003B5195"/>
    <w:rsid w:val="003B523F"/>
    <w:rsid w:val="003B5447"/>
    <w:rsid w:val="003B545B"/>
    <w:rsid w:val="003B5462"/>
    <w:rsid w:val="003B553F"/>
    <w:rsid w:val="003B56AD"/>
    <w:rsid w:val="003B57D5"/>
    <w:rsid w:val="003B581D"/>
    <w:rsid w:val="003B5894"/>
    <w:rsid w:val="003B5988"/>
    <w:rsid w:val="003B5A67"/>
    <w:rsid w:val="003B5CA4"/>
    <w:rsid w:val="003B5D5B"/>
    <w:rsid w:val="003B5E1D"/>
    <w:rsid w:val="003B5F23"/>
    <w:rsid w:val="003B5FC9"/>
    <w:rsid w:val="003B6023"/>
    <w:rsid w:val="003B6256"/>
    <w:rsid w:val="003B65B2"/>
    <w:rsid w:val="003B6863"/>
    <w:rsid w:val="003B6958"/>
    <w:rsid w:val="003B7059"/>
    <w:rsid w:val="003B718C"/>
    <w:rsid w:val="003B719E"/>
    <w:rsid w:val="003B7558"/>
    <w:rsid w:val="003B75CE"/>
    <w:rsid w:val="003B7861"/>
    <w:rsid w:val="003B7AFE"/>
    <w:rsid w:val="003B7B25"/>
    <w:rsid w:val="003B7C39"/>
    <w:rsid w:val="003B7DED"/>
    <w:rsid w:val="003B7F4C"/>
    <w:rsid w:val="003C0082"/>
    <w:rsid w:val="003C01A0"/>
    <w:rsid w:val="003C038F"/>
    <w:rsid w:val="003C03E8"/>
    <w:rsid w:val="003C0584"/>
    <w:rsid w:val="003C0660"/>
    <w:rsid w:val="003C076B"/>
    <w:rsid w:val="003C07AB"/>
    <w:rsid w:val="003C0A34"/>
    <w:rsid w:val="003C0B40"/>
    <w:rsid w:val="003C107B"/>
    <w:rsid w:val="003C10A5"/>
    <w:rsid w:val="003C1182"/>
    <w:rsid w:val="003C124F"/>
    <w:rsid w:val="003C127A"/>
    <w:rsid w:val="003C13D2"/>
    <w:rsid w:val="003C140D"/>
    <w:rsid w:val="003C144F"/>
    <w:rsid w:val="003C145D"/>
    <w:rsid w:val="003C1848"/>
    <w:rsid w:val="003C19A0"/>
    <w:rsid w:val="003C19BB"/>
    <w:rsid w:val="003C1C43"/>
    <w:rsid w:val="003C1D70"/>
    <w:rsid w:val="003C1DF7"/>
    <w:rsid w:val="003C1F04"/>
    <w:rsid w:val="003C215F"/>
    <w:rsid w:val="003C2388"/>
    <w:rsid w:val="003C25B9"/>
    <w:rsid w:val="003C2633"/>
    <w:rsid w:val="003C2916"/>
    <w:rsid w:val="003C2984"/>
    <w:rsid w:val="003C2CD1"/>
    <w:rsid w:val="003C2D25"/>
    <w:rsid w:val="003C2EEC"/>
    <w:rsid w:val="003C2EF6"/>
    <w:rsid w:val="003C3075"/>
    <w:rsid w:val="003C331C"/>
    <w:rsid w:val="003C3355"/>
    <w:rsid w:val="003C33AA"/>
    <w:rsid w:val="003C34BE"/>
    <w:rsid w:val="003C35B4"/>
    <w:rsid w:val="003C36FC"/>
    <w:rsid w:val="003C37E4"/>
    <w:rsid w:val="003C37F8"/>
    <w:rsid w:val="003C39BA"/>
    <w:rsid w:val="003C3ADE"/>
    <w:rsid w:val="003C3C22"/>
    <w:rsid w:val="003C3CEC"/>
    <w:rsid w:val="003C3D6A"/>
    <w:rsid w:val="003C3E25"/>
    <w:rsid w:val="003C3E36"/>
    <w:rsid w:val="003C40BB"/>
    <w:rsid w:val="003C418C"/>
    <w:rsid w:val="003C43CB"/>
    <w:rsid w:val="003C44F5"/>
    <w:rsid w:val="003C456D"/>
    <w:rsid w:val="003C4664"/>
    <w:rsid w:val="003C47F5"/>
    <w:rsid w:val="003C49E2"/>
    <w:rsid w:val="003C4AE4"/>
    <w:rsid w:val="003C4B83"/>
    <w:rsid w:val="003C4C05"/>
    <w:rsid w:val="003C4DFC"/>
    <w:rsid w:val="003C4EE2"/>
    <w:rsid w:val="003C4F04"/>
    <w:rsid w:val="003C50FF"/>
    <w:rsid w:val="003C5269"/>
    <w:rsid w:val="003C5316"/>
    <w:rsid w:val="003C539B"/>
    <w:rsid w:val="003C5436"/>
    <w:rsid w:val="003C550D"/>
    <w:rsid w:val="003C5566"/>
    <w:rsid w:val="003C55AA"/>
    <w:rsid w:val="003C56B6"/>
    <w:rsid w:val="003C5729"/>
    <w:rsid w:val="003C5806"/>
    <w:rsid w:val="003C582F"/>
    <w:rsid w:val="003C5999"/>
    <w:rsid w:val="003C59D7"/>
    <w:rsid w:val="003C59DC"/>
    <w:rsid w:val="003C5C3D"/>
    <w:rsid w:val="003C5CED"/>
    <w:rsid w:val="003C5D74"/>
    <w:rsid w:val="003C6574"/>
    <w:rsid w:val="003C672F"/>
    <w:rsid w:val="003C67A1"/>
    <w:rsid w:val="003C681A"/>
    <w:rsid w:val="003C68C1"/>
    <w:rsid w:val="003C6A13"/>
    <w:rsid w:val="003C6D24"/>
    <w:rsid w:val="003C6E7C"/>
    <w:rsid w:val="003C6EC2"/>
    <w:rsid w:val="003C7265"/>
    <w:rsid w:val="003C7441"/>
    <w:rsid w:val="003C7467"/>
    <w:rsid w:val="003C7489"/>
    <w:rsid w:val="003C749B"/>
    <w:rsid w:val="003C756C"/>
    <w:rsid w:val="003C7603"/>
    <w:rsid w:val="003C7635"/>
    <w:rsid w:val="003C767E"/>
    <w:rsid w:val="003C76D2"/>
    <w:rsid w:val="003C7967"/>
    <w:rsid w:val="003C7ADF"/>
    <w:rsid w:val="003C7CC0"/>
    <w:rsid w:val="003C7D74"/>
    <w:rsid w:val="003C7DD7"/>
    <w:rsid w:val="003C7FD5"/>
    <w:rsid w:val="003D008A"/>
    <w:rsid w:val="003D01F3"/>
    <w:rsid w:val="003D02B7"/>
    <w:rsid w:val="003D04B2"/>
    <w:rsid w:val="003D055A"/>
    <w:rsid w:val="003D05E2"/>
    <w:rsid w:val="003D05F0"/>
    <w:rsid w:val="003D09D7"/>
    <w:rsid w:val="003D0A73"/>
    <w:rsid w:val="003D0C93"/>
    <w:rsid w:val="003D0EBF"/>
    <w:rsid w:val="003D0F1C"/>
    <w:rsid w:val="003D0F31"/>
    <w:rsid w:val="003D0F94"/>
    <w:rsid w:val="003D11E6"/>
    <w:rsid w:val="003D11E7"/>
    <w:rsid w:val="003D139B"/>
    <w:rsid w:val="003D15FD"/>
    <w:rsid w:val="003D1700"/>
    <w:rsid w:val="003D1899"/>
    <w:rsid w:val="003D1AE6"/>
    <w:rsid w:val="003D1BA7"/>
    <w:rsid w:val="003D1CE2"/>
    <w:rsid w:val="003D1D47"/>
    <w:rsid w:val="003D2089"/>
    <w:rsid w:val="003D213D"/>
    <w:rsid w:val="003D224A"/>
    <w:rsid w:val="003D224F"/>
    <w:rsid w:val="003D22FA"/>
    <w:rsid w:val="003D246D"/>
    <w:rsid w:val="003D24A6"/>
    <w:rsid w:val="003D2751"/>
    <w:rsid w:val="003D2764"/>
    <w:rsid w:val="003D28A5"/>
    <w:rsid w:val="003D2A63"/>
    <w:rsid w:val="003D2B06"/>
    <w:rsid w:val="003D2BBA"/>
    <w:rsid w:val="003D2CF4"/>
    <w:rsid w:val="003D2EF2"/>
    <w:rsid w:val="003D2F68"/>
    <w:rsid w:val="003D2F76"/>
    <w:rsid w:val="003D2F8F"/>
    <w:rsid w:val="003D3058"/>
    <w:rsid w:val="003D3096"/>
    <w:rsid w:val="003D30DF"/>
    <w:rsid w:val="003D3103"/>
    <w:rsid w:val="003D3321"/>
    <w:rsid w:val="003D3413"/>
    <w:rsid w:val="003D353B"/>
    <w:rsid w:val="003D355B"/>
    <w:rsid w:val="003D3999"/>
    <w:rsid w:val="003D3ACA"/>
    <w:rsid w:val="003D3B05"/>
    <w:rsid w:val="003D3C57"/>
    <w:rsid w:val="003D3CB9"/>
    <w:rsid w:val="003D3DA6"/>
    <w:rsid w:val="003D3EB6"/>
    <w:rsid w:val="003D40C5"/>
    <w:rsid w:val="003D40C7"/>
    <w:rsid w:val="003D4377"/>
    <w:rsid w:val="003D43B2"/>
    <w:rsid w:val="003D4459"/>
    <w:rsid w:val="003D467F"/>
    <w:rsid w:val="003D46F5"/>
    <w:rsid w:val="003D4713"/>
    <w:rsid w:val="003D4782"/>
    <w:rsid w:val="003D478A"/>
    <w:rsid w:val="003D4B38"/>
    <w:rsid w:val="003D4CA4"/>
    <w:rsid w:val="003D4CB8"/>
    <w:rsid w:val="003D4F2D"/>
    <w:rsid w:val="003D4FAE"/>
    <w:rsid w:val="003D517C"/>
    <w:rsid w:val="003D5239"/>
    <w:rsid w:val="003D5381"/>
    <w:rsid w:val="003D539C"/>
    <w:rsid w:val="003D53FA"/>
    <w:rsid w:val="003D5534"/>
    <w:rsid w:val="003D55AF"/>
    <w:rsid w:val="003D56CB"/>
    <w:rsid w:val="003D56F4"/>
    <w:rsid w:val="003D575D"/>
    <w:rsid w:val="003D57F9"/>
    <w:rsid w:val="003D5876"/>
    <w:rsid w:val="003D5894"/>
    <w:rsid w:val="003D58AB"/>
    <w:rsid w:val="003D58E1"/>
    <w:rsid w:val="003D5A0B"/>
    <w:rsid w:val="003D5BCC"/>
    <w:rsid w:val="003D5F0B"/>
    <w:rsid w:val="003D5F30"/>
    <w:rsid w:val="003D5FC4"/>
    <w:rsid w:val="003D6037"/>
    <w:rsid w:val="003D6677"/>
    <w:rsid w:val="003D681F"/>
    <w:rsid w:val="003D69CB"/>
    <w:rsid w:val="003D69E4"/>
    <w:rsid w:val="003D6DA4"/>
    <w:rsid w:val="003D6DC1"/>
    <w:rsid w:val="003D6F08"/>
    <w:rsid w:val="003D6F68"/>
    <w:rsid w:val="003D6FDB"/>
    <w:rsid w:val="003D7271"/>
    <w:rsid w:val="003D730E"/>
    <w:rsid w:val="003D7319"/>
    <w:rsid w:val="003D7453"/>
    <w:rsid w:val="003D74D0"/>
    <w:rsid w:val="003D77DA"/>
    <w:rsid w:val="003D7873"/>
    <w:rsid w:val="003D78C3"/>
    <w:rsid w:val="003D7A5D"/>
    <w:rsid w:val="003D7A71"/>
    <w:rsid w:val="003D7BE4"/>
    <w:rsid w:val="003E008B"/>
    <w:rsid w:val="003E01D3"/>
    <w:rsid w:val="003E02AA"/>
    <w:rsid w:val="003E03BA"/>
    <w:rsid w:val="003E044B"/>
    <w:rsid w:val="003E064F"/>
    <w:rsid w:val="003E0742"/>
    <w:rsid w:val="003E0897"/>
    <w:rsid w:val="003E08AC"/>
    <w:rsid w:val="003E09AE"/>
    <w:rsid w:val="003E0A92"/>
    <w:rsid w:val="003E0AB3"/>
    <w:rsid w:val="003E0B26"/>
    <w:rsid w:val="003E0C4E"/>
    <w:rsid w:val="003E0D76"/>
    <w:rsid w:val="003E0F99"/>
    <w:rsid w:val="003E106C"/>
    <w:rsid w:val="003E1282"/>
    <w:rsid w:val="003E1443"/>
    <w:rsid w:val="003E15CE"/>
    <w:rsid w:val="003E161E"/>
    <w:rsid w:val="003E1710"/>
    <w:rsid w:val="003E1799"/>
    <w:rsid w:val="003E183E"/>
    <w:rsid w:val="003E18AA"/>
    <w:rsid w:val="003E192D"/>
    <w:rsid w:val="003E19DC"/>
    <w:rsid w:val="003E19F9"/>
    <w:rsid w:val="003E1ADC"/>
    <w:rsid w:val="003E1ADF"/>
    <w:rsid w:val="003E1BBC"/>
    <w:rsid w:val="003E1C0A"/>
    <w:rsid w:val="003E1DCF"/>
    <w:rsid w:val="003E1F67"/>
    <w:rsid w:val="003E220D"/>
    <w:rsid w:val="003E2224"/>
    <w:rsid w:val="003E246E"/>
    <w:rsid w:val="003E2661"/>
    <w:rsid w:val="003E268D"/>
    <w:rsid w:val="003E28D1"/>
    <w:rsid w:val="003E29EE"/>
    <w:rsid w:val="003E2E28"/>
    <w:rsid w:val="003E2EA7"/>
    <w:rsid w:val="003E32EF"/>
    <w:rsid w:val="003E33E1"/>
    <w:rsid w:val="003E34AE"/>
    <w:rsid w:val="003E3724"/>
    <w:rsid w:val="003E377F"/>
    <w:rsid w:val="003E3983"/>
    <w:rsid w:val="003E39A3"/>
    <w:rsid w:val="003E3A71"/>
    <w:rsid w:val="003E3A85"/>
    <w:rsid w:val="003E3E81"/>
    <w:rsid w:val="003E414D"/>
    <w:rsid w:val="003E4178"/>
    <w:rsid w:val="003E432A"/>
    <w:rsid w:val="003E43DE"/>
    <w:rsid w:val="003E46FC"/>
    <w:rsid w:val="003E48BE"/>
    <w:rsid w:val="003E4968"/>
    <w:rsid w:val="003E4B17"/>
    <w:rsid w:val="003E4B6B"/>
    <w:rsid w:val="003E4CC0"/>
    <w:rsid w:val="003E4E07"/>
    <w:rsid w:val="003E4E7E"/>
    <w:rsid w:val="003E4ED6"/>
    <w:rsid w:val="003E4F0F"/>
    <w:rsid w:val="003E4F5A"/>
    <w:rsid w:val="003E524E"/>
    <w:rsid w:val="003E533F"/>
    <w:rsid w:val="003E552A"/>
    <w:rsid w:val="003E55EB"/>
    <w:rsid w:val="003E56F0"/>
    <w:rsid w:val="003E57AC"/>
    <w:rsid w:val="003E5990"/>
    <w:rsid w:val="003E5AAE"/>
    <w:rsid w:val="003E5C6F"/>
    <w:rsid w:val="003E5D37"/>
    <w:rsid w:val="003E5D45"/>
    <w:rsid w:val="003E5F81"/>
    <w:rsid w:val="003E6090"/>
    <w:rsid w:val="003E62C1"/>
    <w:rsid w:val="003E6317"/>
    <w:rsid w:val="003E6339"/>
    <w:rsid w:val="003E645C"/>
    <w:rsid w:val="003E6480"/>
    <w:rsid w:val="003E65A7"/>
    <w:rsid w:val="003E6B52"/>
    <w:rsid w:val="003E6B58"/>
    <w:rsid w:val="003E6B8A"/>
    <w:rsid w:val="003E6BE1"/>
    <w:rsid w:val="003E6CF6"/>
    <w:rsid w:val="003E6F67"/>
    <w:rsid w:val="003E6FA0"/>
    <w:rsid w:val="003E7113"/>
    <w:rsid w:val="003E7185"/>
    <w:rsid w:val="003E7417"/>
    <w:rsid w:val="003E7524"/>
    <w:rsid w:val="003E7765"/>
    <w:rsid w:val="003E7A46"/>
    <w:rsid w:val="003E7B74"/>
    <w:rsid w:val="003E7B87"/>
    <w:rsid w:val="003E7C5D"/>
    <w:rsid w:val="003E7D1C"/>
    <w:rsid w:val="003E7D81"/>
    <w:rsid w:val="003F0085"/>
    <w:rsid w:val="003F00F6"/>
    <w:rsid w:val="003F01C8"/>
    <w:rsid w:val="003F0341"/>
    <w:rsid w:val="003F034A"/>
    <w:rsid w:val="003F039E"/>
    <w:rsid w:val="003F0423"/>
    <w:rsid w:val="003F0646"/>
    <w:rsid w:val="003F068B"/>
    <w:rsid w:val="003F072F"/>
    <w:rsid w:val="003F086E"/>
    <w:rsid w:val="003F0923"/>
    <w:rsid w:val="003F0D63"/>
    <w:rsid w:val="003F13E5"/>
    <w:rsid w:val="003F1735"/>
    <w:rsid w:val="003F1766"/>
    <w:rsid w:val="003F1AE7"/>
    <w:rsid w:val="003F1BB9"/>
    <w:rsid w:val="003F1BE7"/>
    <w:rsid w:val="003F1BE9"/>
    <w:rsid w:val="003F1CE6"/>
    <w:rsid w:val="003F1D71"/>
    <w:rsid w:val="003F206E"/>
    <w:rsid w:val="003F208D"/>
    <w:rsid w:val="003F21BE"/>
    <w:rsid w:val="003F22ED"/>
    <w:rsid w:val="003F236D"/>
    <w:rsid w:val="003F2570"/>
    <w:rsid w:val="003F2652"/>
    <w:rsid w:val="003F271E"/>
    <w:rsid w:val="003F2978"/>
    <w:rsid w:val="003F2A2E"/>
    <w:rsid w:val="003F2BC3"/>
    <w:rsid w:val="003F3147"/>
    <w:rsid w:val="003F3647"/>
    <w:rsid w:val="003F3A6D"/>
    <w:rsid w:val="003F3CED"/>
    <w:rsid w:val="003F3E00"/>
    <w:rsid w:val="003F3EC7"/>
    <w:rsid w:val="003F3F5A"/>
    <w:rsid w:val="003F3FB4"/>
    <w:rsid w:val="003F41C8"/>
    <w:rsid w:val="003F43CA"/>
    <w:rsid w:val="003F458A"/>
    <w:rsid w:val="003F45BF"/>
    <w:rsid w:val="003F466D"/>
    <w:rsid w:val="003F4700"/>
    <w:rsid w:val="003F4876"/>
    <w:rsid w:val="003F4889"/>
    <w:rsid w:val="003F49D4"/>
    <w:rsid w:val="003F4CD8"/>
    <w:rsid w:val="003F4DBF"/>
    <w:rsid w:val="003F4DF6"/>
    <w:rsid w:val="003F4EAB"/>
    <w:rsid w:val="003F4F3A"/>
    <w:rsid w:val="003F4F3F"/>
    <w:rsid w:val="003F4F8E"/>
    <w:rsid w:val="003F4FA2"/>
    <w:rsid w:val="003F4FE6"/>
    <w:rsid w:val="003F51A0"/>
    <w:rsid w:val="003F554B"/>
    <w:rsid w:val="003F5728"/>
    <w:rsid w:val="003F5775"/>
    <w:rsid w:val="003F58FF"/>
    <w:rsid w:val="003F5CE6"/>
    <w:rsid w:val="003F608D"/>
    <w:rsid w:val="003F632A"/>
    <w:rsid w:val="003F6612"/>
    <w:rsid w:val="003F6674"/>
    <w:rsid w:val="003F66F0"/>
    <w:rsid w:val="003F68C1"/>
    <w:rsid w:val="003F6BA3"/>
    <w:rsid w:val="003F6E53"/>
    <w:rsid w:val="003F6EE8"/>
    <w:rsid w:val="003F708E"/>
    <w:rsid w:val="003F714F"/>
    <w:rsid w:val="003F7493"/>
    <w:rsid w:val="003F757A"/>
    <w:rsid w:val="003F762B"/>
    <w:rsid w:val="003F7A31"/>
    <w:rsid w:val="003F7B59"/>
    <w:rsid w:val="003F7C8C"/>
    <w:rsid w:val="003F7D4F"/>
    <w:rsid w:val="003F7E62"/>
    <w:rsid w:val="003F7EA0"/>
    <w:rsid w:val="003F7EB5"/>
    <w:rsid w:val="003F7EDA"/>
    <w:rsid w:val="003F7F1B"/>
    <w:rsid w:val="004000C0"/>
    <w:rsid w:val="0040026A"/>
    <w:rsid w:val="004003E7"/>
    <w:rsid w:val="004005CB"/>
    <w:rsid w:val="004005D9"/>
    <w:rsid w:val="0040092E"/>
    <w:rsid w:val="00400A05"/>
    <w:rsid w:val="00400B35"/>
    <w:rsid w:val="00400B6D"/>
    <w:rsid w:val="00400B87"/>
    <w:rsid w:val="00400B8F"/>
    <w:rsid w:val="00400BA8"/>
    <w:rsid w:val="00400BC3"/>
    <w:rsid w:val="00400C0F"/>
    <w:rsid w:val="00400CD2"/>
    <w:rsid w:val="00400F28"/>
    <w:rsid w:val="0040122B"/>
    <w:rsid w:val="00401698"/>
    <w:rsid w:val="00401AE0"/>
    <w:rsid w:val="00401AE4"/>
    <w:rsid w:val="00401B30"/>
    <w:rsid w:val="00401E73"/>
    <w:rsid w:val="00401EC9"/>
    <w:rsid w:val="00401F84"/>
    <w:rsid w:val="004023B2"/>
    <w:rsid w:val="00402450"/>
    <w:rsid w:val="00402521"/>
    <w:rsid w:val="00402659"/>
    <w:rsid w:val="0040265D"/>
    <w:rsid w:val="004026E5"/>
    <w:rsid w:val="00402762"/>
    <w:rsid w:val="00402918"/>
    <w:rsid w:val="00402946"/>
    <w:rsid w:val="00402CD5"/>
    <w:rsid w:val="00402FB6"/>
    <w:rsid w:val="00403124"/>
    <w:rsid w:val="00403558"/>
    <w:rsid w:val="004039CB"/>
    <w:rsid w:val="00403C3F"/>
    <w:rsid w:val="00403E1C"/>
    <w:rsid w:val="00403EF5"/>
    <w:rsid w:val="004040F1"/>
    <w:rsid w:val="00404141"/>
    <w:rsid w:val="00404352"/>
    <w:rsid w:val="00404375"/>
    <w:rsid w:val="004045FB"/>
    <w:rsid w:val="004049AC"/>
    <w:rsid w:val="00404BDB"/>
    <w:rsid w:val="00404CD8"/>
    <w:rsid w:val="00405058"/>
    <w:rsid w:val="004050A2"/>
    <w:rsid w:val="00405148"/>
    <w:rsid w:val="00405439"/>
    <w:rsid w:val="00405523"/>
    <w:rsid w:val="00405524"/>
    <w:rsid w:val="004055A7"/>
    <w:rsid w:val="004055F0"/>
    <w:rsid w:val="004058C9"/>
    <w:rsid w:val="00405963"/>
    <w:rsid w:val="00405A55"/>
    <w:rsid w:val="00405B19"/>
    <w:rsid w:val="00405BFA"/>
    <w:rsid w:val="00405C7F"/>
    <w:rsid w:val="00405DBC"/>
    <w:rsid w:val="00405DBD"/>
    <w:rsid w:val="00406115"/>
    <w:rsid w:val="00406176"/>
    <w:rsid w:val="00406433"/>
    <w:rsid w:val="00406736"/>
    <w:rsid w:val="0040688E"/>
    <w:rsid w:val="00406AE4"/>
    <w:rsid w:val="00406B0B"/>
    <w:rsid w:val="00406BFE"/>
    <w:rsid w:val="00406C22"/>
    <w:rsid w:val="00406EA7"/>
    <w:rsid w:val="00406F5D"/>
    <w:rsid w:val="0040763A"/>
    <w:rsid w:val="0040769D"/>
    <w:rsid w:val="004077C2"/>
    <w:rsid w:val="00407A41"/>
    <w:rsid w:val="00407B38"/>
    <w:rsid w:val="00407C65"/>
    <w:rsid w:val="00407E2C"/>
    <w:rsid w:val="00407E79"/>
    <w:rsid w:val="0041013F"/>
    <w:rsid w:val="004101F5"/>
    <w:rsid w:val="0041027D"/>
    <w:rsid w:val="00410384"/>
    <w:rsid w:val="00410470"/>
    <w:rsid w:val="0041051B"/>
    <w:rsid w:val="00410623"/>
    <w:rsid w:val="0041082C"/>
    <w:rsid w:val="0041083B"/>
    <w:rsid w:val="00410894"/>
    <w:rsid w:val="00410910"/>
    <w:rsid w:val="00410927"/>
    <w:rsid w:val="004109F4"/>
    <w:rsid w:val="00410C9E"/>
    <w:rsid w:val="00410D01"/>
    <w:rsid w:val="00410EFA"/>
    <w:rsid w:val="00410F7F"/>
    <w:rsid w:val="0041112F"/>
    <w:rsid w:val="004111BB"/>
    <w:rsid w:val="0041135F"/>
    <w:rsid w:val="0041137C"/>
    <w:rsid w:val="004113A0"/>
    <w:rsid w:val="004114C7"/>
    <w:rsid w:val="00411522"/>
    <w:rsid w:val="004115C9"/>
    <w:rsid w:val="004115F7"/>
    <w:rsid w:val="004116F3"/>
    <w:rsid w:val="004118A3"/>
    <w:rsid w:val="00411903"/>
    <w:rsid w:val="00411AEC"/>
    <w:rsid w:val="00411BCA"/>
    <w:rsid w:val="00411C68"/>
    <w:rsid w:val="00411CEA"/>
    <w:rsid w:val="00411E1F"/>
    <w:rsid w:val="00411E21"/>
    <w:rsid w:val="00411E29"/>
    <w:rsid w:val="00411F3C"/>
    <w:rsid w:val="0041224F"/>
    <w:rsid w:val="00412301"/>
    <w:rsid w:val="00412378"/>
    <w:rsid w:val="004123D1"/>
    <w:rsid w:val="004123E1"/>
    <w:rsid w:val="004125AA"/>
    <w:rsid w:val="00412646"/>
    <w:rsid w:val="00412697"/>
    <w:rsid w:val="00412798"/>
    <w:rsid w:val="0041283A"/>
    <w:rsid w:val="00412BE0"/>
    <w:rsid w:val="00412C7D"/>
    <w:rsid w:val="00412D46"/>
    <w:rsid w:val="00412DDE"/>
    <w:rsid w:val="00413025"/>
    <w:rsid w:val="00413040"/>
    <w:rsid w:val="0041304B"/>
    <w:rsid w:val="00413235"/>
    <w:rsid w:val="00413353"/>
    <w:rsid w:val="00413507"/>
    <w:rsid w:val="0041361D"/>
    <w:rsid w:val="004136B6"/>
    <w:rsid w:val="00413A3D"/>
    <w:rsid w:val="00413B89"/>
    <w:rsid w:val="00413EFB"/>
    <w:rsid w:val="0041401A"/>
    <w:rsid w:val="00414081"/>
    <w:rsid w:val="0041413E"/>
    <w:rsid w:val="0041421F"/>
    <w:rsid w:val="0041430F"/>
    <w:rsid w:val="004143B5"/>
    <w:rsid w:val="00414635"/>
    <w:rsid w:val="004147F2"/>
    <w:rsid w:val="004147F8"/>
    <w:rsid w:val="00414883"/>
    <w:rsid w:val="00414D0E"/>
    <w:rsid w:val="00414E62"/>
    <w:rsid w:val="00414FA0"/>
    <w:rsid w:val="004150B5"/>
    <w:rsid w:val="004150FF"/>
    <w:rsid w:val="00415447"/>
    <w:rsid w:val="0041571F"/>
    <w:rsid w:val="00415744"/>
    <w:rsid w:val="0041583B"/>
    <w:rsid w:val="00415B63"/>
    <w:rsid w:val="00415BA9"/>
    <w:rsid w:val="00415CC9"/>
    <w:rsid w:val="00415D35"/>
    <w:rsid w:val="00415D7B"/>
    <w:rsid w:val="00415D90"/>
    <w:rsid w:val="00415E16"/>
    <w:rsid w:val="00415E69"/>
    <w:rsid w:val="00415EA5"/>
    <w:rsid w:val="0041602A"/>
    <w:rsid w:val="004162D1"/>
    <w:rsid w:val="004167CB"/>
    <w:rsid w:val="00416822"/>
    <w:rsid w:val="004168DC"/>
    <w:rsid w:val="00416BFB"/>
    <w:rsid w:val="00416C08"/>
    <w:rsid w:val="00416FC1"/>
    <w:rsid w:val="00416FFF"/>
    <w:rsid w:val="0041713F"/>
    <w:rsid w:val="0041715C"/>
    <w:rsid w:val="00417184"/>
    <w:rsid w:val="0041725E"/>
    <w:rsid w:val="00417553"/>
    <w:rsid w:val="004176B7"/>
    <w:rsid w:val="004178B1"/>
    <w:rsid w:val="004178B8"/>
    <w:rsid w:val="00417A69"/>
    <w:rsid w:val="00417D12"/>
    <w:rsid w:val="00417DB1"/>
    <w:rsid w:val="00417F7B"/>
    <w:rsid w:val="0042001D"/>
    <w:rsid w:val="0042002A"/>
    <w:rsid w:val="0042004F"/>
    <w:rsid w:val="0042021D"/>
    <w:rsid w:val="00420368"/>
    <w:rsid w:val="00420465"/>
    <w:rsid w:val="004204F6"/>
    <w:rsid w:val="00420589"/>
    <w:rsid w:val="0042071A"/>
    <w:rsid w:val="004207CC"/>
    <w:rsid w:val="00420855"/>
    <w:rsid w:val="00420960"/>
    <w:rsid w:val="00420A52"/>
    <w:rsid w:val="00420BB4"/>
    <w:rsid w:val="00420BF2"/>
    <w:rsid w:val="00420CFD"/>
    <w:rsid w:val="00420D37"/>
    <w:rsid w:val="00420D87"/>
    <w:rsid w:val="00420F8A"/>
    <w:rsid w:val="004212AF"/>
    <w:rsid w:val="004212DF"/>
    <w:rsid w:val="004214EE"/>
    <w:rsid w:val="004215D4"/>
    <w:rsid w:val="00421642"/>
    <w:rsid w:val="004217B9"/>
    <w:rsid w:val="004217D4"/>
    <w:rsid w:val="004217FA"/>
    <w:rsid w:val="00421C2D"/>
    <w:rsid w:val="00421C5F"/>
    <w:rsid w:val="00421D41"/>
    <w:rsid w:val="00421F24"/>
    <w:rsid w:val="00421F56"/>
    <w:rsid w:val="00421F67"/>
    <w:rsid w:val="00421FE4"/>
    <w:rsid w:val="004220B3"/>
    <w:rsid w:val="00422150"/>
    <w:rsid w:val="004221B3"/>
    <w:rsid w:val="0042224D"/>
    <w:rsid w:val="00422307"/>
    <w:rsid w:val="00422343"/>
    <w:rsid w:val="00422392"/>
    <w:rsid w:val="00422A2B"/>
    <w:rsid w:val="00422A64"/>
    <w:rsid w:val="00422A73"/>
    <w:rsid w:val="00422B6C"/>
    <w:rsid w:val="00422EAE"/>
    <w:rsid w:val="00422ECE"/>
    <w:rsid w:val="00422F09"/>
    <w:rsid w:val="00422F49"/>
    <w:rsid w:val="00422F52"/>
    <w:rsid w:val="00422FE1"/>
    <w:rsid w:val="004230D9"/>
    <w:rsid w:val="004230E4"/>
    <w:rsid w:val="004234E8"/>
    <w:rsid w:val="00423709"/>
    <w:rsid w:val="00423931"/>
    <w:rsid w:val="00423961"/>
    <w:rsid w:val="00423A4E"/>
    <w:rsid w:val="00423BD0"/>
    <w:rsid w:val="00423BD7"/>
    <w:rsid w:val="00423D23"/>
    <w:rsid w:val="00423E0C"/>
    <w:rsid w:val="00423EFB"/>
    <w:rsid w:val="00424074"/>
    <w:rsid w:val="00424174"/>
    <w:rsid w:val="0042417A"/>
    <w:rsid w:val="0042419B"/>
    <w:rsid w:val="00424225"/>
    <w:rsid w:val="0042426F"/>
    <w:rsid w:val="004243B2"/>
    <w:rsid w:val="004244BE"/>
    <w:rsid w:val="004245D7"/>
    <w:rsid w:val="004245EA"/>
    <w:rsid w:val="0042471A"/>
    <w:rsid w:val="00424729"/>
    <w:rsid w:val="0042489E"/>
    <w:rsid w:val="004249CF"/>
    <w:rsid w:val="00424A54"/>
    <w:rsid w:val="00424B13"/>
    <w:rsid w:val="00424C1C"/>
    <w:rsid w:val="00424CA8"/>
    <w:rsid w:val="00424DA1"/>
    <w:rsid w:val="00424F9A"/>
    <w:rsid w:val="00425200"/>
    <w:rsid w:val="004253F6"/>
    <w:rsid w:val="00425495"/>
    <w:rsid w:val="004255FB"/>
    <w:rsid w:val="004256CD"/>
    <w:rsid w:val="00425798"/>
    <w:rsid w:val="004257A3"/>
    <w:rsid w:val="00425951"/>
    <w:rsid w:val="00425A18"/>
    <w:rsid w:val="00425ABF"/>
    <w:rsid w:val="00425C7B"/>
    <w:rsid w:val="00425D7D"/>
    <w:rsid w:val="00425EDD"/>
    <w:rsid w:val="00425F36"/>
    <w:rsid w:val="0042622F"/>
    <w:rsid w:val="0042625D"/>
    <w:rsid w:val="0042625E"/>
    <w:rsid w:val="00426358"/>
    <w:rsid w:val="004265C4"/>
    <w:rsid w:val="00426766"/>
    <w:rsid w:val="004268E4"/>
    <w:rsid w:val="004269AD"/>
    <w:rsid w:val="004269EF"/>
    <w:rsid w:val="00426A6E"/>
    <w:rsid w:val="00426A9D"/>
    <w:rsid w:val="00426D3D"/>
    <w:rsid w:val="00426D7F"/>
    <w:rsid w:val="00426E01"/>
    <w:rsid w:val="00426ED5"/>
    <w:rsid w:val="00426F8A"/>
    <w:rsid w:val="00426F8B"/>
    <w:rsid w:val="00426FDA"/>
    <w:rsid w:val="00426FE8"/>
    <w:rsid w:val="004270A8"/>
    <w:rsid w:val="004270E4"/>
    <w:rsid w:val="0042722A"/>
    <w:rsid w:val="00427236"/>
    <w:rsid w:val="00427430"/>
    <w:rsid w:val="004274A9"/>
    <w:rsid w:val="0042755C"/>
    <w:rsid w:val="004278C3"/>
    <w:rsid w:val="0042796A"/>
    <w:rsid w:val="00427A14"/>
    <w:rsid w:val="00427B50"/>
    <w:rsid w:val="00427DB7"/>
    <w:rsid w:val="00427DE1"/>
    <w:rsid w:val="00427F0B"/>
    <w:rsid w:val="00427F78"/>
    <w:rsid w:val="0043029E"/>
    <w:rsid w:val="00430319"/>
    <w:rsid w:val="0043031E"/>
    <w:rsid w:val="004303F8"/>
    <w:rsid w:val="0043047A"/>
    <w:rsid w:val="004304F2"/>
    <w:rsid w:val="0043051F"/>
    <w:rsid w:val="004305A4"/>
    <w:rsid w:val="004306AA"/>
    <w:rsid w:val="0043071A"/>
    <w:rsid w:val="00430788"/>
    <w:rsid w:val="0043078C"/>
    <w:rsid w:val="004309C5"/>
    <w:rsid w:val="00430D52"/>
    <w:rsid w:val="00430E5A"/>
    <w:rsid w:val="00430F5F"/>
    <w:rsid w:val="00430FA7"/>
    <w:rsid w:val="00431082"/>
    <w:rsid w:val="004310B1"/>
    <w:rsid w:val="0043116A"/>
    <w:rsid w:val="00431241"/>
    <w:rsid w:val="00431244"/>
    <w:rsid w:val="00431487"/>
    <w:rsid w:val="004315D4"/>
    <w:rsid w:val="00431609"/>
    <w:rsid w:val="0043184D"/>
    <w:rsid w:val="00431AEB"/>
    <w:rsid w:val="00431CA2"/>
    <w:rsid w:val="00431D1D"/>
    <w:rsid w:val="00431E74"/>
    <w:rsid w:val="0043206E"/>
    <w:rsid w:val="00432131"/>
    <w:rsid w:val="0043219D"/>
    <w:rsid w:val="00432433"/>
    <w:rsid w:val="00432699"/>
    <w:rsid w:val="00432708"/>
    <w:rsid w:val="004327E7"/>
    <w:rsid w:val="00432822"/>
    <w:rsid w:val="00432BD9"/>
    <w:rsid w:val="00432E28"/>
    <w:rsid w:val="00432F28"/>
    <w:rsid w:val="00432F3F"/>
    <w:rsid w:val="00432FBB"/>
    <w:rsid w:val="00433029"/>
    <w:rsid w:val="004330AA"/>
    <w:rsid w:val="0043321A"/>
    <w:rsid w:val="0043324A"/>
    <w:rsid w:val="004333E7"/>
    <w:rsid w:val="00433646"/>
    <w:rsid w:val="00433734"/>
    <w:rsid w:val="00433745"/>
    <w:rsid w:val="0043374C"/>
    <w:rsid w:val="0043396A"/>
    <w:rsid w:val="00433C46"/>
    <w:rsid w:val="00433C83"/>
    <w:rsid w:val="00433D9F"/>
    <w:rsid w:val="00433EA4"/>
    <w:rsid w:val="0043410E"/>
    <w:rsid w:val="0043424F"/>
    <w:rsid w:val="00434267"/>
    <w:rsid w:val="004343A2"/>
    <w:rsid w:val="004344C1"/>
    <w:rsid w:val="00434688"/>
    <w:rsid w:val="004347A0"/>
    <w:rsid w:val="00434932"/>
    <w:rsid w:val="00434A57"/>
    <w:rsid w:val="00434AF3"/>
    <w:rsid w:val="00434C3A"/>
    <w:rsid w:val="00434C3C"/>
    <w:rsid w:val="00434CFF"/>
    <w:rsid w:val="00434F75"/>
    <w:rsid w:val="0043508B"/>
    <w:rsid w:val="004350ED"/>
    <w:rsid w:val="004352C4"/>
    <w:rsid w:val="004352F4"/>
    <w:rsid w:val="004352FF"/>
    <w:rsid w:val="00435310"/>
    <w:rsid w:val="00435411"/>
    <w:rsid w:val="00435440"/>
    <w:rsid w:val="004355FD"/>
    <w:rsid w:val="00435607"/>
    <w:rsid w:val="00435612"/>
    <w:rsid w:val="0043566B"/>
    <w:rsid w:val="00435733"/>
    <w:rsid w:val="004357C4"/>
    <w:rsid w:val="004357E0"/>
    <w:rsid w:val="00435883"/>
    <w:rsid w:val="00435A40"/>
    <w:rsid w:val="00435A94"/>
    <w:rsid w:val="00435AA2"/>
    <w:rsid w:val="00435B10"/>
    <w:rsid w:val="00435BA7"/>
    <w:rsid w:val="00435C00"/>
    <w:rsid w:val="00435CB2"/>
    <w:rsid w:val="00435E2E"/>
    <w:rsid w:val="00435EFD"/>
    <w:rsid w:val="00436029"/>
    <w:rsid w:val="0043604E"/>
    <w:rsid w:val="00436082"/>
    <w:rsid w:val="004362A3"/>
    <w:rsid w:val="00436430"/>
    <w:rsid w:val="0043648C"/>
    <w:rsid w:val="00436504"/>
    <w:rsid w:val="004366FA"/>
    <w:rsid w:val="00436721"/>
    <w:rsid w:val="00436876"/>
    <w:rsid w:val="004368BA"/>
    <w:rsid w:val="004368D1"/>
    <w:rsid w:val="00436A6B"/>
    <w:rsid w:val="00436AE0"/>
    <w:rsid w:val="00436AF2"/>
    <w:rsid w:val="00436B64"/>
    <w:rsid w:val="00436C37"/>
    <w:rsid w:val="00436C66"/>
    <w:rsid w:val="00436FCD"/>
    <w:rsid w:val="00437105"/>
    <w:rsid w:val="004371F1"/>
    <w:rsid w:val="004375E7"/>
    <w:rsid w:val="00437622"/>
    <w:rsid w:val="004377F9"/>
    <w:rsid w:val="00437875"/>
    <w:rsid w:val="00437A61"/>
    <w:rsid w:val="00437A82"/>
    <w:rsid w:val="00437AAA"/>
    <w:rsid w:val="00437BD6"/>
    <w:rsid w:val="00437D0D"/>
    <w:rsid w:val="00437E7A"/>
    <w:rsid w:val="00437F20"/>
    <w:rsid w:val="00437F3D"/>
    <w:rsid w:val="0044015B"/>
    <w:rsid w:val="004401A0"/>
    <w:rsid w:val="004401EC"/>
    <w:rsid w:val="00440226"/>
    <w:rsid w:val="00440232"/>
    <w:rsid w:val="004402AB"/>
    <w:rsid w:val="004404AA"/>
    <w:rsid w:val="00440633"/>
    <w:rsid w:val="0044064E"/>
    <w:rsid w:val="004407D4"/>
    <w:rsid w:val="004408E8"/>
    <w:rsid w:val="00440972"/>
    <w:rsid w:val="00440A20"/>
    <w:rsid w:val="00440ACE"/>
    <w:rsid w:val="00440CAD"/>
    <w:rsid w:val="00440E09"/>
    <w:rsid w:val="00440E1F"/>
    <w:rsid w:val="00441208"/>
    <w:rsid w:val="0044126F"/>
    <w:rsid w:val="004412CB"/>
    <w:rsid w:val="004413A3"/>
    <w:rsid w:val="004413B3"/>
    <w:rsid w:val="00441834"/>
    <w:rsid w:val="00441889"/>
    <w:rsid w:val="004418B4"/>
    <w:rsid w:val="00441A51"/>
    <w:rsid w:val="00441AA2"/>
    <w:rsid w:val="00441AE8"/>
    <w:rsid w:val="00441B2B"/>
    <w:rsid w:val="00441D53"/>
    <w:rsid w:val="00441EDD"/>
    <w:rsid w:val="00441F61"/>
    <w:rsid w:val="00441F62"/>
    <w:rsid w:val="00442155"/>
    <w:rsid w:val="00442192"/>
    <w:rsid w:val="00442343"/>
    <w:rsid w:val="00442542"/>
    <w:rsid w:val="004425D1"/>
    <w:rsid w:val="00442828"/>
    <w:rsid w:val="0044294F"/>
    <w:rsid w:val="00442A44"/>
    <w:rsid w:val="00442B9A"/>
    <w:rsid w:val="00442D49"/>
    <w:rsid w:val="00442DE9"/>
    <w:rsid w:val="00442E7E"/>
    <w:rsid w:val="00443162"/>
    <w:rsid w:val="0044316E"/>
    <w:rsid w:val="004438F8"/>
    <w:rsid w:val="00443A2D"/>
    <w:rsid w:val="00443A41"/>
    <w:rsid w:val="00443A9C"/>
    <w:rsid w:val="00443AAF"/>
    <w:rsid w:val="00443AB6"/>
    <w:rsid w:val="00443B73"/>
    <w:rsid w:val="00443C3C"/>
    <w:rsid w:val="00443CF4"/>
    <w:rsid w:val="00443E37"/>
    <w:rsid w:val="00443E79"/>
    <w:rsid w:val="00443F41"/>
    <w:rsid w:val="00443FAC"/>
    <w:rsid w:val="004440D4"/>
    <w:rsid w:val="00444136"/>
    <w:rsid w:val="0044437E"/>
    <w:rsid w:val="004444FC"/>
    <w:rsid w:val="00444564"/>
    <w:rsid w:val="00444566"/>
    <w:rsid w:val="00444586"/>
    <w:rsid w:val="004447A9"/>
    <w:rsid w:val="004447C2"/>
    <w:rsid w:val="00444841"/>
    <w:rsid w:val="00444AED"/>
    <w:rsid w:val="00444B55"/>
    <w:rsid w:val="00444C34"/>
    <w:rsid w:val="00444C3F"/>
    <w:rsid w:val="00444EAF"/>
    <w:rsid w:val="00445277"/>
    <w:rsid w:val="004455DE"/>
    <w:rsid w:val="00445743"/>
    <w:rsid w:val="00445820"/>
    <w:rsid w:val="00445D0A"/>
    <w:rsid w:val="00445D62"/>
    <w:rsid w:val="0044607C"/>
    <w:rsid w:val="00446377"/>
    <w:rsid w:val="004463BC"/>
    <w:rsid w:val="00446519"/>
    <w:rsid w:val="004465B9"/>
    <w:rsid w:val="00446752"/>
    <w:rsid w:val="00446B1B"/>
    <w:rsid w:val="00446B2C"/>
    <w:rsid w:val="00446B59"/>
    <w:rsid w:val="00446E96"/>
    <w:rsid w:val="004470D2"/>
    <w:rsid w:val="00447229"/>
    <w:rsid w:val="004473B9"/>
    <w:rsid w:val="004473E5"/>
    <w:rsid w:val="0044743F"/>
    <w:rsid w:val="00447499"/>
    <w:rsid w:val="0044759F"/>
    <w:rsid w:val="004476DD"/>
    <w:rsid w:val="00447735"/>
    <w:rsid w:val="004478B4"/>
    <w:rsid w:val="004478E6"/>
    <w:rsid w:val="00447A4C"/>
    <w:rsid w:val="00447ADD"/>
    <w:rsid w:val="00447C47"/>
    <w:rsid w:val="00447CA7"/>
    <w:rsid w:val="0045007A"/>
    <w:rsid w:val="00450199"/>
    <w:rsid w:val="004501CE"/>
    <w:rsid w:val="0045020F"/>
    <w:rsid w:val="00450374"/>
    <w:rsid w:val="00450376"/>
    <w:rsid w:val="004504F3"/>
    <w:rsid w:val="004507E4"/>
    <w:rsid w:val="00450860"/>
    <w:rsid w:val="00450A0B"/>
    <w:rsid w:val="00450C28"/>
    <w:rsid w:val="00450C73"/>
    <w:rsid w:val="00450CFB"/>
    <w:rsid w:val="00450E4E"/>
    <w:rsid w:val="00450EFE"/>
    <w:rsid w:val="00451099"/>
    <w:rsid w:val="0045117D"/>
    <w:rsid w:val="004511FE"/>
    <w:rsid w:val="0045120B"/>
    <w:rsid w:val="00451415"/>
    <w:rsid w:val="00451439"/>
    <w:rsid w:val="004516A3"/>
    <w:rsid w:val="00451727"/>
    <w:rsid w:val="00451864"/>
    <w:rsid w:val="00451949"/>
    <w:rsid w:val="00451965"/>
    <w:rsid w:val="00451B6A"/>
    <w:rsid w:val="00451BDD"/>
    <w:rsid w:val="00451CB6"/>
    <w:rsid w:val="00451DCA"/>
    <w:rsid w:val="00451E6E"/>
    <w:rsid w:val="00452142"/>
    <w:rsid w:val="004521DC"/>
    <w:rsid w:val="004522E6"/>
    <w:rsid w:val="0045234E"/>
    <w:rsid w:val="00452369"/>
    <w:rsid w:val="004523A1"/>
    <w:rsid w:val="0045253B"/>
    <w:rsid w:val="00452990"/>
    <w:rsid w:val="00452D19"/>
    <w:rsid w:val="00452DF4"/>
    <w:rsid w:val="00452E63"/>
    <w:rsid w:val="0045317D"/>
    <w:rsid w:val="0045325A"/>
    <w:rsid w:val="00453330"/>
    <w:rsid w:val="0045348F"/>
    <w:rsid w:val="004534CB"/>
    <w:rsid w:val="00453650"/>
    <w:rsid w:val="0045392B"/>
    <w:rsid w:val="00453973"/>
    <w:rsid w:val="004539C0"/>
    <w:rsid w:val="00453B57"/>
    <w:rsid w:val="00453BAB"/>
    <w:rsid w:val="00453BCB"/>
    <w:rsid w:val="00453D26"/>
    <w:rsid w:val="00453D40"/>
    <w:rsid w:val="00453E2E"/>
    <w:rsid w:val="00453F47"/>
    <w:rsid w:val="004540A6"/>
    <w:rsid w:val="004540B4"/>
    <w:rsid w:val="004542E8"/>
    <w:rsid w:val="00454435"/>
    <w:rsid w:val="004545A1"/>
    <w:rsid w:val="004545E8"/>
    <w:rsid w:val="004545EA"/>
    <w:rsid w:val="0045462F"/>
    <w:rsid w:val="004547C2"/>
    <w:rsid w:val="004548F4"/>
    <w:rsid w:val="00454990"/>
    <w:rsid w:val="0045499F"/>
    <w:rsid w:val="004549E3"/>
    <w:rsid w:val="00454BD9"/>
    <w:rsid w:val="00454C8F"/>
    <w:rsid w:val="00454DD0"/>
    <w:rsid w:val="00454F09"/>
    <w:rsid w:val="00454FB7"/>
    <w:rsid w:val="004550AA"/>
    <w:rsid w:val="00455536"/>
    <w:rsid w:val="004555E3"/>
    <w:rsid w:val="0045567A"/>
    <w:rsid w:val="0045599D"/>
    <w:rsid w:val="00455C0C"/>
    <w:rsid w:val="00455E3E"/>
    <w:rsid w:val="00455F86"/>
    <w:rsid w:val="00456047"/>
    <w:rsid w:val="004560AD"/>
    <w:rsid w:val="00456110"/>
    <w:rsid w:val="0045615B"/>
    <w:rsid w:val="004562B9"/>
    <w:rsid w:val="00456367"/>
    <w:rsid w:val="004563D2"/>
    <w:rsid w:val="00456828"/>
    <w:rsid w:val="00456889"/>
    <w:rsid w:val="004569A9"/>
    <w:rsid w:val="004569ED"/>
    <w:rsid w:val="00456BDA"/>
    <w:rsid w:val="00457071"/>
    <w:rsid w:val="0045707D"/>
    <w:rsid w:val="00457082"/>
    <w:rsid w:val="004570DF"/>
    <w:rsid w:val="004570E4"/>
    <w:rsid w:val="0045718F"/>
    <w:rsid w:val="00457412"/>
    <w:rsid w:val="004576CF"/>
    <w:rsid w:val="00457A8D"/>
    <w:rsid w:val="00457C66"/>
    <w:rsid w:val="00457C8B"/>
    <w:rsid w:val="00457D91"/>
    <w:rsid w:val="00457D97"/>
    <w:rsid w:val="00457F46"/>
    <w:rsid w:val="00457FCC"/>
    <w:rsid w:val="004603E6"/>
    <w:rsid w:val="0046068B"/>
    <w:rsid w:val="00460690"/>
    <w:rsid w:val="004606A3"/>
    <w:rsid w:val="00460868"/>
    <w:rsid w:val="00460893"/>
    <w:rsid w:val="00460B22"/>
    <w:rsid w:val="00460B65"/>
    <w:rsid w:val="00460C2C"/>
    <w:rsid w:val="00460CBF"/>
    <w:rsid w:val="00460D18"/>
    <w:rsid w:val="00460DBA"/>
    <w:rsid w:val="00460DC3"/>
    <w:rsid w:val="00460FDA"/>
    <w:rsid w:val="00461123"/>
    <w:rsid w:val="004613AB"/>
    <w:rsid w:val="004613BF"/>
    <w:rsid w:val="004613F2"/>
    <w:rsid w:val="00461510"/>
    <w:rsid w:val="0046197B"/>
    <w:rsid w:val="00461B0B"/>
    <w:rsid w:val="00461C61"/>
    <w:rsid w:val="00461C74"/>
    <w:rsid w:val="00461E90"/>
    <w:rsid w:val="00461F46"/>
    <w:rsid w:val="00461F7A"/>
    <w:rsid w:val="00462230"/>
    <w:rsid w:val="00462339"/>
    <w:rsid w:val="004624DF"/>
    <w:rsid w:val="00462507"/>
    <w:rsid w:val="004625E5"/>
    <w:rsid w:val="004625F5"/>
    <w:rsid w:val="00462952"/>
    <w:rsid w:val="00462F18"/>
    <w:rsid w:val="00462F79"/>
    <w:rsid w:val="00463107"/>
    <w:rsid w:val="0046313A"/>
    <w:rsid w:val="00463280"/>
    <w:rsid w:val="004632A4"/>
    <w:rsid w:val="004633BE"/>
    <w:rsid w:val="004633E4"/>
    <w:rsid w:val="00463534"/>
    <w:rsid w:val="004636EE"/>
    <w:rsid w:val="0046376C"/>
    <w:rsid w:val="00463797"/>
    <w:rsid w:val="00463924"/>
    <w:rsid w:val="00463963"/>
    <w:rsid w:val="00463F27"/>
    <w:rsid w:val="00463FC8"/>
    <w:rsid w:val="0046400B"/>
    <w:rsid w:val="00464479"/>
    <w:rsid w:val="00464524"/>
    <w:rsid w:val="004645B4"/>
    <w:rsid w:val="00464781"/>
    <w:rsid w:val="004647D7"/>
    <w:rsid w:val="004647FD"/>
    <w:rsid w:val="00464823"/>
    <w:rsid w:val="004648A4"/>
    <w:rsid w:val="004648A5"/>
    <w:rsid w:val="004649BC"/>
    <w:rsid w:val="004649DE"/>
    <w:rsid w:val="00464E1B"/>
    <w:rsid w:val="00464F15"/>
    <w:rsid w:val="0046510F"/>
    <w:rsid w:val="00465117"/>
    <w:rsid w:val="0046533D"/>
    <w:rsid w:val="00465491"/>
    <w:rsid w:val="004654A3"/>
    <w:rsid w:val="0046560A"/>
    <w:rsid w:val="004657F9"/>
    <w:rsid w:val="00465A71"/>
    <w:rsid w:val="00465B1E"/>
    <w:rsid w:val="00465B49"/>
    <w:rsid w:val="00465C74"/>
    <w:rsid w:val="00465EAC"/>
    <w:rsid w:val="004660BB"/>
    <w:rsid w:val="0046611B"/>
    <w:rsid w:val="00466376"/>
    <w:rsid w:val="0046642A"/>
    <w:rsid w:val="00466454"/>
    <w:rsid w:val="00466586"/>
    <w:rsid w:val="0046664D"/>
    <w:rsid w:val="0046677A"/>
    <w:rsid w:val="004667C6"/>
    <w:rsid w:val="004668E0"/>
    <w:rsid w:val="00466AF8"/>
    <w:rsid w:val="00466C15"/>
    <w:rsid w:val="00467106"/>
    <w:rsid w:val="004673E5"/>
    <w:rsid w:val="0046775D"/>
    <w:rsid w:val="00467A3B"/>
    <w:rsid w:val="00467B36"/>
    <w:rsid w:val="00467C14"/>
    <w:rsid w:val="00467D84"/>
    <w:rsid w:val="00467DC5"/>
    <w:rsid w:val="00467F0B"/>
    <w:rsid w:val="00470078"/>
    <w:rsid w:val="004700F3"/>
    <w:rsid w:val="0047027A"/>
    <w:rsid w:val="00470293"/>
    <w:rsid w:val="004702AD"/>
    <w:rsid w:val="004703D5"/>
    <w:rsid w:val="00470449"/>
    <w:rsid w:val="00470500"/>
    <w:rsid w:val="0047053E"/>
    <w:rsid w:val="004705DA"/>
    <w:rsid w:val="004705EB"/>
    <w:rsid w:val="00470898"/>
    <w:rsid w:val="004708B5"/>
    <w:rsid w:val="00470B49"/>
    <w:rsid w:val="00470C00"/>
    <w:rsid w:val="00470C13"/>
    <w:rsid w:val="00470C43"/>
    <w:rsid w:val="00470D11"/>
    <w:rsid w:val="00470D2E"/>
    <w:rsid w:val="00470D5D"/>
    <w:rsid w:val="00470E2C"/>
    <w:rsid w:val="0047127D"/>
    <w:rsid w:val="004712E8"/>
    <w:rsid w:val="004713DD"/>
    <w:rsid w:val="004715AA"/>
    <w:rsid w:val="00471682"/>
    <w:rsid w:val="004717D5"/>
    <w:rsid w:val="004719BE"/>
    <w:rsid w:val="00471C34"/>
    <w:rsid w:val="00471CA8"/>
    <w:rsid w:val="00471DA9"/>
    <w:rsid w:val="00471F48"/>
    <w:rsid w:val="00471FF6"/>
    <w:rsid w:val="0047201B"/>
    <w:rsid w:val="004721BB"/>
    <w:rsid w:val="004721C6"/>
    <w:rsid w:val="004723F4"/>
    <w:rsid w:val="0047244A"/>
    <w:rsid w:val="00472536"/>
    <w:rsid w:val="00472781"/>
    <w:rsid w:val="004727CB"/>
    <w:rsid w:val="00472860"/>
    <w:rsid w:val="00472A15"/>
    <w:rsid w:val="00472C0D"/>
    <w:rsid w:val="00472ECA"/>
    <w:rsid w:val="00472F49"/>
    <w:rsid w:val="004730BB"/>
    <w:rsid w:val="0047318F"/>
    <w:rsid w:val="004731E8"/>
    <w:rsid w:val="004732EC"/>
    <w:rsid w:val="004732ED"/>
    <w:rsid w:val="00473450"/>
    <w:rsid w:val="00473592"/>
    <w:rsid w:val="004736BE"/>
    <w:rsid w:val="0047373F"/>
    <w:rsid w:val="0047374B"/>
    <w:rsid w:val="004738C0"/>
    <w:rsid w:val="00473D2F"/>
    <w:rsid w:val="004740AC"/>
    <w:rsid w:val="004747CE"/>
    <w:rsid w:val="00474E27"/>
    <w:rsid w:val="00474E5E"/>
    <w:rsid w:val="00474E86"/>
    <w:rsid w:val="00475047"/>
    <w:rsid w:val="00475257"/>
    <w:rsid w:val="004752DD"/>
    <w:rsid w:val="0047544D"/>
    <w:rsid w:val="004754C4"/>
    <w:rsid w:val="00475527"/>
    <w:rsid w:val="0047576C"/>
    <w:rsid w:val="00475852"/>
    <w:rsid w:val="00475934"/>
    <w:rsid w:val="004759D0"/>
    <w:rsid w:val="00475D70"/>
    <w:rsid w:val="00475D79"/>
    <w:rsid w:val="00475DBF"/>
    <w:rsid w:val="00476043"/>
    <w:rsid w:val="0047613C"/>
    <w:rsid w:val="00476276"/>
    <w:rsid w:val="0047630A"/>
    <w:rsid w:val="00476472"/>
    <w:rsid w:val="0047655E"/>
    <w:rsid w:val="0047660B"/>
    <w:rsid w:val="004767A6"/>
    <w:rsid w:val="00476A52"/>
    <w:rsid w:val="00476B72"/>
    <w:rsid w:val="00476C85"/>
    <w:rsid w:val="0047713F"/>
    <w:rsid w:val="00477238"/>
    <w:rsid w:val="0047724F"/>
    <w:rsid w:val="004774AB"/>
    <w:rsid w:val="00477666"/>
    <w:rsid w:val="00477717"/>
    <w:rsid w:val="00477813"/>
    <w:rsid w:val="004779AA"/>
    <w:rsid w:val="00477A66"/>
    <w:rsid w:val="00477A9D"/>
    <w:rsid w:val="00477AC9"/>
    <w:rsid w:val="00477D73"/>
    <w:rsid w:val="00477DCC"/>
    <w:rsid w:val="00477E45"/>
    <w:rsid w:val="00477ED2"/>
    <w:rsid w:val="00477F7E"/>
    <w:rsid w:val="00480080"/>
    <w:rsid w:val="00480097"/>
    <w:rsid w:val="00480345"/>
    <w:rsid w:val="004803AA"/>
    <w:rsid w:val="004803AB"/>
    <w:rsid w:val="004803B0"/>
    <w:rsid w:val="00480506"/>
    <w:rsid w:val="00480581"/>
    <w:rsid w:val="004806DD"/>
    <w:rsid w:val="0048081D"/>
    <w:rsid w:val="0048095F"/>
    <w:rsid w:val="0048099F"/>
    <w:rsid w:val="00480AE6"/>
    <w:rsid w:val="00480F02"/>
    <w:rsid w:val="00480F06"/>
    <w:rsid w:val="00481269"/>
    <w:rsid w:val="004812A5"/>
    <w:rsid w:val="004814AD"/>
    <w:rsid w:val="004816CB"/>
    <w:rsid w:val="00481729"/>
    <w:rsid w:val="004817C4"/>
    <w:rsid w:val="00481899"/>
    <w:rsid w:val="00481923"/>
    <w:rsid w:val="0048197C"/>
    <w:rsid w:val="004819B2"/>
    <w:rsid w:val="00481A72"/>
    <w:rsid w:val="00481F95"/>
    <w:rsid w:val="004820F6"/>
    <w:rsid w:val="004821F5"/>
    <w:rsid w:val="0048230E"/>
    <w:rsid w:val="00482354"/>
    <w:rsid w:val="00482415"/>
    <w:rsid w:val="0048267E"/>
    <w:rsid w:val="004827DB"/>
    <w:rsid w:val="00482918"/>
    <w:rsid w:val="00482D87"/>
    <w:rsid w:val="00482F61"/>
    <w:rsid w:val="00482FC9"/>
    <w:rsid w:val="0048322F"/>
    <w:rsid w:val="004832EE"/>
    <w:rsid w:val="004832F3"/>
    <w:rsid w:val="00483354"/>
    <w:rsid w:val="004834F1"/>
    <w:rsid w:val="00483514"/>
    <w:rsid w:val="004836D2"/>
    <w:rsid w:val="00483742"/>
    <w:rsid w:val="00483998"/>
    <w:rsid w:val="00483AC3"/>
    <w:rsid w:val="00483EA3"/>
    <w:rsid w:val="00483F5A"/>
    <w:rsid w:val="00483F7A"/>
    <w:rsid w:val="00484072"/>
    <w:rsid w:val="00484084"/>
    <w:rsid w:val="004841A1"/>
    <w:rsid w:val="00484217"/>
    <w:rsid w:val="004842F7"/>
    <w:rsid w:val="00484316"/>
    <w:rsid w:val="00484354"/>
    <w:rsid w:val="00484752"/>
    <w:rsid w:val="004847AB"/>
    <w:rsid w:val="00484884"/>
    <w:rsid w:val="00484BA0"/>
    <w:rsid w:val="00484DB0"/>
    <w:rsid w:val="004850FD"/>
    <w:rsid w:val="0048558B"/>
    <w:rsid w:val="00485646"/>
    <w:rsid w:val="004857D5"/>
    <w:rsid w:val="0048586E"/>
    <w:rsid w:val="004858D8"/>
    <w:rsid w:val="004859FA"/>
    <w:rsid w:val="00485AFB"/>
    <w:rsid w:val="00485CF8"/>
    <w:rsid w:val="00485E2B"/>
    <w:rsid w:val="00485E9F"/>
    <w:rsid w:val="00485EF9"/>
    <w:rsid w:val="0048609E"/>
    <w:rsid w:val="00486123"/>
    <w:rsid w:val="00486155"/>
    <w:rsid w:val="00486175"/>
    <w:rsid w:val="004861E7"/>
    <w:rsid w:val="00486608"/>
    <w:rsid w:val="00486673"/>
    <w:rsid w:val="0048694E"/>
    <w:rsid w:val="00486BAA"/>
    <w:rsid w:val="00486CF8"/>
    <w:rsid w:val="00486E13"/>
    <w:rsid w:val="00486E36"/>
    <w:rsid w:val="00486FB9"/>
    <w:rsid w:val="00487004"/>
    <w:rsid w:val="004874EC"/>
    <w:rsid w:val="00487637"/>
    <w:rsid w:val="004876F3"/>
    <w:rsid w:val="004877EB"/>
    <w:rsid w:val="00487B8F"/>
    <w:rsid w:val="00487BA5"/>
    <w:rsid w:val="00487C14"/>
    <w:rsid w:val="004900AA"/>
    <w:rsid w:val="004900B6"/>
    <w:rsid w:val="00490256"/>
    <w:rsid w:val="004902CA"/>
    <w:rsid w:val="00490314"/>
    <w:rsid w:val="00490397"/>
    <w:rsid w:val="004905B6"/>
    <w:rsid w:val="0049083F"/>
    <w:rsid w:val="00490AA7"/>
    <w:rsid w:val="00490AD8"/>
    <w:rsid w:val="00490D48"/>
    <w:rsid w:val="00490D93"/>
    <w:rsid w:val="00490E8F"/>
    <w:rsid w:val="00490ECD"/>
    <w:rsid w:val="00490FF3"/>
    <w:rsid w:val="00491119"/>
    <w:rsid w:val="0049146F"/>
    <w:rsid w:val="0049149A"/>
    <w:rsid w:val="004914DB"/>
    <w:rsid w:val="0049152F"/>
    <w:rsid w:val="0049162E"/>
    <w:rsid w:val="00491831"/>
    <w:rsid w:val="004918A6"/>
    <w:rsid w:val="004918B8"/>
    <w:rsid w:val="0049190E"/>
    <w:rsid w:val="00492008"/>
    <w:rsid w:val="004920FA"/>
    <w:rsid w:val="00492206"/>
    <w:rsid w:val="0049234E"/>
    <w:rsid w:val="00492536"/>
    <w:rsid w:val="00492703"/>
    <w:rsid w:val="00492726"/>
    <w:rsid w:val="00492816"/>
    <w:rsid w:val="00492835"/>
    <w:rsid w:val="004928A0"/>
    <w:rsid w:val="004928D7"/>
    <w:rsid w:val="0049291D"/>
    <w:rsid w:val="00492A85"/>
    <w:rsid w:val="00492AFF"/>
    <w:rsid w:val="00492B78"/>
    <w:rsid w:val="00492BDC"/>
    <w:rsid w:val="00492C75"/>
    <w:rsid w:val="00492E97"/>
    <w:rsid w:val="004930DA"/>
    <w:rsid w:val="00493247"/>
    <w:rsid w:val="00493274"/>
    <w:rsid w:val="0049338C"/>
    <w:rsid w:val="004936EC"/>
    <w:rsid w:val="0049390A"/>
    <w:rsid w:val="004939BF"/>
    <w:rsid w:val="00493E90"/>
    <w:rsid w:val="00493F3E"/>
    <w:rsid w:val="00493FCD"/>
    <w:rsid w:val="004940D1"/>
    <w:rsid w:val="004942A0"/>
    <w:rsid w:val="00494319"/>
    <w:rsid w:val="004943BB"/>
    <w:rsid w:val="0049441A"/>
    <w:rsid w:val="0049449F"/>
    <w:rsid w:val="004945F2"/>
    <w:rsid w:val="004947CA"/>
    <w:rsid w:val="004948AF"/>
    <w:rsid w:val="004948C8"/>
    <w:rsid w:val="00494AA2"/>
    <w:rsid w:val="00494EE9"/>
    <w:rsid w:val="004950B7"/>
    <w:rsid w:val="0049515E"/>
    <w:rsid w:val="0049532A"/>
    <w:rsid w:val="004953AD"/>
    <w:rsid w:val="00495573"/>
    <w:rsid w:val="00495658"/>
    <w:rsid w:val="00495723"/>
    <w:rsid w:val="00495969"/>
    <w:rsid w:val="00495B1C"/>
    <w:rsid w:val="00495B39"/>
    <w:rsid w:val="00495E71"/>
    <w:rsid w:val="00496225"/>
    <w:rsid w:val="0049639F"/>
    <w:rsid w:val="004963AD"/>
    <w:rsid w:val="004965CE"/>
    <w:rsid w:val="004965F6"/>
    <w:rsid w:val="00496638"/>
    <w:rsid w:val="0049663A"/>
    <w:rsid w:val="00496734"/>
    <w:rsid w:val="0049674F"/>
    <w:rsid w:val="004967D6"/>
    <w:rsid w:val="0049695D"/>
    <w:rsid w:val="00496B0F"/>
    <w:rsid w:val="00496D69"/>
    <w:rsid w:val="00496EFC"/>
    <w:rsid w:val="00496F99"/>
    <w:rsid w:val="00496FF8"/>
    <w:rsid w:val="00497123"/>
    <w:rsid w:val="00497154"/>
    <w:rsid w:val="00497202"/>
    <w:rsid w:val="00497221"/>
    <w:rsid w:val="00497363"/>
    <w:rsid w:val="00497384"/>
    <w:rsid w:val="004973AF"/>
    <w:rsid w:val="004974EE"/>
    <w:rsid w:val="0049759B"/>
    <w:rsid w:val="004975E4"/>
    <w:rsid w:val="0049775A"/>
    <w:rsid w:val="00497931"/>
    <w:rsid w:val="0049794D"/>
    <w:rsid w:val="00497974"/>
    <w:rsid w:val="00497B7E"/>
    <w:rsid w:val="00497CCA"/>
    <w:rsid w:val="00497DE6"/>
    <w:rsid w:val="00497E61"/>
    <w:rsid w:val="00497E8D"/>
    <w:rsid w:val="00497EB1"/>
    <w:rsid w:val="004A003D"/>
    <w:rsid w:val="004A0076"/>
    <w:rsid w:val="004A0194"/>
    <w:rsid w:val="004A0511"/>
    <w:rsid w:val="004A071C"/>
    <w:rsid w:val="004A0A64"/>
    <w:rsid w:val="004A0B3F"/>
    <w:rsid w:val="004A0C5B"/>
    <w:rsid w:val="004A0C83"/>
    <w:rsid w:val="004A0E51"/>
    <w:rsid w:val="004A0F1E"/>
    <w:rsid w:val="004A14B7"/>
    <w:rsid w:val="004A14DF"/>
    <w:rsid w:val="004A185E"/>
    <w:rsid w:val="004A18DD"/>
    <w:rsid w:val="004A19FD"/>
    <w:rsid w:val="004A1B59"/>
    <w:rsid w:val="004A1EAC"/>
    <w:rsid w:val="004A21C7"/>
    <w:rsid w:val="004A25C2"/>
    <w:rsid w:val="004A25F3"/>
    <w:rsid w:val="004A2611"/>
    <w:rsid w:val="004A2679"/>
    <w:rsid w:val="004A27BC"/>
    <w:rsid w:val="004A2979"/>
    <w:rsid w:val="004A29BC"/>
    <w:rsid w:val="004A2B19"/>
    <w:rsid w:val="004A2CA4"/>
    <w:rsid w:val="004A2D7B"/>
    <w:rsid w:val="004A2D8F"/>
    <w:rsid w:val="004A2DCA"/>
    <w:rsid w:val="004A2DE8"/>
    <w:rsid w:val="004A2EF0"/>
    <w:rsid w:val="004A2F0E"/>
    <w:rsid w:val="004A3042"/>
    <w:rsid w:val="004A3059"/>
    <w:rsid w:val="004A33B4"/>
    <w:rsid w:val="004A34BA"/>
    <w:rsid w:val="004A36BF"/>
    <w:rsid w:val="004A372F"/>
    <w:rsid w:val="004A382C"/>
    <w:rsid w:val="004A386B"/>
    <w:rsid w:val="004A38A8"/>
    <w:rsid w:val="004A3938"/>
    <w:rsid w:val="004A3B49"/>
    <w:rsid w:val="004A3B4A"/>
    <w:rsid w:val="004A3D7D"/>
    <w:rsid w:val="004A3E27"/>
    <w:rsid w:val="004A3E61"/>
    <w:rsid w:val="004A3E78"/>
    <w:rsid w:val="004A3F87"/>
    <w:rsid w:val="004A3FA1"/>
    <w:rsid w:val="004A42F5"/>
    <w:rsid w:val="004A430A"/>
    <w:rsid w:val="004A434C"/>
    <w:rsid w:val="004A436D"/>
    <w:rsid w:val="004A4547"/>
    <w:rsid w:val="004A47B2"/>
    <w:rsid w:val="004A4BDD"/>
    <w:rsid w:val="004A4CCA"/>
    <w:rsid w:val="004A4DAA"/>
    <w:rsid w:val="004A4E36"/>
    <w:rsid w:val="004A4E5F"/>
    <w:rsid w:val="004A5024"/>
    <w:rsid w:val="004A5208"/>
    <w:rsid w:val="004A52F0"/>
    <w:rsid w:val="004A5443"/>
    <w:rsid w:val="004A5546"/>
    <w:rsid w:val="004A5567"/>
    <w:rsid w:val="004A55C0"/>
    <w:rsid w:val="004A573E"/>
    <w:rsid w:val="004A5AEF"/>
    <w:rsid w:val="004A5B1C"/>
    <w:rsid w:val="004A5CB1"/>
    <w:rsid w:val="004A5E84"/>
    <w:rsid w:val="004A5FA5"/>
    <w:rsid w:val="004A611D"/>
    <w:rsid w:val="004A627A"/>
    <w:rsid w:val="004A6292"/>
    <w:rsid w:val="004A6374"/>
    <w:rsid w:val="004A644C"/>
    <w:rsid w:val="004A646C"/>
    <w:rsid w:val="004A6538"/>
    <w:rsid w:val="004A6777"/>
    <w:rsid w:val="004A6868"/>
    <w:rsid w:val="004A69F9"/>
    <w:rsid w:val="004A6A32"/>
    <w:rsid w:val="004A6CC6"/>
    <w:rsid w:val="004A6E75"/>
    <w:rsid w:val="004A7252"/>
    <w:rsid w:val="004A7253"/>
    <w:rsid w:val="004A72B6"/>
    <w:rsid w:val="004A730C"/>
    <w:rsid w:val="004A7352"/>
    <w:rsid w:val="004A7486"/>
    <w:rsid w:val="004A74F7"/>
    <w:rsid w:val="004A75ED"/>
    <w:rsid w:val="004A7637"/>
    <w:rsid w:val="004A772B"/>
    <w:rsid w:val="004A78D5"/>
    <w:rsid w:val="004A7BEE"/>
    <w:rsid w:val="004A7C60"/>
    <w:rsid w:val="004A7C70"/>
    <w:rsid w:val="004A7E44"/>
    <w:rsid w:val="004A7F37"/>
    <w:rsid w:val="004B00C7"/>
    <w:rsid w:val="004B03BD"/>
    <w:rsid w:val="004B03BE"/>
    <w:rsid w:val="004B04B4"/>
    <w:rsid w:val="004B04C9"/>
    <w:rsid w:val="004B05EA"/>
    <w:rsid w:val="004B08DC"/>
    <w:rsid w:val="004B0AC0"/>
    <w:rsid w:val="004B0B45"/>
    <w:rsid w:val="004B0B89"/>
    <w:rsid w:val="004B0D69"/>
    <w:rsid w:val="004B0F13"/>
    <w:rsid w:val="004B0F9D"/>
    <w:rsid w:val="004B0FB9"/>
    <w:rsid w:val="004B101B"/>
    <w:rsid w:val="004B1247"/>
    <w:rsid w:val="004B13BD"/>
    <w:rsid w:val="004B1466"/>
    <w:rsid w:val="004B14E2"/>
    <w:rsid w:val="004B14E6"/>
    <w:rsid w:val="004B1599"/>
    <w:rsid w:val="004B15BA"/>
    <w:rsid w:val="004B1727"/>
    <w:rsid w:val="004B17B1"/>
    <w:rsid w:val="004B185D"/>
    <w:rsid w:val="004B1871"/>
    <w:rsid w:val="004B18F1"/>
    <w:rsid w:val="004B196C"/>
    <w:rsid w:val="004B1990"/>
    <w:rsid w:val="004B1A7A"/>
    <w:rsid w:val="004B1BD5"/>
    <w:rsid w:val="004B1C7F"/>
    <w:rsid w:val="004B1CE2"/>
    <w:rsid w:val="004B1DA7"/>
    <w:rsid w:val="004B1EAF"/>
    <w:rsid w:val="004B20C0"/>
    <w:rsid w:val="004B21B9"/>
    <w:rsid w:val="004B27BE"/>
    <w:rsid w:val="004B2948"/>
    <w:rsid w:val="004B29B0"/>
    <w:rsid w:val="004B2A6C"/>
    <w:rsid w:val="004B2C00"/>
    <w:rsid w:val="004B2E0A"/>
    <w:rsid w:val="004B2F7E"/>
    <w:rsid w:val="004B2FFE"/>
    <w:rsid w:val="004B3130"/>
    <w:rsid w:val="004B31D0"/>
    <w:rsid w:val="004B3480"/>
    <w:rsid w:val="004B3684"/>
    <w:rsid w:val="004B36B0"/>
    <w:rsid w:val="004B3715"/>
    <w:rsid w:val="004B3719"/>
    <w:rsid w:val="004B3723"/>
    <w:rsid w:val="004B3737"/>
    <w:rsid w:val="004B384B"/>
    <w:rsid w:val="004B3A08"/>
    <w:rsid w:val="004B3C15"/>
    <w:rsid w:val="004B3CA2"/>
    <w:rsid w:val="004B3CD0"/>
    <w:rsid w:val="004B3CE7"/>
    <w:rsid w:val="004B3D8E"/>
    <w:rsid w:val="004B3E68"/>
    <w:rsid w:val="004B3F39"/>
    <w:rsid w:val="004B3F9A"/>
    <w:rsid w:val="004B3FC7"/>
    <w:rsid w:val="004B4034"/>
    <w:rsid w:val="004B404D"/>
    <w:rsid w:val="004B4101"/>
    <w:rsid w:val="004B4125"/>
    <w:rsid w:val="004B41FE"/>
    <w:rsid w:val="004B4295"/>
    <w:rsid w:val="004B4625"/>
    <w:rsid w:val="004B48DD"/>
    <w:rsid w:val="004B4C01"/>
    <w:rsid w:val="004B4C4F"/>
    <w:rsid w:val="004B4CBD"/>
    <w:rsid w:val="004B4E3A"/>
    <w:rsid w:val="004B4E4E"/>
    <w:rsid w:val="004B4EB0"/>
    <w:rsid w:val="004B4FE8"/>
    <w:rsid w:val="004B4FFA"/>
    <w:rsid w:val="004B5031"/>
    <w:rsid w:val="004B5143"/>
    <w:rsid w:val="004B55AD"/>
    <w:rsid w:val="004B561E"/>
    <w:rsid w:val="004B5761"/>
    <w:rsid w:val="004B58C4"/>
    <w:rsid w:val="004B591C"/>
    <w:rsid w:val="004B59A4"/>
    <w:rsid w:val="004B5A2D"/>
    <w:rsid w:val="004B5C02"/>
    <w:rsid w:val="004B5CBC"/>
    <w:rsid w:val="004B6212"/>
    <w:rsid w:val="004B63AB"/>
    <w:rsid w:val="004B64D7"/>
    <w:rsid w:val="004B6699"/>
    <w:rsid w:val="004B6775"/>
    <w:rsid w:val="004B678A"/>
    <w:rsid w:val="004B6A20"/>
    <w:rsid w:val="004B6B06"/>
    <w:rsid w:val="004B6BA7"/>
    <w:rsid w:val="004B6BE3"/>
    <w:rsid w:val="004B6CF5"/>
    <w:rsid w:val="004B6EB5"/>
    <w:rsid w:val="004B7060"/>
    <w:rsid w:val="004B7090"/>
    <w:rsid w:val="004B74CF"/>
    <w:rsid w:val="004B76C4"/>
    <w:rsid w:val="004B7794"/>
    <w:rsid w:val="004B7814"/>
    <w:rsid w:val="004B7915"/>
    <w:rsid w:val="004B7A62"/>
    <w:rsid w:val="004B7ADA"/>
    <w:rsid w:val="004B7F16"/>
    <w:rsid w:val="004C004F"/>
    <w:rsid w:val="004C00A5"/>
    <w:rsid w:val="004C0171"/>
    <w:rsid w:val="004C0210"/>
    <w:rsid w:val="004C02D2"/>
    <w:rsid w:val="004C042A"/>
    <w:rsid w:val="004C050E"/>
    <w:rsid w:val="004C05D4"/>
    <w:rsid w:val="004C074E"/>
    <w:rsid w:val="004C0A3C"/>
    <w:rsid w:val="004C0AAC"/>
    <w:rsid w:val="004C0DC6"/>
    <w:rsid w:val="004C0F72"/>
    <w:rsid w:val="004C12B4"/>
    <w:rsid w:val="004C13EF"/>
    <w:rsid w:val="004C18E0"/>
    <w:rsid w:val="004C1983"/>
    <w:rsid w:val="004C1A4C"/>
    <w:rsid w:val="004C1ADC"/>
    <w:rsid w:val="004C1C2B"/>
    <w:rsid w:val="004C1D13"/>
    <w:rsid w:val="004C1E52"/>
    <w:rsid w:val="004C1E6E"/>
    <w:rsid w:val="004C1F19"/>
    <w:rsid w:val="004C1F65"/>
    <w:rsid w:val="004C1FF3"/>
    <w:rsid w:val="004C2084"/>
    <w:rsid w:val="004C2116"/>
    <w:rsid w:val="004C221D"/>
    <w:rsid w:val="004C227E"/>
    <w:rsid w:val="004C22C2"/>
    <w:rsid w:val="004C245C"/>
    <w:rsid w:val="004C29CF"/>
    <w:rsid w:val="004C2AD7"/>
    <w:rsid w:val="004C2B69"/>
    <w:rsid w:val="004C2BC8"/>
    <w:rsid w:val="004C2C8A"/>
    <w:rsid w:val="004C2D04"/>
    <w:rsid w:val="004C2DE1"/>
    <w:rsid w:val="004C2F64"/>
    <w:rsid w:val="004C2FA4"/>
    <w:rsid w:val="004C2FB5"/>
    <w:rsid w:val="004C3175"/>
    <w:rsid w:val="004C3215"/>
    <w:rsid w:val="004C323B"/>
    <w:rsid w:val="004C32BB"/>
    <w:rsid w:val="004C332F"/>
    <w:rsid w:val="004C3363"/>
    <w:rsid w:val="004C3372"/>
    <w:rsid w:val="004C3396"/>
    <w:rsid w:val="004C339B"/>
    <w:rsid w:val="004C341D"/>
    <w:rsid w:val="004C3685"/>
    <w:rsid w:val="004C3736"/>
    <w:rsid w:val="004C3848"/>
    <w:rsid w:val="004C3A6F"/>
    <w:rsid w:val="004C3AA7"/>
    <w:rsid w:val="004C3C32"/>
    <w:rsid w:val="004C3D88"/>
    <w:rsid w:val="004C3D9F"/>
    <w:rsid w:val="004C3EEB"/>
    <w:rsid w:val="004C3EF8"/>
    <w:rsid w:val="004C3F71"/>
    <w:rsid w:val="004C4102"/>
    <w:rsid w:val="004C41A1"/>
    <w:rsid w:val="004C41E7"/>
    <w:rsid w:val="004C464C"/>
    <w:rsid w:val="004C46A3"/>
    <w:rsid w:val="004C4913"/>
    <w:rsid w:val="004C4937"/>
    <w:rsid w:val="004C496C"/>
    <w:rsid w:val="004C4C3B"/>
    <w:rsid w:val="004C4D4D"/>
    <w:rsid w:val="004C510B"/>
    <w:rsid w:val="004C51A0"/>
    <w:rsid w:val="004C53F3"/>
    <w:rsid w:val="004C5BBB"/>
    <w:rsid w:val="004C5C36"/>
    <w:rsid w:val="004C5E15"/>
    <w:rsid w:val="004C60F7"/>
    <w:rsid w:val="004C62A7"/>
    <w:rsid w:val="004C62D8"/>
    <w:rsid w:val="004C6323"/>
    <w:rsid w:val="004C644A"/>
    <w:rsid w:val="004C64EB"/>
    <w:rsid w:val="004C65A0"/>
    <w:rsid w:val="004C6626"/>
    <w:rsid w:val="004C6722"/>
    <w:rsid w:val="004C67F8"/>
    <w:rsid w:val="004C688D"/>
    <w:rsid w:val="004C694C"/>
    <w:rsid w:val="004C6ADF"/>
    <w:rsid w:val="004C6B67"/>
    <w:rsid w:val="004C6BE9"/>
    <w:rsid w:val="004C6C46"/>
    <w:rsid w:val="004C6CD8"/>
    <w:rsid w:val="004C6D59"/>
    <w:rsid w:val="004C6F5F"/>
    <w:rsid w:val="004C7165"/>
    <w:rsid w:val="004C728B"/>
    <w:rsid w:val="004C7351"/>
    <w:rsid w:val="004C73CE"/>
    <w:rsid w:val="004C7677"/>
    <w:rsid w:val="004C792E"/>
    <w:rsid w:val="004C793C"/>
    <w:rsid w:val="004C7950"/>
    <w:rsid w:val="004C7D77"/>
    <w:rsid w:val="004C7F50"/>
    <w:rsid w:val="004D0183"/>
    <w:rsid w:val="004D031C"/>
    <w:rsid w:val="004D05F3"/>
    <w:rsid w:val="004D069A"/>
    <w:rsid w:val="004D085C"/>
    <w:rsid w:val="004D0B26"/>
    <w:rsid w:val="004D0C2E"/>
    <w:rsid w:val="004D0C80"/>
    <w:rsid w:val="004D0C94"/>
    <w:rsid w:val="004D0E85"/>
    <w:rsid w:val="004D0ED8"/>
    <w:rsid w:val="004D0F1C"/>
    <w:rsid w:val="004D0F79"/>
    <w:rsid w:val="004D101A"/>
    <w:rsid w:val="004D107A"/>
    <w:rsid w:val="004D11EE"/>
    <w:rsid w:val="004D127B"/>
    <w:rsid w:val="004D12AE"/>
    <w:rsid w:val="004D12B7"/>
    <w:rsid w:val="004D1568"/>
    <w:rsid w:val="004D1580"/>
    <w:rsid w:val="004D1611"/>
    <w:rsid w:val="004D1727"/>
    <w:rsid w:val="004D1754"/>
    <w:rsid w:val="004D1875"/>
    <w:rsid w:val="004D1909"/>
    <w:rsid w:val="004D1949"/>
    <w:rsid w:val="004D1B88"/>
    <w:rsid w:val="004D1B9F"/>
    <w:rsid w:val="004D1E17"/>
    <w:rsid w:val="004D1F07"/>
    <w:rsid w:val="004D1F11"/>
    <w:rsid w:val="004D2193"/>
    <w:rsid w:val="004D23B2"/>
    <w:rsid w:val="004D244C"/>
    <w:rsid w:val="004D2487"/>
    <w:rsid w:val="004D24BA"/>
    <w:rsid w:val="004D250A"/>
    <w:rsid w:val="004D2523"/>
    <w:rsid w:val="004D264A"/>
    <w:rsid w:val="004D271E"/>
    <w:rsid w:val="004D2769"/>
    <w:rsid w:val="004D2B6D"/>
    <w:rsid w:val="004D2D53"/>
    <w:rsid w:val="004D2D8E"/>
    <w:rsid w:val="004D2ECD"/>
    <w:rsid w:val="004D2F24"/>
    <w:rsid w:val="004D3036"/>
    <w:rsid w:val="004D3115"/>
    <w:rsid w:val="004D319F"/>
    <w:rsid w:val="004D336A"/>
    <w:rsid w:val="004D3636"/>
    <w:rsid w:val="004D3904"/>
    <w:rsid w:val="004D397E"/>
    <w:rsid w:val="004D39F7"/>
    <w:rsid w:val="004D3A84"/>
    <w:rsid w:val="004D3AD6"/>
    <w:rsid w:val="004D3BBC"/>
    <w:rsid w:val="004D3D37"/>
    <w:rsid w:val="004D3D63"/>
    <w:rsid w:val="004D3E55"/>
    <w:rsid w:val="004D3FA7"/>
    <w:rsid w:val="004D41FB"/>
    <w:rsid w:val="004D4362"/>
    <w:rsid w:val="004D4711"/>
    <w:rsid w:val="004D47F3"/>
    <w:rsid w:val="004D4853"/>
    <w:rsid w:val="004D4891"/>
    <w:rsid w:val="004D494F"/>
    <w:rsid w:val="004D4A6C"/>
    <w:rsid w:val="004D4D6F"/>
    <w:rsid w:val="004D4EA5"/>
    <w:rsid w:val="004D4F05"/>
    <w:rsid w:val="004D50F8"/>
    <w:rsid w:val="004D519C"/>
    <w:rsid w:val="004D52B0"/>
    <w:rsid w:val="004D52BF"/>
    <w:rsid w:val="004D537D"/>
    <w:rsid w:val="004D5400"/>
    <w:rsid w:val="004D55BA"/>
    <w:rsid w:val="004D57A2"/>
    <w:rsid w:val="004D5A5B"/>
    <w:rsid w:val="004D5D5F"/>
    <w:rsid w:val="004D5D70"/>
    <w:rsid w:val="004D5E1A"/>
    <w:rsid w:val="004D5F89"/>
    <w:rsid w:val="004D6035"/>
    <w:rsid w:val="004D6074"/>
    <w:rsid w:val="004D607D"/>
    <w:rsid w:val="004D60F5"/>
    <w:rsid w:val="004D61B3"/>
    <w:rsid w:val="004D61F6"/>
    <w:rsid w:val="004D66A8"/>
    <w:rsid w:val="004D670C"/>
    <w:rsid w:val="004D676C"/>
    <w:rsid w:val="004D6896"/>
    <w:rsid w:val="004D6922"/>
    <w:rsid w:val="004D6A23"/>
    <w:rsid w:val="004D6B3A"/>
    <w:rsid w:val="004D6B57"/>
    <w:rsid w:val="004D6BB7"/>
    <w:rsid w:val="004D6BB9"/>
    <w:rsid w:val="004D6C89"/>
    <w:rsid w:val="004D6DCA"/>
    <w:rsid w:val="004D6E26"/>
    <w:rsid w:val="004D6E3F"/>
    <w:rsid w:val="004D6F7B"/>
    <w:rsid w:val="004D6FDF"/>
    <w:rsid w:val="004D724F"/>
    <w:rsid w:val="004D7295"/>
    <w:rsid w:val="004D7334"/>
    <w:rsid w:val="004D757F"/>
    <w:rsid w:val="004D773C"/>
    <w:rsid w:val="004D7809"/>
    <w:rsid w:val="004D787A"/>
    <w:rsid w:val="004D78E3"/>
    <w:rsid w:val="004D7AD7"/>
    <w:rsid w:val="004D7B90"/>
    <w:rsid w:val="004D7BAC"/>
    <w:rsid w:val="004D7CBD"/>
    <w:rsid w:val="004D7D9A"/>
    <w:rsid w:val="004E01B4"/>
    <w:rsid w:val="004E029D"/>
    <w:rsid w:val="004E04C5"/>
    <w:rsid w:val="004E0588"/>
    <w:rsid w:val="004E05D9"/>
    <w:rsid w:val="004E068F"/>
    <w:rsid w:val="004E0702"/>
    <w:rsid w:val="004E07A2"/>
    <w:rsid w:val="004E09CF"/>
    <w:rsid w:val="004E0A43"/>
    <w:rsid w:val="004E0DEB"/>
    <w:rsid w:val="004E0DED"/>
    <w:rsid w:val="004E0E4B"/>
    <w:rsid w:val="004E0F02"/>
    <w:rsid w:val="004E0FCF"/>
    <w:rsid w:val="004E11AF"/>
    <w:rsid w:val="004E133C"/>
    <w:rsid w:val="004E1504"/>
    <w:rsid w:val="004E15D5"/>
    <w:rsid w:val="004E15F9"/>
    <w:rsid w:val="004E16D4"/>
    <w:rsid w:val="004E1764"/>
    <w:rsid w:val="004E1825"/>
    <w:rsid w:val="004E1853"/>
    <w:rsid w:val="004E1ACF"/>
    <w:rsid w:val="004E1B9A"/>
    <w:rsid w:val="004E1BEE"/>
    <w:rsid w:val="004E1DD7"/>
    <w:rsid w:val="004E20EF"/>
    <w:rsid w:val="004E2152"/>
    <w:rsid w:val="004E21D9"/>
    <w:rsid w:val="004E2375"/>
    <w:rsid w:val="004E23D6"/>
    <w:rsid w:val="004E2617"/>
    <w:rsid w:val="004E26E7"/>
    <w:rsid w:val="004E280C"/>
    <w:rsid w:val="004E2898"/>
    <w:rsid w:val="004E28A9"/>
    <w:rsid w:val="004E2AED"/>
    <w:rsid w:val="004E2B11"/>
    <w:rsid w:val="004E2B9C"/>
    <w:rsid w:val="004E2D3B"/>
    <w:rsid w:val="004E2EFF"/>
    <w:rsid w:val="004E2F3D"/>
    <w:rsid w:val="004E309D"/>
    <w:rsid w:val="004E312C"/>
    <w:rsid w:val="004E32D7"/>
    <w:rsid w:val="004E34AB"/>
    <w:rsid w:val="004E359B"/>
    <w:rsid w:val="004E36D2"/>
    <w:rsid w:val="004E387A"/>
    <w:rsid w:val="004E38BA"/>
    <w:rsid w:val="004E3967"/>
    <w:rsid w:val="004E3AE1"/>
    <w:rsid w:val="004E3B2A"/>
    <w:rsid w:val="004E3C50"/>
    <w:rsid w:val="004E3DD0"/>
    <w:rsid w:val="004E3E83"/>
    <w:rsid w:val="004E4043"/>
    <w:rsid w:val="004E428A"/>
    <w:rsid w:val="004E4358"/>
    <w:rsid w:val="004E43E9"/>
    <w:rsid w:val="004E46AF"/>
    <w:rsid w:val="004E47C6"/>
    <w:rsid w:val="004E48FF"/>
    <w:rsid w:val="004E4A7A"/>
    <w:rsid w:val="004E4AB0"/>
    <w:rsid w:val="004E4C2A"/>
    <w:rsid w:val="004E4C6B"/>
    <w:rsid w:val="004E4D36"/>
    <w:rsid w:val="004E50DA"/>
    <w:rsid w:val="004E534E"/>
    <w:rsid w:val="004E5395"/>
    <w:rsid w:val="004E575C"/>
    <w:rsid w:val="004E5ABE"/>
    <w:rsid w:val="004E5C8F"/>
    <w:rsid w:val="004E5D30"/>
    <w:rsid w:val="004E5DD0"/>
    <w:rsid w:val="004E5F07"/>
    <w:rsid w:val="004E6204"/>
    <w:rsid w:val="004E6302"/>
    <w:rsid w:val="004E6306"/>
    <w:rsid w:val="004E639B"/>
    <w:rsid w:val="004E6642"/>
    <w:rsid w:val="004E6665"/>
    <w:rsid w:val="004E670D"/>
    <w:rsid w:val="004E6782"/>
    <w:rsid w:val="004E68BF"/>
    <w:rsid w:val="004E69A9"/>
    <w:rsid w:val="004E69C2"/>
    <w:rsid w:val="004E6D26"/>
    <w:rsid w:val="004E6D39"/>
    <w:rsid w:val="004E6D8C"/>
    <w:rsid w:val="004E747D"/>
    <w:rsid w:val="004E74C8"/>
    <w:rsid w:val="004E7566"/>
    <w:rsid w:val="004E765F"/>
    <w:rsid w:val="004E766F"/>
    <w:rsid w:val="004E7833"/>
    <w:rsid w:val="004E78A9"/>
    <w:rsid w:val="004E796F"/>
    <w:rsid w:val="004E79E1"/>
    <w:rsid w:val="004E7CB5"/>
    <w:rsid w:val="004E7DB1"/>
    <w:rsid w:val="004E7E2D"/>
    <w:rsid w:val="004E7E3B"/>
    <w:rsid w:val="004E7E40"/>
    <w:rsid w:val="004F0134"/>
    <w:rsid w:val="004F021D"/>
    <w:rsid w:val="004F0514"/>
    <w:rsid w:val="004F0583"/>
    <w:rsid w:val="004F05E7"/>
    <w:rsid w:val="004F066C"/>
    <w:rsid w:val="004F0BB1"/>
    <w:rsid w:val="004F0E0C"/>
    <w:rsid w:val="004F0E25"/>
    <w:rsid w:val="004F0F7D"/>
    <w:rsid w:val="004F0FDA"/>
    <w:rsid w:val="004F10B1"/>
    <w:rsid w:val="004F110E"/>
    <w:rsid w:val="004F112B"/>
    <w:rsid w:val="004F12AA"/>
    <w:rsid w:val="004F143D"/>
    <w:rsid w:val="004F148F"/>
    <w:rsid w:val="004F14A3"/>
    <w:rsid w:val="004F1539"/>
    <w:rsid w:val="004F15F9"/>
    <w:rsid w:val="004F16A8"/>
    <w:rsid w:val="004F17D9"/>
    <w:rsid w:val="004F189C"/>
    <w:rsid w:val="004F18FA"/>
    <w:rsid w:val="004F1D8E"/>
    <w:rsid w:val="004F1E77"/>
    <w:rsid w:val="004F23FB"/>
    <w:rsid w:val="004F24F6"/>
    <w:rsid w:val="004F2505"/>
    <w:rsid w:val="004F251D"/>
    <w:rsid w:val="004F2633"/>
    <w:rsid w:val="004F27BC"/>
    <w:rsid w:val="004F284A"/>
    <w:rsid w:val="004F28ED"/>
    <w:rsid w:val="004F2AA5"/>
    <w:rsid w:val="004F2AE3"/>
    <w:rsid w:val="004F2BCE"/>
    <w:rsid w:val="004F2C9A"/>
    <w:rsid w:val="004F2D96"/>
    <w:rsid w:val="004F2F82"/>
    <w:rsid w:val="004F303C"/>
    <w:rsid w:val="004F3199"/>
    <w:rsid w:val="004F31E6"/>
    <w:rsid w:val="004F32A1"/>
    <w:rsid w:val="004F341F"/>
    <w:rsid w:val="004F3511"/>
    <w:rsid w:val="004F3763"/>
    <w:rsid w:val="004F387C"/>
    <w:rsid w:val="004F3E13"/>
    <w:rsid w:val="004F3E1B"/>
    <w:rsid w:val="004F3FA4"/>
    <w:rsid w:val="004F408F"/>
    <w:rsid w:val="004F40FE"/>
    <w:rsid w:val="004F41C4"/>
    <w:rsid w:val="004F41DF"/>
    <w:rsid w:val="004F42BF"/>
    <w:rsid w:val="004F43C5"/>
    <w:rsid w:val="004F4417"/>
    <w:rsid w:val="004F451B"/>
    <w:rsid w:val="004F45A6"/>
    <w:rsid w:val="004F45B8"/>
    <w:rsid w:val="004F46C0"/>
    <w:rsid w:val="004F46F5"/>
    <w:rsid w:val="004F4847"/>
    <w:rsid w:val="004F4955"/>
    <w:rsid w:val="004F4C56"/>
    <w:rsid w:val="004F4CBD"/>
    <w:rsid w:val="004F4CE2"/>
    <w:rsid w:val="004F4D20"/>
    <w:rsid w:val="004F4E95"/>
    <w:rsid w:val="004F508C"/>
    <w:rsid w:val="004F50E9"/>
    <w:rsid w:val="004F5154"/>
    <w:rsid w:val="004F51AE"/>
    <w:rsid w:val="004F5211"/>
    <w:rsid w:val="004F522E"/>
    <w:rsid w:val="004F5257"/>
    <w:rsid w:val="004F540B"/>
    <w:rsid w:val="004F58DB"/>
    <w:rsid w:val="004F5BD2"/>
    <w:rsid w:val="004F5BE5"/>
    <w:rsid w:val="004F5C4C"/>
    <w:rsid w:val="004F5E03"/>
    <w:rsid w:val="004F5EC8"/>
    <w:rsid w:val="004F5F04"/>
    <w:rsid w:val="004F5F7A"/>
    <w:rsid w:val="004F605C"/>
    <w:rsid w:val="004F6086"/>
    <w:rsid w:val="004F6155"/>
    <w:rsid w:val="004F6196"/>
    <w:rsid w:val="004F6408"/>
    <w:rsid w:val="004F643F"/>
    <w:rsid w:val="004F65BC"/>
    <w:rsid w:val="004F65E5"/>
    <w:rsid w:val="004F6670"/>
    <w:rsid w:val="004F67DA"/>
    <w:rsid w:val="004F69BD"/>
    <w:rsid w:val="004F69D2"/>
    <w:rsid w:val="004F6A50"/>
    <w:rsid w:val="004F6C8D"/>
    <w:rsid w:val="004F6D41"/>
    <w:rsid w:val="004F6EA9"/>
    <w:rsid w:val="004F7011"/>
    <w:rsid w:val="004F715D"/>
    <w:rsid w:val="004F7657"/>
    <w:rsid w:val="004F77E4"/>
    <w:rsid w:val="004F7BB7"/>
    <w:rsid w:val="004F7C03"/>
    <w:rsid w:val="004F7C46"/>
    <w:rsid w:val="004F7CBF"/>
    <w:rsid w:val="004F7CE0"/>
    <w:rsid w:val="004F7D2A"/>
    <w:rsid w:val="004F7D7E"/>
    <w:rsid w:val="004F7E89"/>
    <w:rsid w:val="004F7F4B"/>
    <w:rsid w:val="004F7FE9"/>
    <w:rsid w:val="005000E2"/>
    <w:rsid w:val="005000F1"/>
    <w:rsid w:val="00500116"/>
    <w:rsid w:val="0050020E"/>
    <w:rsid w:val="005002CF"/>
    <w:rsid w:val="005002E4"/>
    <w:rsid w:val="00500AE7"/>
    <w:rsid w:val="00500C39"/>
    <w:rsid w:val="00500C74"/>
    <w:rsid w:val="00500CA9"/>
    <w:rsid w:val="005010D9"/>
    <w:rsid w:val="0050112A"/>
    <w:rsid w:val="0050112D"/>
    <w:rsid w:val="00501348"/>
    <w:rsid w:val="005013FD"/>
    <w:rsid w:val="00501499"/>
    <w:rsid w:val="00501518"/>
    <w:rsid w:val="00501AAC"/>
    <w:rsid w:val="00501BA8"/>
    <w:rsid w:val="00501BC4"/>
    <w:rsid w:val="00501D96"/>
    <w:rsid w:val="00501E85"/>
    <w:rsid w:val="00501F6F"/>
    <w:rsid w:val="005023F6"/>
    <w:rsid w:val="00502515"/>
    <w:rsid w:val="005025A3"/>
    <w:rsid w:val="005026CE"/>
    <w:rsid w:val="005026F8"/>
    <w:rsid w:val="0050270C"/>
    <w:rsid w:val="005027EF"/>
    <w:rsid w:val="005027F2"/>
    <w:rsid w:val="00502934"/>
    <w:rsid w:val="0050293C"/>
    <w:rsid w:val="0050295C"/>
    <w:rsid w:val="00502A24"/>
    <w:rsid w:val="00502A37"/>
    <w:rsid w:val="00502A44"/>
    <w:rsid w:val="00502A8B"/>
    <w:rsid w:val="00502B4D"/>
    <w:rsid w:val="00502BDD"/>
    <w:rsid w:val="00502EA6"/>
    <w:rsid w:val="00502F2F"/>
    <w:rsid w:val="00502F80"/>
    <w:rsid w:val="00503059"/>
    <w:rsid w:val="00503350"/>
    <w:rsid w:val="00503416"/>
    <w:rsid w:val="00503448"/>
    <w:rsid w:val="005035CB"/>
    <w:rsid w:val="005035CF"/>
    <w:rsid w:val="005035DD"/>
    <w:rsid w:val="005036C0"/>
    <w:rsid w:val="0050372B"/>
    <w:rsid w:val="0050388F"/>
    <w:rsid w:val="005038F5"/>
    <w:rsid w:val="00503AA8"/>
    <w:rsid w:val="00503BC9"/>
    <w:rsid w:val="00503D12"/>
    <w:rsid w:val="00503F45"/>
    <w:rsid w:val="00503FE7"/>
    <w:rsid w:val="005041DD"/>
    <w:rsid w:val="005041EE"/>
    <w:rsid w:val="00504260"/>
    <w:rsid w:val="0050441E"/>
    <w:rsid w:val="0050445B"/>
    <w:rsid w:val="0050480D"/>
    <w:rsid w:val="00504998"/>
    <w:rsid w:val="00504B4F"/>
    <w:rsid w:val="00504BDA"/>
    <w:rsid w:val="00504C3E"/>
    <w:rsid w:val="00504F41"/>
    <w:rsid w:val="00505256"/>
    <w:rsid w:val="005053B0"/>
    <w:rsid w:val="005054DE"/>
    <w:rsid w:val="005056A6"/>
    <w:rsid w:val="00505791"/>
    <w:rsid w:val="0050579C"/>
    <w:rsid w:val="00505940"/>
    <w:rsid w:val="00505A86"/>
    <w:rsid w:val="00505BA1"/>
    <w:rsid w:val="00505CAA"/>
    <w:rsid w:val="00505F70"/>
    <w:rsid w:val="00506090"/>
    <w:rsid w:val="00506280"/>
    <w:rsid w:val="0050631D"/>
    <w:rsid w:val="0050631E"/>
    <w:rsid w:val="0050632D"/>
    <w:rsid w:val="00506399"/>
    <w:rsid w:val="00506573"/>
    <w:rsid w:val="005067C7"/>
    <w:rsid w:val="005069CD"/>
    <w:rsid w:val="00506B4A"/>
    <w:rsid w:val="00506DDB"/>
    <w:rsid w:val="00506E8B"/>
    <w:rsid w:val="00506FAB"/>
    <w:rsid w:val="00506FC1"/>
    <w:rsid w:val="005070A9"/>
    <w:rsid w:val="0050725D"/>
    <w:rsid w:val="00507260"/>
    <w:rsid w:val="005075B5"/>
    <w:rsid w:val="005077BF"/>
    <w:rsid w:val="005077FB"/>
    <w:rsid w:val="00507870"/>
    <w:rsid w:val="005078CB"/>
    <w:rsid w:val="005078E2"/>
    <w:rsid w:val="00507E10"/>
    <w:rsid w:val="00507E19"/>
    <w:rsid w:val="00507F4A"/>
    <w:rsid w:val="00507F67"/>
    <w:rsid w:val="00510050"/>
    <w:rsid w:val="00510069"/>
    <w:rsid w:val="0051010C"/>
    <w:rsid w:val="00510124"/>
    <w:rsid w:val="00510201"/>
    <w:rsid w:val="0051026A"/>
    <w:rsid w:val="0051048F"/>
    <w:rsid w:val="005105BD"/>
    <w:rsid w:val="005107A2"/>
    <w:rsid w:val="00510A2E"/>
    <w:rsid w:val="00510BA0"/>
    <w:rsid w:val="00510E79"/>
    <w:rsid w:val="00510E8C"/>
    <w:rsid w:val="00510F1B"/>
    <w:rsid w:val="00510F35"/>
    <w:rsid w:val="00511025"/>
    <w:rsid w:val="0051102C"/>
    <w:rsid w:val="005110B3"/>
    <w:rsid w:val="0051112C"/>
    <w:rsid w:val="00511166"/>
    <w:rsid w:val="0051118D"/>
    <w:rsid w:val="00511210"/>
    <w:rsid w:val="005112C2"/>
    <w:rsid w:val="00511521"/>
    <w:rsid w:val="00511588"/>
    <w:rsid w:val="00511784"/>
    <w:rsid w:val="00511A0C"/>
    <w:rsid w:val="00511DE3"/>
    <w:rsid w:val="00511EB1"/>
    <w:rsid w:val="00511F89"/>
    <w:rsid w:val="00512019"/>
    <w:rsid w:val="0051214C"/>
    <w:rsid w:val="00512499"/>
    <w:rsid w:val="0051252D"/>
    <w:rsid w:val="005126AF"/>
    <w:rsid w:val="005127D3"/>
    <w:rsid w:val="00512A26"/>
    <w:rsid w:val="00512BAC"/>
    <w:rsid w:val="00512BD4"/>
    <w:rsid w:val="00512EE6"/>
    <w:rsid w:val="00512EF1"/>
    <w:rsid w:val="00512F00"/>
    <w:rsid w:val="00512F48"/>
    <w:rsid w:val="0051303D"/>
    <w:rsid w:val="00513212"/>
    <w:rsid w:val="005133A7"/>
    <w:rsid w:val="005133EB"/>
    <w:rsid w:val="005133FA"/>
    <w:rsid w:val="0051353F"/>
    <w:rsid w:val="00513636"/>
    <w:rsid w:val="00513644"/>
    <w:rsid w:val="00513795"/>
    <w:rsid w:val="005139C6"/>
    <w:rsid w:val="00513A34"/>
    <w:rsid w:val="00513C45"/>
    <w:rsid w:val="00513CB1"/>
    <w:rsid w:val="00513DA9"/>
    <w:rsid w:val="00513DD3"/>
    <w:rsid w:val="00513E2A"/>
    <w:rsid w:val="00513F18"/>
    <w:rsid w:val="0051405F"/>
    <w:rsid w:val="005140CC"/>
    <w:rsid w:val="005141D4"/>
    <w:rsid w:val="005142B5"/>
    <w:rsid w:val="0051437B"/>
    <w:rsid w:val="0051467C"/>
    <w:rsid w:val="00514780"/>
    <w:rsid w:val="00514A50"/>
    <w:rsid w:val="00514B6B"/>
    <w:rsid w:val="00514BD6"/>
    <w:rsid w:val="00514BFF"/>
    <w:rsid w:val="00514C2F"/>
    <w:rsid w:val="00514CC9"/>
    <w:rsid w:val="00514DB7"/>
    <w:rsid w:val="005152ED"/>
    <w:rsid w:val="0051535F"/>
    <w:rsid w:val="00515369"/>
    <w:rsid w:val="005156F9"/>
    <w:rsid w:val="00515775"/>
    <w:rsid w:val="005159C7"/>
    <w:rsid w:val="00515AC3"/>
    <w:rsid w:val="00515AEE"/>
    <w:rsid w:val="00515B96"/>
    <w:rsid w:val="00515BE4"/>
    <w:rsid w:val="00515EA5"/>
    <w:rsid w:val="00516094"/>
    <w:rsid w:val="00516494"/>
    <w:rsid w:val="005164DB"/>
    <w:rsid w:val="00516572"/>
    <w:rsid w:val="005165A8"/>
    <w:rsid w:val="005165E0"/>
    <w:rsid w:val="005168EB"/>
    <w:rsid w:val="0051694E"/>
    <w:rsid w:val="00516B1B"/>
    <w:rsid w:val="00516B83"/>
    <w:rsid w:val="00516C0B"/>
    <w:rsid w:val="00516C54"/>
    <w:rsid w:val="00516EAB"/>
    <w:rsid w:val="00516ECB"/>
    <w:rsid w:val="00517276"/>
    <w:rsid w:val="005172D9"/>
    <w:rsid w:val="005173A2"/>
    <w:rsid w:val="00517D49"/>
    <w:rsid w:val="00517D94"/>
    <w:rsid w:val="00517EA5"/>
    <w:rsid w:val="00520024"/>
    <w:rsid w:val="00520110"/>
    <w:rsid w:val="005201C7"/>
    <w:rsid w:val="00520223"/>
    <w:rsid w:val="00520296"/>
    <w:rsid w:val="005202D0"/>
    <w:rsid w:val="005203A7"/>
    <w:rsid w:val="00520604"/>
    <w:rsid w:val="00520610"/>
    <w:rsid w:val="0052076C"/>
    <w:rsid w:val="005208FD"/>
    <w:rsid w:val="00520AEE"/>
    <w:rsid w:val="00520C95"/>
    <w:rsid w:val="00521170"/>
    <w:rsid w:val="005211EF"/>
    <w:rsid w:val="005212CE"/>
    <w:rsid w:val="005212E3"/>
    <w:rsid w:val="0052130F"/>
    <w:rsid w:val="0052135B"/>
    <w:rsid w:val="00521485"/>
    <w:rsid w:val="00521724"/>
    <w:rsid w:val="00521728"/>
    <w:rsid w:val="0052178C"/>
    <w:rsid w:val="005217D0"/>
    <w:rsid w:val="00521846"/>
    <w:rsid w:val="00521860"/>
    <w:rsid w:val="00521887"/>
    <w:rsid w:val="005218B2"/>
    <w:rsid w:val="005219BF"/>
    <w:rsid w:val="00521C1C"/>
    <w:rsid w:val="00521CB1"/>
    <w:rsid w:val="00521DEE"/>
    <w:rsid w:val="00521E51"/>
    <w:rsid w:val="00521E9F"/>
    <w:rsid w:val="00522379"/>
    <w:rsid w:val="005224F0"/>
    <w:rsid w:val="0052253D"/>
    <w:rsid w:val="0052256F"/>
    <w:rsid w:val="00522592"/>
    <w:rsid w:val="005225EC"/>
    <w:rsid w:val="00522625"/>
    <w:rsid w:val="0052264E"/>
    <w:rsid w:val="005227F8"/>
    <w:rsid w:val="0052289D"/>
    <w:rsid w:val="0052293F"/>
    <w:rsid w:val="00522A47"/>
    <w:rsid w:val="00522AE0"/>
    <w:rsid w:val="00522CF2"/>
    <w:rsid w:val="00522E67"/>
    <w:rsid w:val="00522E79"/>
    <w:rsid w:val="00522EC7"/>
    <w:rsid w:val="00522F94"/>
    <w:rsid w:val="00522FB3"/>
    <w:rsid w:val="00522FF6"/>
    <w:rsid w:val="005230BD"/>
    <w:rsid w:val="0052314E"/>
    <w:rsid w:val="00523159"/>
    <w:rsid w:val="005233B0"/>
    <w:rsid w:val="005233DC"/>
    <w:rsid w:val="00523618"/>
    <w:rsid w:val="0052380F"/>
    <w:rsid w:val="0052395E"/>
    <w:rsid w:val="005239D7"/>
    <w:rsid w:val="00523A76"/>
    <w:rsid w:val="00523B71"/>
    <w:rsid w:val="00523BD2"/>
    <w:rsid w:val="00523D53"/>
    <w:rsid w:val="00523E3A"/>
    <w:rsid w:val="00523F05"/>
    <w:rsid w:val="005241A7"/>
    <w:rsid w:val="00524285"/>
    <w:rsid w:val="005242FF"/>
    <w:rsid w:val="0052431D"/>
    <w:rsid w:val="0052461E"/>
    <w:rsid w:val="00524662"/>
    <w:rsid w:val="005246F5"/>
    <w:rsid w:val="0052471E"/>
    <w:rsid w:val="0052485B"/>
    <w:rsid w:val="00524871"/>
    <w:rsid w:val="00524A06"/>
    <w:rsid w:val="00524B66"/>
    <w:rsid w:val="00524C7B"/>
    <w:rsid w:val="00524DE5"/>
    <w:rsid w:val="00524F33"/>
    <w:rsid w:val="00524FBD"/>
    <w:rsid w:val="00525002"/>
    <w:rsid w:val="005251C1"/>
    <w:rsid w:val="00525230"/>
    <w:rsid w:val="00525385"/>
    <w:rsid w:val="0052538B"/>
    <w:rsid w:val="0052564F"/>
    <w:rsid w:val="005258A4"/>
    <w:rsid w:val="0052593D"/>
    <w:rsid w:val="00525A84"/>
    <w:rsid w:val="00525B81"/>
    <w:rsid w:val="00525C5C"/>
    <w:rsid w:val="00525DD7"/>
    <w:rsid w:val="00525E1E"/>
    <w:rsid w:val="00525EA1"/>
    <w:rsid w:val="005261BD"/>
    <w:rsid w:val="005262CB"/>
    <w:rsid w:val="005262E5"/>
    <w:rsid w:val="00526333"/>
    <w:rsid w:val="005265F2"/>
    <w:rsid w:val="005266A1"/>
    <w:rsid w:val="00526764"/>
    <w:rsid w:val="005267E5"/>
    <w:rsid w:val="0052691C"/>
    <w:rsid w:val="00526941"/>
    <w:rsid w:val="00526A75"/>
    <w:rsid w:val="00526A93"/>
    <w:rsid w:val="00526BD2"/>
    <w:rsid w:val="00526EEE"/>
    <w:rsid w:val="00526FB7"/>
    <w:rsid w:val="00527218"/>
    <w:rsid w:val="005275D2"/>
    <w:rsid w:val="005279D4"/>
    <w:rsid w:val="005279D7"/>
    <w:rsid w:val="00527A76"/>
    <w:rsid w:val="00527A96"/>
    <w:rsid w:val="00527B5A"/>
    <w:rsid w:val="00527DE8"/>
    <w:rsid w:val="00527F34"/>
    <w:rsid w:val="00530039"/>
    <w:rsid w:val="0053010A"/>
    <w:rsid w:val="00530274"/>
    <w:rsid w:val="005303B4"/>
    <w:rsid w:val="005303FB"/>
    <w:rsid w:val="0053064D"/>
    <w:rsid w:val="00530719"/>
    <w:rsid w:val="005309CD"/>
    <w:rsid w:val="005309D8"/>
    <w:rsid w:val="00530AEF"/>
    <w:rsid w:val="00530CE9"/>
    <w:rsid w:val="00530D83"/>
    <w:rsid w:val="00530F79"/>
    <w:rsid w:val="005314FB"/>
    <w:rsid w:val="005315C0"/>
    <w:rsid w:val="005315DD"/>
    <w:rsid w:val="005316F8"/>
    <w:rsid w:val="005317D5"/>
    <w:rsid w:val="00531908"/>
    <w:rsid w:val="00531A2D"/>
    <w:rsid w:val="00531A3D"/>
    <w:rsid w:val="00531C62"/>
    <w:rsid w:val="00531DB5"/>
    <w:rsid w:val="00531E21"/>
    <w:rsid w:val="00531FA1"/>
    <w:rsid w:val="00532017"/>
    <w:rsid w:val="00532170"/>
    <w:rsid w:val="0053237D"/>
    <w:rsid w:val="005324F2"/>
    <w:rsid w:val="0053293A"/>
    <w:rsid w:val="00532B1A"/>
    <w:rsid w:val="00532CCF"/>
    <w:rsid w:val="00532D1B"/>
    <w:rsid w:val="00532F82"/>
    <w:rsid w:val="00533249"/>
    <w:rsid w:val="005332A9"/>
    <w:rsid w:val="005333C6"/>
    <w:rsid w:val="005333CA"/>
    <w:rsid w:val="00533417"/>
    <w:rsid w:val="005334EE"/>
    <w:rsid w:val="00533598"/>
    <w:rsid w:val="005335F2"/>
    <w:rsid w:val="0053362F"/>
    <w:rsid w:val="0053390C"/>
    <w:rsid w:val="00533B84"/>
    <w:rsid w:val="00533B97"/>
    <w:rsid w:val="00533DCB"/>
    <w:rsid w:val="00533E06"/>
    <w:rsid w:val="00533F5E"/>
    <w:rsid w:val="00534087"/>
    <w:rsid w:val="005340D2"/>
    <w:rsid w:val="00534478"/>
    <w:rsid w:val="005344B2"/>
    <w:rsid w:val="005345CF"/>
    <w:rsid w:val="005345DD"/>
    <w:rsid w:val="00534654"/>
    <w:rsid w:val="00534660"/>
    <w:rsid w:val="005347D5"/>
    <w:rsid w:val="00534845"/>
    <w:rsid w:val="0053498F"/>
    <w:rsid w:val="005349BC"/>
    <w:rsid w:val="00534AE9"/>
    <w:rsid w:val="00534C2D"/>
    <w:rsid w:val="00534D50"/>
    <w:rsid w:val="00535116"/>
    <w:rsid w:val="0053522E"/>
    <w:rsid w:val="0053526F"/>
    <w:rsid w:val="005353B6"/>
    <w:rsid w:val="00535413"/>
    <w:rsid w:val="0053542E"/>
    <w:rsid w:val="0053553D"/>
    <w:rsid w:val="00535560"/>
    <w:rsid w:val="005355BA"/>
    <w:rsid w:val="005356C1"/>
    <w:rsid w:val="0053582D"/>
    <w:rsid w:val="00535866"/>
    <w:rsid w:val="0053594B"/>
    <w:rsid w:val="005359D3"/>
    <w:rsid w:val="00535CAC"/>
    <w:rsid w:val="00535CDE"/>
    <w:rsid w:val="00535EC7"/>
    <w:rsid w:val="00535FDD"/>
    <w:rsid w:val="00536056"/>
    <w:rsid w:val="0053609E"/>
    <w:rsid w:val="00536154"/>
    <w:rsid w:val="00536325"/>
    <w:rsid w:val="0053653C"/>
    <w:rsid w:val="00536598"/>
    <w:rsid w:val="005365F7"/>
    <w:rsid w:val="005366E0"/>
    <w:rsid w:val="0053682E"/>
    <w:rsid w:val="0053689C"/>
    <w:rsid w:val="005368CB"/>
    <w:rsid w:val="00536954"/>
    <w:rsid w:val="0053696F"/>
    <w:rsid w:val="00536A67"/>
    <w:rsid w:val="00536BD1"/>
    <w:rsid w:val="00537017"/>
    <w:rsid w:val="0053708C"/>
    <w:rsid w:val="0053714D"/>
    <w:rsid w:val="00537402"/>
    <w:rsid w:val="00537432"/>
    <w:rsid w:val="00537546"/>
    <w:rsid w:val="00537578"/>
    <w:rsid w:val="005375C6"/>
    <w:rsid w:val="005376E6"/>
    <w:rsid w:val="0053781A"/>
    <w:rsid w:val="005378FF"/>
    <w:rsid w:val="0053794C"/>
    <w:rsid w:val="00537B19"/>
    <w:rsid w:val="00537BF1"/>
    <w:rsid w:val="00537C33"/>
    <w:rsid w:val="00537D0B"/>
    <w:rsid w:val="00537D17"/>
    <w:rsid w:val="00537D7A"/>
    <w:rsid w:val="00537D94"/>
    <w:rsid w:val="00537DB6"/>
    <w:rsid w:val="00537E63"/>
    <w:rsid w:val="005400C5"/>
    <w:rsid w:val="00540144"/>
    <w:rsid w:val="0054014F"/>
    <w:rsid w:val="00540162"/>
    <w:rsid w:val="0054023E"/>
    <w:rsid w:val="00540266"/>
    <w:rsid w:val="005402D0"/>
    <w:rsid w:val="005403B2"/>
    <w:rsid w:val="005403EA"/>
    <w:rsid w:val="00540422"/>
    <w:rsid w:val="0054048E"/>
    <w:rsid w:val="0054067A"/>
    <w:rsid w:val="00540775"/>
    <w:rsid w:val="005408B1"/>
    <w:rsid w:val="00540954"/>
    <w:rsid w:val="005409AC"/>
    <w:rsid w:val="00540A4D"/>
    <w:rsid w:val="00540C85"/>
    <w:rsid w:val="00540C98"/>
    <w:rsid w:val="00540E2C"/>
    <w:rsid w:val="00540E46"/>
    <w:rsid w:val="00540EDF"/>
    <w:rsid w:val="00540F71"/>
    <w:rsid w:val="00540FFF"/>
    <w:rsid w:val="0054100E"/>
    <w:rsid w:val="0054118C"/>
    <w:rsid w:val="005412AC"/>
    <w:rsid w:val="005413A3"/>
    <w:rsid w:val="005413D9"/>
    <w:rsid w:val="005414C9"/>
    <w:rsid w:val="0054154A"/>
    <w:rsid w:val="00541567"/>
    <w:rsid w:val="0054167A"/>
    <w:rsid w:val="005416C6"/>
    <w:rsid w:val="005416F0"/>
    <w:rsid w:val="00541820"/>
    <w:rsid w:val="0054194F"/>
    <w:rsid w:val="00541A9E"/>
    <w:rsid w:val="00541C8A"/>
    <w:rsid w:val="00541D49"/>
    <w:rsid w:val="00541EE2"/>
    <w:rsid w:val="00541F03"/>
    <w:rsid w:val="00541F5A"/>
    <w:rsid w:val="00541F7C"/>
    <w:rsid w:val="005421F1"/>
    <w:rsid w:val="00542285"/>
    <w:rsid w:val="005422CE"/>
    <w:rsid w:val="005422D2"/>
    <w:rsid w:val="00542343"/>
    <w:rsid w:val="00542391"/>
    <w:rsid w:val="0054241C"/>
    <w:rsid w:val="0054255C"/>
    <w:rsid w:val="005425D2"/>
    <w:rsid w:val="00542664"/>
    <w:rsid w:val="005426F4"/>
    <w:rsid w:val="00542749"/>
    <w:rsid w:val="005427EE"/>
    <w:rsid w:val="00542964"/>
    <w:rsid w:val="00542973"/>
    <w:rsid w:val="005429D3"/>
    <w:rsid w:val="00542A26"/>
    <w:rsid w:val="00542A87"/>
    <w:rsid w:val="00542B0B"/>
    <w:rsid w:val="00542BDD"/>
    <w:rsid w:val="00542DE4"/>
    <w:rsid w:val="0054300D"/>
    <w:rsid w:val="0054301A"/>
    <w:rsid w:val="005430C9"/>
    <w:rsid w:val="00543545"/>
    <w:rsid w:val="005436E6"/>
    <w:rsid w:val="0054391C"/>
    <w:rsid w:val="00543997"/>
    <w:rsid w:val="00543A65"/>
    <w:rsid w:val="00543AF9"/>
    <w:rsid w:val="00543D41"/>
    <w:rsid w:val="00543E12"/>
    <w:rsid w:val="00543F10"/>
    <w:rsid w:val="00543F8F"/>
    <w:rsid w:val="00543FA6"/>
    <w:rsid w:val="00544253"/>
    <w:rsid w:val="0054426C"/>
    <w:rsid w:val="005442DC"/>
    <w:rsid w:val="005444BE"/>
    <w:rsid w:val="0054466D"/>
    <w:rsid w:val="005446AB"/>
    <w:rsid w:val="0054484B"/>
    <w:rsid w:val="005449E1"/>
    <w:rsid w:val="00544AB3"/>
    <w:rsid w:val="00544AEA"/>
    <w:rsid w:val="00544B46"/>
    <w:rsid w:val="00544B63"/>
    <w:rsid w:val="00544BD8"/>
    <w:rsid w:val="00544D1C"/>
    <w:rsid w:val="00545166"/>
    <w:rsid w:val="0054522B"/>
    <w:rsid w:val="005452B6"/>
    <w:rsid w:val="00545510"/>
    <w:rsid w:val="0054562D"/>
    <w:rsid w:val="005456EE"/>
    <w:rsid w:val="0054579B"/>
    <w:rsid w:val="005457C5"/>
    <w:rsid w:val="0054581B"/>
    <w:rsid w:val="0054583F"/>
    <w:rsid w:val="005458D2"/>
    <w:rsid w:val="00545A9C"/>
    <w:rsid w:val="00545AB4"/>
    <w:rsid w:val="00545C9E"/>
    <w:rsid w:val="00545EB5"/>
    <w:rsid w:val="00545EE9"/>
    <w:rsid w:val="0054611E"/>
    <w:rsid w:val="00546152"/>
    <w:rsid w:val="005462BF"/>
    <w:rsid w:val="0054648B"/>
    <w:rsid w:val="005465A8"/>
    <w:rsid w:val="005465C1"/>
    <w:rsid w:val="00546727"/>
    <w:rsid w:val="00546736"/>
    <w:rsid w:val="0054673D"/>
    <w:rsid w:val="0054674C"/>
    <w:rsid w:val="005467F4"/>
    <w:rsid w:val="00546815"/>
    <w:rsid w:val="00546835"/>
    <w:rsid w:val="005468DD"/>
    <w:rsid w:val="00546A98"/>
    <w:rsid w:val="00546B6E"/>
    <w:rsid w:val="00546C55"/>
    <w:rsid w:val="00546DC2"/>
    <w:rsid w:val="00546E65"/>
    <w:rsid w:val="00546EC1"/>
    <w:rsid w:val="00546ED5"/>
    <w:rsid w:val="00547260"/>
    <w:rsid w:val="00547343"/>
    <w:rsid w:val="00547539"/>
    <w:rsid w:val="00547611"/>
    <w:rsid w:val="005477AA"/>
    <w:rsid w:val="005477B9"/>
    <w:rsid w:val="00547856"/>
    <w:rsid w:val="00547925"/>
    <w:rsid w:val="005479D1"/>
    <w:rsid w:val="00547A71"/>
    <w:rsid w:val="00547AF6"/>
    <w:rsid w:val="00547B98"/>
    <w:rsid w:val="00547C85"/>
    <w:rsid w:val="00547CDC"/>
    <w:rsid w:val="005500AE"/>
    <w:rsid w:val="0055016B"/>
    <w:rsid w:val="00550208"/>
    <w:rsid w:val="0055029A"/>
    <w:rsid w:val="00550446"/>
    <w:rsid w:val="0055046F"/>
    <w:rsid w:val="00550740"/>
    <w:rsid w:val="0055098F"/>
    <w:rsid w:val="00550A47"/>
    <w:rsid w:val="00550D94"/>
    <w:rsid w:val="00550DB1"/>
    <w:rsid w:val="00550ED3"/>
    <w:rsid w:val="005510D8"/>
    <w:rsid w:val="00551519"/>
    <w:rsid w:val="00551728"/>
    <w:rsid w:val="005519E0"/>
    <w:rsid w:val="00551A20"/>
    <w:rsid w:val="00551ADD"/>
    <w:rsid w:val="00551C64"/>
    <w:rsid w:val="00551D6D"/>
    <w:rsid w:val="005523FE"/>
    <w:rsid w:val="0055247E"/>
    <w:rsid w:val="00552578"/>
    <w:rsid w:val="00552759"/>
    <w:rsid w:val="00552953"/>
    <w:rsid w:val="005529AE"/>
    <w:rsid w:val="00552A12"/>
    <w:rsid w:val="00552B40"/>
    <w:rsid w:val="00552F56"/>
    <w:rsid w:val="00552FA5"/>
    <w:rsid w:val="00553172"/>
    <w:rsid w:val="0055329F"/>
    <w:rsid w:val="005532B3"/>
    <w:rsid w:val="005532B7"/>
    <w:rsid w:val="00553498"/>
    <w:rsid w:val="0055371F"/>
    <w:rsid w:val="005538F4"/>
    <w:rsid w:val="00553C47"/>
    <w:rsid w:val="00553D8D"/>
    <w:rsid w:val="0055400C"/>
    <w:rsid w:val="00554106"/>
    <w:rsid w:val="00554221"/>
    <w:rsid w:val="005545F0"/>
    <w:rsid w:val="00554650"/>
    <w:rsid w:val="005546EB"/>
    <w:rsid w:val="0055476A"/>
    <w:rsid w:val="0055476C"/>
    <w:rsid w:val="005548DE"/>
    <w:rsid w:val="0055493A"/>
    <w:rsid w:val="0055493C"/>
    <w:rsid w:val="00554CC4"/>
    <w:rsid w:val="00554DB7"/>
    <w:rsid w:val="0055504E"/>
    <w:rsid w:val="005551BC"/>
    <w:rsid w:val="005552D0"/>
    <w:rsid w:val="0055536E"/>
    <w:rsid w:val="0055551F"/>
    <w:rsid w:val="005557E8"/>
    <w:rsid w:val="00555BA5"/>
    <w:rsid w:val="00555C50"/>
    <w:rsid w:val="00555E5F"/>
    <w:rsid w:val="00555EA4"/>
    <w:rsid w:val="0055600E"/>
    <w:rsid w:val="00556136"/>
    <w:rsid w:val="00556153"/>
    <w:rsid w:val="00556522"/>
    <w:rsid w:val="0055661D"/>
    <w:rsid w:val="00556643"/>
    <w:rsid w:val="00556724"/>
    <w:rsid w:val="0055675F"/>
    <w:rsid w:val="00556844"/>
    <w:rsid w:val="0055684F"/>
    <w:rsid w:val="005568A9"/>
    <w:rsid w:val="00556E35"/>
    <w:rsid w:val="00557184"/>
    <w:rsid w:val="00557338"/>
    <w:rsid w:val="0055746B"/>
    <w:rsid w:val="0055757E"/>
    <w:rsid w:val="005576EA"/>
    <w:rsid w:val="005577B8"/>
    <w:rsid w:val="005577C8"/>
    <w:rsid w:val="00557882"/>
    <w:rsid w:val="005579F8"/>
    <w:rsid w:val="00557A06"/>
    <w:rsid w:val="00557A50"/>
    <w:rsid w:val="00557B2F"/>
    <w:rsid w:val="00557BA9"/>
    <w:rsid w:val="00557C2B"/>
    <w:rsid w:val="00557C81"/>
    <w:rsid w:val="00557C9B"/>
    <w:rsid w:val="00557D42"/>
    <w:rsid w:val="00557D9C"/>
    <w:rsid w:val="00557F69"/>
    <w:rsid w:val="00557F81"/>
    <w:rsid w:val="00560021"/>
    <w:rsid w:val="00560093"/>
    <w:rsid w:val="00560097"/>
    <w:rsid w:val="005600C5"/>
    <w:rsid w:val="00560129"/>
    <w:rsid w:val="0056014C"/>
    <w:rsid w:val="00560212"/>
    <w:rsid w:val="005602CA"/>
    <w:rsid w:val="005602F6"/>
    <w:rsid w:val="0056031C"/>
    <w:rsid w:val="00560327"/>
    <w:rsid w:val="00560431"/>
    <w:rsid w:val="00560554"/>
    <w:rsid w:val="0056057B"/>
    <w:rsid w:val="005607DC"/>
    <w:rsid w:val="0056082A"/>
    <w:rsid w:val="00560AC0"/>
    <w:rsid w:val="00560AED"/>
    <w:rsid w:val="00560AFC"/>
    <w:rsid w:val="00560C97"/>
    <w:rsid w:val="00560DDA"/>
    <w:rsid w:val="00561103"/>
    <w:rsid w:val="00561182"/>
    <w:rsid w:val="0056121C"/>
    <w:rsid w:val="005612E2"/>
    <w:rsid w:val="0056130B"/>
    <w:rsid w:val="0056142A"/>
    <w:rsid w:val="00561630"/>
    <w:rsid w:val="0056170B"/>
    <w:rsid w:val="0056173B"/>
    <w:rsid w:val="0056179D"/>
    <w:rsid w:val="005618D4"/>
    <w:rsid w:val="00561A31"/>
    <w:rsid w:val="00561AA2"/>
    <w:rsid w:val="00561B76"/>
    <w:rsid w:val="00561B99"/>
    <w:rsid w:val="00561D64"/>
    <w:rsid w:val="00562031"/>
    <w:rsid w:val="0056204D"/>
    <w:rsid w:val="005620E5"/>
    <w:rsid w:val="00562113"/>
    <w:rsid w:val="00562209"/>
    <w:rsid w:val="005622F2"/>
    <w:rsid w:val="00562309"/>
    <w:rsid w:val="0056235F"/>
    <w:rsid w:val="005623A0"/>
    <w:rsid w:val="005625B8"/>
    <w:rsid w:val="005626AE"/>
    <w:rsid w:val="005626BF"/>
    <w:rsid w:val="0056273B"/>
    <w:rsid w:val="00562750"/>
    <w:rsid w:val="00562814"/>
    <w:rsid w:val="00562950"/>
    <w:rsid w:val="00562A3F"/>
    <w:rsid w:val="00562C7D"/>
    <w:rsid w:val="00562C8D"/>
    <w:rsid w:val="00562E19"/>
    <w:rsid w:val="00562E7D"/>
    <w:rsid w:val="00562EF1"/>
    <w:rsid w:val="00562F17"/>
    <w:rsid w:val="00562F9D"/>
    <w:rsid w:val="005631BD"/>
    <w:rsid w:val="00563238"/>
    <w:rsid w:val="00563433"/>
    <w:rsid w:val="005636E2"/>
    <w:rsid w:val="0056370A"/>
    <w:rsid w:val="00563988"/>
    <w:rsid w:val="00563C83"/>
    <w:rsid w:val="00563CC8"/>
    <w:rsid w:val="00563D30"/>
    <w:rsid w:val="005640B4"/>
    <w:rsid w:val="00564242"/>
    <w:rsid w:val="005642EB"/>
    <w:rsid w:val="00564379"/>
    <w:rsid w:val="00564395"/>
    <w:rsid w:val="00564398"/>
    <w:rsid w:val="005643ED"/>
    <w:rsid w:val="005645E5"/>
    <w:rsid w:val="005646D5"/>
    <w:rsid w:val="00564959"/>
    <w:rsid w:val="005649A9"/>
    <w:rsid w:val="00564ABA"/>
    <w:rsid w:val="00564B6A"/>
    <w:rsid w:val="00564E02"/>
    <w:rsid w:val="0056502F"/>
    <w:rsid w:val="00565162"/>
    <w:rsid w:val="005651F7"/>
    <w:rsid w:val="005653D4"/>
    <w:rsid w:val="005653E3"/>
    <w:rsid w:val="005653F5"/>
    <w:rsid w:val="0056559E"/>
    <w:rsid w:val="005656A2"/>
    <w:rsid w:val="00565735"/>
    <w:rsid w:val="005657EE"/>
    <w:rsid w:val="00565A86"/>
    <w:rsid w:val="00565D28"/>
    <w:rsid w:val="00565DDD"/>
    <w:rsid w:val="00565E54"/>
    <w:rsid w:val="00565E8B"/>
    <w:rsid w:val="0056622D"/>
    <w:rsid w:val="005663D1"/>
    <w:rsid w:val="005663FA"/>
    <w:rsid w:val="00566402"/>
    <w:rsid w:val="005664DC"/>
    <w:rsid w:val="005664EF"/>
    <w:rsid w:val="0056660D"/>
    <w:rsid w:val="00566624"/>
    <w:rsid w:val="0056691D"/>
    <w:rsid w:val="00566960"/>
    <w:rsid w:val="00566A82"/>
    <w:rsid w:val="00566ABB"/>
    <w:rsid w:val="00566AE2"/>
    <w:rsid w:val="00566B69"/>
    <w:rsid w:val="00566B6B"/>
    <w:rsid w:val="00566D80"/>
    <w:rsid w:val="00566DFA"/>
    <w:rsid w:val="00566E62"/>
    <w:rsid w:val="00566F0D"/>
    <w:rsid w:val="00567097"/>
    <w:rsid w:val="005670E2"/>
    <w:rsid w:val="005671FF"/>
    <w:rsid w:val="005672AE"/>
    <w:rsid w:val="005673D5"/>
    <w:rsid w:val="005674CA"/>
    <w:rsid w:val="005676AC"/>
    <w:rsid w:val="00567807"/>
    <w:rsid w:val="005678AF"/>
    <w:rsid w:val="005678B9"/>
    <w:rsid w:val="005679E1"/>
    <w:rsid w:val="00567BEA"/>
    <w:rsid w:val="00567FF1"/>
    <w:rsid w:val="00570082"/>
    <w:rsid w:val="00570131"/>
    <w:rsid w:val="005701BB"/>
    <w:rsid w:val="00570285"/>
    <w:rsid w:val="005702A5"/>
    <w:rsid w:val="00570320"/>
    <w:rsid w:val="005703FD"/>
    <w:rsid w:val="00570599"/>
    <w:rsid w:val="005705F2"/>
    <w:rsid w:val="0057079D"/>
    <w:rsid w:val="00570BFD"/>
    <w:rsid w:val="00570EE3"/>
    <w:rsid w:val="00570F31"/>
    <w:rsid w:val="0057101F"/>
    <w:rsid w:val="00571124"/>
    <w:rsid w:val="005713D2"/>
    <w:rsid w:val="0057145E"/>
    <w:rsid w:val="005714A2"/>
    <w:rsid w:val="005715DC"/>
    <w:rsid w:val="00571A6A"/>
    <w:rsid w:val="00571A6B"/>
    <w:rsid w:val="00571AFC"/>
    <w:rsid w:val="00571BE2"/>
    <w:rsid w:val="00571C8C"/>
    <w:rsid w:val="00571CCA"/>
    <w:rsid w:val="00571D94"/>
    <w:rsid w:val="0057217C"/>
    <w:rsid w:val="00572220"/>
    <w:rsid w:val="0057240A"/>
    <w:rsid w:val="005724EF"/>
    <w:rsid w:val="00572572"/>
    <w:rsid w:val="005725E6"/>
    <w:rsid w:val="00572620"/>
    <w:rsid w:val="00572680"/>
    <w:rsid w:val="005726F8"/>
    <w:rsid w:val="0057282D"/>
    <w:rsid w:val="0057294D"/>
    <w:rsid w:val="005729F9"/>
    <w:rsid w:val="00572CC8"/>
    <w:rsid w:val="00572E8B"/>
    <w:rsid w:val="00572F25"/>
    <w:rsid w:val="0057303E"/>
    <w:rsid w:val="00573119"/>
    <w:rsid w:val="00573646"/>
    <w:rsid w:val="0057370D"/>
    <w:rsid w:val="00573777"/>
    <w:rsid w:val="0057386C"/>
    <w:rsid w:val="00573A57"/>
    <w:rsid w:val="00573CAC"/>
    <w:rsid w:val="00573CD4"/>
    <w:rsid w:val="00573DC7"/>
    <w:rsid w:val="00573E0F"/>
    <w:rsid w:val="00573E69"/>
    <w:rsid w:val="00574016"/>
    <w:rsid w:val="0057402E"/>
    <w:rsid w:val="00574160"/>
    <w:rsid w:val="005741C9"/>
    <w:rsid w:val="0057459E"/>
    <w:rsid w:val="005747BE"/>
    <w:rsid w:val="00574834"/>
    <w:rsid w:val="0057486F"/>
    <w:rsid w:val="00574A6C"/>
    <w:rsid w:val="00574B33"/>
    <w:rsid w:val="00574EFB"/>
    <w:rsid w:val="00574FA2"/>
    <w:rsid w:val="005750AD"/>
    <w:rsid w:val="005751CB"/>
    <w:rsid w:val="00575375"/>
    <w:rsid w:val="005753BE"/>
    <w:rsid w:val="00575463"/>
    <w:rsid w:val="00575AB3"/>
    <w:rsid w:val="00575EF9"/>
    <w:rsid w:val="005760E8"/>
    <w:rsid w:val="005763A6"/>
    <w:rsid w:val="005764FC"/>
    <w:rsid w:val="005765C3"/>
    <w:rsid w:val="00576623"/>
    <w:rsid w:val="00576689"/>
    <w:rsid w:val="005769DE"/>
    <w:rsid w:val="00576DCB"/>
    <w:rsid w:val="00576F49"/>
    <w:rsid w:val="00576F4D"/>
    <w:rsid w:val="0057703A"/>
    <w:rsid w:val="00577043"/>
    <w:rsid w:val="00577178"/>
    <w:rsid w:val="00577183"/>
    <w:rsid w:val="005771B5"/>
    <w:rsid w:val="005771C7"/>
    <w:rsid w:val="00577791"/>
    <w:rsid w:val="005778A0"/>
    <w:rsid w:val="0057799E"/>
    <w:rsid w:val="00577B34"/>
    <w:rsid w:val="00577C4B"/>
    <w:rsid w:val="00577C59"/>
    <w:rsid w:val="00580131"/>
    <w:rsid w:val="005801F3"/>
    <w:rsid w:val="00580274"/>
    <w:rsid w:val="0058066B"/>
    <w:rsid w:val="00580869"/>
    <w:rsid w:val="005809B0"/>
    <w:rsid w:val="00580B3F"/>
    <w:rsid w:val="00580E84"/>
    <w:rsid w:val="00580EEE"/>
    <w:rsid w:val="00580FE5"/>
    <w:rsid w:val="005812BA"/>
    <w:rsid w:val="0058132C"/>
    <w:rsid w:val="00581480"/>
    <w:rsid w:val="005815AB"/>
    <w:rsid w:val="005815E1"/>
    <w:rsid w:val="00581669"/>
    <w:rsid w:val="0058166E"/>
    <w:rsid w:val="005816B9"/>
    <w:rsid w:val="005818AF"/>
    <w:rsid w:val="005819E6"/>
    <w:rsid w:val="00581B92"/>
    <w:rsid w:val="00581BB0"/>
    <w:rsid w:val="00581C25"/>
    <w:rsid w:val="00581CD6"/>
    <w:rsid w:val="00581D63"/>
    <w:rsid w:val="00581E33"/>
    <w:rsid w:val="00581E99"/>
    <w:rsid w:val="00581EC6"/>
    <w:rsid w:val="00581FE8"/>
    <w:rsid w:val="00582091"/>
    <w:rsid w:val="005820FF"/>
    <w:rsid w:val="00582397"/>
    <w:rsid w:val="00582406"/>
    <w:rsid w:val="0058259E"/>
    <w:rsid w:val="00582669"/>
    <w:rsid w:val="0058277D"/>
    <w:rsid w:val="005829E6"/>
    <w:rsid w:val="00582A75"/>
    <w:rsid w:val="00582B2E"/>
    <w:rsid w:val="00582D04"/>
    <w:rsid w:val="00582D9E"/>
    <w:rsid w:val="00582DDB"/>
    <w:rsid w:val="00582E71"/>
    <w:rsid w:val="00582FC4"/>
    <w:rsid w:val="00583065"/>
    <w:rsid w:val="0058308A"/>
    <w:rsid w:val="005830A6"/>
    <w:rsid w:val="005831E7"/>
    <w:rsid w:val="00583284"/>
    <w:rsid w:val="005834C2"/>
    <w:rsid w:val="005834DB"/>
    <w:rsid w:val="0058351E"/>
    <w:rsid w:val="005835FE"/>
    <w:rsid w:val="00583963"/>
    <w:rsid w:val="005839A1"/>
    <w:rsid w:val="00583A52"/>
    <w:rsid w:val="00583E50"/>
    <w:rsid w:val="00583EBB"/>
    <w:rsid w:val="00583EEB"/>
    <w:rsid w:val="00583F0F"/>
    <w:rsid w:val="0058403B"/>
    <w:rsid w:val="00584120"/>
    <w:rsid w:val="005841C4"/>
    <w:rsid w:val="005843C2"/>
    <w:rsid w:val="005843E8"/>
    <w:rsid w:val="00584444"/>
    <w:rsid w:val="005846F8"/>
    <w:rsid w:val="0058485E"/>
    <w:rsid w:val="00584877"/>
    <w:rsid w:val="005848E1"/>
    <w:rsid w:val="005849C4"/>
    <w:rsid w:val="00584B23"/>
    <w:rsid w:val="00584B3E"/>
    <w:rsid w:val="00584B49"/>
    <w:rsid w:val="00584C48"/>
    <w:rsid w:val="00584F55"/>
    <w:rsid w:val="00585015"/>
    <w:rsid w:val="0058509A"/>
    <w:rsid w:val="005851AC"/>
    <w:rsid w:val="005851FC"/>
    <w:rsid w:val="00585303"/>
    <w:rsid w:val="005853AD"/>
    <w:rsid w:val="0058546A"/>
    <w:rsid w:val="00585492"/>
    <w:rsid w:val="00585557"/>
    <w:rsid w:val="005855F1"/>
    <w:rsid w:val="00585AC6"/>
    <w:rsid w:val="00585C66"/>
    <w:rsid w:val="00585D68"/>
    <w:rsid w:val="00585F2F"/>
    <w:rsid w:val="0058620B"/>
    <w:rsid w:val="00586404"/>
    <w:rsid w:val="00586457"/>
    <w:rsid w:val="005864C5"/>
    <w:rsid w:val="005864DD"/>
    <w:rsid w:val="0058679B"/>
    <w:rsid w:val="005869C9"/>
    <w:rsid w:val="00586B32"/>
    <w:rsid w:val="00586B90"/>
    <w:rsid w:val="00586C2D"/>
    <w:rsid w:val="00586C34"/>
    <w:rsid w:val="00586C79"/>
    <w:rsid w:val="00586C7C"/>
    <w:rsid w:val="00586D23"/>
    <w:rsid w:val="00586D4D"/>
    <w:rsid w:val="00586DE9"/>
    <w:rsid w:val="00586E4E"/>
    <w:rsid w:val="00586E7E"/>
    <w:rsid w:val="00586E9F"/>
    <w:rsid w:val="00586F84"/>
    <w:rsid w:val="00586FC3"/>
    <w:rsid w:val="005870D8"/>
    <w:rsid w:val="00587369"/>
    <w:rsid w:val="005873F1"/>
    <w:rsid w:val="005874A4"/>
    <w:rsid w:val="00587822"/>
    <w:rsid w:val="00587893"/>
    <w:rsid w:val="005878E7"/>
    <w:rsid w:val="005878F3"/>
    <w:rsid w:val="00587A8A"/>
    <w:rsid w:val="00587AEB"/>
    <w:rsid w:val="00587AED"/>
    <w:rsid w:val="00587B5E"/>
    <w:rsid w:val="00587C1B"/>
    <w:rsid w:val="00587C31"/>
    <w:rsid w:val="00587EA3"/>
    <w:rsid w:val="00587EF8"/>
    <w:rsid w:val="00587FA1"/>
    <w:rsid w:val="00590094"/>
    <w:rsid w:val="005901E9"/>
    <w:rsid w:val="0059020B"/>
    <w:rsid w:val="0059022A"/>
    <w:rsid w:val="005902E1"/>
    <w:rsid w:val="00590355"/>
    <w:rsid w:val="00590459"/>
    <w:rsid w:val="005904E3"/>
    <w:rsid w:val="0059056E"/>
    <w:rsid w:val="0059086A"/>
    <w:rsid w:val="005909AF"/>
    <w:rsid w:val="00590E4F"/>
    <w:rsid w:val="00590F33"/>
    <w:rsid w:val="00590F69"/>
    <w:rsid w:val="00590FBF"/>
    <w:rsid w:val="005911D3"/>
    <w:rsid w:val="005915EC"/>
    <w:rsid w:val="0059177B"/>
    <w:rsid w:val="005917B5"/>
    <w:rsid w:val="005917E2"/>
    <w:rsid w:val="00591868"/>
    <w:rsid w:val="0059199F"/>
    <w:rsid w:val="00591C8C"/>
    <w:rsid w:val="00591CA3"/>
    <w:rsid w:val="00591E9E"/>
    <w:rsid w:val="00591EBC"/>
    <w:rsid w:val="00591ED7"/>
    <w:rsid w:val="0059215E"/>
    <w:rsid w:val="00592176"/>
    <w:rsid w:val="005921F4"/>
    <w:rsid w:val="005921FE"/>
    <w:rsid w:val="0059220A"/>
    <w:rsid w:val="00592220"/>
    <w:rsid w:val="0059240F"/>
    <w:rsid w:val="00592517"/>
    <w:rsid w:val="0059264D"/>
    <w:rsid w:val="005926C6"/>
    <w:rsid w:val="00592815"/>
    <w:rsid w:val="00592861"/>
    <w:rsid w:val="005929C1"/>
    <w:rsid w:val="00592AC2"/>
    <w:rsid w:val="00592AD1"/>
    <w:rsid w:val="00592C6A"/>
    <w:rsid w:val="00592F77"/>
    <w:rsid w:val="00592F9F"/>
    <w:rsid w:val="00593019"/>
    <w:rsid w:val="0059301F"/>
    <w:rsid w:val="00593269"/>
    <w:rsid w:val="00593424"/>
    <w:rsid w:val="0059346D"/>
    <w:rsid w:val="00593560"/>
    <w:rsid w:val="00593793"/>
    <w:rsid w:val="00593795"/>
    <w:rsid w:val="005938A0"/>
    <w:rsid w:val="00593A47"/>
    <w:rsid w:val="00593A60"/>
    <w:rsid w:val="00593C03"/>
    <w:rsid w:val="00593C05"/>
    <w:rsid w:val="00593E35"/>
    <w:rsid w:val="00594217"/>
    <w:rsid w:val="0059438B"/>
    <w:rsid w:val="00594430"/>
    <w:rsid w:val="00594458"/>
    <w:rsid w:val="005946C4"/>
    <w:rsid w:val="00594982"/>
    <w:rsid w:val="00594995"/>
    <w:rsid w:val="00594AD3"/>
    <w:rsid w:val="00594B20"/>
    <w:rsid w:val="00594BAF"/>
    <w:rsid w:val="00594C90"/>
    <w:rsid w:val="00594E26"/>
    <w:rsid w:val="00594F2B"/>
    <w:rsid w:val="00594F4C"/>
    <w:rsid w:val="00594F9A"/>
    <w:rsid w:val="005950DA"/>
    <w:rsid w:val="0059543C"/>
    <w:rsid w:val="005957B5"/>
    <w:rsid w:val="00595A09"/>
    <w:rsid w:val="00595A10"/>
    <w:rsid w:val="00595A9F"/>
    <w:rsid w:val="00595B6C"/>
    <w:rsid w:val="00595D59"/>
    <w:rsid w:val="00595DCC"/>
    <w:rsid w:val="00595DFA"/>
    <w:rsid w:val="00595F4A"/>
    <w:rsid w:val="005960F4"/>
    <w:rsid w:val="005961A1"/>
    <w:rsid w:val="00596296"/>
    <w:rsid w:val="005962CB"/>
    <w:rsid w:val="005962EE"/>
    <w:rsid w:val="0059630F"/>
    <w:rsid w:val="00596633"/>
    <w:rsid w:val="00596A2E"/>
    <w:rsid w:val="00596AA5"/>
    <w:rsid w:val="00596AB7"/>
    <w:rsid w:val="00596AC0"/>
    <w:rsid w:val="00596B12"/>
    <w:rsid w:val="00596C20"/>
    <w:rsid w:val="00596C9A"/>
    <w:rsid w:val="00596D87"/>
    <w:rsid w:val="00596EED"/>
    <w:rsid w:val="00596F76"/>
    <w:rsid w:val="00597054"/>
    <w:rsid w:val="005970E1"/>
    <w:rsid w:val="005971E8"/>
    <w:rsid w:val="0059731D"/>
    <w:rsid w:val="0059744E"/>
    <w:rsid w:val="00597484"/>
    <w:rsid w:val="005974A8"/>
    <w:rsid w:val="005979F3"/>
    <w:rsid w:val="00597CEC"/>
    <w:rsid w:val="00597D12"/>
    <w:rsid w:val="00597DCA"/>
    <w:rsid w:val="00597E94"/>
    <w:rsid w:val="00597EAD"/>
    <w:rsid w:val="005A00B6"/>
    <w:rsid w:val="005A0231"/>
    <w:rsid w:val="005A0633"/>
    <w:rsid w:val="005A0798"/>
    <w:rsid w:val="005A07AA"/>
    <w:rsid w:val="005A07BB"/>
    <w:rsid w:val="005A07DB"/>
    <w:rsid w:val="005A0AD2"/>
    <w:rsid w:val="005A0CF9"/>
    <w:rsid w:val="005A0F3B"/>
    <w:rsid w:val="005A12D3"/>
    <w:rsid w:val="005A1840"/>
    <w:rsid w:val="005A1855"/>
    <w:rsid w:val="005A1BC8"/>
    <w:rsid w:val="005A1D89"/>
    <w:rsid w:val="005A2028"/>
    <w:rsid w:val="005A23D1"/>
    <w:rsid w:val="005A2420"/>
    <w:rsid w:val="005A2540"/>
    <w:rsid w:val="005A2575"/>
    <w:rsid w:val="005A25D2"/>
    <w:rsid w:val="005A2992"/>
    <w:rsid w:val="005A2A95"/>
    <w:rsid w:val="005A2AEC"/>
    <w:rsid w:val="005A2DCB"/>
    <w:rsid w:val="005A308C"/>
    <w:rsid w:val="005A3268"/>
    <w:rsid w:val="005A3327"/>
    <w:rsid w:val="005A3663"/>
    <w:rsid w:val="005A377F"/>
    <w:rsid w:val="005A3781"/>
    <w:rsid w:val="005A38D9"/>
    <w:rsid w:val="005A3A13"/>
    <w:rsid w:val="005A3BAB"/>
    <w:rsid w:val="005A3CB3"/>
    <w:rsid w:val="005A3D0A"/>
    <w:rsid w:val="005A3D62"/>
    <w:rsid w:val="005A3F39"/>
    <w:rsid w:val="005A4198"/>
    <w:rsid w:val="005A42AD"/>
    <w:rsid w:val="005A46F7"/>
    <w:rsid w:val="005A4797"/>
    <w:rsid w:val="005A49C1"/>
    <w:rsid w:val="005A4C6A"/>
    <w:rsid w:val="005A4DB0"/>
    <w:rsid w:val="005A4E87"/>
    <w:rsid w:val="005A51D5"/>
    <w:rsid w:val="005A5214"/>
    <w:rsid w:val="005A537C"/>
    <w:rsid w:val="005A53F7"/>
    <w:rsid w:val="005A5406"/>
    <w:rsid w:val="005A57F7"/>
    <w:rsid w:val="005A5881"/>
    <w:rsid w:val="005A5A09"/>
    <w:rsid w:val="005A5B1A"/>
    <w:rsid w:val="005A5CEB"/>
    <w:rsid w:val="005A5E20"/>
    <w:rsid w:val="005A6184"/>
    <w:rsid w:val="005A6200"/>
    <w:rsid w:val="005A627F"/>
    <w:rsid w:val="005A63C8"/>
    <w:rsid w:val="005A64D3"/>
    <w:rsid w:val="005A656A"/>
    <w:rsid w:val="005A6580"/>
    <w:rsid w:val="005A6616"/>
    <w:rsid w:val="005A6768"/>
    <w:rsid w:val="005A688C"/>
    <w:rsid w:val="005A6905"/>
    <w:rsid w:val="005A69B8"/>
    <w:rsid w:val="005A6AAF"/>
    <w:rsid w:val="005A6B04"/>
    <w:rsid w:val="005A6B2D"/>
    <w:rsid w:val="005A6BB9"/>
    <w:rsid w:val="005A6CBB"/>
    <w:rsid w:val="005A6E66"/>
    <w:rsid w:val="005A6EE1"/>
    <w:rsid w:val="005A6FA3"/>
    <w:rsid w:val="005A7057"/>
    <w:rsid w:val="005A71DC"/>
    <w:rsid w:val="005A7200"/>
    <w:rsid w:val="005A7315"/>
    <w:rsid w:val="005A7551"/>
    <w:rsid w:val="005A76EC"/>
    <w:rsid w:val="005A7759"/>
    <w:rsid w:val="005A79FB"/>
    <w:rsid w:val="005A7A0D"/>
    <w:rsid w:val="005A7A2B"/>
    <w:rsid w:val="005A7ABD"/>
    <w:rsid w:val="005A7B4F"/>
    <w:rsid w:val="005A7BDF"/>
    <w:rsid w:val="005A7CE2"/>
    <w:rsid w:val="005A7DF4"/>
    <w:rsid w:val="005A7FFD"/>
    <w:rsid w:val="005B028E"/>
    <w:rsid w:val="005B0889"/>
    <w:rsid w:val="005B08F6"/>
    <w:rsid w:val="005B0C4D"/>
    <w:rsid w:val="005B0D02"/>
    <w:rsid w:val="005B0DAE"/>
    <w:rsid w:val="005B0DBE"/>
    <w:rsid w:val="005B0DF9"/>
    <w:rsid w:val="005B0E19"/>
    <w:rsid w:val="005B0E9F"/>
    <w:rsid w:val="005B0FF3"/>
    <w:rsid w:val="005B13AB"/>
    <w:rsid w:val="005B13F9"/>
    <w:rsid w:val="005B1400"/>
    <w:rsid w:val="005B1567"/>
    <w:rsid w:val="005B1598"/>
    <w:rsid w:val="005B16E3"/>
    <w:rsid w:val="005B16FC"/>
    <w:rsid w:val="005B18CF"/>
    <w:rsid w:val="005B1AD4"/>
    <w:rsid w:val="005B1EEC"/>
    <w:rsid w:val="005B1F7C"/>
    <w:rsid w:val="005B1FE6"/>
    <w:rsid w:val="005B2044"/>
    <w:rsid w:val="005B2209"/>
    <w:rsid w:val="005B2282"/>
    <w:rsid w:val="005B2393"/>
    <w:rsid w:val="005B243D"/>
    <w:rsid w:val="005B248A"/>
    <w:rsid w:val="005B296B"/>
    <w:rsid w:val="005B2C03"/>
    <w:rsid w:val="005B2C4C"/>
    <w:rsid w:val="005B2CA2"/>
    <w:rsid w:val="005B2CBF"/>
    <w:rsid w:val="005B2D2E"/>
    <w:rsid w:val="005B3018"/>
    <w:rsid w:val="005B3078"/>
    <w:rsid w:val="005B3088"/>
    <w:rsid w:val="005B318F"/>
    <w:rsid w:val="005B3257"/>
    <w:rsid w:val="005B3273"/>
    <w:rsid w:val="005B34A4"/>
    <w:rsid w:val="005B352E"/>
    <w:rsid w:val="005B353C"/>
    <w:rsid w:val="005B3540"/>
    <w:rsid w:val="005B3602"/>
    <w:rsid w:val="005B363F"/>
    <w:rsid w:val="005B3875"/>
    <w:rsid w:val="005B3A68"/>
    <w:rsid w:val="005B3A91"/>
    <w:rsid w:val="005B3D45"/>
    <w:rsid w:val="005B4069"/>
    <w:rsid w:val="005B4608"/>
    <w:rsid w:val="005B46DB"/>
    <w:rsid w:val="005B4BD4"/>
    <w:rsid w:val="005B4C1E"/>
    <w:rsid w:val="005B4CE5"/>
    <w:rsid w:val="005B4D86"/>
    <w:rsid w:val="005B4E45"/>
    <w:rsid w:val="005B4F78"/>
    <w:rsid w:val="005B5096"/>
    <w:rsid w:val="005B50C6"/>
    <w:rsid w:val="005B5227"/>
    <w:rsid w:val="005B5551"/>
    <w:rsid w:val="005B563E"/>
    <w:rsid w:val="005B5969"/>
    <w:rsid w:val="005B59F7"/>
    <w:rsid w:val="005B5BBE"/>
    <w:rsid w:val="005B5C42"/>
    <w:rsid w:val="005B5CBB"/>
    <w:rsid w:val="005B5CFE"/>
    <w:rsid w:val="005B6098"/>
    <w:rsid w:val="005B62D2"/>
    <w:rsid w:val="005B62E1"/>
    <w:rsid w:val="005B633B"/>
    <w:rsid w:val="005B663E"/>
    <w:rsid w:val="005B6802"/>
    <w:rsid w:val="005B68F9"/>
    <w:rsid w:val="005B6B05"/>
    <w:rsid w:val="005B6CDA"/>
    <w:rsid w:val="005B6D1F"/>
    <w:rsid w:val="005B6D94"/>
    <w:rsid w:val="005B6F0A"/>
    <w:rsid w:val="005B7074"/>
    <w:rsid w:val="005B70AC"/>
    <w:rsid w:val="005B70E7"/>
    <w:rsid w:val="005B715C"/>
    <w:rsid w:val="005B7272"/>
    <w:rsid w:val="005B7304"/>
    <w:rsid w:val="005B7447"/>
    <w:rsid w:val="005B74B3"/>
    <w:rsid w:val="005B7853"/>
    <w:rsid w:val="005B79EF"/>
    <w:rsid w:val="005B7A33"/>
    <w:rsid w:val="005B7B10"/>
    <w:rsid w:val="005B7B9E"/>
    <w:rsid w:val="005B7BBB"/>
    <w:rsid w:val="005B7CD9"/>
    <w:rsid w:val="005B7D06"/>
    <w:rsid w:val="005B7FF0"/>
    <w:rsid w:val="005C013E"/>
    <w:rsid w:val="005C0326"/>
    <w:rsid w:val="005C03D3"/>
    <w:rsid w:val="005C0569"/>
    <w:rsid w:val="005C056B"/>
    <w:rsid w:val="005C058A"/>
    <w:rsid w:val="005C064D"/>
    <w:rsid w:val="005C0765"/>
    <w:rsid w:val="005C082F"/>
    <w:rsid w:val="005C09AF"/>
    <w:rsid w:val="005C0AAB"/>
    <w:rsid w:val="005C0ABC"/>
    <w:rsid w:val="005C0AC6"/>
    <w:rsid w:val="005C0B49"/>
    <w:rsid w:val="005C0CAD"/>
    <w:rsid w:val="005C0DCE"/>
    <w:rsid w:val="005C0ECD"/>
    <w:rsid w:val="005C1076"/>
    <w:rsid w:val="005C10F1"/>
    <w:rsid w:val="005C13F8"/>
    <w:rsid w:val="005C154B"/>
    <w:rsid w:val="005C165E"/>
    <w:rsid w:val="005C1691"/>
    <w:rsid w:val="005C16CA"/>
    <w:rsid w:val="005C16EF"/>
    <w:rsid w:val="005C16F6"/>
    <w:rsid w:val="005C1755"/>
    <w:rsid w:val="005C17E0"/>
    <w:rsid w:val="005C1920"/>
    <w:rsid w:val="005C1AA2"/>
    <w:rsid w:val="005C1AA9"/>
    <w:rsid w:val="005C1BAB"/>
    <w:rsid w:val="005C1C84"/>
    <w:rsid w:val="005C1D7A"/>
    <w:rsid w:val="005C1E40"/>
    <w:rsid w:val="005C2057"/>
    <w:rsid w:val="005C2089"/>
    <w:rsid w:val="005C20B3"/>
    <w:rsid w:val="005C20D7"/>
    <w:rsid w:val="005C2143"/>
    <w:rsid w:val="005C21C1"/>
    <w:rsid w:val="005C22F8"/>
    <w:rsid w:val="005C235D"/>
    <w:rsid w:val="005C23A6"/>
    <w:rsid w:val="005C26D5"/>
    <w:rsid w:val="005C29BD"/>
    <w:rsid w:val="005C2BD7"/>
    <w:rsid w:val="005C2EC1"/>
    <w:rsid w:val="005C3021"/>
    <w:rsid w:val="005C30A8"/>
    <w:rsid w:val="005C3302"/>
    <w:rsid w:val="005C337D"/>
    <w:rsid w:val="005C34FE"/>
    <w:rsid w:val="005C350A"/>
    <w:rsid w:val="005C35DC"/>
    <w:rsid w:val="005C366A"/>
    <w:rsid w:val="005C3734"/>
    <w:rsid w:val="005C3AB9"/>
    <w:rsid w:val="005C3B81"/>
    <w:rsid w:val="005C3C4A"/>
    <w:rsid w:val="005C3D05"/>
    <w:rsid w:val="005C3D5A"/>
    <w:rsid w:val="005C3D83"/>
    <w:rsid w:val="005C41ED"/>
    <w:rsid w:val="005C42EA"/>
    <w:rsid w:val="005C44A9"/>
    <w:rsid w:val="005C44E6"/>
    <w:rsid w:val="005C4771"/>
    <w:rsid w:val="005C48DB"/>
    <w:rsid w:val="005C4ABF"/>
    <w:rsid w:val="005C4E62"/>
    <w:rsid w:val="005C4E68"/>
    <w:rsid w:val="005C4F96"/>
    <w:rsid w:val="005C4FCB"/>
    <w:rsid w:val="005C5355"/>
    <w:rsid w:val="005C5419"/>
    <w:rsid w:val="005C554B"/>
    <w:rsid w:val="005C56DA"/>
    <w:rsid w:val="005C576A"/>
    <w:rsid w:val="005C591F"/>
    <w:rsid w:val="005C592E"/>
    <w:rsid w:val="005C59E3"/>
    <w:rsid w:val="005C59F0"/>
    <w:rsid w:val="005C5B48"/>
    <w:rsid w:val="005C5E08"/>
    <w:rsid w:val="005C6333"/>
    <w:rsid w:val="005C63B9"/>
    <w:rsid w:val="005C6410"/>
    <w:rsid w:val="005C646C"/>
    <w:rsid w:val="005C64CF"/>
    <w:rsid w:val="005C667F"/>
    <w:rsid w:val="005C66EF"/>
    <w:rsid w:val="005C6700"/>
    <w:rsid w:val="005C67CF"/>
    <w:rsid w:val="005C68F3"/>
    <w:rsid w:val="005C69DA"/>
    <w:rsid w:val="005C6A4A"/>
    <w:rsid w:val="005C6C74"/>
    <w:rsid w:val="005C6DE8"/>
    <w:rsid w:val="005C6F27"/>
    <w:rsid w:val="005C7036"/>
    <w:rsid w:val="005C706A"/>
    <w:rsid w:val="005C70D1"/>
    <w:rsid w:val="005C72AD"/>
    <w:rsid w:val="005C752F"/>
    <w:rsid w:val="005C76C6"/>
    <w:rsid w:val="005C770D"/>
    <w:rsid w:val="005C7748"/>
    <w:rsid w:val="005C792D"/>
    <w:rsid w:val="005C7950"/>
    <w:rsid w:val="005C7BB1"/>
    <w:rsid w:val="005C7BFC"/>
    <w:rsid w:val="005C7C17"/>
    <w:rsid w:val="005C7C73"/>
    <w:rsid w:val="005C7E61"/>
    <w:rsid w:val="005C7E79"/>
    <w:rsid w:val="005D0105"/>
    <w:rsid w:val="005D02F0"/>
    <w:rsid w:val="005D055E"/>
    <w:rsid w:val="005D05B5"/>
    <w:rsid w:val="005D0683"/>
    <w:rsid w:val="005D074D"/>
    <w:rsid w:val="005D0933"/>
    <w:rsid w:val="005D0A25"/>
    <w:rsid w:val="005D0BA6"/>
    <w:rsid w:val="005D0EC0"/>
    <w:rsid w:val="005D0FBB"/>
    <w:rsid w:val="005D112B"/>
    <w:rsid w:val="005D12A1"/>
    <w:rsid w:val="005D13C8"/>
    <w:rsid w:val="005D13F2"/>
    <w:rsid w:val="005D1445"/>
    <w:rsid w:val="005D14E5"/>
    <w:rsid w:val="005D161E"/>
    <w:rsid w:val="005D198B"/>
    <w:rsid w:val="005D1A7C"/>
    <w:rsid w:val="005D1F73"/>
    <w:rsid w:val="005D218B"/>
    <w:rsid w:val="005D21A2"/>
    <w:rsid w:val="005D229B"/>
    <w:rsid w:val="005D2474"/>
    <w:rsid w:val="005D24F5"/>
    <w:rsid w:val="005D259A"/>
    <w:rsid w:val="005D26DC"/>
    <w:rsid w:val="005D274E"/>
    <w:rsid w:val="005D2C6F"/>
    <w:rsid w:val="005D2C87"/>
    <w:rsid w:val="005D2DD7"/>
    <w:rsid w:val="005D2F78"/>
    <w:rsid w:val="005D2FC7"/>
    <w:rsid w:val="005D3244"/>
    <w:rsid w:val="005D3504"/>
    <w:rsid w:val="005D3588"/>
    <w:rsid w:val="005D365C"/>
    <w:rsid w:val="005D3812"/>
    <w:rsid w:val="005D39DE"/>
    <w:rsid w:val="005D3D9B"/>
    <w:rsid w:val="005D3E58"/>
    <w:rsid w:val="005D3E79"/>
    <w:rsid w:val="005D4182"/>
    <w:rsid w:val="005D4607"/>
    <w:rsid w:val="005D474A"/>
    <w:rsid w:val="005D475F"/>
    <w:rsid w:val="005D4809"/>
    <w:rsid w:val="005D48C4"/>
    <w:rsid w:val="005D4A45"/>
    <w:rsid w:val="005D4A5C"/>
    <w:rsid w:val="005D4A7B"/>
    <w:rsid w:val="005D4CE0"/>
    <w:rsid w:val="005D4E13"/>
    <w:rsid w:val="005D4F17"/>
    <w:rsid w:val="005D4FB3"/>
    <w:rsid w:val="005D51BD"/>
    <w:rsid w:val="005D52E4"/>
    <w:rsid w:val="005D52E5"/>
    <w:rsid w:val="005D52FC"/>
    <w:rsid w:val="005D5374"/>
    <w:rsid w:val="005D544B"/>
    <w:rsid w:val="005D571C"/>
    <w:rsid w:val="005D5741"/>
    <w:rsid w:val="005D589F"/>
    <w:rsid w:val="005D5CDC"/>
    <w:rsid w:val="005D5CFE"/>
    <w:rsid w:val="005D6001"/>
    <w:rsid w:val="005D605E"/>
    <w:rsid w:val="005D60D9"/>
    <w:rsid w:val="005D60ED"/>
    <w:rsid w:val="005D6152"/>
    <w:rsid w:val="005D6175"/>
    <w:rsid w:val="005D6352"/>
    <w:rsid w:val="005D63FB"/>
    <w:rsid w:val="005D64A2"/>
    <w:rsid w:val="005D659E"/>
    <w:rsid w:val="005D65A8"/>
    <w:rsid w:val="005D66DF"/>
    <w:rsid w:val="005D66E6"/>
    <w:rsid w:val="005D6802"/>
    <w:rsid w:val="005D6BFD"/>
    <w:rsid w:val="005D6C6E"/>
    <w:rsid w:val="005D6C92"/>
    <w:rsid w:val="005D6D7D"/>
    <w:rsid w:val="005D6DCC"/>
    <w:rsid w:val="005D6FDB"/>
    <w:rsid w:val="005D7271"/>
    <w:rsid w:val="005D72EF"/>
    <w:rsid w:val="005D7707"/>
    <w:rsid w:val="005D77A2"/>
    <w:rsid w:val="005D77FC"/>
    <w:rsid w:val="005D78C7"/>
    <w:rsid w:val="005D7B50"/>
    <w:rsid w:val="005D7CAD"/>
    <w:rsid w:val="005D7CB2"/>
    <w:rsid w:val="005D7CF4"/>
    <w:rsid w:val="005D7D54"/>
    <w:rsid w:val="005D7FE3"/>
    <w:rsid w:val="005E005D"/>
    <w:rsid w:val="005E01D5"/>
    <w:rsid w:val="005E02C8"/>
    <w:rsid w:val="005E0413"/>
    <w:rsid w:val="005E05EF"/>
    <w:rsid w:val="005E0693"/>
    <w:rsid w:val="005E085E"/>
    <w:rsid w:val="005E08B3"/>
    <w:rsid w:val="005E09F1"/>
    <w:rsid w:val="005E0A2B"/>
    <w:rsid w:val="005E0A55"/>
    <w:rsid w:val="005E0DAA"/>
    <w:rsid w:val="005E0E78"/>
    <w:rsid w:val="005E0EDA"/>
    <w:rsid w:val="005E1067"/>
    <w:rsid w:val="005E1111"/>
    <w:rsid w:val="005E124F"/>
    <w:rsid w:val="005E1310"/>
    <w:rsid w:val="005E133D"/>
    <w:rsid w:val="005E1611"/>
    <w:rsid w:val="005E1743"/>
    <w:rsid w:val="005E17ED"/>
    <w:rsid w:val="005E18E9"/>
    <w:rsid w:val="005E1A80"/>
    <w:rsid w:val="005E1BD5"/>
    <w:rsid w:val="005E1C92"/>
    <w:rsid w:val="005E1D72"/>
    <w:rsid w:val="005E1E40"/>
    <w:rsid w:val="005E1F91"/>
    <w:rsid w:val="005E1FC3"/>
    <w:rsid w:val="005E20B2"/>
    <w:rsid w:val="005E2347"/>
    <w:rsid w:val="005E23D5"/>
    <w:rsid w:val="005E23FD"/>
    <w:rsid w:val="005E2443"/>
    <w:rsid w:val="005E26E1"/>
    <w:rsid w:val="005E2777"/>
    <w:rsid w:val="005E27C9"/>
    <w:rsid w:val="005E2A76"/>
    <w:rsid w:val="005E2AD4"/>
    <w:rsid w:val="005E2AFA"/>
    <w:rsid w:val="005E2D71"/>
    <w:rsid w:val="005E2EB2"/>
    <w:rsid w:val="005E2EE1"/>
    <w:rsid w:val="005E2FBC"/>
    <w:rsid w:val="005E2FD7"/>
    <w:rsid w:val="005E322A"/>
    <w:rsid w:val="005E3230"/>
    <w:rsid w:val="005E328D"/>
    <w:rsid w:val="005E33CA"/>
    <w:rsid w:val="005E3405"/>
    <w:rsid w:val="005E3672"/>
    <w:rsid w:val="005E3849"/>
    <w:rsid w:val="005E39E7"/>
    <w:rsid w:val="005E3C17"/>
    <w:rsid w:val="005E3E85"/>
    <w:rsid w:val="005E418D"/>
    <w:rsid w:val="005E41C3"/>
    <w:rsid w:val="005E41F0"/>
    <w:rsid w:val="005E473E"/>
    <w:rsid w:val="005E479A"/>
    <w:rsid w:val="005E4877"/>
    <w:rsid w:val="005E48C5"/>
    <w:rsid w:val="005E4BC5"/>
    <w:rsid w:val="005E4C5D"/>
    <w:rsid w:val="005E4D61"/>
    <w:rsid w:val="005E4F2F"/>
    <w:rsid w:val="005E5047"/>
    <w:rsid w:val="005E5161"/>
    <w:rsid w:val="005E5162"/>
    <w:rsid w:val="005E5216"/>
    <w:rsid w:val="005E54E3"/>
    <w:rsid w:val="005E563F"/>
    <w:rsid w:val="005E5727"/>
    <w:rsid w:val="005E5856"/>
    <w:rsid w:val="005E5ABD"/>
    <w:rsid w:val="005E5C37"/>
    <w:rsid w:val="005E5E0E"/>
    <w:rsid w:val="005E5F50"/>
    <w:rsid w:val="005E5F5E"/>
    <w:rsid w:val="005E6053"/>
    <w:rsid w:val="005E61CA"/>
    <w:rsid w:val="005E65D7"/>
    <w:rsid w:val="005E6648"/>
    <w:rsid w:val="005E6782"/>
    <w:rsid w:val="005E6A55"/>
    <w:rsid w:val="005E6E50"/>
    <w:rsid w:val="005E6E64"/>
    <w:rsid w:val="005E6E68"/>
    <w:rsid w:val="005E7128"/>
    <w:rsid w:val="005E7309"/>
    <w:rsid w:val="005E735C"/>
    <w:rsid w:val="005E735E"/>
    <w:rsid w:val="005E7499"/>
    <w:rsid w:val="005E758C"/>
    <w:rsid w:val="005E75F2"/>
    <w:rsid w:val="005E76C8"/>
    <w:rsid w:val="005E78A2"/>
    <w:rsid w:val="005E7CBA"/>
    <w:rsid w:val="005E7E35"/>
    <w:rsid w:val="005E7F07"/>
    <w:rsid w:val="005F0073"/>
    <w:rsid w:val="005F00AB"/>
    <w:rsid w:val="005F014F"/>
    <w:rsid w:val="005F0170"/>
    <w:rsid w:val="005F01C9"/>
    <w:rsid w:val="005F02A2"/>
    <w:rsid w:val="005F036D"/>
    <w:rsid w:val="005F0433"/>
    <w:rsid w:val="005F0454"/>
    <w:rsid w:val="005F0538"/>
    <w:rsid w:val="005F08B8"/>
    <w:rsid w:val="005F0907"/>
    <w:rsid w:val="005F0D1B"/>
    <w:rsid w:val="005F0D31"/>
    <w:rsid w:val="005F1343"/>
    <w:rsid w:val="005F1485"/>
    <w:rsid w:val="005F150C"/>
    <w:rsid w:val="005F1604"/>
    <w:rsid w:val="005F172F"/>
    <w:rsid w:val="005F19DA"/>
    <w:rsid w:val="005F1A15"/>
    <w:rsid w:val="005F1BCE"/>
    <w:rsid w:val="005F1CAA"/>
    <w:rsid w:val="005F1E2A"/>
    <w:rsid w:val="005F1EC1"/>
    <w:rsid w:val="005F1F1E"/>
    <w:rsid w:val="005F1F9E"/>
    <w:rsid w:val="005F207A"/>
    <w:rsid w:val="005F2086"/>
    <w:rsid w:val="005F20CE"/>
    <w:rsid w:val="005F2282"/>
    <w:rsid w:val="005F2318"/>
    <w:rsid w:val="005F233E"/>
    <w:rsid w:val="005F235E"/>
    <w:rsid w:val="005F241A"/>
    <w:rsid w:val="005F241E"/>
    <w:rsid w:val="005F244D"/>
    <w:rsid w:val="005F24C2"/>
    <w:rsid w:val="005F254B"/>
    <w:rsid w:val="005F25AC"/>
    <w:rsid w:val="005F264F"/>
    <w:rsid w:val="005F2665"/>
    <w:rsid w:val="005F2878"/>
    <w:rsid w:val="005F2AD4"/>
    <w:rsid w:val="005F2D52"/>
    <w:rsid w:val="005F2DAC"/>
    <w:rsid w:val="005F2FD1"/>
    <w:rsid w:val="005F300E"/>
    <w:rsid w:val="005F31CE"/>
    <w:rsid w:val="005F34ED"/>
    <w:rsid w:val="005F34F2"/>
    <w:rsid w:val="005F3896"/>
    <w:rsid w:val="005F3930"/>
    <w:rsid w:val="005F39B3"/>
    <w:rsid w:val="005F39B4"/>
    <w:rsid w:val="005F3A75"/>
    <w:rsid w:val="005F3B82"/>
    <w:rsid w:val="005F3CAC"/>
    <w:rsid w:val="005F3D61"/>
    <w:rsid w:val="005F3E0F"/>
    <w:rsid w:val="005F3F04"/>
    <w:rsid w:val="005F3FC2"/>
    <w:rsid w:val="005F4008"/>
    <w:rsid w:val="005F4093"/>
    <w:rsid w:val="005F438D"/>
    <w:rsid w:val="005F43C3"/>
    <w:rsid w:val="005F43D6"/>
    <w:rsid w:val="005F441B"/>
    <w:rsid w:val="005F454C"/>
    <w:rsid w:val="005F4639"/>
    <w:rsid w:val="005F47C9"/>
    <w:rsid w:val="005F4936"/>
    <w:rsid w:val="005F4BBA"/>
    <w:rsid w:val="005F4C08"/>
    <w:rsid w:val="005F4C2F"/>
    <w:rsid w:val="005F4E74"/>
    <w:rsid w:val="005F4F72"/>
    <w:rsid w:val="005F50BD"/>
    <w:rsid w:val="005F51F0"/>
    <w:rsid w:val="005F526F"/>
    <w:rsid w:val="005F5278"/>
    <w:rsid w:val="005F5284"/>
    <w:rsid w:val="005F53F7"/>
    <w:rsid w:val="005F55A4"/>
    <w:rsid w:val="005F5A22"/>
    <w:rsid w:val="005F5A33"/>
    <w:rsid w:val="005F5B96"/>
    <w:rsid w:val="005F5CDF"/>
    <w:rsid w:val="005F5FAC"/>
    <w:rsid w:val="005F64CB"/>
    <w:rsid w:val="005F64F3"/>
    <w:rsid w:val="005F651B"/>
    <w:rsid w:val="005F65C9"/>
    <w:rsid w:val="005F65FA"/>
    <w:rsid w:val="005F6621"/>
    <w:rsid w:val="005F662F"/>
    <w:rsid w:val="005F66AC"/>
    <w:rsid w:val="005F6701"/>
    <w:rsid w:val="005F67A8"/>
    <w:rsid w:val="005F687E"/>
    <w:rsid w:val="005F6A09"/>
    <w:rsid w:val="005F6ACF"/>
    <w:rsid w:val="005F6B5A"/>
    <w:rsid w:val="005F6C3C"/>
    <w:rsid w:val="005F7003"/>
    <w:rsid w:val="005F7177"/>
    <w:rsid w:val="005F7326"/>
    <w:rsid w:val="005F7473"/>
    <w:rsid w:val="005F7580"/>
    <w:rsid w:val="005F75B4"/>
    <w:rsid w:val="005F77AA"/>
    <w:rsid w:val="005F77C7"/>
    <w:rsid w:val="005F7A2A"/>
    <w:rsid w:val="005F7BBC"/>
    <w:rsid w:val="005F7CC0"/>
    <w:rsid w:val="005F7D71"/>
    <w:rsid w:val="005F7DCF"/>
    <w:rsid w:val="0060002F"/>
    <w:rsid w:val="006001C1"/>
    <w:rsid w:val="0060027D"/>
    <w:rsid w:val="00600350"/>
    <w:rsid w:val="00600364"/>
    <w:rsid w:val="006003A0"/>
    <w:rsid w:val="006003F9"/>
    <w:rsid w:val="00600403"/>
    <w:rsid w:val="00600416"/>
    <w:rsid w:val="00600822"/>
    <w:rsid w:val="00600910"/>
    <w:rsid w:val="00600977"/>
    <w:rsid w:val="00600AC4"/>
    <w:rsid w:val="00600B02"/>
    <w:rsid w:val="00600B28"/>
    <w:rsid w:val="00600B74"/>
    <w:rsid w:val="00600B94"/>
    <w:rsid w:val="00600C9F"/>
    <w:rsid w:val="00600D15"/>
    <w:rsid w:val="00600DA1"/>
    <w:rsid w:val="00600EA8"/>
    <w:rsid w:val="00600F08"/>
    <w:rsid w:val="00600F60"/>
    <w:rsid w:val="00600FFC"/>
    <w:rsid w:val="0060120D"/>
    <w:rsid w:val="00601243"/>
    <w:rsid w:val="00601660"/>
    <w:rsid w:val="00601A4B"/>
    <w:rsid w:val="00601A9A"/>
    <w:rsid w:val="00601B67"/>
    <w:rsid w:val="00601B80"/>
    <w:rsid w:val="00601BE0"/>
    <w:rsid w:val="00601CD9"/>
    <w:rsid w:val="00601F43"/>
    <w:rsid w:val="00602002"/>
    <w:rsid w:val="006020AB"/>
    <w:rsid w:val="00602138"/>
    <w:rsid w:val="00602158"/>
    <w:rsid w:val="006022BA"/>
    <w:rsid w:val="0060256E"/>
    <w:rsid w:val="0060269D"/>
    <w:rsid w:val="0060290C"/>
    <w:rsid w:val="00602AEE"/>
    <w:rsid w:val="00602CFA"/>
    <w:rsid w:val="00602E73"/>
    <w:rsid w:val="00602F06"/>
    <w:rsid w:val="00602F5E"/>
    <w:rsid w:val="00603168"/>
    <w:rsid w:val="0060319C"/>
    <w:rsid w:val="00603487"/>
    <w:rsid w:val="00603513"/>
    <w:rsid w:val="0060355B"/>
    <w:rsid w:val="00603618"/>
    <w:rsid w:val="00603745"/>
    <w:rsid w:val="00603C9E"/>
    <w:rsid w:val="00603F18"/>
    <w:rsid w:val="006041EB"/>
    <w:rsid w:val="0060420C"/>
    <w:rsid w:val="0060457A"/>
    <w:rsid w:val="00604615"/>
    <w:rsid w:val="006046AC"/>
    <w:rsid w:val="00604709"/>
    <w:rsid w:val="00604881"/>
    <w:rsid w:val="00604998"/>
    <w:rsid w:val="00604E43"/>
    <w:rsid w:val="00604E77"/>
    <w:rsid w:val="00605226"/>
    <w:rsid w:val="006052C7"/>
    <w:rsid w:val="006052F0"/>
    <w:rsid w:val="00605364"/>
    <w:rsid w:val="006053BD"/>
    <w:rsid w:val="00605443"/>
    <w:rsid w:val="006055A6"/>
    <w:rsid w:val="006056AF"/>
    <w:rsid w:val="006056D8"/>
    <w:rsid w:val="00605751"/>
    <w:rsid w:val="0060588E"/>
    <w:rsid w:val="006058B4"/>
    <w:rsid w:val="00605AED"/>
    <w:rsid w:val="00605EE6"/>
    <w:rsid w:val="00605F31"/>
    <w:rsid w:val="00605FC5"/>
    <w:rsid w:val="006061CD"/>
    <w:rsid w:val="006062F5"/>
    <w:rsid w:val="0060641C"/>
    <w:rsid w:val="00606537"/>
    <w:rsid w:val="00606787"/>
    <w:rsid w:val="0060684F"/>
    <w:rsid w:val="006068FA"/>
    <w:rsid w:val="006069A8"/>
    <w:rsid w:val="00606B5A"/>
    <w:rsid w:val="00606B96"/>
    <w:rsid w:val="00606C1C"/>
    <w:rsid w:val="00606DF2"/>
    <w:rsid w:val="00606F0F"/>
    <w:rsid w:val="00606F35"/>
    <w:rsid w:val="00606FA6"/>
    <w:rsid w:val="00606FA9"/>
    <w:rsid w:val="006071FD"/>
    <w:rsid w:val="006072C2"/>
    <w:rsid w:val="00607325"/>
    <w:rsid w:val="0060735C"/>
    <w:rsid w:val="0060743E"/>
    <w:rsid w:val="00607447"/>
    <w:rsid w:val="00607495"/>
    <w:rsid w:val="006074D8"/>
    <w:rsid w:val="006079DF"/>
    <w:rsid w:val="00607A87"/>
    <w:rsid w:val="00607D88"/>
    <w:rsid w:val="00607EB9"/>
    <w:rsid w:val="00607F20"/>
    <w:rsid w:val="00607FA5"/>
    <w:rsid w:val="00607FE0"/>
    <w:rsid w:val="00610074"/>
    <w:rsid w:val="00610078"/>
    <w:rsid w:val="006100CD"/>
    <w:rsid w:val="006100D5"/>
    <w:rsid w:val="00610108"/>
    <w:rsid w:val="00610202"/>
    <w:rsid w:val="0061026A"/>
    <w:rsid w:val="006103B2"/>
    <w:rsid w:val="006103D4"/>
    <w:rsid w:val="0061041D"/>
    <w:rsid w:val="00610552"/>
    <w:rsid w:val="00610864"/>
    <w:rsid w:val="00610930"/>
    <w:rsid w:val="00610990"/>
    <w:rsid w:val="00610AB1"/>
    <w:rsid w:val="00610B2B"/>
    <w:rsid w:val="00610B95"/>
    <w:rsid w:val="00610D2F"/>
    <w:rsid w:val="00610F1E"/>
    <w:rsid w:val="00610F4A"/>
    <w:rsid w:val="00610F8B"/>
    <w:rsid w:val="0061100A"/>
    <w:rsid w:val="00611236"/>
    <w:rsid w:val="00611297"/>
    <w:rsid w:val="00611328"/>
    <w:rsid w:val="006115FE"/>
    <w:rsid w:val="00611611"/>
    <w:rsid w:val="00611642"/>
    <w:rsid w:val="00611730"/>
    <w:rsid w:val="006118B0"/>
    <w:rsid w:val="00611929"/>
    <w:rsid w:val="0061196A"/>
    <w:rsid w:val="00611E58"/>
    <w:rsid w:val="00611EF4"/>
    <w:rsid w:val="006120C1"/>
    <w:rsid w:val="0061217A"/>
    <w:rsid w:val="006121EA"/>
    <w:rsid w:val="00612372"/>
    <w:rsid w:val="0061251D"/>
    <w:rsid w:val="00612541"/>
    <w:rsid w:val="0061256C"/>
    <w:rsid w:val="0061267C"/>
    <w:rsid w:val="0061270E"/>
    <w:rsid w:val="00612734"/>
    <w:rsid w:val="006127C9"/>
    <w:rsid w:val="00612B74"/>
    <w:rsid w:val="00612B79"/>
    <w:rsid w:val="00612BF7"/>
    <w:rsid w:val="00612D3A"/>
    <w:rsid w:val="00612D78"/>
    <w:rsid w:val="00612F01"/>
    <w:rsid w:val="00613005"/>
    <w:rsid w:val="006130F0"/>
    <w:rsid w:val="006132DF"/>
    <w:rsid w:val="006132E4"/>
    <w:rsid w:val="0061335B"/>
    <w:rsid w:val="006138F1"/>
    <w:rsid w:val="006139C5"/>
    <w:rsid w:val="00613AB0"/>
    <w:rsid w:val="00613AEA"/>
    <w:rsid w:val="00613B38"/>
    <w:rsid w:val="00613D28"/>
    <w:rsid w:val="00613DC8"/>
    <w:rsid w:val="00613E3E"/>
    <w:rsid w:val="00613E6E"/>
    <w:rsid w:val="0061433E"/>
    <w:rsid w:val="006143AC"/>
    <w:rsid w:val="006143F3"/>
    <w:rsid w:val="0061456D"/>
    <w:rsid w:val="006147BE"/>
    <w:rsid w:val="006147D8"/>
    <w:rsid w:val="00614933"/>
    <w:rsid w:val="00614972"/>
    <w:rsid w:val="00614A36"/>
    <w:rsid w:val="00614AD3"/>
    <w:rsid w:val="00614C27"/>
    <w:rsid w:val="00614C29"/>
    <w:rsid w:val="00614CA5"/>
    <w:rsid w:val="00614D45"/>
    <w:rsid w:val="0061519C"/>
    <w:rsid w:val="00615249"/>
    <w:rsid w:val="00615376"/>
    <w:rsid w:val="00615402"/>
    <w:rsid w:val="006155A8"/>
    <w:rsid w:val="00615658"/>
    <w:rsid w:val="00615967"/>
    <w:rsid w:val="00615B5B"/>
    <w:rsid w:val="00615B71"/>
    <w:rsid w:val="00615BD7"/>
    <w:rsid w:val="00615CC7"/>
    <w:rsid w:val="00615CF2"/>
    <w:rsid w:val="00616085"/>
    <w:rsid w:val="006161EB"/>
    <w:rsid w:val="006162B7"/>
    <w:rsid w:val="0061632F"/>
    <w:rsid w:val="006163FF"/>
    <w:rsid w:val="006164DD"/>
    <w:rsid w:val="00616B1A"/>
    <w:rsid w:val="00616C69"/>
    <w:rsid w:val="00616D65"/>
    <w:rsid w:val="00616EE7"/>
    <w:rsid w:val="0061703B"/>
    <w:rsid w:val="006172A5"/>
    <w:rsid w:val="0061741A"/>
    <w:rsid w:val="00617511"/>
    <w:rsid w:val="006178D9"/>
    <w:rsid w:val="00617A7A"/>
    <w:rsid w:val="00617D46"/>
    <w:rsid w:val="00617E56"/>
    <w:rsid w:val="00620161"/>
    <w:rsid w:val="00620273"/>
    <w:rsid w:val="00620294"/>
    <w:rsid w:val="00620321"/>
    <w:rsid w:val="00620367"/>
    <w:rsid w:val="006205D2"/>
    <w:rsid w:val="006209C2"/>
    <w:rsid w:val="00620B7E"/>
    <w:rsid w:val="00620C97"/>
    <w:rsid w:val="00620D17"/>
    <w:rsid w:val="00620DEC"/>
    <w:rsid w:val="00620FE5"/>
    <w:rsid w:val="0062106B"/>
    <w:rsid w:val="006211B0"/>
    <w:rsid w:val="006212F2"/>
    <w:rsid w:val="0062132C"/>
    <w:rsid w:val="00621387"/>
    <w:rsid w:val="0062139B"/>
    <w:rsid w:val="0062184D"/>
    <w:rsid w:val="006219C8"/>
    <w:rsid w:val="00621A2D"/>
    <w:rsid w:val="00621A79"/>
    <w:rsid w:val="00621B5F"/>
    <w:rsid w:val="00621C0C"/>
    <w:rsid w:val="00621D45"/>
    <w:rsid w:val="00621D49"/>
    <w:rsid w:val="00621D77"/>
    <w:rsid w:val="00622020"/>
    <w:rsid w:val="00622063"/>
    <w:rsid w:val="006220D3"/>
    <w:rsid w:val="00622306"/>
    <w:rsid w:val="00622344"/>
    <w:rsid w:val="0062274B"/>
    <w:rsid w:val="0062286C"/>
    <w:rsid w:val="00622902"/>
    <w:rsid w:val="00622923"/>
    <w:rsid w:val="006229AF"/>
    <w:rsid w:val="006229BB"/>
    <w:rsid w:val="00622A95"/>
    <w:rsid w:val="00622BE5"/>
    <w:rsid w:val="00622C13"/>
    <w:rsid w:val="00623042"/>
    <w:rsid w:val="00623273"/>
    <w:rsid w:val="00623431"/>
    <w:rsid w:val="006234E6"/>
    <w:rsid w:val="006236E1"/>
    <w:rsid w:val="006236E6"/>
    <w:rsid w:val="00623705"/>
    <w:rsid w:val="00623786"/>
    <w:rsid w:val="006237A2"/>
    <w:rsid w:val="006237F4"/>
    <w:rsid w:val="00623C87"/>
    <w:rsid w:val="00623D0D"/>
    <w:rsid w:val="00623E47"/>
    <w:rsid w:val="00623FC7"/>
    <w:rsid w:val="0062408B"/>
    <w:rsid w:val="00624116"/>
    <w:rsid w:val="00624219"/>
    <w:rsid w:val="0062422C"/>
    <w:rsid w:val="00624340"/>
    <w:rsid w:val="006243EE"/>
    <w:rsid w:val="00624408"/>
    <w:rsid w:val="00624549"/>
    <w:rsid w:val="00624607"/>
    <w:rsid w:val="00624680"/>
    <w:rsid w:val="006246F6"/>
    <w:rsid w:val="00624836"/>
    <w:rsid w:val="006248FE"/>
    <w:rsid w:val="00624919"/>
    <w:rsid w:val="00624AB8"/>
    <w:rsid w:val="00624AFC"/>
    <w:rsid w:val="00624B37"/>
    <w:rsid w:val="00624B58"/>
    <w:rsid w:val="00624C0C"/>
    <w:rsid w:val="00624D25"/>
    <w:rsid w:val="00624EC5"/>
    <w:rsid w:val="00624EE9"/>
    <w:rsid w:val="006250E8"/>
    <w:rsid w:val="006252C8"/>
    <w:rsid w:val="006252EA"/>
    <w:rsid w:val="00625384"/>
    <w:rsid w:val="006253D1"/>
    <w:rsid w:val="006253E0"/>
    <w:rsid w:val="00625731"/>
    <w:rsid w:val="00625A95"/>
    <w:rsid w:val="00625B5E"/>
    <w:rsid w:val="00625CD9"/>
    <w:rsid w:val="00625F8F"/>
    <w:rsid w:val="00626020"/>
    <w:rsid w:val="0062602D"/>
    <w:rsid w:val="00626130"/>
    <w:rsid w:val="00626136"/>
    <w:rsid w:val="00626287"/>
    <w:rsid w:val="006262C2"/>
    <w:rsid w:val="0062644D"/>
    <w:rsid w:val="0062673D"/>
    <w:rsid w:val="006267F0"/>
    <w:rsid w:val="0062694A"/>
    <w:rsid w:val="00626A0D"/>
    <w:rsid w:val="00626A2E"/>
    <w:rsid w:val="00626AAD"/>
    <w:rsid w:val="00626B11"/>
    <w:rsid w:val="00627124"/>
    <w:rsid w:val="006272D2"/>
    <w:rsid w:val="00627359"/>
    <w:rsid w:val="00627525"/>
    <w:rsid w:val="00627685"/>
    <w:rsid w:val="00627923"/>
    <w:rsid w:val="00627932"/>
    <w:rsid w:val="006279FF"/>
    <w:rsid w:val="00627AA5"/>
    <w:rsid w:val="00627BEC"/>
    <w:rsid w:val="00627CF5"/>
    <w:rsid w:val="00627DD3"/>
    <w:rsid w:val="006303EB"/>
    <w:rsid w:val="00630654"/>
    <w:rsid w:val="00630660"/>
    <w:rsid w:val="00630680"/>
    <w:rsid w:val="006308F9"/>
    <w:rsid w:val="00630988"/>
    <w:rsid w:val="00630A23"/>
    <w:rsid w:val="00630A51"/>
    <w:rsid w:val="00630AC6"/>
    <w:rsid w:val="00630BB5"/>
    <w:rsid w:val="00630BE1"/>
    <w:rsid w:val="00630D3E"/>
    <w:rsid w:val="00630F31"/>
    <w:rsid w:val="00631148"/>
    <w:rsid w:val="0063126E"/>
    <w:rsid w:val="00631337"/>
    <w:rsid w:val="006313C0"/>
    <w:rsid w:val="006313F1"/>
    <w:rsid w:val="00631403"/>
    <w:rsid w:val="00631476"/>
    <w:rsid w:val="0063147B"/>
    <w:rsid w:val="00631534"/>
    <w:rsid w:val="006316AD"/>
    <w:rsid w:val="006316E5"/>
    <w:rsid w:val="00631805"/>
    <w:rsid w:val="006318BB"/>
    <w:rsid w:val="00631929"/>
    <w:rsid w:val="0063195C"/>
    <w:rsid w:val="00631A9A"/>
    <w:rsid w:val="00631CD3"/>
    <w:rsid w:val="00631EBC"/>
    <w:rsid w:val="00631EC1"/>
    <w:rsid w:val="00632152"/>
    <w:rsid w:val="0063232C"/>
    <w:rsid w:val="006324B5"/>
    <w:rsid w:val="006324FF"/>
    <w:rsid w:val="0063256F"/>
    <w:rsid w:val="006325BF"/>
    <w:rsid w:val="00632656"/>
    <w:rsid w:val="0063271C"/>
    <w:rsid w:val="006327C7"/>
    <w:rsid w:val="006327F9"/>
    <w:rsid w:val="00632942"/>
    <w:rsid w:val="00632A40"/>
    <w:rsid w:val="00632AA4"/>
    <w:rsid w:val="00632BAC"/>
    <w:rsid w:val="00632C17"/>
    <w:rsid w:val="00632C9B"/>
    <w:rsid w:val="00632CD8"/>
    <w:rsid w:val="00632DFA"/>
    <w:rsid w:val="00632EE9"/>
    <w:rsid w:val="00632F75"/>
    <w:rsid w:val="00632FBF"/>
    <w:rsid w:val="006330AC"/>
    <w:rsid w:val="006330EE"/>
    <w:rsid w:val="006333A5"/>
    <w:rsid w:val="006334DA"/>
    <w:rsid w:val="006334E3"/>
    <w:rsid w:val="006334ED"/>
    <w:rsid w:val="00633562"/>
    <w:rsid w:val="00633648"/>
    <w:rsid w:val="00633931"/>
    <w:rsid w:val="00633A8C"/>
    <w:rsid w:val="00633B0A"/>
    <w:rsid w:val="00633BAF"/>
    <w:rsid w:val="00633C02"/>
    <w:rsid w:val="00633CB3"/>
    <w:rsid w:val="00633E89"/>
    <w:rsid w:val="006340B1"/>
    <w:rsid w:val="00634171"/>
    <w:rsid w:val="00634422"/>
    <w:rsid w:val="00634641"/>
    <w:rsid w:val="00634697"/>
    <w:rsid w:val="006347A5"/>
    <w:rsid w:val="006347F8"/>
    <w:rsid w:val="00634943"/>
    <w:rsid w:val="00634BC9"/>
    <w:rsid w:val="00634CE9"/>
    <w:rsid w:val="00634D98"/>
    <w:rsid w:val="00634DDE"/>
    <w:rsid w:val="00634E1F"/>
    <w:rsid w:val="00634ECA"/>
    <w:rsid w:val="006350B7"/>
    <w:rsid w:val="006353FB"/>
    <w:rsid w:val="00635470"/>
    <w:rsid w:val="00635660"/>
    <w:rsid w:val="0063591F"/>
    <w:rsid w:val="00635983"/>
    <w:rsid w:val="00635C77"/>
    <w:rsid w:val="00635CB4"/>
    <w:rsid w:val="00635D47"/>
    <w:rsid w:val="00635E9F"/>
    <w:rsid w:val="00636201"/>
    <w:rsid w:val="006363EA"/>
    <w:rsid w:val="006364CC"/>
    <w:rsid w:val="00636A2F"/>
    <w:rsid w:val="00636A99"/>
    <w:rsid w:val="00636B72"/>
    <w:rsid w:val="00636D09"/>
    <w:rsid w:val="00636D22"/>
    <w:rsid w:val="00636E76"/>
    <w:rsid w:val="00636F55"/>
    <w:rsid w:val="00636FA4"/>
    <w:rsid w:val="00637127"/>
    <w:rsid w:val="00637162"/>
    <w:rsid w:val="006371A7"/>
    <w:rsid w:val="006372A8"/>
    <w:rsid w:val="0063746D"/>
    <w:rsid w:val="00637555"/>
    <w:rsid w:val="00637628"/>
    <w:rsid w:val="00637660"/>
    <w:rsid w:val="00637878"/>
    <w:rsid w:val="0063798D"/>
    <w:rsid w:val="00637A53"/>
    <w:rsid w:val="00637F37"/>
    <w:rsid w:val="00640254"/>
    <w:rsid w:val="006402FD"/>
    <w:rsid w:val="0064036B"/>
    <w:rsid w:val="006404D8"/>
    <w:rsid w:val="00640655"/>
    <w:rsid w:val="00640A89"/>
    <w:rsid w:val="00640A97"/>
    <w:rsid w:val="00640B8E"/>
    <w:rsid w:val="00640BE7"/>
    <w:rsid w:val="00640C17"/>
    <w:rsid w:val="00640D6E"/>
    <w:rsid w:val="00640F05"/>
    <w:rsid w:val="00641226"/>
    <w:rsid w:val="006413C5"/>
    <w:rsid w:val="0064153B"/>
    <w:rsid w:val="00641543"/>
    <w:rsid w:val="0064154F"/>
    <w:rsid w:val="00641819"/>
    <w:rsid w:val="006418DC"/>
    <w:rsid w:val="00641932"/>
    <w:rsid w:val="00641994"/>
    <w:rsid w:val="00641A39"/>
    <w:rsid w:val="00641A71"/>
    <w:rsid w:val="00641B69"/>
    <w:rsid w:val="00641BE3"/>
    <w:rsid w:val="00641D83"/>
    <w:rsid w:val="00641DFD"/>
    <w:rsid w:val="0064211C"/>
    <w:rsid w:val="006421D8"/>
    <w:rsid w:val="00642368"/>
    <w:rsid w:val="0064241F"/>
    <w:rsid w:val="00642433"/>
    <w:rsid w:val="00642570"/>
    <w:rsid w:val="00642651"/>
    <w:rsid w:val="006426BF"/>
    <w:rsid w:val="00642765"/>
    <w:rsid w:val="00642801"/>
    <w:rsid w:val="0064282F"/>
    <w:rsid w:val="0064289D"/>
    <w:rsid w:val="00642A08"/>
    <w:rsid w:val="00642A6F"/>
    <w:rsid w:val="00642AF8"/>
    <w:rsid w:val="00642B3D"/>
    <w:rsid w:val="00642B91"/>
    <w:rsid w:val="00642C46"/>
    <w:rsid w:val="00642C96"/>
    <w:rsid w:val="00642D19"/>
    <w:rsid w:val="00642E33"/>
    <w:rsid w:val="00642EAC"/>
    <w:rsid w:val="00642EF8"/>
    <w:rsid w:val="0064318C"/>
    <w:rsid w:val="006432D8"/>
    <w:rsid w:val="006432E6"/>
    <w:rsid w:val="00643617"/>
    <w:rsid w:val="006436C4"/>
    <w:rsid w:val="00643984"/>
    <w:rsid w:val="006439C1"/>
    <w:rsid w:val="00643A6D"/>
    <w:rsid w:val="00643BDD"/>
    <w:rsid w:val="00643D63"/>
    <w:rsid w:val="00644084"/>
    <w:rsid w:val="006445D8"/>
    <w:rsid w:val="00644699"/>
    <w:rsid w:val="00644949"/>
    <w:rsid w:val="00644990"/>
    <w:rsid w:val="00644BF1"/>
    <w:rsid w:val="00644D42"/>
    <w:rsid w:val="00644F46"/>
    <w:rsid w:val="00644F7C"/>
    <w:rsid w:val="00645001"/>
    <w:rsid w:val="00645036"/>
    <w:rsid w:val="006451B9"/>
    <w:rsid w:val="006452F2"/>
    <w:rsid w:val="0064530D"/>
    <w:rsid w:val="006454E5"/>
    <w:rsid w:val="006455BA"/>
    <w:rsid w:val="0064561E"/>
    <w:rsid w:val="00645842"/>
    <w:rsid w:val="006458A3"/>
    <w:rsid w:val="0064595F"/>
    <w:rsid w:val="00645B58"/>
    <w:rsid w:val="00645EE5"/>
    <w:rsid w:val="006460FF"/>
    <w:rsid w:val="00646296"/>
    <w:rsid w:val="00646423"/>
    <w:rsid w:val="00646596"/>
    <w:rsid w:val="00646646"/>
    <w:rsid w:val="006467BD"/>
    <w:rsid w:val="00646887"/>
    <w:rsid w:val="00646958"/>
    <w:rsid w:val="006469C9"/>
    <w:rsid w:val="00646A21"/>
    <w:rsid w:val="00646A3C"/>
    <w:rsid w:val="00646A69"/>
    <w:rsid w:val="00646B5C"/>
    <w:rsid w:val="00646BF9"/>
    <w:rsid w:val="00646E56"/>
    <w:rsid w:val="00646EA5"/>
    <w:rsid w:val="00646EA7"/>
    <w:rsid w:val="00646EC1"/>
    <w:rsid w:val="00646ED4"/>
    <w:rsid w:val="006470CC"/>
    <w:rsid w:val="006474D1"/>
    <w:rsid w:val="00647548"/>
    <w:rsid w:val="0064758A"/>
    <w:rsid w:val="00647876"/>
    <w:rsid w:val="00647929"/>
    <w:rsid w:val="006479F1"/>
    <w:rsid w:val="00647BC9"/>
    <w:rsid w:val="00647C54"/>
    <w:rsid w:val="00647D3B"/>
    <w:rsid w:val="00650265"/>
    <w:rsid w:val="006502C4"/>
    <w:rsid w:val="006503EB"/>
    <w:rsid w:val="006503ED"/>
    <w:rsid w:val="00650506"/>
    <w:rsid w:val="00650733"/>
    <w:rsid w:val="006507B5"/>
    <w:rsid w:val="006507DC"/>
    <w:rsid w:val="006508A5"/>
    <w:rsid w:val="00650A82"/>
    <w:rsid w:val="00650B51"/>
    <w:rsid w:val="00650C00"/>
    <w:rsid w:val="00650D3F"/>
    <w:rsid w:val="00650E99"/>
    <w:rsid w:val="00650EA8"/>
    <w:rsid w:val="00650EC3"/>
    <w:rsid w:val="00651053"/>
    <w:rsid w:val="006511A5"/>
    <w:rsid w:val="0065127B"/>
    <w:rsid w:val="0065152E"/>
    <w:rsid w:val="006515CA"/>
    <w:rsid w:val="0065162E"/>
    <w:rsid w:val="00651F71"/>
    <w:rsid w:val="006520B0"/>
    <w:rsid w:val="006520C3"/>
    <w:rsid w:val="0065218D"/>
    <w:rsid w:val="006522B5"/>
    <w:rsid w:val="006522D2"/>
    <w:rsid w:val="006522FA"/>
    <w:rsid w:val="006527FF"/>
    <w:rsid w:val="00652821"/>
    <w:rsid w:val="00652A31"/>
    <w:rsid w:val="00652A90"/>
    <w:rsid w:val="00652B65"/>
    <w:rsid w:val="00652C36"/>
    <w:rsid w:val="00652C70"/>
    <w:rsid w:val="00652D6A"/>
    <w:rsid w:val="00652F26"/>
    <w:rsid w:val="00653321"/>
    <w:rsid w:val="00653335"/>
    <w:rsid w:val="0065360E"/>
    <w:rsid w:val="006537E5"/>
    <w:rsid w:val="0065385E"/>
    <w:rsid w:val="0065388B"/>
    <w:rsid w:val="006538A6"/>
    <w:rsid w:val="006538E3"/>
    <w:rsid w:val="00653978"/>
    <w:rsid w:val="00653A2E"/>
    <w:rsid w:val="00653B22"/>
    <w:rsid w:val="00653B7E"/>
    <w:rsid w:val="00653BFB"/>
    <w:rsid w:val="00653C5D"/>
    <w:rsid w:val="00653F5C"/>
    <w:rsid w:val="0065401C"/>
    <w:rsid w:val="00654045"/>
    <w:rsid w:val="0065405F"/>
    <w:rsid w:val="00654212"/>
    <w:rsid w:val="00654277"/>
    <w:rsid w:val="0065465B"/>
    <w:rsid w:val="00654766"/>
    <w:rsid w:val="00654BC2"/>
    <w:rsid w:val="00654E5A"/>
    <w:rsid w:val="00654EF7"/>
    <w:rsid w:val="00654F0E"/>
    <w:rsid w:val="0065516B"/>
    <w:rsid w:val="00655212"/>
    <w:rsid w:val="0065524C"/>
    <w:rsid w:val="00655457"/>
    <w:rsid w:val="00655496"/>
    <w:rsid w:val="006554B1"/>
    <w:rsid w:val="0065552F"/>
    <w:rsid w:val="00655578"/>
    <w:rsid w:val="0065557A"/>
    <w:rsid w:val="0065558C"/>
    <w:rsid w:val="006556D9"/>
    <w:rsid w:val="00655760"/>
    <w:rsid w:val="0065586E"/>
    <w:rsid w:val="0065597A"/>
    <w:rsid w:val="006559E1"/>
    <w:rsid w:val="00655A4E"/>
    <w:rsid w:val="00655A96"/>
    <w:rsid w:val="00655AF3"/>
    <w:rsid w:val="00655B80"/>
    <w:rsid w:val="00655BF9"/>
    <w:rsid w:val="00655F90"/>
    <w:rsid w:val="00655F96"/>
    <w:rsid w:val="006560E3"/>
    <w:rsid w:val="0065630D"/>
    <w:rsid w:val="0065649A"/>
    <w:rsid w:val="006565F7"/>
    <w:rsid w:val="00656698"/>
    <w:rsid w:val="006566E2"/>
    <w:rsid w:val="00656AC7"/>
    <w:rsid w:val="00656D84"/>
    <w:rsid w:val="00656EEA"/>
    <w:rsid w:val="00656FEA"/>
    <w:rsid w:val="00657352"/>
    <w:rsid w:val="006573B9"/>
    <w:rsid w:val="006575DB"/>
    <w:rsid w:val="00657612"/>
    <w:rsid w:val="006576A1"/>
    <w:rsid w:val="006577B2"/>
    <w:rsid w:val="0065798D"/>
    <w:rsid w:val="00657ADD"/>
    <w:rsid w:val="00657E54"/>
    <w:rsid w:val="00657E9A"/>
    <w:rsid w:val="00657FB2"/>
    <w:rsid w:val="0066003D"/>
    <w:rsid w:val="0066006A"/>
    <w:rsid w:val="0066010C"/>
    <w:rsid w:val="006601DA"/>
    <w:rsid w:val="00660286"/>
    <w:rsid w:val="00660317"/>
    <w:rsid w:val="006604DD"/>
    <w:rsid w:val="006607AB"/>
    <w:rsid w:val="00660A8A"/>
    <w:rsid w:val="00660A98"/>
    <w:rsid w:val="00660B4C"/>
    <w:rsid w:val="0066114D"/>
    <w:rsid w:val="006612DC"/>
    <w:rsid w:val="0066132B"/>
    <w:rsid w:val="0066141B"/>
    <w:rsid w:val="0066150C"/>
    <w:rsid w:val="00661569"/>
    <w:rsid w:val="006617B8"/>
    <w:rsid w:val="00661818"/>
    <w:rsid w:val="00661879"/>
    <w:rsid w:val="00661947"/>
    <w:rsid w:val="0066198D"/>
    <w:rsid w:val="00661B68"/>
    <w:rsid w:val="00661D8B"/>
    <w:rsid w:val="00661E03"/>
    <w:rsid w:val="00662027"/>
    <w:rsid w:val="00662128"/>
    <w:rsid w:val="006621B2"/>
    <w:rsid w:val="0066229A"/>
    <w:rsid w:val="00662450"/>
    <w:rsid w:val="006624FB"/>
    <w:rsid w:val="006625E6"/>
    <w:rsid w:val="006626A3"/>
    <w:rsid w:val="00662830"/>
    <w:rsid w:val="0066284F"/>
    <w:rsid w:val="006628E9"/>
    <w:rsid w:val="0066293D"/>
    <w:rsid w:val="00662944"/>
    <w:rsid w:val="006629AA"/>
    <w:rsid w:val="00662A46"/>
    <w:rsid w:val="00662A73"/>
    <w:rsid w:val="00662C92"/>
    <w:rsid w:val="00662F99"/>
    <w:rsid w:val="0066328F"/>
    <w:rsid w:val="00663294"/>
    <w:rsid w:val="006632B6"/>
    <w:rsid w:val="0066335B"/>
    <w:rsid w:val="00663369"/>
    <w:rsid w:val="00663430"/>
    <w:rsid w:val="006634BD"/>
    <w:rsid w:val="0066360C"/>
    <w:rsid w:val="00663731"/>
    <w:rsid w:val="00663766"/>
    <w:rsid w:val="00663AD8"/>
    <w:rsid w:val="006641CC"/>
    <w:rsid w:val="006643CA"/>
    <w:rsid w:val="00664449"/>
    <w:rsid w:val="00664499"/>
    <w:rsid w:val="006646F3"/>
    <w:rsid w:val="00664806"/>
    <w:rsid w:val="006648AC"/>
    <w:rsid w:val="006648C7"/>
    <w:rsid w:val="00664981"/>
    <w:rsid w:val="00664AC0"/>
    <w:rsid w:val="00664B2E"/>
    <w:rsid w:val="00664BEF"/>
    <w:rsid w:val="00664C80"/>
    <w:rsid w:val="00664CB9"/>
    <w:rsid w:val="00664D7F"/>
    <w:rsid w:val="00664EB4"/>
    <w:rsid w:val="00664EF5"/>
    <w:rsid w:val="0066509E"/>
    <w:rsid w:val="006650EC"/>
    <w:rsid w:val="0066515F"/>
    <w:rsid w:val="00665285"/>
    <w:rsid w:val="0066545E"/>
    <w:rsid w:val="0066553A"/>
    <w:rsid w:val="0066574E"/>
    <w:rsid w:val="006657BF"/>
    <w:rsid w:val="006658EE"/>
    <w:rsid w:val="00665943"/>
    <w:rsid w:val="00665C59"/>
    <w:rsid w:val="00665CCA"/>
    <w:rsid w:val="00665CF1"/>
    <w:rsid w:val="00665F29"/>
    <w:rsid w:val="00665FE6"/>
    <w:rsid w:val="00666258"/>
    <w:rsid w:val="0066627E"/>
    <w:rsid w:val="0066637A"/>
    <w:rsid w:val="006666B9"/>
    <w:rsid w:val="006666F8"/>
    <w:rsid w:val="00666719"/>
    <w:rsid w:val="00666910"/>
    <w:rsid w:val="00666917"/>
    <w:rsid w:val="00666929"/>
    <w:rsid w:val="00666952"/>
    <w:rsid w:val="00666C5F"/>
    <w:rsid w:val="00666D21"/>
    <w:rsid w:val="00666D3F"/>
    <w:rsid w:val="00666FE7"/>
    <w:rsid w:val="006670A0"/>
    <w:rsid w:val="00667182"/>
    <w:rsid w:val="0066725E"/>
    <w:rsid w:val="006672BB"/>
    <w:rsid w:val="00667344"/>
    <w:rsid w:val="00667457"/>
    <w:rsid w:val="0066751A"/>
    <w:rsid w:val="006677A6"/>
    <w:rsid w:val="00667850"/>
    <w:rsid w:val="00667C01"/>
    <w:rsid w:val="00667E0B"/>
    <w:rsid w:val="006701C9"/>
    <w:rsid w:val="006703D4"/>
    <w:rsid w:val="006704EC"/>
    <w:rsid w:val="0067081D"/>
    <w:rsid w:val="006708F2"/>
    <w:rsid w:val="00670B37"/>
    <w:rsid w:val="00670B74"/>
    <w:rsid w:val="00670DDD"/>
    <w:rsid w:val="00670DFB"/>
    <w:rsid w:val="00670E3F"/>
    <w:rsid w:val="00670F24"/>
    <w:rsid w:val="00670FD5"/>
    <w:rsid w:val="00671086"/>
    <w:rsid w:val="0067114C"/>
    <w:rsid w:val="00671251"/>
    <w:rsid w:val="0067130B"/>
    <w:rsid w:val="006713CB"/>
    <w:rsid w:val="00671487"/>
    <w:rsid w:val="00671614"/>
    <w:rsid w:val="0067163D"/>
    <w:rsid w:val="006718FC"/>
    <w:rsid w:val="006719BF"/>
    <w:rsid w:val="00671C7F"/>
    <w:rsid w:val="00671FC6"/>
    <w:rsid w:val="006721BC"/>
    <w:rsid w:val="00672458"/>
    <w:rsid w:val="00672573"/>
    <w:rsid w:val="006726C2"/>
    <w:rsid w:val="006727B8"/>
    <w:rsid w:val="006729B9"/>
    <w:rsid w:val="00672A0D"/>
    <w:rsid w:val="00672A5E"/>
    <w:rsid w:val="00672C52"/>
    <w:rsid w:val="00672CA7"/>
    <w:rsid w:val="00673223"/>
    <w:rsid w:val="0067347D"/>
    <w:rsid w:val="006734B2"/>
    <w:rsid w:val="006734E9"/>
    <w:rsid w:val="006737E5"/>
    <w:rsid w:val="00673C43"/>
    <w:rsid w:val="00673C7B"/>
    <w:rsid w:val="00673D71"/>
    <w:rsid w:val="00673DCE"/>
    <w:rsid w:val="00673F02"/>
    <w:rsid w:val="00673F14"/>
    <w:rsid w:val="00673F4E"/>
    <w:rsid w:val="00673F6A"/>
    <w:rsid w:val="00673F81"/>
    <w:rsid w:val="00673FCE"/>
    <w:rsid w:val="00673FF5"/>
    <w:rsid w:val="006740DD"/>
    <w:rsid w:val="00674114"/>
    <w:rsid w:val="00674115"/>
    <w:rsid w:val="00674278"/>
    <w:rsid w:val="00674295"/>
    <w:rsid w:val="006742C9"/>
    <w:rsid w:val="006744BD"/>
    <w:rsid w:val="0067477A"/>
    <w:rsid w:val="006748A6"/>
    <w:rsid w:val="006748F5"/>
    <w:rsid w:val="0067497A"/>
    <w:rsid w:val="00674A9F"/>
    <w:rsid w:val="00674CA8"/>
    <w:rsid w:val="00674E44"/>
    <w:rsid w:val="00674F1C"/>
    <w:rsid w:val="00674F2B"/>
    <w:rsid w:val="00674FE9"/>
    <w:rsid w:val="00675005"/>
    <w:rsid w:val="00675178"/>
    <w:rsid w:val="0067518C"/>
    <w:rsid w:val="00675294"/>
    <w:rsid w:val="006753C0"/>
    <w:rsid w:val="006754CC"/>
    <w:rsid w:val="00675596"/>
    <w:rsid w:val="006755D3"/>
    <w:rsid w:val="00675624"/>
    <w:rsid w:val="0067566A"/>
    <w:rsid w:val="00675888"/>
    <w:rsid w:val="006758F3"/>
    <w:rsid w:val="00675BEE"/>
    <w:rsid w:val="00675CB5"/>
    <w:rsid w:val="00675D96"/>
    <w:rsid w:val="00675F8A"/>
    <w:rsid w:val="0067602B"/>
    <w:rsid w:val="006760A8"/>
    <w:rsid w:val="006761C7"/>
    <w:rsid w:val="006762E3"/>
    <w:rsid w:val="0067632A"/>
    <w:rsid w:val="0067632B"/>
    <w:rsid w:val="0067642E"/>
    <w:rsid w:val="00676476"/>
    <w:rsid w:val="00676615"/>
    <w:rsid w:val="00676B9B"/>
    <w:rsid w:val="00676C7F"/>
    <w:rsid w:val="00676F00"/>
    <w:rsid w:val="00677181"/>
    <w:rsid w:val="00677292"/>
    <w:rsid w:val="00677339"/>
    <w:rsid w:val="00677388"/>
    <w:rsid w:val="00677498"/>
    <w:rsid w:val="006776B5"/>
    <w:rsid w:val="00677772"/>
    <w:rsid w:val="00677775"/>
    <w:rsid w:val="00677876"/>
    <w:rsid w:val="00677CBA"/>
    <w:rsid w:val="00680140"/>
    <w:rsid w:val="006801E1"/>
    <w:rsid w:val="00680327"/>
    <w:rsid w:val="006803F8"/>
    <w:rsid w:val="00680412"/>
    <w:rsid w:val="00680624"/>
    <w:rsid w:val="00680939"/>
    <w:rsid w:val="00680A52"/>
    <w:rsid w:val="00680A5D"/>
    <w:rsid w:val="00680B17"/>
    <w:rsid w:val="00680B65"/>
    <w:rsid w:val="00680F8F"/>
    <w:rsid w:val="00680FD9"/>
    <w:rsid w:val="00680FEA"/>
    <w:rsid w:val="00681001"/>
    <w:rsid w:val="00681099"/>
    <w:rsid w:val="00681162"/>
    <w:rsid w:val="00681165"/>
    <w:rsid w:val="006811FE"/>
    <w:rsid w:val="0068126D"/>
    <w:rsid w:val="006815B7"/>
    <w:rsid w:val="0068165C"/>
    <w:rsid w:val="00681687"/>
    <w:rsid w:val="006816B7"/>
    <w:rsid w:val="006816D1"/>
    <w:rsid w:val="006818D9"/>
    <w:rsid w:val="00681A46"/>
    <w:rsid w:val="00681AFB"/>
    <w:rsid w:val="00681B0D"/>
    <w:rsid w:val="00681B74"/>
    <w:rsid w:val="00681E29"/>
    <w:rsid w:val="006820C9"/>
    <w:rsid w:val="006823D1"/>
    <w:rsid w:val="006824D9"/>
    <w:rsid w:val="00682506"/>
    <w:rsid w:val="00682719"/>
    <w:rsid w:val="00682723"/>
    <w:rsid w:val="00682996"/>
    <w:rsid w:val="006829D1"/>
    <w:rsid w:val="00682AFA"/>
    <w:rsid w:val="00682BF1"/>
    <w:rsid w:val="00682C18"/>
    <w:rsid w:val="00682CAC"/>
    <w:rsid w:val="00682E02"/>
    <w:rsid w:val="00682E2D"/>
    <w:rsid w:val="00682E73"/>
    <w:rsid w:val="0068303D"/>
    <w:rsid w:val="00683072"/>
    <w:rsid w:val="00683099"/>
    <w:rsid w:val="00683107"/>
    <w:rsid w:val="00683319"/>
    <w:rsid w:val="00683389"/>
    <w:rsid w:val="006833E7"/>
    <w:rsid w:val="00683443"/>
    <w:rsid w:val="00683456"/>
    <w:rsid w:val="006834A1"/>
    <w:rsid w:val="00683539"/>
    <w:rsid w:val="006835D4"/>
    <w:rsid w:val="00683642"/>
    <w:rsid w:val="006838BA"/>
    <w:rsid w:val="00683B6D"/>
    <w:rsid w:val="00683CB0"/>
    <w:rsid w:val="00683D66"/>
    <w:rsid w:val="00683F48"/>
    <w:rsid w:val="00684007"/>
    <w:rsid w:val="0068402D"/>
    <w:rsid w:val="006840F6"/>
    <w:rsid w:val="0068410B"/>
    <w:rsid w:val="00684150"/>
    <w:rsid w:val="0068423A"/>
    <w:rsid w:val="006842C6"/>
    <w:rsid w:val="00684520"/>
    <w:rsid w:val="0068458E"/>
    <w:rsid w:val="006847CA"/>
    <w:rsid w:val="006847E2"/>
    <w:rsid w:val="0068481F"/>
    <w:rsid w:val="00684873"/>
    <w:rsid w:val="00684974"/>
    <w:rsid w:val="006849C4"/>
    <w:rsid w:val="00684C22"/>
    <w:rsid w:val="00684D0E"/>
    <w:rsid w:val="00684D46"/>
    <w:rsid w:val="00684D9C"/>
    <w:rsid w:val="00684ED4"/>
    <w:rsid w:val="00684F91"/>
    <w:rsid w:val="00684FD7"/>
    <w:rsid w:val="006850F6"/>
    <w:rsid w:val="00685117"/>
    <w:rsid w:val="00685514"/>
    <w:rsid w:val="006855B1"/>
    <w:rsid w:val="006855E3"/>
    <w:rsid w:val="00685879"/>
    <w:rsid w:val="0068588D"/>
    <w:rsid w:val="00685A88"/>
    <w:rsid w:val="00685B28"/>
    <w:rsid w:val="00685C33"/>
    <w:rsid w:val="00685D24"/>
    <w:rsid w:val="00685D3C"/>
    <w:rsid w:val="00685D74"/>
    <w:rsid w:val="00685DD2"/>
    <w:rsid w:val="00685DE5"/>
    <w:rsid w:val="00685F08"/>
    <w:rsid w:val="00686054"/>
    <w:rsid w:val="0068608C"/>
    <w:rsid w:val="006860AC"/>
    <w:rsid w:val="006860DC"/>
    <w:rsid w:val="006861FF"/>
    <w:rsid w:val="006866AA"/>
    <w:rsid w:val="006867FD"/>
    <w:rsid w:val="00686844"/>
    <w:rsid w:val="00686A54"/>
    <w:rsid w:val="00686B12"/>
    <w:rsid w:val="00686B7D"/>
    <w:rsid w:val="00686B8A"/>
    <w:rsid w:val="00686BD8"/>
    <w:rsid w:val="00686C7C"/>
    <w:rsid w:val="00686D87"/>
    <w:rsid w:val="00686DB8"/>
    <w:rsid w:val="00686DE2"/>
    <w:rsid w:val="00686E8C"/>
    <w:rsid w:val="006870DC"/>
    <w:rsid w:val="00687117"/>
    <w:rsid w:val="00687217"/>
    <w:rsid w:val="0068731D"/>
    <w:rsid w:val="00687368"/>
    <w:rsid w:val="00687636"/>
    <w:rsid w:val="006876D1"/>
    <w:rsid w:val="00687858"/>
    <w:rsid w:val="00687863"/>
    <w:rsid w:val="00687CE2"/>
    <w:rsid w:val="00687DCF"/>
    <w:rsid w:val="00687DD9"/>
    <w:rsid w:val="00687F20"/>
    <w:rsid w:val="00687F76"/>
    <w:rsid w:val="00687FBB"/>
    <w:rsid w:val="006902E8"/>
    <w:rsid w:val="00690308"/>
    <w:rsid w:val="00690340"/>
    <w:rsid w:val="006903C5"/>
    <w:rsid w:val="006904BE"/>
    <w:rsid w:val="006904F4"/>
    <w:rsid w:val="006905A2"/>
    <w:rsid w:val="00690681"/>
    <w:rsid w:val="00690833"/>
    <w:rsid w:val="0069093E"/>
    <w:rsid w:val="00690975"/>
    <w:rsid w:val="00690EC6"/>
    <w:rsid w:val="006910D8"/>
    <w:rsid w:val="0069113F"/>
    <w:rsid w:val="006913E6"/>
    <w:rsid w:val="00691498"/>
    <w:rsid w:val="006915CD"/>
    <w:rsid w:val="006915DA"/>
    <w:rsid w:val="0069167C"/>
    <w:rsid w:val="006917A1"/>
    <w:rsid w:val="006918DA"/>
    <w:rsid w:val="00691A64"/>
    <w:rsid w:val="00691B8E"/>
    <w:rsid w:val="00691C12"/>
    <w:rsid w:val="00691D27"/>
    <w:rsid w:val="00691D68"/>
    <w:rsid w:val="00691E93"/>
    <w:rsid w:val="00691F3E"/>
    <w:rsid w:val="00692057"/>
    <w:rsid w:val="0069218F"/>
    <w:rsid w:val="006923D4"/>
    <w:rsid w:val="00692676"/>
    <w:rsid w:val="00692744"/>
    <w:rsid w:val="006927F0"/>
    <w:rsid w:val="00692893"/>
    <w:rsid w:val="00692927"/>
    <w:rsid w:val="006929B7"/>
    <w:rsid w:val="00692A17"/>
    <w:rsid w:val="00692ACC"/>
    <w:rsid w:val="00692CC8"/>
    <w:rsid w:val="00692D88"/>
    <w:rsid w:val="00692EEC"/>
    <w:rsid w:val="00692F44"/>
    <w:rsid w:val="00692F96"/>
    <w:rsid w:val="00693254"/>
    <w:rsid w:val="0069328E"/>
    <w:rsid w:val="0069329D"/>
    <w:rsid w:val="006932BB"/>
    <w:rsid w:val="006933A3"/>
    <w:rsid w:val="006937DB"/>
    <w:rsid w:val="00693B47"/>
    <w:rsid w:val="00693DCE"/>
    <w:rsid w:val="00693DE4"/>
    <w:rsid w:val="00693E73"/>
    <w:rsid w:val="00693F88"/>
    <w:rsid w:val="00693F95"/>
    <w:rsid w:val="00694070"/>
    <w:rsid w:val="0069414E"/>
    <w:rsid w:val="0069424C"/>
    <w:rsid w:val="006942F6"/>
    <w:rsid w:val="006943BF"/>
    <w:rsid w:val="006943D2"/>
    <w:rsid w:val="0069447D"/>
    <w:rsid w:val="006944E1"/>
    <w:rsid w:val="0069461F"/>
    <w:rsid w:val="00694702"/>
    <w:rsid w:val="006948E7"/>
    <w:rsid w:val="0069493B"/>
    <w:rsid w:val="006949F7"/>
    <w:rsid w:val="00694A47"/>
    <w:rsid w:val="00694A66"/>
    <w:rsid w:val="00694C22"/>
    <w:rsid w:val="00694C3F"/>
    <w:rsid w:val="00694DE3"/>
    <w:rsid w:val="006950F0"/>
    <w:rsid w:val="006950FC"/>
    <w:rsid w:val="0069528E"/>
    <w:rsid w:val="00695648"/>
    <w:rsid w:val="006956DE"/>
    <w:rsid w:val="006958B4"/>
    <w:rsid w:val="006959BE"/>
    <w:rsid w:val="00695A5C"/>
    <w:rsid w:val="00695E7E"/>
    <w:rsid w:val="00695F91"/>
    <w:rsid w:val="00696297"/>
    <w:rsid w:val="006964A6"/>
    <w:rsid w:val="00696523"/>
    <w:rsid w:val="006966E7"/>
    <w:rsid w:val="006966F6"/>
    <w:rsid w:val="00696915"/>
    <w:rsid w:val="006969B9"/>
    <w:rsid w:val="00696A79"/>
    <w:rsid w:val="00696C70"/>
    <w:rsid w:val="00696D08"/>
    <w:rsid w:val="00696D1A"/>
    <w:rsid w:val="00696D32"/>
    <w:rsid w:val="00696F88"/>
    <w:rsid w:val="006970DF"/>
    <w:rsid w:val="00697893"/>
    <w:rsid w:val="006978F8"/>
    <w:rsid w:val="00697992"/>
    <w:rsid w:val="00697C10"/>
    <w:rsid w:val="00697D7C"/>
    <w:rsid w:val="00697DFB"/>
    <w:rsid w:val="006A0249"/>
    <w:rsid w:val="006A03CE"/>
    <w:rsid w:val="006A0465"/>
    <w:rsid w:val="006A0925"/>
    <w:rsid w:val="006A0977"/>
    <w:rsid w:val="006A0A52"/>
    <w:rsid w:val="006A0B21"/>
    <w:rsid w:val="006A0DA1"/>
    <w:rsid w:val="006A0E27"/>
    <w:rsid w:val="006A0EE8"/>
    <w:rsid w:val="006A1142"/>
    <w:rsid w:val="006A1447"/>
    <w:rsid w:val="006A152C"/>
    <w:rsid w:val="006A16AB"/>
    <w:rsid w:val="006A16C3"/>
    <w:rsid w:val="006A1E91"/>
    <w:rsid w:val="006A1F4D"/>
    <w:rsid w:val="006A1FDA"/>
    <w:rsid w:val="006A2301"/>
    <w:rsid w:val="006A230D"/>
    <w:rsid w:val="006A240C"/>
    <w:rsid w:val="006A24AA"/>
    <w:rsid w:val="006A2531"/>
    <w:rsid w:val="006A25FE"/>
    <w:rsid w:val="006A2792"/>
    <w:rsid w:val="006A2A21"/>
    <w:rsid w:val="006A2A9F"/>
    <w:rsid w:val="006A2F04"/>
    <w:rsid w:val="006A2FAC"/>
    <w:rsid w:val="006A2FB9"/>
    <w:rsid w:val="006A3046"/>
    <w:rsid w:val="006A32D7"/>
    <w:rsid w:val="006A3325"/>
    <w:rsid w:val="006A33E1"/>
    <w:rsid w:val="006A345C"/>
    <w:rsid w:val="006A348B"/>
    <w:rsid w:val="006A34A2"/>
    <w:rsid w:val="006A359D"/>
    <w:rsid w:val="006A37F6"/>
    <w:rsid w:val="006A38F0"/>
    <w:rsid w:val="006A39F8"/>
    <w:rsid w:val="006A3B3B"/>
    <w:rsid w:val="006A3D0D"/>
    <w:rsid w:val="006A3D51"/>
    <w:rsid w:val="006A3DC0"/>
    <w:rsid w:val="006A4032"/>
    <w:rsid w:val="006A4084"/>
    <w:rsid w:val="006A413B"/>
    <w:rsid w:val="006A434A"/>
    <w:rsid w:val="006A438A"/>
    <w:rsid w:val="006A4558"/>
    <w:rsid w:val="006A4740"/>
    <w:rsid w:val="006A477A"/>
    <w:rsid w:val="006A4892"/>
    <w:rsid w:val="006A48A8"/>
    <w:rsid w:val="006A4990"/>
    <w:rsid w:val="006A4D73"/>
    <w:rsid w:val="006A4DC7"/>
    <w:rsid w:val="006A4ECE"/>
    <w:rsid w:val="006A53B0"/>
    <w:rsid w:val="006A546D"/>
    <w:rsid w:val="006A5604"/>
    <w:rsid w:val="006A5713"/>
    <w:rsid w:val="006A57E0"/>
    <w:rsid w:val="006A5956"/>
    <w:rsid w:val="006A5B53"/>
    <w:rsid w:val="006A5C54"/>
    <w:rsid w:val="006A6143"/>
    <w:rsid w:val="006A635D"/>
    <w:rsid w:val="006A6375"/>
    <w:rsid w:val="006A6567"/>
    <w:rsid w:val="006A656E"/>
    <w:rsid w:val="006A660B"/>
    <w:rsid w:val="006A664B"/>
    <w:rsid w:val="006A67F4"/>
    <w:rsid w:val="006A6AF4"/>
    <w:rsid w:val="006A6C33"/>
    <w:rsid w:val="006A6D43"/>
    <w:rsid w:val="006A6E19"/>
    <w:rsid w:val="006A6EB9"/>
    <w:rsid w:val="006A6FFE"/>
    <w:rsid w:val="006A7136"/>
    <w:rsid w:val="006A7368"/>
    <w:rsid w:val="006A7407"/>
    <w:rsid w:val="006A76D7"/>
    <w:rsid w:val="006A76DF"/>
    <w:rsid w:val="006A7751"/>
    <w:rsid w:val="006A7970"/>
    <w:rsid w:val="006A7AFE"/>
    <w:rsid w:val="006A7CF5"/>
    <w:rsid w:val="006A7E4E"/>
    <w:rsid w:val="006A7EC3"/>
    <w:rsid w:val="006A7F7F"/>
    <w:rsid w:val="006B0044"/>
    <w:rsid w:val="006B0088"/>
    <w:rsid w:val="006B0158"/>
    <w:rsid w:val="006B0315"/>
    <w:rsid w:val="006B044B"/>
    <w:rsid w:val="006B05AA"/>
    <w:rsid w:val="006B06BE"/>
    <w:rsid w:val="006B06CE"/>
    <w:rsid w:val="006B097F"/>
    <w:rsid w:val="006B09C0"/>
    <w:rsid w:val="006B09D5"/>
    <w:rsid w:val="006B09D8"/>
    <w:rsid w:val="006B0D27"/>
    <w:rsid w:val="006B0ED6"/>
    <w:rsid w:val="006B0FA9"/>
    <w:rsid w:val="006B0FB2"/>
    <w:rsid w:val="006B10CF"/>
    <w:rsid w:val="006B10D6"/>
    <w:rsid w:val="006B112A"/>
    <w:rsid w:val="006B1203"/>
    <w:rsid w:val="006B1205"/>
    <w:rsid w:val="006B12A6"/>
    <w:rsid w:val="006B137A"/>
    <w:rsid w:val="006B14B0"/>
    <w:rsid w:val="006B163F"/>
    <w:rsid w:val="006B1655"/>
    <w:rsid w:val="006B179C"/>
    <w:rsid w:val="006B1833"/>
    <w:rsid w:val="006B1B66"/>
    <w:rsid w:val="006B1D49"/>
    <w:rsid w:val="006B1D94"/>
    <w:rsid w:val="006B1DD8"/>
    <w:rsid w:val="006B2185"/>
    <w:rsid w:val="006B21A1"/>
    <w:rsid w:val="006B2489"/>
    <w:rsid w:val="006B25DE"/>
    <w:rsid w:val="006B260C"/>
    <w:rsid w:val="006B274B"/>
    <w:rsid w:val="006B2970"/>
    <w:rsid w:val="006B2B95"/>
    <w:rsid w:val="006B2BDE"/>
    <w:rsid w:val="006B2CD9"/>
    <w:rsid w:val="006B2DCA"/>
    <w:rsid w:val="006B2FEB"/>
    <w:rsid w:val="006B33C5"/>
    <w:rsid w:val="006B3405"/>
    <w:rsid w:val="006B34CA"/>
    <w:rsid w:val="006B35A5"/>
    <w:rsid w:val="006B3641"/>
    <w:rsid w:val="006B37F9"/>
    <w:rsid w:val="006B388A"/>
    <w:rsid w:val="006B389E"/>
    <w:rsid w:val="006B3903"/>
    <w:rsid w:val="006B393A"/>
    <w:rsid w:val="006B3B78"/>
    <w:rsid w:val="006B3C8C"/>
    <w:rsid w:val="006B4396"/>
    <w:rsid w:val="006B4409"/>
    <w:rsid w:val="006B465F"/>
    <w:rsid w:val="006B4DBA"/>
    <w:rsid w:val="006B4E09"/>
    <w:rsid w:val="006B4E1E"/>
    <w:rsid w:val="006B4ED6"/>
    <w:rsid w:val="006B5055"/>
    <w:rsid w:val="006B52D1"/>
    <w:rsid w:val="006B5532"/>
    <w:rsid w:val="006B591C"/>
    <w:rsid w:val="006B5C55"/>
    <w:rsid w:val="006B5E25"/>
    <w:rsid w:val="006B5F3A"/>
    <w:rsid w:val="006B6096"/>
    <w:rsid w:val="006B62E7"/>
    <w:rsid w:val="006B6490"/>
    <w:rsid w:val="006B6727"/>
    <w:rsid w:val="006B6800"/>
    <w:rsid w:val="006B6A34"/>
    <w:rsid w:val="006B6BB7"/>
    <w:rsid w:val="006B6C84"/>
    <w:rsid w:val="006B6D0C"/>
    <w:rsid w:val="006B6DC3"/>
    <w:rsid w:val="006B6E4A"/>
    <w:rsid w:val="006B6EC4"/>
    <w:rsid w:val="006B6F41"/>
    <w:rsid w:val="006B703E"/>
    <w:rsid w:val="006B7085"/>
    <w:rsid w:val="006B70AB"/>
    <w:rsid w:val="006B7146"/>
    <w:rsid w:val="006B7313"/>
    <w:rsid w:val="006B74FC"/>
    <w:rsid w:val="006B7578"/>
    <w:rsid w:val="006B75AB"/>
    <w:rsid w:val="006B7758"/>
    <w:rsid w:val="006B7823"/>
    <w:rsid w:val="006B788E"/>
    <w:rsid w:val="006B7C2D"/>
    <w:rsid w:val="006B7F0F"/>
    <w:rsid w:val="006C01FD"/>
    <w:rsid w:val="006C027F"/>
    <w:rsid w:val="006C031A"/>
    <w:rsid w:val="006C03DB"/>
    <w:rsid w:val="006C04C5"/>
    <w:rsid w:val="006C0756"/>
    <w:rsid w:val="006C07E2"/>
    <w:rsid w:val="006C087F"/>
    <w:rsid w:val="006C0C45"/>
    <w:rsid w:val="006C0D1A"/>
    <w:rsid w:val="006C10EA"/>
    <w:rsid w:val="006C112A"/>
    <w:rsid w:val="006C12E8"/>
    <w:rsid w:val="006C141D"/>
    <w:rsid w:val="006C1545"/>
    <w:rsid w:val="006C1551"/>
    <w:rsid w:val="006C16D3"/>
    <w:rsid w:val="006C1706"/>
    <w:rsid w:val="006C1A78"/>
    <w:rsid w:val="006C1E82"/>
    <w:rsid w:val="006C2031"/>
    <w:rsid w:val="006C2102"/>
    <w:rsid w:val="006C22C3"/>
    <w:rsid w:val="006C249D"/>
    <w:rsid w:val="006C24F2"/>
    <w:rsid w:val="006C27F6"/>
    <w:rsid w:val="006C2A1B"/>
    <w:rsid w:val="006C2B59"/>
    <w:rsid w:val="006C2C32"/>
    <w:rsid w:val="006C2CAC"/>
    <w:rsid w:val="006C2CBD"/>
    <w:rsid w:val="006C2CF4"/>
    <w:rsid w:val="006C2D28"/>
    <w:rsid w:val="006C2DAF"/>
    <w:rsid w:val="006C2EBA"/>
    <w:rsid w:val="006C3018"/>
    <w:rsid w:val="006C3177"/>
    <w:rsid w:val="006C3245"/>
    <w:rsid w:val="006C3287"/>
    <w:rsid w:val="006C32FC"/>
    <w:rsid w:val="006C331C"/>
    <w:rsid w:val="006C3483"/>
    <w:rsid w:val="006C3559"/>
    <w:rsid w:val="006C37D4"/>
    <w:rsid w:val="006C3803"/>
    <w:rsid w:val="006C3858"/>
    <w:rsid w:val="006C3AEA"/>
    <w:rsid w:val="006C3C87"/>
    <w:rsid w:val="006C3E9F"/>
    <w:rsid w:val="006C3EDF"/>
    <w:rsid w:val="006C3EFF"/>
    <w:rsid w:val="006C3F43"/>
    <w:rsid w:val="006C40D6"/>
    <w:rsid w:val="006C4158"/>
    <w:rsid w:val="006C41C1"/>
    <w:rsid w:val="006C41D2"/>
    <w:rsid w:val="006C4203"/>
    <w:rsid w:val="006C4582"/>
    <w:rsid w:val="006C458D"/>
    <w:rsid w:val="006C4675"/>
    <w:rsid w:val="006C46DB"/>
    <w:rsid w:val="006C4B24"/>
    <w:rsid w:val="006C4BAF"/>
    <w:rsid w:val="006C4E28"/>
    <w:rsid w:val="006C507E"/>
    <w:rsid w:val="006C517E"/>
    <w:rsid w:val="006C5184"/>
    <w:rsid w:val="006C52FA"/>
    <w:rsid w:val="006C54EA"/>
    <w:rsid w:val="006C5910"/>
    <w:rsid w:val="006C59F7"/>
    <w:rsid w:val="006C5A7E"/>
    <w:rsid w:val="006C5B7D"/>
    <w:rsid w:val="006C5E32"/>
    <w:rsid w:val="006C5F1E"/>
    <w:rsid w:val="006C5FA4"/>
    <w:rsid w:val="006C622F"/>
    <w:rsid w:val="006C63CA"/>
    <w:rsid w:val="006C648F"/>
    <w:rsid w:val="006C64B6"/>
    <w:rsid w:val="006C6586"/>
    <w:rsid w:val="006C65C9"/>
    <w:rsid w:val="006C67FB"/>
    <w:rsid w:val="006C68B7"/>
    <w:rsid w:val="006C6ACB"/>
    <w:rsid w:val="006C6BDA"/>
    <w:rsid w:val="006C6C84"/>
    <w:rsid w:val="006C6D28"/>
    <w:rsid w:val="006C6EE4"/>
    <w:rsid w:val="006C7009"/>
    <w:rsid w:val="006C715E"/>
    <w:rsid w:val="006C7255"/>
    <w:rsid w:val="006C72D7"/>
    <w:rsid w:val="006C73C3"/>
    <w:rsid w:val="006C744B"/>
    <w:rsid w:val="006C7470"/>
    <w:rsid w:val="006C74AD"/>
    <w:rsid w:val="006C7551"/>
    <w:rsid w:val="006C7686"/>
    <w:rsid w:val="006C78D3"/>
    <w:rsid w:val="006C79F9"/>
    <w:rsid w:val="006C7AD7"/>
    <w:rsid w:val="006C7B3F"/>
    <w:rsid w:val="006C7BDC"/>
    <w:rsid w:val="006C7BE2"/>
    <w:rsid w:val="006C7C97"/>
    <w:rsid w:val="006C7D75"/>
    <w:rsid w:val="006D009C"/>
    <w:rsid w:val="006D019A"/>
    <w:rsid w:val="006D02A1"/>
    <w:rsid w:val="006D039C"/>
    <w:rsid w:val="006D07F7"/>
    <w:rsid w:val="006D0AAD"/>
    <w:rsid w:val="006D0B3B"/>
    <w:rsid w:val="006D0EE2"/>
    <w:rsid w:val="006D0FEE"/>
    <w:rsid w:val="006D1237"/>
    <w:rsid w:val="006D124A"/>
    <w:rsid w:val="006D12A3"/>
    <w:rsid w:val="006D1443"/>
    <w:rsid w:val="006D149C"/>
    <w:rsid w:val="006D14B8"/>
    <w:rsid w:val="006D1508"/>
    <w:rsid w:val="006D1514"/>
    <w:rsid w:val="006D15B1"/>
    <w:rsid w:val="006D164F"/>
    <w:rsid w:val="006D16B0"/>
    <w:rsid w:val="006D175C"/>
    <w:rsid w:val="006D1846"/>
    <w:rsid w:val="006D1930"/>
    <w:rsid w:val="006D1C67"/>
    <w:rsid w:val="006D1D3A"/>
    <w:rsid w:val="006D1D5B"/>
    <w:rsid w:val="006D1E91"/>
    <w:rsid w:val="006D21FC"/>
    <w:rsid w:val="006D2210"/>
    <w:rsid w:val="006D2290"/>
    <w:rsid w:val="006D2605"/>
    <w:rsid w:val="006D26A1"/>
    <w:rsid w:val="006D2835"/>
    <w:rsid w:val="006D287D"/>
    <w:rsid w:val="006D2A03"/>
    <w:rsid w:val="006D2BB9"/>
    <w:rsid w:val="006D2D90"/>
    <w:rsid w:val="006D2DEF"/>
    <w:rsid w:val="006D2E9F"/>
    <w:rsid w:val="006D2FF6"/>
    <w:rsid w:val="006D3182"/>
    <w:rsid w:val="006D31B7"/>
    <w:rsid w:val="006D32BD"/>
    <w:rsid w:val="006D342D"/>
    <w:rsid w:val="006D3494"/>
    <w:rsid w:val="006D35E2"/>
    <w:rsid w:val="006D3835"/>
    <w:rsid w:val="006D3A8C"/>
    <w:rsid w:val="006D3BF5"/>
    <w:rsid w:val="006D3C4A"/>
    <w:rsid w:val="006D3D31"/>
    <w:rsid w:val="006D4175"/>
    <w:rsid w:val="006D4342"/>
    <w:rsid w:val="006D443A"/>
    <w:rsid w:val="006D446D"/>
    <w:rsid w:val="006D452B"/>
    <w:rsid w:val="006D455D"/>
    <w:rsid w:val="006D46A6"/>
    <w:rsid w:val="006D4776"/>
    <w:rsid w:val="006D47F4"/>
    <w:rsid w:val="006D4840"/>
    <w:rsid w:val="006D4922"/>
    <w:rsid w:val="006D4B2E"/>
    <w:rsid w:val="006D4B4C"/>
    <w:rsid w:val="006D5141"/>
    <w:rsid w:val="006D5195"/>
    <w:rsid w:val="006D522B"/>
    <w:rsid w:val="006D524D"/>
    <w:rsid w:val="006D5268"/>
    <w:rsid w:val="006D537B"/>
    <w:rsid w:val="006D5457"/>
    <w:rsid w:val="006D555C"/>
    <w:rsid w:val="006D55F1"/>
    <w:rsid w:val="006D5626"/>
    <w:rsid w:val="006D57A5"/>
    <w:rsid w:val="006D5995"/>
    <w:rsid w:val="006D5A80"/>
    <w:rsid w:val="006D5A93"/>
    <w:rsid w:val="006D5CD8"/>
    <w:rsid w:val="006D5FC9"/>
    <w:rsid w:val="006D6243"/>
    <w:rsid w:val="006D632F"/>
    <w:rsid w:val="006D637A"/>
    <w:rsid w:val="006D637D"/>
    <w:rsid w:val="006D653D"/>
    <w:rsid w:val="006D66E5"/>
    <w:rsid w:val="006D695B"/>
    <w:rsid w:val="006D6D8C"/>
    <w:rsid w:val="006D6D91"/>
    <w:rsid w:val="006D6DD1"/>
    <w:rsid w:val="006D6E82"/>
    <w:rsid w:val="006D709B"/>
    <w:rsid w:val="006D738B"/>
    <w:rsid w:val="006D7482"/>
    <w:rsid w:val="006D7582"/>
    <w:rsid w:val="006D7719"/>
    <w:rsid w:val="006D784A"/>
    <w:rsid w:val="006D7AAB"/>
    <w:rsid w:val="006D7ADD"/>
    <w:rsid w:val="006D7D5E"/>
    <w:rsid w:val="006E00AE"/>
    <w:rsid w:val="006E00D1"/>
    <w:rsid w:val="006E0137"/>
    <w:rsid w:val="006E0416"/>
    <w:rsid w:val="006E041E"/>
    <w:rsid w:val="006E0B60"/>
    <w:rsid w:val="006E0C73"/>
    <w:rsid w:val="006E0CC3"/>
    <w:rsid w:val="006E0DFB"/>
    <w:rsid w:val="006E0E12"/>
    <w:rsid w:val="006E0F71"/>
    <w:rsid w:val="006E0FC4"/>
    <w:rsid w:val="006E1014"/>
    <w:rsid w:val="006E1071"/>
    <w:rsid w:val="006E10A3"/>
    <w:rsid w:val="006E1122"/>
    <w:rsid w:val="006E116D"/>
    <w:rsid w:val="006E119E"/>
    <w:rsid w:val="006E15BB"/>
    <w:rsid w:val="006E17EB"/>
    <w:rsid w:val="006E19F8"/>
    <w:rsid w:val="006E19FE"/>
    <w:rsid w:val="006E1A47"/>
    <w:rsid w:val="006E1C4D"/>
    <w:rsid w:val="006E1C73"/>
    <w:rsid w:val="006E1EC1"/>
    <w:rsid w:val="006E20DF"/>
    <w:rsid w:val="006E2154"/>
    <w:rsid w:val="006E220E"/>
    <w:rsid w:val="006E24AA"/>
    <w:rsid w:val="006E24B1"/>
    <w:rsid w:val="006E27AE"/>
    <w:rsid w:val="006E2A7A"/>
    <w:rsid w:val="006E2B77"/>
    <w:rsid w:val="006E2BF6"/>
    <w:rsid w:val="006E2BFF"/>
    <w:rsid w:val="006E2C18"/>
    <w:rsid w:val="006E2CB9"/>
    <w:rsid w:val="006E2D81"/>
    <w:rsid w:val="006E2DB0"/>
    <w:rsid w:val="006E2E02"/>
    <w:rsid w:val="006E3092"/>
    <w:rsid w:val="006E30E9"/>
    <w:rsid w:val="006E3126"/>
    <w:rsid w:val="006E32A3"/>
    <w:rsid w:val="006E359F"/>
    <w:rsid w:val="006E3601"/>
    <w:rsid w:val="006E36D4"/>
    <w:rsid w:val="006E3747"/>
    <w:rsid w:val="006E385E"/>
    <w:rsid w:val="006E3963"/>
    <w:rsid w:val="006E3AAF"/>
    <w:rsid w:val="006E3AD3"/>
    <w:rsid w:val="006E3CA2"/>
    <w:rsid w:val="006E3EB3"/>
    <w:rsid w:val="006E3EFE"/>
    <w:rsid w:val="006E3F93"/>
    <w:rsid w:val="006E4571"/>
    <w:rsid w:val="006E4812"/>
    <w:rsid w:val="006E49A9"/>
    <w:rsid w:val="006E4A6D"/>
    <w:rsid w:val="006E4AF5"/>
    <w:rsid w:val="006E4B60"/>
    <w:rsid w:val="006E4CEB"/>
    <w:rsid w:val="006E4D03"/>
    <w:rsid w:val="006E4EAB"/>
    <w:rsid w:val="006E4FB7"/>
    <w:rsid w:val="006E4FBF"/>
    <w:rsid w:val="006E4FCC"/>
    <w:rsid w:val="006E517C"/>
    <w:rsid w:val="006E52DC"/>
    <w:rsid w:val="006E53B2"/>
    <w:rsid w:val="006E5644"/>
    <w:rsid w:val="006E5671"/>
    <w:rsid w:val="006E57E6"/>
    <w:rsid w:val="006E5B8C"/>
    <w:rsid w:val="006E5BF3"/>
    <w:rsid w:val="006E5C18"/>
    <w:rsid w:val="006E5F68"/>
    <w:rsid w:val="006E5FF3"/>
    <w:rsid w:val="006E6146"/>
    <w:rsid w:val="006E616E"/>
    <w:rsid w:val="006E647C"/>
    <w:rsid w:val="006E6520"/>
    <w:rsid w:val="006E6872"/>
    <w:rsid w:val="006E68A3"/>
    <w:rsid w:val="006E6987"/>
    <w:rsid w:val="006E6BA5"/>
    <w:rsid w:val="006E6D43"/>
    <w:rsid w:val="006E6DF7"/>
    <w:rsid w:val="006E7015"/>
    <w:rsid w:val="006E7232"/>
    <w:rsid w:val="006E73DA"/>
    <w:rsid w:val="006E7982"/>
    <w:rsid w:val="006E7BE2"/>
    <w:rsid w:val="006E7C9D"/>
    <w:rsid w:val="006E7E18"/>
    <w:rsid w:val="006F0007"/>
    <w:rsid w:val="006F0031"/>
    <w:rsid w:val="006F00C1"/>
    <w:rsid w:val="006F00F3"/>
    <w:rsid w:val="006F04A2"/>
    <w:rsid w:val="006F0592"/>
    <w:rsid w:val="006F0712"/>
    <w:rsid w:val="006F0C65"/>
    <w:rsid w:val="006F0D47"/>
    <w:rsid w:val="006F112B"/>
    <w:rsid w:val="006F1236"/>
    <w:rsid w:val="006F12A9"/>
    <w:rsid w:val="006F1409"/>
    <w:rsid w:val="006F14CC"/>
    <w:rsid w:val="006F15E6"/>
    <w:rsid w:val="006F182F"/>
    <w:rsid w:val="006F1A13"/>
    <w:rsid w:val="006F1BD4"/>
    <w:rsid w:val="006F1BF0"/>
    <w:rsid w:val="006F1E21"/>
    <w:rsid w:val="006F1F61"/>
    <w:rsid w:val="006F1FFA"/>
    <w:rsid w:val="006F2220"/>
    <w:rsid w:val="006F2226"/>
    <w:rsid w:val="006F22CE"/>
    <w:rsid w:val="006F23CB"/>
    <w:rsid w:val="006F26AA"/>
    <w:rsid w:val="006F2722"/>
    <w:rsid w:val="006F285A"/>
    <w:rsid w:val="006F2AEC"/>
    <w:rsid w:val="006F2CE3"/>
    <w:rsid w:val="006F30E0"/>
    <w:rsid w:val="006F30F2"/>
    <w:rsid w:val="006F32C0"/>
    <w:rsid w:val="006F338E"/>
    <w:rsid w:val="006F3649"/>
    <w:rsid w:val="006F36C8"/>
    <w:rsid w:val="006F3737"/>
    <w:rsid w:val="006F3829"/>
    <w:rsid w:val="006F3D1D"/>
    <w:rsid w:val="006F3FED"/>
    <w:rsid w:val="006F40B5"/>
    <w:rsid w:val="006F413C"/>
    <w:rsid w:val="006F42A8"/>
    <w:rsid w:val="006F4310"/>
    <w:rsid w:val="006F4796"/>
    <w:rsid w:val="006F485C"/>
    <w:rsid w:val="006F4867"/>
    <w:rsid w:val="006F48F4"/>
    <w:rsid w:val="006F48FF"/>
    <w:rsid w:val="006F4A02"/>
    <w:rsid w:val="006F4A2B"/>
    <w:rsid w:val="006F4C52"/>
    <w:rsid w:val="006F4E02"/>
    <w:rsid w:val="006F504B"/>
    <w:rsid w:val="006F510B"/>
    <w:rsid w:val="006F53D0"/>
    <w:rsid w:val="006F54BC"/>
    <w:rsid w:val="006F5776"/>
    <w:rsid w:val="006F58A9"/>
    <w:rsid w:val="006F5A22"/>
    <w:rsid w:val="006F5C2C"/>
    <w:rsid w:val="006F5C5E"/>
    <w:rsid w:val="006F5C7F"/>
    <w:rsid w:val="006F5D26"/>
    <w:rsid w:val="006F5E16"/>
    <w:rsid w:val="006F5E56"/>
    <w:rsid w:val="006F6155"/>
    <w:rsid w:val="006F6476"/>
    <w:rsid w:val="006F652D"/>
    <w:rsid w:val="006F6830"/>
    <w:rsid w:val="006F6854"/>
    <w:rsid w:val="006F68B8"/>
    <w:rsid w:val="006F697B"/>
    <w:rsid w:val="006F69EC"/>
    <w:rsid w:val="006F6C65"/>
    <w:rsid w:val="006F6EF2"/>
    <w:rsid w:val="006F6F72"/>
    <w:rsid w:val="006F71FA"/>
    <w:rsid w:val="006F7351"/>
    <w:rsid w:val="006F73DD"/>
    <w:rsid w:val="006F74C2"/>
    <w:rsid w:val="006F767E"/>
    <w:rsid w:val="006F7798"/>
    <w:rsid w:val="006F7898"/>
    <w:rsid w:val="006F79E2"/>
    <w:rsid w:val="006F7AD2"/>
    <w:rsid w:val="006F7DCC"/>
    <w:rsid w:val="006F7E9C"/>
    <w:rsid w:val="006F7EEA"/>
    <w:rsid w:val="00700036"/>
    <w:rsid w:val="0070015A"/>
    <w:rsid w:val="00700248"/>
    <w:rsid w:val="007002ED"/>
    <w:rsid w:val="00700614"/>
    <w:rsid w:val="007007E2"/>
    <w:rsid w:val="007008DE"/>
    <w:rsid w:val="007009A7"/>
    <w:rsid w:val="00700A5F"/>
    <w:rsid w:val="00700AB0"/>
    <w:rsid w:val="00700C74"/>
    <w:rsid w:val="00700CE3"/>
    <w:rsid w:val="00700DBE"/>
    <w:rsid w:val="00700F24"/>
    <w:rsid w:val="00701048"/>
    <w:rsid w:val="00701140"/>
    <w:rsid w:val="00701172"/>
    <w:rsid w:val="007012C9"/>
    <w:rsid w:val="007012D0"/>
    <w:rsid w:val="00701459"/>
    <w:rsid w:val="0070149F"/>
    <w:rsid w:val="0070158E"/>
    <w:rsid w:val="007015C6"/>
    <w:rsid w:val="007015FE"/>
    <w:rsid w:val="007016A3"/>
    <w:rsid w:val="0070180A"/>
    <w:rsid w:val="00701810"/>
    <w:rsid w:val="007019CC"/>
    <w:rsid w:val="00701B13"/>
    <w:rsid w:val="00701C04"/>
    <w:rsid w:val="00701C0D"/>
    <w:rsid w:val="00701D35"/>
    <w:rsid w:val="00701D8C"/>
    <w:rsid w:val="00701DB6"/>
    <w:rsid w:val="00701E80"/>
    <w:rsid w:val="00702130"/>
    <w:rsid w:val="007021FC"/>
    <w:rsid w:val="007022E1"/>
    <w:rsid w:val="0070236D"/>
    <w:rsid w:val="00702402"/>
    <w:rsid w:val="0070243A"/>
    <w:rsid w:val="00702652"/>
    <w:rsid w:val="0070292C"/>
    <w:rsid w:val="007029CE"/>
    <w:rsid w:val="00702AD5"/>
    <w:rsid w:val="00702C72"/>
    <w:rsid w:val="00702C8C"/>
    <w:rsid w:val="00702CAD"/>
    <w:rsid w:val="00702CB8"/>
    <w:rsid w:val="00702EE9"/>
    <w:rsid w:val="00703084"/>
    <w:rsid w:val="007031DD"/>
    <w:rsid w:val="007031EC"/>
    <w:rsid w:val="00703379"/>
    <w:rsid w:val="0070341D"/>
    <w:rsid w:val="00703468"/>
    <w:rsid w:val="007034C1"/>
    <w:rsid w:val="0070366D"/>
    <w:rsid w:val="0070378D"/>
    <w:rsid w:val="007037CE"/>
    <w:rsid w:val="00703849"/>
    <w:rsid w:val="0070390F"/>
    <w:rsid w:val="00703985"/>
    <w:rsid w:val="007039FC"/>
    <w:rsid w:val="00703BAE"/>
    <w:rsid w:val="00703BCF"/>
    <w:rsid w:val="00703D06"/>
    <w:rsid w:val="00703D26"/>
    <w:rsid w:val="00703D2E"/>
    <w:rsid w:val="00703D86"/>
    <w:rsid w:val="00703E66"/>
    <w:rsid w:val="00703F66"/>
    <w:rsid w:val="00703FBE"/>
    <w:rsid w:val="00703FD4"/>
    <w:rsid w:val="00704049"/>
    <w:rsid w:val="00704051"/>
    <w:rsid w:val="007040BF"/>
    <w:rsid w:val="007040CF"/>
    <w:rsid w:val="007044E4"/>
    <w:rsid w:val="007044F5"/>
    <w:rsid w:val="00704505"/>
    <w:rsid w:val="0070458B"/>
    <w:rsid w:val="007045F7"/>
    <w:rsid w:val="007046B4"/>
    <w:rsid w:val="0070485A"/>
    <w:rsid w:val="00704A0E"/>
    <w:rsid w:val="00704BC1"/>
    <w:rsid w:val="00704DBF"/>
    <w:rsid w:val="00704DCA"/>
    <w:rsid w:val="00704DDE"/>
    <w:rsid w:val="00704FA7"/>
    <w:rsid w:val="00705097"/>
    <w:rsid w:val="007051AB"/>
    <w:rsid w:val="007051C4"/>
    <w:rsid w:val="00705367"/>
    <w:rsid w:val="007056E1"/>
    <w:rsid w:val="007057C7"/>
    <w:rsid w:val="00705AC2"/>
    <w:rsid w:val="00705AFC"/>
    <w:rsid w:val="00705B0E"/>
    <w:rsid w:val="00705C0E"/>
    <w:rsid w:val="00705C31"/>
    <w:rsid w:val="00705CD0"/>
    <w:rsid w:val="00705DFF"/>
    <w:rsid w:val="00705E30"/>
    <w:rsid w:val="00705E79"/>
    <w:rsid w:val="00706096"/>
    <w:rsid w:val="007062BD"/>
    <w:rsid w:val="007062C0"/>
    <w:rsid w:val="00706608"/>
    <w:rsid w:val="0070668D"/>
    <w:rsid w:val="0070674B"/>
    <w:rsid w:val="0070676B"/>
    <w:rsid w:val="00706856"/>
    <w:rsid w:val="007068A1"/>
    <w:rsid w:val="00706976"/>
    <w:rsid w:val="00706996"/>
    <w:rsid w:val="00706B81"/>
    <w:rsid w:val="00706EFD"/>
    <w:rsid w:val="00706F0C"/>
    <w:rsid w:val="00706FAC"/>
    <w:rsid w:val="007070B6"/>
    <w:rsid w:val="00707117"/>
    <w:rsid w:val="007071AC"/>
    <w:rsid w:val="00707415"/>
    <w:rsid w:val="007075B6"/>
    <w:rsid w:val="007075DC"/>
    <w:rsid w:val="0070761A"/>
    <w:rsid w:val="007076BD"/>
    <w:rsid w:val="0070794B"/>
    <w:rsid w:val="007079C8"/>
    <w:rsid w:val="00707AE6"/>
    <w:rsid w:val="00707BA5"/>
    <w:rsid w:val="00707BB9"/>
    <w:rsid w:val="00707BD9"/>
    <w:rsid w:val="00707D55"/>
    <w:rsid w:val="00707E5B"/>
    <w:rsid w:val="00710078"/>
    <w:rsid w:val="0071015C"/>
    <w:rsid w:val="007102B0"/>
    <w:rsid w:val="0071030D"/>
    <w:rsid w:val="007103B0"/>
    <w:rsid w:val="007104CE"/>
    <w:rsid w:val="00710577"/>
    <w:rsid w:val="007105FA"/>
    <w:rsid w:val="007106C7"/>
    <w:rsid w:val="007106FF"/>
    <w:rsid w:val="007107B4"/>
    <w:rsid w:val="007107EE"/>
    <w:rsid w:val="00710999"/>
    <w:rsid w:val="00710A2B"/>
    <w:rsid w:val="00710B0E"/>
    <w:rsid w:val="00710B5A"/>
    <w:rsid w:val="00710D11"/>
    <w:rsid w:val="00710D54"/>
    <w:rsid w:val="00710E1B"/>
    <w:rsid w:val="00710E5B"/>
    <w:rsid w:val="00710E93"/>
    <w:rsid w:val="00710EEC"/>
    <w:rsid w:val="00711082"/>
    <w:rsid w:val="00711208"/>
    <w:rsid w:val="00711261"/>
    <w:rsid w:val="0071126C"/>
    <w:rsid w:val="00711346"/>
    <w:rsid w:val="00711380"/>
    <w:rsid w:val="007113C3"/>
    <w:rsid w:val="007113F4"/>
    <w:rsid w:val="00711435"/>
    <w:rsid w:val="00711576"/>
    <w:rsid w:val="0071166C"/>
    <w:rsid w:val="0071180F"/>
    <w:rsid w:val="00711870"/>
    <w:rsid w:val="007118C0"/>
    <w:rsid w:val="00711AF9"/>
    <w:rsid w:val="00711C96"/>
    <w:rsid w:val="00711CAD"/>
    <w:rsid w:val="00711F12"/>
    <w:rsid w:val="007120E4"/>
    <w:rsid w:val="007120EB"/>
    <w:rsid w:val="00712125"/>
    <w:rsid w:val="007121F9"/>
    <w:rsid w:val="00712246"/>
    <w:rsid w:val="0071232C"/>
    <w:rsid w:val="007123ED"/>
    <w:rsid w:val="00712424"/>
    <w:rsid w:val="00712628"/>
    <w:rsid w:val="00712651"/>
    <w:rsid w:val="00712658"/>
    <w:rsid w:val="007127BB"/>
    <w:rsid w:val="007127D6"/>
    <w:rsid w:val="00712A47"/>
    <w:rsid w:val="00712B0E"/>
    <w:rsid w:val="00712BE6"/>
    <w:rsid w:val="00712D3E"/>
    <w:rsid w:val="00712E35"/>
    <w:rsid w:val="00712E3F"/>
    <w:rsid w:val="00712F6F"/>
    <w:rsid w:val="00712FA9"/>
    <w:rsid w:val="007130E8"/>
    <w:rsid w:val="00713144"/>
    <w:rsid w:val="00713155"/>
    <w:rsid w:val="00713498"/>
    <w:rsid w:val="00713500"/>
    <w:rsid w:val="00713552"/>
    <w:rsid w:val="00713571"/>
    <w:rsid w:val="0071378C"/>
    <w:rsid w:val="00713859"/>
    <w:rsid w:val="00713962"/>
    <w:rsid w:val="00713967"/>
    <w:rsid w:val="00713CD9"/>
    <w:rsid w:val="00713D18"/>
    <w:rsid w:val="00713DAC"/>
    <w:rsid w:val="00713DEB"/>
    <w:rsid w:val="007140B7"/>
    <w:rsid w:val="007140F9"/>
    <w:rsid w:val="00714215"/>
    <w:rsid w:val="0071422A"/>
    <w:rsid w:val="007142A8"/>
    <w:rsid w:val="007142B7"/>
    <w:rsid w:val="007142D2"/>
    <w:rsid w:val="007143F8"/>
    <w:rsid w:val="0071442F"/>
    <w:rsid w:val="00714532"/>
    <w:rsid w:val="00714732"/>
    <w:rsid w:val="00714843"/>
    <w:rsid w:val="007149CB"/>
    <w:rsid w:val="00714A00"/>
    <w:rsid w:val="00714DDF"/>
    <w:rsid w:val="00714E21"/>
    <w:rsid w:val="00714E81"/>
    <w:rsid w:val="00714F17"/>
    <w:rsid w:val="0071510B"/>
    <w:rsid w:val="007151C2"/>
    <w:rsid w:val="00715607"/>
    <w:rsid w:val="00715887"/>
    <w:rsid w:val="00715917"/>
    <w:rsid w:val="00715986"/>
    <w:rsid w:val="007159B9"/>
    <w:rsid w:val="00715A05"/>
    <w:rsid w:val="00715A8B"/>
    <w:rsid w:val="00715BCB"/>
    <w:rsid w:val="00715D00"/>
    <w:rsid w:val="00715D3F"/>
    <w:rsid w:val="00715F21"/>
    <w:rsid w:val="00715FCE"/>
    <w:rsid w:val="00716084"/>
    <w:rsid w:val="007160D2"/>
    <w:rsid w:val="007161B8"/>
    <w:rsid w:val="00716224"/>
    <w:rsid w:val="0071644B"/>
    <w:rsid w:val="00716525"/>
    <w:rsid w:val="007165D1"/>
    <w:rsid w:val="0071673E"/>
    <w:rsid w:val="0071684A"/>
    <w:rsid w:val="007168C7"/>
    <w:rsid w:val="00716D60"/>
    <w:rsid w:val="00716E2A"/>
    <w:rsid w:val="00716EBD"/>
    <w:rsid w:val="00716F22"/>
    <w:rsid w:val="00716FF1"/>
    <w:rsid w:val="00717288"/>
    <w:rsid w:val="00717484"/>
    <w:rsid w:val="007174A8"/>
    <w:rsid w:val="00717506"/>
    <w:rsid w:val="00717643"/>
    <w:rsid w:val="00717671"/>
    <w:rsid w:val="00717690"/>
    <w:rsid w:val="007177E9"/>
    <w:rsid w:val="0071781F"/>
    <w:rsid w:val="00717C36"/>
    <w:rsid w:val="00717D5C"/>
    <w:rsid w:val="00717F47"/>
    <w:rsid w:val="00717FCF"/>
    <w:rsid w:val="00720286"/>
    <w:rsid w:val="0072030D"/>
    <w:rsid w:val="0072043E"/>
    <w:rsid w:val="00720476"/>
    <w:rsid w:val="007204BE"/>
    <w:rsid w:val="00720527"/>
    <w:rsid w:val="0072055C"/>
    <w:rsid w:val="00720570"/>
    <w:rsid w:val="00720663"/>
    <w:rsid w:val="007207C5"/>
    <w:rsid w:val="00720876"/>
    <w:rsid w:val="00720A4D"/>
    <w:rsid w:val="00720B57"/>
    <w:rsid w:val="00720D31"/>
    <w:rsid w:val="00720D41"/>
    <w:rsid w:val="00720D43"/>
    <w:rsid w:val="00720E04"/>
    <w:rsid w:val="00720E23"/>
    <w:rsid w:val="00720E51"/>
    <w:rsid w:val="0072121B"/>
    <w:rsid w:val="007213E7"/>
    <w:rsid w:val="007214E5"/>
    <w:rsid w:val="007215B5"/>
    <w:rsid w:val="007215FC"/>
    <w:rsid w:val="0072168F"/>
    <w:rsid w:val="007217F7"/>
    <w:rsid w:val="00721961"/>
    <w:rsid w:val="00721AF0"/>
    <w:rsid w:val="00721BF7"/>
    <w:rsid w:val="00721CEB"/>
    <w:rsid w:val="00721E68"/>
    <w:rsid w:val="00721EEE"/>
    <w:rsid w:val="00721F42"/>
    <w:rsid w:val="00721F49"/>
    <w:rsid w:val="00721F61"/>
    <w:rsid w:val="00721F64"/>
    <w:rsid w:val="0072219C"/>
    <w:rsid w:val="0072224B"/>
    <w:rsid w:val="007222F9"/>
    <w:rsid w:val="0072237D"/>
    <w:rsid w:val="00722476"/>
    <w:rsid w:val="007225D3"/>
    <w:rsid w:val="00722806"/>
    <w:rsid w:val="007229C5"/>
    <w:rsid w:val="00722A59"/>
    <w:rsid w:val="00722B13"/>
    <w:rsid w:val="00722C32"/>
    <w:rsid w:val="00722CC0"/>
    <w:rsid w:val="00722CEC"/>
    <w:rsid w:val="00722DFC"/>
    <w:rsid w:val="00722E4C"/>
    <w:rsid w:val="00722E66"/>
    <w:rsid w:val="00722ECF"/>
    <w:rsid w:val="00723153"/>
    <w:rsid w:val="0072318D"/>
    <w:rsid w:val="007232B4"/>
    <w:rsid w:val="00723352"/>
    <w:rsid w:val="007235E7"/>
    <w:rsid w:val="0072367E"/>
    <w:rsid w:val="00723791"/>
    <w:rsid w:val="007238CC"/>
    <w:rsid w:val="00723B69"/>
    <w:rsid w:val="00723B83"/>
    <w:rsid w:val="00723D0C"/>
    <w:rsid w:val="00723D83"/>
    <w:rsid w:val="00723F4F"/>
    <w:rsid w:val="00723FD9"/>
    <w:rsid w:val="007240DF"/>
    <w:rsid w:val="007241CB"/>
    <w:rsid w:val="00724452"/>
    <w:rsid w:val="007247A9"/>
    <w:rsid w:val="007247C0"/>
    <w:rsid w:val="007249E5"/>
    <w:rsid w:val="00724A45"/>
    <w:rsid w:val="00724BA1"/>
    <w:rsid w:val="00724C88"/>
    <w:rsid w:val="00724DF0"/>
    <w:rsid w:val="00724F07"/>
    <w:rsid w:val="00724FB2"/>
    <w:rsid w:val="007251D7"/>
    <w:rsid w:val="00725236"/>
    <w:rsid w:val="0072525F"/>
    <w:rsid w:val="007252E7"/>
    <w:rsid w:val="00725411"/>
    <w:rsid w:val="0072548F"/>
    <w:rsid w:val="007254FA"/>
    <w:rsid w:val="00725553"/>
    <w:rsid w:val="00725AC5"/>
    <w:rsid w:val="00725CC9"/>
    <w:rsid w:val="00726180"/>
    <w:rsid w:val="00726225"/>
    <w:rsid w:val="0072637C"/>
    <w:rsid w:val="00726451"/>
    <w:rsid w:val="007264A8"/>
    <w:rsid w:val="00726507"/>
    <w:rsid w:val="007265CA"/>
    <w:rsid w:val="007268C9"/>
    <w:rsid w:val="00726947"/>
    <w:rsid w:val="007269F6"/>
    <w:rsid w:val="00726A93"/>
    <w:rsid w:val="00726D42"/>
    <w:rsid w:val="00726DBF"/>
    <w:rsid w:val="00726E21"/>
    <w:rsid w:val="00726E7F"/>
    <w:rsid w:val="00726F32"/>
    <w:rsid w:val="007272D1"/>
    <w:rsid w:val="007274BB"/>
    <w:rsid w:val="007274D1"/>
    <w:rsid w:val="007276B1"/>
    <w:rsid w:val="00727B45"/>
    <w:rsid w:val="00727B78"/>
    <w:rsid w:val="00727D3E"/>
    <w:rsid w:val="007300AE"/>
    <w:rsid w:val="007301B0"/>
    <w:rsid w:val="00730265"/>
    <w:rsid w:val="007302B4"/>
    <w:rsid w:val="007302EE"/>
    <w:rsid w:val="00730403"/>
    <w:rsid w:val="0073047A"/>
    <w:rsid w:val="00730614"/>
    <w:rsid w:val="007308A7"/>
    <w:rsid w:val="00730BE0"/>
    <w:rsid w:val="00730CFB"/>
    <w:rsid w:val="00730D46"/>
    <w:rsid w:val="00730FDF"/>
    <w:rsid w:val="00731163"/>
    <w:rsid w:val="007311F3"/>
    <w:rsid w:val="0073121D"/>
    <w:rsid w:val="00731487"/>
    <w:rsid w:val="007314F0"/>
    <w:rsid w:val="0073155E"/>
    <w:rsid w:val="007315D0"/>
    <w:rsid w:val="00731677"/>
    <w:rsid w:val="007317E2"/>
    <w:rsid w:val="00731976"/>
    <w:rsid w:val="00731A68"/>
    <w:rsid w:val="00731AAD"/>
    <w:rsid w:val="00731AD9"/>
    <w:rsid w:val="00731C05"/>
    <w:rsid w:val="00731CC4"/>
    <w:rsid w:val="00731E85"/>
    <w:rsid w:val="00731EBA"/>
    <w:rsid w:val="00731FA0"/>
    <w:rsid w:val="00732050"/>
    <w:rsid w:val="007320C9"/>
    <w:rsid w:val="00732534"/>
    <w:rsid w:val="00732544"/>
    <w:rsid w:val="00732574"/>
    <w:rsid w:val="00732677"/>
    <w:rsid w:val="0073271B"/>
    <w:rsid w:val="007327B3"/>
    <w:rsid w:val="00732A8E"/>
    <w:rsid w:val="00732BE8"/>
    <w:rsid w:val="00732D0C"/>
    <w:rsid w:val="00732E76"/>
    <w:rsid w:val="00732ECC"/>
    <w:rsid w:val="00733319"/>
    <w:rsid w:val="007333C9"/>
    <w:rsid w:val="007333E8"/>
    <w:rsid w:val="007333EA"/>
    <w:rsid w:val="007333ED"/>
    <w:rsid w:val="0073346B"/>
    <w:rsid w:val="0073388B"/>
    <w:rsid w:val="0073391D"/>
    <w:rsid w:val="0073391F"/>
    <w:rsid w:val="007339D6"/>
    <w:rsid w:val="00733A79"/>
    <w:rsid w:val="00733AA0"/>
    <w:rsid w:val="00733B5A"/>
    <w:rsid w:val="00733B69"/>
    <w:rsid w:val="00733C81"/>
    <w:rsid w:val="007340DA"/>
    <w:rsid w:val="007344FF"/>
    <w:rsid w:val="007345A4"/>
    <w:rsid w:val="007345DF"/>
    <w:rsid w:val="0073460E"/>
    <w:rsid w:val="007347BC"/>
    <w:rsid w:val="0073483B"/>
    <w:rsid w:val="0073485C"/>
    <w:rsid w:val="00734C3C"/>
    <w:rsid w:val="00734C7F"/>
    <w:rsid w:val="00734F56"/>
    <w:rsid w:val="00735074"/>
    <w:rsid w:val="0073511D"/>
    <w:rsid w:val="0073528E"/>
    <w:rsid w:val="00735504"/>
    <w:rsid w:val="00735524"/>
    <w:rsid w:val="007355B0"/>
    <w:rsid w:val="00735674"/>
    <w:rsid w:val="00735680"/>
    <w:rsid w:val="00735AA0"/>
    <w:rsid w:val="00735AF8"/>
    <w:rsid w:val="00735B4A"/>
    <w:rsid w:val="00735B92"/>
    <w:rsid w:val="00735DDF"/>
    <w:rsid w:val="00735FAF"/>
    <w:rsid w:val="00736032"/>
    <w:rsid w:val="0073655B"/>
    <w:rsid w:val="00736624"/>
    <w:rsid w:val="007366CF"/>
    <w:rsid w:val="0073678C"/>
    <w:rsid w:val="007367F9"/>
    <w:rsid w:val="0073688F"/>
    <w:rsid w:val="00736974"/>
    <w:rsid w:val="00736B1F"/>
    <w:rsid w:val="00736B7C"/>
    <w:rsid w:val="00736C17"/>
    <w:rsid w:val="0073727E"/>
    <w:rsid w:val="0073735C"/>
    <w:rsid w:val="007373ED"/>
    <w:rsid w:val="0073753D"/>
    <w:rsid w:val="00737768"/>
    <w:rsid w:val="00737AA9"/>
    <w:rsid w:val="00737D30"/>
    <w:rsid w:val="00737EDF"/>
    <w:rsid w:val="00737F20"/>
    <w:rsid w:val="00737FC2"/>
    <w:rsid w:val="007401E0"/>
    <w:rsid w:val="00740317"/>
    <w:rsid w:val="00740359"/>
    <w:rsid w:val="00740363"/>
    <w:rsid w:val="007404CF"/>
    <w:rsid w:val="00740768"/>
    <w:rsid w:val="0074077E"/>
    <w:rsid w:val="007409DE"/>
    <w:rsid w:val="00740E09"/>
    <w:rsid w:val="00740E11"/>
    <w:rsid w:val="00740E77"/>
    <w:rsid w:val="00740F68"/>
    <w:rsid w:val="00740F81"/>
    <w:rsid w:val="00741228"/>
    <w:rsid w:val="0074122C"/>
    <w:rsid w:val="00741257"/>
    <w:rsid w:val="00741265"/>
    <w:rsid w:val="00741296"/>
    <w:rsid w:val="007412E1"/>
    <w:rsid w:val="0074134B"/>
    <w:rsid w:val="007413B4"/>
    <w:rsid w:val="0074145D"/>
    <w:rsid w:val="00741599"/>
    <w:rsid w:val="00741609"/>
    <w:rsid w:val="00741636"/>
    <w:rsid w:val="007416A5"/>
    <w:rsid w:val="007417C8"/>
    <w:rsid w:val="00741BC2"/>
    <w:rsid w:val="00741D9A"/>
    <w:rsid w:val="00741F17"/>
    <w:rsid w:val="00741F27"/>
    <w:rsid w:val="00742096"/>
    <w:rsid w:val="007420AE"/>
    <w:rsid w:val="007421C6"/>
    <w:rsid w:val="00742247"/>
    <w:rsid w:val="00742262"/>
    <w:rsid w:val="0074234F"/>
    <w:rsid w:val="0074240D"/>
    <w:rsid w:val="007424B8"/>
    <w:rsid w:val="00742628"/>
    <w:rsid w:val="007429B4"/>
    <w:rsid w:val="007429CE"/>
    <w:rsid w:val="00742A15"/>
    <w:rsid w:val="00742A46"/>
    <w:rsid w:val="00742EC6"/>
    <w:rsid w:val="00742FB4"/>
    <w:rsid w:val="0074307C"/>
    <w:rsid w:val="00743098"/>
    <w:rsid w:val="0074310C"/>
    <w:rsid w:val="00743156"/>
    <w:rsid w:val="007431B2"/>
    <w:rsid w:val="007432AC"/>
    <w:rsid w:val="0074337A"/>
    <w:rsid w:val="0074340A"/>
    <w:rsid w:val="00743656"/>
    <w:rsid w:val="007436B2"/>
    <w:rsid w:val="007436D8"/>
    <w:rsid w:val="007438B8"/>
    <w:rsid w:val="00743956"/>
    <w:rsid w:val="007439FF"/>
    <w:rsid w:val="00743A5F"/>
    <w:rsid w:val="00743AD0"/>
    <w:rsid w:val="00743B90"/>
    <w:rsid w:val="00743C05"/>
    <w:rsid w:val="00743D2A"/>
    <w:rsid w:val="00743DFC"/>
    <w:rsid w:val="00743F01"/>
    <w:rsid w:val="00743FC7"/>
    <w:rsid w:val="00743FF7"/>
    <w:rsid w:val="0074410F"/>
    <w:rsid w:val="007441CA"/>
    <w:rsid w:val="00744408"/>
    <w:rsid w:val="007445DC"/>
    <w:rsid w:val="0074469A"/>
    <w:rsid w:val="007446E2"/>
    <w:rsid w:val="007447D8"/>
    <w:rsid w:val="00744900"/>
    <w:rsid w:val="00744906"/>
    <w:rsid w:val="007449C0"/>
    <w:rsid w:val="00744C50"/>
    <w:rsid w:val="00744C6E"/>
    <w:rsid w:val="00744CFC"/>
    <w:rsid w:val="00744D5D"/>
    <w:rsid w:val="00744E1B"/>
    <w:rsid w:val="00744EFA"/>
    <w:rsid w:val="00744F35"/>
    <w:rsid w:val="00744F8F"/>
    <w:rsid w:val="0074500F"/>
    <w:rsid w:val="0074505D"/>
    <w:rsid w:val="00745064"/>
    <w:rsid w:val="0074507E"/>
    <w:rsid w:val="007450E4"/>
    <w:rsid w:val="00745515"/>
    <w:rsid w:val="007457E9"/>
    <w:rsid w:val="007458F2"/>
    <w:rsid w:val="007458FB"/>
    <w:rsid w:val="007459F4"/>
    <w:rsid w:val="00745A82"/>
    <w:rsid w:val="00745B06"/>
    <w:rsid w:val="00745B52"/>
    <w:rsid w:val="00745B9F"/>
    <w:rsid w:val="00745BC3"/>
    <w:rsid w:val="00745C55"/>
    <w:rsid w:val="00745D10"/>
    <w:rsid w:val="00745E81"/>
    <w:rsid w:val="00745FBC"/>
    <w:rsid w:val="00746205"/>
    <w:rsid w:val="007463EF"/>
    <w:rsid w:val="007464BC"/>
    <w:rsid w:val="007465F8"/>
    <w:rsid w:val="00746742"/>
    <w:rsid w:val="0074674D"/>
    <w:rsid w:val="0074681D"/>
    <w:rsid w:val="00746842"/>
    <w:rsid w:val="00746868"/>
    <w:rsid w:val="00746BDE"/>
    <w:rsid w:val="00746C29"/>
    <w:rsid w:val="00746CBE"/>
    <w:rsid w:val="00746DED"/>
    <w:rsid w:val="00746E63"/>
    <w:rsid w:val="00746F06"/>
    <w:rsid w:val="0074707F"/>
    <w:rsid w:val="007472A8"/>
    <w:rsid w:val="0074743A"/>
    <w:rsid w:val="007475B5"/>
    <w:rsid w:val="0074765A"/>
    <w:rsid w:val="00747B37"/>
    <w:rsid w:val="00747C54"/>
    <w:rsid w:val="00747D03"/>
    <w:rsid w:val="00747D45"/>
    <w:rsid w:val="00750159"/>
    <w:rsid w:val="007501D1"/>
    <w:rsid w:val="007502BB"/>
    <w:rsid w:val="007503A4"/>
    <w:rsid w:val="007504F1"/>
    <w:rsid w:val="007505EC"/>
    <w:rsid w:val="0075063B"/>
    <w:rsid w:val="00750B7E"/>
    <w:rsid w:val="00750BD4"/>
    <w:rsid w:val="00750EF7"/>
    <w:rsid w:val="00750F5A"/>
    <w:rsid w:val="00751018"/>
    <w:rsid w:val="00751036"/>
    <w:rsid w:val="00751053"/>
    <w:rsid w:val="00751096"/>
    <w:rsid w:val="007511B6"/>
    <w:rsid w:val="007513AD"/>
    <w:rsid w:val="00751476"/>
    <w:rsid w:val="0075155C"/>
    <w:rsid w:val="00751750"/>
    <w:rsid w:val="007517F2"/>
    <w:rsid w:val="00751836"/>
    <w:rsid w:val="0075184B"/>
    <w:rsid w:val="00751CA4"/>
    <w:rsid w:val="00751D4F"/>
    <w:rsid w:val="00751E31"/>
    <w:rsid w:val="00751E5A"/>
    <w:rsid w:val="0075211C"/>
    <w:rsid w:val="007521C1"/>
    <w:rsid w:val="0075226C"/>
    <w:rsid w:val="0075226E"/>
    <w:rsid w:val="007522A2"/>
    <w:rsid w:val="007522AF"/>
    <w:rsid w:val="00752681"/>
    <w:rsid w:val="007526F1"/>
    <w:rsid w:val="00752703"/>
    <w:rsid w:val="00752AE5"/>
    <w:rsid w:val="00752BE7"/>
    <w:rsid w:val="00752C5F"/>
    <w:rsid w:val="00752D0B"/>
    <w:rsid w:val="00752D1A"/>
    <w:rsid w:val="00752EC3"/>
    <w:rsid w:val="007530EA"/>
    <w:rsid w:val="007531C1"/>
    <w:rsid w:val="007531CC"/>
    <w:rsid w:val="00753250"/>
    <w:rsid w:val="00753259"/>
    <w:rsid w:val="0075327B"/>
    <w:rsid w:val="007533BC"/>
    <w:rsid w:val="00753446"/>
    <w:rsid w:val="00753618"/>
    <w:rsid w:val="0075363A"/>
    <w:rsid w:val="00753713"/>
    <w:rsid w:val="0075373D"/>
    <w:rsid w:val="0075386F"/>
    <w:rsid w:val="007539C2"/>
    <w:rsid w:val="00753AAA"/>
    <w:rsid w:val="00753CD4"/>
    <w:rsid w:val="00753D6E"/>
    <w:rsid w:val="00753E97"/>
    <w:rsid w:val="00753F03"/>
    <w:rsid w:val="00754347"/>
    <w:rsid w:val="0075434C"/>
    <w:rsid w:val="007543CA"/>
    <w:rsid w:val="007543D1"/>
    <w:rsid w:val="00754582"/>
    <w:rsid w:val="007545D3"/>
    <w:rsid w:val="007545D7"/>
    <w:rsid w:val="007546F6"/>
    <w:rsid w:val="007547B8"/>
    <w:rsid w:val="00754C54"/>
    <w:rsid w:val="00754C84"/>
    <w:rsid w:val="00754CDD"/>
    <w:rsid w:val="00755013"/>
    <w:rsid w:val="0075503F"/>
    <w:rsid w:val="00755090"/>
    <w:rsid w:val="0075526A"/>
    <w:rsid w:val="007552E2"/>
    <w:rsid w:val="007553FF"/>
    <w:rsid w:val="0075545E"/>
    <w:rsid w:val="0075554E"/>
    <w:rsid w:val="00755706"/>
    <w:rsid w:val="007557C7"/>
    <w:rsid w:val="00755892"/>
    <w:rsid w:val="00755C41"/>
    <w:rsid w:val="00755C77"/>
    <w:rsid w:val="00755F57"/>
    <w:rsid w:val="007560FE"/>
    <w:rsid w:val="00756301"/>
    <w:rsid w:val="007565E9"/>
    <w:rsid w:val="0075687B"/>
    <w:rsid w:val="00756951"/>
    <w:rsid w:val="007569AB"/>
    <w:rsid w:val="00756D41"/>
    <w:rsid w:val="00756E06"/>
    <w:rsid w:val="00756E8A"/>
    <w:rsid w:val="00756F37"/>
    <w:rsid w:val="00756F8B"/>
    <w:rsid w:val="007570C2"/>
    <w:rsid w:val="00757213"/>
    <w:rsid w:val="0075735A"/>
    <w:rsid w:val="007573F7"/>
    <w:rsid w:val="007574FA"/>
    <w:rsid w:val="0075765F"/>
    <w:rsid w:val="00757702"/>
    <w:rsid w:val="0075783A"/>
    <w:rsid w:val="00757853"/>
    <w:rsid w:val="0075787E"/>
    <w:rsid w:val="00757A62"/>
    <w:rsid w:val="00757ABC"/>
    <w:rsid w:val="00757B83"/>
    <w:rsid w:val="00757BC4"/>
    <w:rsid w:val="00757C1E"/>
    <w:rsid w:val="007600AC"/>
    <w:rsid w:val="0076013D"/>
    <w:rsid w:val="007602FF"/>
    <w:rsid w:val="00760522"/>
    <w:rsid w:val="007606A8"/>
    <w:rsid w:val="007606BF"/>
    <w:rsid w:val="00760705"/>
    <w:rsid w:val="00760806"/>
    <w:rsid w:val="00760856"/>
    <w:rsid w:val="007608EA"/>
    <w:rsid w:val="007608FB"/>
    <w:rsid w:val="0076094F"/>
    <w:rsid w:val="00760B5C"/>
    <w:rsid w:val="00760CF6"/>
    <w:rsid w:val="00760D91"/>
    <w:rsid w:val="00760DEB"/>
    <w:rsid w:val="00761207"/>
    <w:rsid w:val="00761295"/>
    <w:rsid w:val="0076132E"/>
    <w:rsid w:val="007613DB"/>
    <w:rsid w:val="00761406"/>
    <w:rsid w:val="00761448"/>
    <w:rsid w:val="00761555"/>
    <w:rsid w:val="00761570"/>
    <w:rsid w:val="007615F7"/>
    <w:rsid w:val="0076160A"/>
    <w:rsid w:val="00761823"/>
    <w:rsid w:val="00761861"/>
    <w:rsid w:val="00761971"/>
    <w:rsid w:val="00761E3F"/>
    <w:rsid w:val="00761E5A"/>
    <w:rsid w:val="00761EB3"/>
    <w:rsid w:val="00761F74"/>
    <w:rsid w:val="007620F6"/>
    <w:rsid w:val="007621F8"/>
    <w:rsid w:val="00762353"/>
    <w:rsid w:val="0076238B"/>
    <w:rsid w:val="00762408"/>
    <w:rsid w:val="0076263B"/>
    <w:rsid w:val="00762699"/>
    <w:rsid w:val="00762745"/>
    <w:rsid w:val="0076291D"/>
    <w:rsid w:val="00762A09"/>
    <w:rsid w:val="00762CAC"/>
    <w:rsid w:val="00762EC3"/>
    <w:rsid w:val="00762F3A"/>
    <w:rsid w:val="00762F6A"/>
    <w:rsid w:val="00763046"/>
    <w:rsid w:val="007630CB"/>
    <w:rsid w:val="007631C6"/>
    <w:rsid w:val="007632A4"/>
    <w:rsid w:val="0076334E"/>
    <w:rsid w:val="0076348E"/>
    <w:rsid w:val="00763695"/>
    <w:rsid w:val="00763772"/>
    <w:rsid w:val="0076383A"/>
    <w:rsid w:val="00763995"/>
    <w:rsid w:val="00763CC9"/>
    <w:rsid w:val="00763E66"/>
    <w:rsid w:val="00763F51"/>
    <w:rsid w:val="00763FA0"/>
    <w:rsid w:val="00764323"/>
    <w:rsid w:val="007643CA"/>
    <w:rsid w:val="007643F4"/>
    <w:rsid w:val="007643FD"/>
    <w:rsid w:val="0076452D"/>
    <w:rsid w:val="007645E8"/>
    <w:rsid w:val="00764666"/>
    <w:rsid w:val="00764807"/>
    <w:rsid w:val="00764BBB"/>
    <w:rsid w:val="00765034"/>
    <w:rsid w:val="00765055"/>
    <w:rsid w:val="00765132"/>
    <w:rsid w:val="007653E9"/>
    <w:rsid w:val="00765413"/>
    <w:rsid w:val="007654AB"/>
    <w:rsid w:val="007655F9"/>
    <w:rsid w:val="0076564E"/>
    <w:rsid w:val="00765760"/>
    <w:rsid w:val="0076580D"/>
    <w:rsid w:val="0076582D"/>
    <w:rsid w:val="00765861"/>
    <w:rsid w:val="00765941"/>
    <w:rsid w:val="0076599A"/>
    <w:rsid w:val="007659BA"/>
    <w:rsid w:val="00765A44"/>
    <w:rsid w:val="00765B6C"/>
    <w:rsid w:val="00765D2C"/>
    <w:rsid w:val="00765FDD"/>
    <w:rsid w:val="00766029"/>
    <w:rsid w:val="0076604C"/>
    <w:rsid w:val="007661C8"/>
    <w:rsid w:val="007661F3"/>
    <w:rsid w:val="0076633C"/>
    <w:rsid w:val="00766369"/>
    <w:rsid w:val="0076650F"/>
    <w:rsid w:val="0076651E"/>
    <w:rsid w:val="007665A0"/>
    <w:rsid w:val="007665F9"/>
    <w:rsid w:val="0076663F"/>
    <w:rsid w:val="00766710"/>
    <w:rsid w:val="0076673D"/>
    <w:rsid w:val="00766A95"/>
    <w:rsid w:val="00766B17"/>
    <w:rsid w:val="00766B6F"/>
    <w:rsid w:val="00766C8A"/>
    <w:rsid w:val="00766D4D"/>
    <w:rsid w:val="00766DF4"/>
    <w:rsid w:val="00766EA2"/>
    <w:rsid w:val="00766FBD"/>
    <w:rsid w:val="00766FFB"/>
    <w:rsid w:val="007670C9"/>
    <w:rsid w:val="00767200"/>
    <w:rsid w:val="00767468"/>
    <w:rsid w:val="007674C1"/>
    <w:rsid w:val="007674FC"/>
    <w:rsid w:val="00767544"/>
    <w:rsid w:val="0076754C"/>
    <w:rsid w:val="007675A0"/>
    <w:rsid w:val="0076766E"/>
    <w:rsid w:val="007676AF"/>
    <w:rsid w:val="00767730"/>
    <w:rsid w:val="007677E6"/>
    <w:rsid w:val="007677EA"/>
    <w:rsid w:val="00767967"/>
    <w:rsid w:val="0076798C"/>
    <w:rsid w:val="00767ABF"/>
    <w:rsid w:val="00767C02"/>
    <w:rsid w:val="00767D86"/>
    <w:rsid w:val="00767DE2"/>
    <w:rsid w:val="00767F1A"/>
    <w:rsid w:val="00767FB8"/>
    <w:rsid w:val="00770163"/>
    <w:rsid w:val="007702E6"/>
    <w:rsid w:val="00770305"/>
    <w:rsid w:val="007703B6"/>
    <w:rsid w:val="00770461"/>
    <w:rsid w:val="0077046B"/>
    <w:rsid w:val="007705A1"/>
    <w:rsid w:val="00770604"/>
    <w:rsid w:val="0077072C"/>
    <w:rsid w:val="007707AB"/>
    <w:rsid w:val="00770B67"/>
    <w:rsid w:val="00770C11"/>
    <w:rsid w:val="00770CD3"/>
    <w:rsid w:val="00770D6B"/>
    <w:rsid w:val="00770F15"/>
    <w:rsid w:val="00770FBF"/>
    <w:rsid w:val="0077102F"/>
    <w:rsid w:val="00771139"/>
    <w:rsid w:val="007713B6"/>
    <w:rsid w:val="007713D9"/>
    <w:rsid w:val="00771464"/>
    <w:rsid w:val="0077146E"/>
    <w:rsid w:val="007714C8"/>
    <w:rsid w:val="0077156B"/>
    <w:rsid w:val="00771654"/>
    <w:rsid w:val="007717CA"/>
    <w:rsid w:val="00771938"/>
    <w:rsid w:val="00771942"/>
    <w:rsid w:val="00771CD5"/>
    <w:rsid w:val="00771CDD"/>
    <w:rsid w:val="00771E0C"/>
    <w:rsid w:val="00771FF9"/>
    <w:rsid w:val="0077206B"/>
    <w:rsid w:val="0077214F"/>
    <w:rsid w:val="007721BD"/>
    <w:rsid w:val="0077244C"/>
    <w:rsid w:val="007724D2"/>
    <w:rsid w:val="00772663"/>
    <w:rsid w:val="00772766"/>
    <w:rsid w:val="007729D9"/>
    <w:rsid w:val="00772A97"/>
    <w:rsid w:val="00772AB5"/>
    <w:rsid w:val="00772BE0"/>
    <w:rsid w:val="00772D63"/>
    <w:rsid w:val="00772DB1"/>
    <w:rsid w:val="00772E01"/>
    <w:rsid w:val="0077302D"/>
    <w:rsid w:val="0077322E"/>
    <w:rsid w:val="00773430"/>
    <w:rsid w:val="0077354E"/>
    <w:rsid w:val="00773586"/>
    <w:rsid w:val="007739C3"/>
    <w:rsid w:val="007739DE"/>
    <w:rsid w:val="00773A2D"/>
    <w:rsid w:val="00773A87"/>
    <w:rsid w:val="00773B31"/>
    <w:rsid w:val="00773C7A"/>
    <w:rsid w:val="00773D3F"/>
    <w:rsid w:val="00773D75"/>
    <w:rsid w:val="00773E53"/>
    <w:rsid w:val="00773E81"/>
    <w:rsid w:val="00774077"/>
    <w:rsid w:val="007740FB"/>
    <w:rsid w:val="0077414B"/>
    <w:rsid w:val="00774156"/>
    <w:rsid w:val="00774241"/>
    <w:rsid w:val="0077434E"/>
    <w:rsid w:val="007743D5"/>
    <w:rsid w:val="007743FB"/>
    <w:rsid w:val="007743FC"/>
    <w:rsid w:val="0077456F"/>
    <w:rsid w:val="00774639"/>
    <w:rsid w:val="00774777"/>
    <w:rsid w:val="007747F8"/>
    <w:rsid w:val="007749F8"/>
    <w:rsid w:val="00774AE7"/>
    <w:rsid w:val="00774C64"/>
    <w:rsid w:val="00774D03"/>
    <w:rsid w:val="00774F6C"/>
    <w:rsid w:val="00774FA2"/>
    <w:rsid w:val="00775064"/>
    <w:rsid w:val="00775371"/>
    <w:rsid w:val="007754E9"/>
    <w:rsid w:val="007755F5"/>
    <w:rsid w:val="007755F8"/>
    <w:rsid w:val="00775792"/>
    <w:rsid w:val="007757AD"/>
    <w:rsid w:val="00775866"/>
    <w:rsid w:val="007758E5"/>
    <w:rsid w:val="00775924"/>
    <w:rsid w:val="00775A74"/>
    <w:rsid w:val="00775D91"/>
    <w:rsid w:val="00775EBA"/>
    <w:rsid w:val="0077613B"/>
    <w:rsid w:val="00776258"/>
    <w:rsid w:val="0077626F"/>
    <w:rsid w:val="0077641D"/>
    <w:rsid w:val="007764D1"/>
    <w:rsid w:val="00776535"/>
    <w:rsid w:val="00776655"/>
    <w:rsid w:val="0077678A"/>
    <w:rsid w:val="00776956"/>
    <w:rsid w:val="007769E9"/>
    <w:rsid w:val="00776B12"/>
    <w:rsid w:val="00776B7E"/>
    <w:rsid w:val="00776BFB"/>
    <w:rsid w:val="00776C9D"/>
    <w:rsid w:val="00776DEA"/>
    <w:rsid w:val="00776E4F"/>
    <w:rsid w:val="00776F3C"/>
    <w:rsid w:val="00776F47"/>
    <w:rsid w:val="0077707C"/>
    <w:rsid w:val="007772B2"/>
    <w:rsid w:val="0077759F"/>
    <w:rsid w:val="00777800"/>
    <w:rsid w:val="0077784B"/>
    <w:rsid w:val="00777859"/>
    <w:rsid w:val="00777894"/>
    <w:rsid w:val="00777920"/>
    <w:rsid w:val="00777A67"/>
    <w:rsid w:val="00777B27"/>
    <w:rsid w:val="00777C08"/>
    <w:rsid w:val="00777C46"/>
    <w:rsid w:val="00777CBE"/>
    <w:rsid w:val="00777DC1"/>
    <w:rsid w:val="0078005B"/>
    <w:rsid w:val="0078012F"/>
    <w:rsid w:val="00780153"/>
    <w:rsid w:val="0078016A"/>
    <w:rsid w:val="00780184"/>
    <w:rsid w:val="0078022C"/>
    <w:rsid w:val="0078047F"/>
    <w:rsid w:val="0078057D"/>
    <w:rsid w:val="0078058F"/>
    <w:rsid w:val="007805EB"/>
    <w:rsid w:val="007805F6"/>
    <w:rsid w:val="00780671"/>
    <w:rsid w:val="007809DF"/>
    <w:rsid w:val="00780AC5"/>
    <w:rsid w:val="00780D04"/>
    <w:rsid w:val="00781036"/>
    <w:rsid w:val="00781179"/>
    <w:rsid w:val="00781329"/>
    <w:rsid w:val="00781404"/>
    <w:rsid w:val="00781424"/>
    <w:rsid w:val="0078163D"/>
    <w:rsid w:val="007816AF"/>
    <w:rsid w:val="007816FB"/>
    <w:rsid w:val="00781765"/>
    <w:rsid w:val="007818FF"/>
    <w:rsid w:val="00781A8B"/>
    <w:rsid w:val="00781BF7"/>
    <w:rsid w:val="00781C74"/>
    <w:rsid w:val="00781E2D"/>
    <w:rsid w:val="00781E6E"/>
    <w:rsid w:val="00781EA4"/>
    <w:rsid w:val="007820B1"/>
    <w:rsid w:val="0078223E"/>
    <w:rsid w:val="0078248B"/>
    <w:rsid w:val="0078260B"/>
    <w:rsid w:val="00782795"/>
    <w:rsid w:val="00782813"/>
    <w:rsid w:val="007828BF"/>
    <w:rsid w:val="0078292A"/>
    <w:rsid w:val="00782A4A"/>
    <w:rsid w:val="00782B08"/>
    <w:rsid w:val="00782BB7"/>
    <w:rsid w:val="00783116"/>
    <w:rsid w:val="00783197"/>
    <w:rsid w:val="00783256"/>
    <w:rsid w:val="0078333A"/>
    <w:rsid w:val="007834CA"/>
    <w:rsid w:val="00783552"/>
    <w:rsid w:val="0078399C"/>
    <w:rsid w:val="00783A72"/>
    <w:rsid w:val="00783AE6"/>
    <w:rsid w:val="00783C11"/>
    <w:rsid w:val="00783C59"/>
    <w:rsid w:val="00783C72"/>
    <w:rsid w:val="00783C8F"/>
    <w:rsid w:val="00783D41"/>
    <w:rsid w:val="00783D6B"/>
    <w:rsid w:val="00783E62"/>
    <w:rsid w:val="00784162"/>
    <w:rsid w:val="007843C9"/>
    <w:rsid w:val="00784434"/>
    <w:rsid w:val="007846F4"/>
    <w:rsid w:val="00784753"/>
    <w:rsid w:val="00784B17"/>
    <w:rsid w:val="00784F45"/>
    <w:rsid w:val="00785090"/>
    <w:rsid w:val="007850C2"/>
    <w:rsid w:val="007852EF"/>
    <w:rsid w:val="007855E6"/>
    <w:rsid w:val="007855FA"/>
    <w:rsid w:val="00785737"/>
    <w:rsid w:val="00785790"/>
    <w:rsid w:val="00785A0C"/>
    <w:rsid w:val="00785A3E"/>
    <w:rsid w:val="00785AF8"/>
    <w:rsid w:val="00785B8E"/>
    <w:rsid w:val="00785D87"/>
    <w:rsid w:val="00785F1A"/>
    <w:rsid w:val="00785F3B"/>
    <w:rsid w:val="00786074"/>
    <w:rsid w:val="0078626E"/>
    <w:rsid w:val="00786388"/>
    <w:rsid w:val="007863F3"/>
    <w:rsid w:val="00786444"/>
    <w:rsid w:val="00786467"/>
    <w:rsid w:val="0078653E"/>
    <w:rsid w:val="00786758"/>
    <w:rsid w:val="007867AE"/>
    <w:rsid w:val="00786818"/>
    <w:rsid w:val="007868F4"/>
    <w:rsid w:val="00786A44"/>
    <w:rsid w:val="00786BB2"/>
    <w:rsid w:val="00786D0A"/>
    <w:rsid w:val="00786E80"/>
    <w:rsid w:val="00786EBD"/>
    <w:rsid w:val="00786EC6"/>
    <w:rsid w:val="007870E0"/>
    <w:rsid w:val="00787137"/>
    <w:rsid w:val="00787203"/>
    <w:rsid w:val="00787371"/>
    <w:rsid w:val="00787435"/>
    <w:rsid w:val="007874D6"/>
    <w:rsid w:val="00787520"/>
    <w:rsid w:val="0078775B"/>
    <w:rsid w:val="007878AC"/>
    <w:rsid w:val="00787908"/>
    <w:rsid w:val="00787932"/>
    <w:rsid w:val="0078798F"/>
    <w:rsid w:val="007879D4"/>
    <w:rsid w:val="00787BBD"/>
    <w:rsid w:val="00787BC5"/>
    <w:rsid w:val="00787BDF"/>
    <w:rsid w:val="00787C26"/>
    <w:rsid w:val="00787C86"/>
    <w:rsid w:val="00787D60"/>
    <w:rsid w:val="007903AC"/>
    <w:rsid w:val="00790493"/>
    <w:rsid w:val="007904A7"/>
    <w:rsid w:val="007907A4"/>
    <w:rsid w:val="007908C0"/>
    <w:rsid w:val="00790A34"/>
    <w:rsid w:val="00790A36"/>
    <w:rsid w:val="00790D16"/>
    <w:rsid w:val="00790E1D"/>
    <w:rsid w:val="00791139"/>
    <w:rsid w:val="007912D6"/>
    <w:rsid w:val="0079151B"/>
    <w:rsid w:val="00791524"/>
    <w:rsid w:val="00791538"/>
    <w:rsid w:val="00791598"/>
    <w:rsid w:val="007917A5"/>
    <w:rsid w:val="007919D0"/>
    <w:rsid w:val="00791A38"/>
    <w:rsid w:val="00791C16"/>
    <w:rsid w:val="00791CB1"/>
    <w:rsid w:val="00791DAA"/>
    <w:rsid w:val="00791E41"/>
    <w:rsid w:val="00791E49"/>
    <w:rsid w:val="00791E60"/>
    <w:rsid w:val="00791E72"/>
    <w:rsid w:val="00792054"/>
    <w:rsid w:val="007924CB"/>
    <w:rsid w:val="007926AF"/>
    <w:rsid w:val="0079298F"/>
    <w:rsid w:val="00792BEA"/>
    <w:rsid w:val="00792CDC"/>
    <w:rsid w:val="00792D42"/>
    <w:rsid w:val="00792FF0"/>
    <w:rsid w:val="0079311E"/>
    <w:rsid w:val="0079321A"/>
    <w:rsid w:val="007932C2"/>
    <w:rsid w:val="0079332F"/>
    <w:rsid w:val="0079343D"/>
    <w:rsid w:val="00793497"/>
    <w:rsid w:val="00793626"/>
    <w:rsid w:val="007936C6"/>
    <w:rsid w:val="00793747"/>
    <w:rsid w:val="00793BFA"/>
    <w:rsid w:val="00793C0C"/>
    <w:rsid w:val="00793F69"/>
    <w:rsid w:val="00793FE8"/>
    <w:rsid w:val="00794062"/>
    <w:rsid w:val="00794187"/>
    <w:rsid w:val="007941B9"/>
    <w:rsid w:val="0079425A"/>
    <w:rsid w:val="007942D6"/>
    <w:rsid w:val="0079434A"/>
    <w:rsid w:val="00794405"/>
    <w:rsid w:val="00794625"/>
    <w:rsid w:val="007946DA"/>
    <w:rsid w:val="0079475C"/>
    <w:rsid w:val="0079496A"/>
    <w:rsid w:val="00794B67"/>
    <w:rsid w:val="00794D11"/>
    <w:rsid w:val="00794D6A"/>
    <w:rsid w:val="00794DE9"/>
    <w:rsid w:val="00794E22"/>
    <w:rsid w:val="00794E40"/>
    <w:rsid w:val="00794EEA"/>
    <w:rsid w:val="00795005"/>
    <w:rsid w:val="0079502F"/>
    <w:rsid w:val="007950E5"/>
    <w:rsid w:val="007951A3"/>
    <w:rsid w:val="007951EF"/>
    <w:rsid w:val="0079530D"/>
    <w:rsid w:val="00795476"/>
    <w:rsid w:val="007954E0"/>
    <w:rsid w:val="0079553E"/>
    <w:rsid w:val="00795551"/>
    <w:rsid w:val="0079561D"/>
    <w:rsid w:val="00795698"/>
    <w:rsid w:val="00795771"/>
    <w:rsid w:val="007959BF"/>
    <w:rsid w:val="00795A1A"/>
    <w:rsid w:val="00795B6D"/>
    <w:rsid w:val="00795B74"/>
    <w:rsid w:val="00795F31"/>
    <w:rsid w:val="007962EB"/>
    <w:rsid w:val="007962EC"/>
    <w:rsid w:val="007962EE"/>
    <w:rsid w:val="007966CF"/>
    <w:rsid w:val="00796986"/>
    <w:rsid w:val="00796A43"/>
    <w:rsid w:val="00796AFE"/>
    <w:rsid w:val="00796DB4"/>
    <w:rsid w:val="00797054"/>
    <w:rsid w:val="00797162"/>
    <w:rsid w:val="007971CF"/>
    <w:rsid w:val="007973DA"/>
    <w:rsid w:val="0079745A"/>
    <w:rsid w:val="007975A0"/>
    <w:rsid w:val="00797623"/>
    <w:rsid w:val="0079764F"/>
    <w:rsid w:val="00797691"/>
    <w:rsid w:val="0079769A"/>
    <w:rsid w:val="00797A37"/>
    <w:rsid w:val="00797A86"/>
    <w:rsid w:val="00797A89"/>
    <w:rsid w:val="00797AE2"/>
    <w:rsid w:val="00797B18"/>
    <w:rsid w:val="00797C15"/>
    <w:rsid w:val="00797C4B"/>
    <w:rsid w:val="00797D56"/>
    <w:rsid w:val="00797F7C"/>
    <w:rsid w:val="007A034D"/>
    <w:rsid w:val="007A0451"/>
    <w:rsid w:val="007A0570"/>
    <w:rsid w:val="007A0663"/>
    <w:rsid w:val="007A0756"/>
    <w:rsid w:val="007A0B88"/>
    <w:rsid w:val="007A0BC3"/>
    <w:rsid w:val="007A0ED5"/>
    <w:rsid w:val="007A11E3"/>
    <w:rsid w:val="007A1469"/>
    <w:rsid w:val="007A1744"/>
    <w:rsid w:val="007A1746"/>
    <w:rsid w:val="007A1960"/>
    <w:rsid w:val="007A19D9"/>
    <w:rsid w:val="007A19E1"/>
    <w:rsid w:val="007A1A59"/>
    <w:rsid w:val="007A1A8E"/>
    <w:rsid w:val="007A1BCF"/>
    <w:rsid w:val="007A1CA5"/>
    <w:rsid w:val="007A1D12"/>
    <w:rsid w:val="007A1DFD"/>
    <w:rsid w:val="007A1E2C"/>
    <w:rsid w:val="007A1F10"/>
    <w:rsid w:val="007A1F2F"/>
    <w:rsid w:val="007A2067"/>
    <w:rsid w:val="007A2296"/>
    <w:rsid w:val="007A22C3"/>
    <w:rsid w:val="007A2574"/>
    <w:rsid w:val="007A2912"/>
    <w:rsid w:val="007A2C00"/>
    <w:rsid w:val="007A2D48"/>
    <w:rsid w:val="007A2D7A"/>
    <w:rsid w:val="007A2E36"/>
    <w:rsid w:val="007A2E6F"/>
    <w:rsid w:val="007A2EFD"/>
    <w:rsid w:val="007A3066"/>
    <w:rsid w:val="007A30B7"/>
    <w:rsid w:val="007A31D3"/>
    <w:rsid w:val="007A3729"/>
    <w:rsid w:val="007A374C"/>
    <w:rsid w:val="007A37D0"/>
    <w:rsid w:val="007A37F6"/>
    <w:rsid w:val="007A384C"/>
    <w:rsid w:val="007A3919"/>
    <w:rsid w:val="007A3A67"/>
    <w:rsid w:val="007A3B3E"/>
    <w:rsid w:val="007A3B99"/>
    <w:rsid w:val="007A3BDC"/>
    <w:rsid w:val="007A3CC6"/>
    <w:rsid w:val="007A3D59"/>
    <w:rsid w:val="007A3EB2"/>
    <w:rsid w:val="007A3EC1"/>
    <w:rsid w:val="007A3EF5"/>
    <w:rsid w:val="007A3FD9"/>
    <w:rsid w:val="007A440D"/>
    <w:rsid w:val="007A4421"/>
    <w:rsid w:val="007A44B5"/>
    <w:rsid w:val="007A4677"/>
    <w:rsid w:val="007A4721"/>
    <w:rsid w:val="007A47AF"/>
    <w:rsid w:val="007A47DB"/>
    <w:rsid w:val="007A4870"/>
    <w:rsid w:val="007A4956"/>
    <w:rsid w:val="007A4C02"/>
    <w:rsid w:val="007A4DC7"/>
    <w:rsid w:val="007A4E1B"/>
    <w:rsid w:val="007A4F0C"/>
    <w:rsid w:val="007A4FE5"/>
    <w:rsid w:val="007A53EB"/>
    <w:rsid w:val="007A54B4"/>
    <w:rsid w:val="007A5632"/>
    <w:rsid w:val="007A5648"/>
    <w:rsid w:val="007A56ED"/>
    <w:rsid w:val="007A596E"/>
    <w:rsid w:val="007A5B78"/>
    <w:rsid w:val="007A5B7D"/>
    <w:rsid w:val="007A5B99"/>
    <w:rsid w:val="007A616E"/>
    <w:rsid w:val="007A616F"/>
    <w:rsid w:val="007A6174"/>
    <w:rsid w:val="007A61F8"/>
    <w:rsid w:val="007A6252"/>
    <w:rsid w:val="007A63ED"/>
    <w:rsid w:val="007A6422"/>
    <w:rsid w:val="007A6463"/>
    <w:rsid w:val="007A65A8"/>
    <w:rsid w:val="007A6601"/>
    <w:rsid w:val="007A6689"/>
    <w:rsid w:val="007A6757"/>
    <w:rsid w:val="007A6880"/>
    <w:rsid w:val="007A6969"/>
    <w:rsid w:val="007A6AF6"/>
    <w:rsid w:val="007A6B0D"/>
    <w:rsid w:val="007A6DDD"/>
    <w:rsid w:val="007A6E05"/>
    <w:rsid w:val="007A6F30"/>
    <w:rsid w:val="007A6FD2"/>
    <w:rsid w:val="007A70D9"/>
    <w:rsid w:val="007A7254"/>
    <w:rsid w:val="007A7318"/>
    <w:rsid w:val="007A7535"/>
    <w:rsid w:val="007A7549"/>
    <w:rsid w:val="007A75A2"/>
    <w:rsid w:val="007A79CF"/>
    <w:rsid w:val="007A7AD9"/>
    <w:rsid w:val="007A7BC1"/>
    <w:rsid w:val="007A7C29"/>
    <w:rsid w:val="007A7FED"/>
    <w:rsid w:val="007B017E"/>
    <w:rsid w:val="007B019A"/>
    <w:rsid w:val="007B029A"/>
    <w:rsid w:val="007B02C3"/>
    <w:rsid w:val="007B031B"/>
    <w:rsid w:val="007B047A"/>
    <w:rsid w:val="007B04EB"/>
    <w:rsid w:val="007B050E"/>
    <w:rsid w:val="007B064F"/>
    <w:rsid w:val="007B07B4"/>
    <w:rsid w:val="007B090C"/>
    <w:rsid w:val="007B0913"/>
    <w:rsid w:val="007B0A7C"/>
    <w:rsid w:val="007B0B12"/>
    <w:rsid w:val="007B0D04"/>
    <w:rsid w:val="007B0F0E"/>
    <w:rsid w:val="007B1148"/>
    <w:rsid w:val="007B116B"/>
    <w:rsid w:val="007B11C2"/>
    <w:rsid w:val="007B1835"/>
    <w:rsid w:val="007B19CC"/>
    <w:rsid w:val="007B1A2C"/>
    <w:rsid w:val="007B1B8C"/>
    <w:rsid w:val="007B1BA4"/>
    <w:rsid w:val="007B1EC8"/>
    <w:rsid w:val="007B1EF3"/>
    <w:rsid w:val="007B1F37"/>
    <w:rsid w:val="007B1FEC"/>
    <w:rsid w:val="007B21CA"/>
    <w:rsid w:val="007B2424"/>
    <w:rsid w:val="007B2563"/>
    <w:rsid w:val="007B26E5"/>
    <w:rsid w:val="007B27BA"/>
    <w:rsid w:val="007B2849"/>
    <w:rsid w:val="007B2F15"/>
    <w:rsid w:val="007B2F3C"/>
    <w:rsid w:val="007B302F"/>
    <w:rsid w:val="007B304E"/>
    <w:rsid w:val="007B313A"/>
    <w:rsid w:val="007B338F"/>
    <w:rsid w:val="007B3408"/>
    <w:rsid w:val="007B3443"/>
    <w:rsid w:val="007B3617"/>
    <w:rsid w:val="007B36FE"/>
    <w:rsid w:val="007B3BD2"/>
    <w:rsid w:val="007B3C43"/>
    <w:rsid w:val="007B3CE9"/>
    <w:rsid w:val="007B3D07"/>
    <w:rsid w:val="007B3DCD"/>
    <w:rsid w:val="007B3DDD"/>
    <w:rsid w:val="007B3E60"/>
    <w:rsid w:val="007B3F7B"/>
    <w:rsid w:val="007B439A"/>
    <w:rsid w:val="007B441A"/>
    <w:rsid w:val="007B4433"/>
    <w:rsid w:val="007B45BB"/>
    <w:rsid w:val="007B4765"/>
    <w:rsid w:val="007B481E"/>
    <w:rsid w:val="007B49A4"/>
    <w:rsid w:val="007B49C7"/>
    <w:rsid w:val="007B4A30"/>
    <w:rsid w:val="007B4A63"/>
    <w:rsid w:val="007B4B02"/>
    <w:rsid w:val="007B4C4F"/>
    <w:rsid w:val="007B4E8C"/>
    <w:rsid w:val="007B4EDE"/>
    <w:rsid w:val="007B4F1E"/>
    <w:rsid w:val="007B52EA"/>
    <w:rsid w:val="007B52ED"/>
    <w:rsid w:val="007B54AB"/>
    <w:rsid w:val="007B5704"/>
    <w:rsid w:val="007B571A"/>
    <w:rsid w:val="007B5773"/>
    <w:rsid w:val="007B579A"/>
    <w:rsid w:val="007B587B"/>
    <w:rsid w:val="007B5A08"/>
    <w:rsid w:val="007B5B4E"/>
    <w:rsid w:val="007B5D78"/>
    <w:rsid w:val="007B601C"/>
    <w:rsid w:val="007B61E1"/>
    <w:rsid w:val="007B62DE"/>
    <w:rsid w:val="007B649F"/>
    <w:rsid w:val="007B64A4"/>
    <w:rsid w:val="007B66CB"/>
    <w:rsid w:val="007B6723"/>
    <w:rsid w:val="007B6777"/>
    <w:rsid w:val="007B69FA"/>
    <w:rsid w:val="007B6A44"/>
    <w:rsid w:val="007B6ABA"/>
    <w:rsid w:val="007B6CD6"/>
    <w:rsid w:val="007B6D87"/>
    <w:rsid w:val="007B6F36"/>
    <w:rsid w:val="007B6FB0"/>
    <w:rsid w:val="007B70A6"/>
    <w:rsid w:val="007B70B7"/>
    <w:rsid w:val="007B70E9"/>
    <w:rsid w:val="007B723E"/>
    <w:rsid w:val="007B7293"/>
    <w:rsid w:val="007B738A"/>
    <w:rsid w:val="007B7623"/>
    <w:rsid w:val="007B77F6"/>
    <w:rsid w:val="007B78B1"/>
    <w:rsid w:val="007B7986"/>
    <w:rsid w:val="007B7AD5"/>
    <w:rsid w:val="007B7BF1"/>
    <w:rsid w:val="007B7C2D"/>
    <w:rsid w:val="007B7D9D"/>
    <w:rsid w:val="007B7DCD"/>
    <w:rsid w:val="007B7F2F"/>
    <w:rsid w:val="007C0060"/>
    <w:rsid w:val="007C017A"/>
    <w:rsid w:val="007C01B1"/>
    <w:rsid w:val="007C01C1"/>
    <w:rsid w:val="007C03F8"/>
    <w:rsid w:val="007C068B"/>
    <w:rsid w:val="007C0AC4"/>
    <w:rsid w:val="007C0BCB"/>
    <w:rsid w:val="007C0C11"/>
    <w:rsid w:val="007C0C14"/>
    <w:rsid w:val="007C0C2B"/>
    <w:rsid w:val="007C0CD9"/>
    <w:rsid w:val="007C0EEB"/>
    <w:rsid w:val="007C0EF2"/>
    <w:rsid w:val="007C10BD"/>
    <w:rsid w:val="007C1177"/>
    <w:rsid w:val="007C1349"/>
    <w:rsid w:val="007C141A"/>
    <w:rsid w:val="007C1558"/>
    <w:rsid w:val="007C1608"/>
    <w:rsid w:val="007C160A"/>
    <w:rsid w:val="007C1684"/>
    <w:rsid w:val="007C168A"/>
    <w:rsid w:val="007C1795"/>
    <w:rsid w:val="007C1876"/>
    <w:rsid w:val="007C189D"/>
    <w:rsid w:val="007C1A2A"/>
    <w:rsid w:val="007C1A3C"/>
    <w:rsid w:val="007C1AE7"/>
    <w:rsid w:val="007C1B6A"/>
    <w:rsid w:val="007C1BE9"/>
    <w:rsid w:val="007C1CF6"/>
    <w:rsid w:val="007C1D5F"/>
    <w:rsid w:val="007C2036"/>
    <w:rsid w:val="007C2045"/>
    <w:rsid w:val="007C23EC"/>
    <w:rsid w:val="007C2579"/>
    <w:rsid w:val="007C25EE"/>
    <w:rsid w:val="007C2630"/>
    <w:rsid w:val="007C26A4"/>
    <w:rsid w:val="007C26D0"/>
    <w:rsid w:val="007C271F"/>
    <w:rsid w:val="007C281C"/>
    <w:rsid w:val="007C2964"/>
    <w:rsid w:val="007C296E"/>
    <w:rsid w:val="007C2A36"/>
    <w:rsid w:val="007C2A7B"/>
    <w:rsid w:val="007C2C4E"/>
    <w:rsid w:val="007C2DD5"/>
    <w:rsid w:val="007C2F28"/>
    <w:rsid w:val="007C313B"/>
    <w:rsid w:val="007C3169"/>
    <w:rsid w:val="007C325F"/>
    <w:rsid w:val="007C32A9"/>
    <w:rsid w:val="007C3427"/>
    <w:rsid w:val="007C3440"/>
    <w:rsid w:val="007C3443"/>
    <w:rsid w:val="007C347A"/>
    <w:rsid w:val="007C3495"/>
    <w:rsid w:val="007C36D1"/>
    <w:rsid w:val="007C372C"/>
    <w:rsid w:val="007C37AC"/>
    <w:rsid w:val="007C3A24"/>
    <w:rsid w:val="007C3A58"/>
    <w:rsid w:val="007C3AEC"/>
    <w:rsid w:val="007C3D2C"/>
    <w:rsid w:val="007C3DBD"/>
    <w:rsid w:val="007C3DF4"/>
    <w:rsid w:val="007C3EBD"/>
    <w:rsid w:val="007C4059"/>
    <w:rsid w:val="007C4213"/>
    <w:rsid w:val="007C42BF"/>
    <w:rsid w:val="007C446C"/>
    <w:rsid w:val="007C44F3"/>
    <w:rsid w:val="007C4512"/>
    <w:rsid w:val="007C4815"/>
    <w:rsid w:val="007C4A3E"/>
    <w:rsid w:val="007C4B00"/>
    <w:rsid w:val="007C4BB8"/>
    <w:rsid w:val="007C4CCC"/>
    <w:rsid w:val="007C4F0D"/>
    <w:rsid w:val="007C4F2E"/>
    <w:rsid w:val="007C4F52"/>
    <w:rsid w:val="007C5005"/>
    <w:rsid w:val="007C5092"/>
    <w:rsid w:val="007C51EC"/>
    <w:rsid w:val="007C5206"/>
    <w:rsid w:val="007C5437"/>
    <w:rsid w:val="007C55C3"/>
    <w:rsid w:val="007C588A"/>
    <w:rsid w:val="007C589A"/>
    <w:rsid w:val="007C58EA"/>
    <w:rsid w:val="007C5B23"/>
    <w:rsid w:val="007C5B85"/>
    <w:rsid w:val="007C5CD4"/>
    <w:rsid w:val="007C63A5"/>
    <w:rsid w:val="007C647F"/>
    <w:rsid w:val="007C64B4"/>
    <w:rsid w:val="007C6524"/>
    <w:rsid w:val="007C66D9"/>
    <w:rsid w:val="007C6868"/>
    <w:rsid w:val="007C68F9"/>
    <w:rsid w:val="007C6BFA"/>
    <w:rsid w:val="007C7145"/>
    <w:rsid w:val="007C73D8"/>
    <w:rsid w:val="007C7403"/>
    <w:rsid w:val="007C748C"/>
    <w:rsid w:val="007C754D"/>
    <w:rsid w:val="007C7667"/>
    <w:rsid w:val="007C7781"/>
    <w:rsid w:val="007C794A"/>
    <w:rsid w:val="007C7A1C"/>
    <w:rsid w:val="007C7B39"/>
    <w:rsid w:val="007C7C6A"/>
    <w:rsid w:val="007C7CD8"/>
    <w:rsid w:val="007C7DC2"/>
    <w:rsid w:val="007C7E0D"/>
    <w:rsid w:val="007C7E6D"/>
    <w:rsid w:val="007C7EE7"/>
    <w:rsid w:val="007D0149"/>
    <w:rsid w:val="007D0536"/>
    <w:rsid w:val="007D060A"/>
    <w:rsid w:val="007D078C"/>
    <w:rsid w:val="007D0874"/>
    <w:rsid w:val="007D0980"/>
    <w:rsid w:val="007D0B21"/>
    <w:rsid w:val="007D0B47"/>
    <w:rsid w:val="007D0BD7"/>
    <w:rsid w:val="007D0C8B"/>
    <w:rsid w:val="007D0E9D"/>
    <w:rsid w:val="007D1149"/>
    <w:rsid w:val="007D1238"/>
    <w:rsid w:val="007D129D"/>
    <w:rsid w:val="007D1486"/>
    <w:rsid w:val="007D1581"/>
    <w:rsid w:val="007D1708"/>
    <w:rsid w:val="007D1949"/>
    <w:rsid w:val="007D1A26"/>
    <w:rsid w:val="007D1C3B"/>
    <w:rsid w:val="007D1DA9"/>
    <w:rsid w:val="007D1F51"/>
    <w:rsid w:val="007D2075"/>
    <w:rsid w:val="007D21F5"/>
    <w:rsid w:val="007D2366"/>
    <w:rsid w:val="007D24E2"/>
    <w:rsid w:val="007D2523"/>
    <w:rsid w:val="007D2533"/>
    <w:rsid w:val="007D2627"/>
    <w:rsid w:val="007D262A"/>
    <w:rsid w:val="007D273C"/>
    <w:rsid w:val="007D284D"/>
    <w:rsid w:val="007D29DA"/>
    <w:rsid w:val="007D29E9"/>
    <w:rsid w:val="007D2A16"/>
    <w:rsid w:val="007D2B04"/>
    <w:rsid w:val="007D2DB9"/>
    <w:rsid w:val="007D2EBC"/>
    <w:rsid w:val="007D2EDA"/>
    <w:rsid w:val="007D304D"/>
    <w:rsid w:val="007D30D3"/>
    <w:rsid w:val="007D3157"/>
    <w:rsid w:val="007D3226"/>
    <w:rsid w:val="007D330F"/>
    <w:rsid w:val="007D3AF0"/>
    <w:rsid w:val="007D3B01"/>
    <w:rsid w:val="007D3B7A"/>
    <w:rsid w:val="007D3BE9"/>
    <w:rsid w:val="007D3C75"/>
    <w:rsid w:val="007D3E50"/>
    <w:rsid w:val="007D3F1A"/>
    <w:rsid w:val="007D42DE"/>
    <w:rsid w:val="007D4576"/>
    <w:rsid w:val="007D4733"/>
    <w:rsid w:val="007D4734"/>
    <w:rsid w:val="007D4756"/>
    <w:rsid w:val="007D4835"/>
    <w:rsid w:val="007D4925"/>
    <w:rsid w:val="007D4A94"/>
    <w:rsid w:val="007D4D28"/>
    <w:rsid w:val="007D4F25"/>
    <w:rsid w:val="007D4F26"/>
    <w:rsid w:val="007D4F8E"/>
    <w:rsid w:val="007D502B"/>
    <w:rsid w:val="007D51B2"/>
    <w:rsid w:val="007D51CF"/>
    <w:rsid w:val="007D51FB"/>
    <w:rsid w:val="007D5259"/>
    <w:rsid w:val="007D5283"/>
    <w:rsid w:val="007D52CA"/>
    <w:rsid w:val="007D5333"/>
    <w:rsid w:val="007D540F"/>
    <w:rsid w:val="007D552F"/>
    <w:rsid w:val="007D5537"/>
    <w:rsid w:val="007D5584"/>
    <w:rsid w:val="007D55DD"/>
    <w:rsid w:val="007D5733"/>
    <w:rsid w:val="007D5780"/>
    <w:rsid w:val="007D58B4"/>
    <w:rsid w:val="007D58F3"/>
    <w:rsid w:val="007D5A3B"/>
    <w:rsid w:val="007D5C98"/>
    <w:rsid w:val="007D5CD3"/>
    <w:rsid w:val="007D5DB7"/>
    <w:rsid w:val="007D5EA4"/>
    <w:rsid w:val="007D5FA5"/>
    <w:rsid w:val="007D6159"/>
    <w:rsid w:val="007D6411"/>
    <w:rsid w:val="007D64D2"/>
    <w:rsid w:val="007D6641"/>
    <w:rsid w:val="007D673A"/>
    <w:rsid w:val="007D674A"/>
    <w:rsid w:val="007D67B0"/>
    <w:rsid w:val="007D67BA"/>
    <w:rsid w:val="007D6865"/>
    <w:rsid w:val="007D6904"/>
    <w:rsid w:val="007D6BF2"/>
    <w:rsid w:val="007D6C98"/>
    <w:rsid w:val="007D6F0C"/>
    <w:rsid w:val="007D7111"/>
    <w:rsid w:val="007D7579"/>
    <w:rsid w:val="007D75A3"/>
    <w:rsid w:val="007D76BB"/>
    <w:rsid w:val="007D7B34"/>
    <w:rsid w:val="007D7B88"/>
    <w:rsid w:val="007D7D7B"/>
    <w:rsid w:val="007D7DC7"/>
    <w:rsid w:val="007D7DCA"/>
    <w:rsid w:val="007D7DCC"/>
    <w:rsid w:val="007D7E56"/>
    <w:rsid w:val="007E02A8"/>
    <w:rsid w:val="007E031B"/>
    <w:rsid w:val="007E033C"/>
    <w:rsid w:val="007E04A7"/>
    <w:rsid w:val="007E0582"/>
    <w:rsid w:val="007E06D6"/>
    <w:rsid w:val="007E07DC"/>
    <w:rsid w:val="007E0971"/>
    <w:rsid w:val="007E0A12"/>
    <w:rsid w:val="007E0DDE"/>
    <w:rsid w:val="007E0ED0"/>
    <w:rsid w:val="007E1093"/>
    <w:rsid w:val="007E136F"/>
    <w:rsid w:val="007E1445"/>
    <w:rsid w:val="007E15C8"/>
    <w:rsid w:val="007E1714"/>
    <w:rsid w:val="007E17C1"/>
    <w:rsid w:val="007E1B96"/>
    <w:rsid w:val="007E1BA7"/>
    <w:rsid w:val="007E1C6A"/>
    <w:rsid w:val="007E1C88"/>
    <w:rsid w:val="007E1CDA"/>
    <w:rsid w:val="007E1CE5"/>
    <w:rsid w:val="007E1DF1"/>
    <w:rsid w:val="007E1F9A"/>
    <w:rsid w:val="007E1FE2"/>
    <w:rsid w:val="007E20A0"/>
    <w:rsid w:val="007E2195"/>
    <w:rsid w:val="007E221B"/>
    <w:rsid w:val="007E2249"/>
    <w:rsid w:val="007E2480"/>
    <w:rsid w:val="007E24AE"/>
    <w:rsid w:val="007E26FB"/>
    <w:rsid w:val="007E2745"/>
    <w:rsid w:val="007E2781"/>
    <w:rsid w:val="007E2836"/>
    <w:rsid w:val="007E29D7"/>
    <w:rsid w:val="007E2B9A"/>
    <w:rsid w:val="007E2ED3"/>
    <w:rsid w:val="007E2F4D"/>
    <w:rsid w:val="007E35F0"/>
    <w:rsid w:val="007E363A"/>
    <w:rsid w:val="007E36C9"/>
    <w:rsid w:val="007E36F2"/>
    <w:rsid w:val="007E3733"/>
    <w:rsid w:val="007E3814"/>
    <w:rsid w:val="007E3838"/>
    <w:rsid w:val="007E38C8"/>
    <w:rsid w:val="007E394E"/>
    <w:rsid w:val="007E3A0E"/>
    <w:rsid w:val="007E3AE7"/>
    <w:rsid w:val="007E3B15"/>
    <w:rsid w:val="007E3B58"/>
    <w:rsid w:val="007E3BED"/>
    <w:rsid w:val="007E3CA5"/>
    <w:rsid w:val="007E3CED"/>
    <w:rsid w:val="007E3D5C"/>
    <w:rsid w:val="007E3D82"/>
    <w:rsid w:val="007E3F61"/>
    <w:rsid w:val="007E3FCE"/>
    <w:rsid w:val="007E41D5"/>
    <w:rsid w:val="007E4226"/>
    <w:rsid w:val="007E4288"/>
    <w:rsid w:val="007E428F"/>
    <w:rsid w:val="007E459C"/>
    <w:rsid w:val="007E46A1"/>
    <w:rsid w:val="007E4766"/>
    <w:rsid w:val="007E49B2"/>
    <w:rsid w:val="007E4B94"/>
    <w:rsid w:val="007E4B99"/>
    <w:rsid w:val="007E4BB4"/>
    <w:rsid w:val="007E4CCD"/>
    <w:rsid w:val="007E4DB7"/>
    <w:rsid w:val="007E4E97"/>
    <w:rsid w:val="007E4FFA"/>
    <w:rsid w:val="007E50E8"/>
    <w:rsid w:val="007E5100"/>
    <w:rsid w:val="007E5290"/>
    <w:rsid w:val="007E52CA"/>
    <w:rsid w:val="007E531B"/>
    <w:rsid w:val="007E55C7"/>
    <w:rsid w:val="007E5638"/>
    <w:rsid w:val="007E5670"/>
    <w:rsid w:val="007E5779"/>
    <w:rsid w:val="007E5AEE"/>
    <w:rsid w:val="007E5C18"/>
    <w:rsid w:val="007E5D8B"/>
    <w:rsid w:val="007E5DEC"/>
    <w:rsid w:val="007E5DF3"/>
    <w:rsid w:val="007E6210"/>
    <w:rsid w:val="007E62A4"/>
    <w:rsid w:val="007E64A0"/>
    <w:rsid w:val="007E667D"/>
    <w:rsid w:val="007E6884"/>
    <w:rsid w:val="007E6950"/>
    <w:rsid w:val="007E6A36"/>
    <w:rsid w:val="007E6D1C"/>
    <w:rsid w:val="007E6DB3"/>
    <w:rsid w:val="007E6F68"/>
    <w:rsid w:val="007E7277"/>
    <w:rsid w:val="007E73E0"/>
    <w:rsid w:val="007E74E5"/>
    <w:rsid w:val="007E7518"/>
    <w:rsid w:val="007E7822"/>
    <w:rsid w:val="007E788F"/>
    <w:rsid w:val="007E799B"/>
    <w:rsid w:val="007E7BAB"/>
    <w:rsid w:val="007E7CC8"/>
    <w:rsid w:val="007F0004"/>
    <w:rsid w:val="007F013C"/>
    <w:rsid w:val="007F07AC"/>
    <w:rsid w:val="007F07DC"/>
    <w:rsid w:val="007F08B1"/>
    <w:rsid w:val="007F0945"/>
    <w:rsid w:val="007F0949"/>
    <w:rsid w:val="007F0C99"/>
    <w:rsid w:val="007F0D10"/>
    <w:rsid w:val="007F0D40"/>
    <w:rsid w:val="007F0E8F"/>
    <w:rsid w:val="007F0FA4"/>
    <w:rsid w:val="007F1183"/>
    <w:rsid w:val="007F14FA"/>
    <w:rsid w:val="007F164C"/>
    <w:rsid w:val="007F16B4"/>
    <w:rsid w:val="007F16CC"/>
    <w:rsid w:val="007F18C2"/>
    <w:rsid w:val="007F1B38"/>
    <w:rsid w:val="007F1B66"/>
    <w:rsid w:val="007F1C28"/>
    <w:rsid w:val="007F1C7E"/>
    <w:rsid w:val="007F1F05"/>
    <w:rsid w:val="007F1FD9"/>
    <w:rsid w:val="007F2091"/>
    <w:rsid w:val="007F2121"/>
    <w:rsid w:val="007F22C8"/>
    <w:rsid w:val="007F2349"/>
    <w:rsid w:val="007F2396"/>
    <w:rsid w:val="007F2478"/>
    <w:rsid w:val="007F25C5"/>
    <w:rsid w:val="007F26F0"/>
    <w:rsid w:val="007F291A"/>
    <w:rsid w:val="007F2D1C"/>
    <w:rsid w:val="007F2E3F"/>
    <w:rsid w:val="007F2EF2"/>
    <w:rsid w:val="007F2F64"/>
    <w:rsid w:val="007F2F8D"/>
    <w:rsid w:val="007F3307"/>
    <w:rsid w:val="007F344E"/>
    <w:rsid w:val="007F3486"/>
    <w:rsid w:val="007F3646"/>
    <w:rsid w:val="007F36A5"/>
    <w:rsid w:val="007F37C8"/>
    <w:rsid w:val="007F3BBF"/>
    <w:rsid w:val="007F3C1C"/>
    <w:rsid w:val="007F3D89"/>
    <w:rsid w:val="007F3F28"/>
    <w:rsid w:val="007F3F56"/>
    <w:rsid w:val="007F40A4"/>
    <w:rsid w:val="007F42CC"/>
    <w:rsid w:val="007F42CF"/>
    <w:rsid w:val="007F4380"/>
    <w:rsid w:val="007F4398"/>
    <w:rsid w:val="007F44FC"/>
    <w:rsid w:val="007F472E"/>
    <w:rsid w:val="007F490D"/>
    <w:rsid w:val="007F4ACF"/>
    <w:rsid w:val="007F4C8D"/>
    <w:rsid w:val="007F4CA4"/>
    <w:rsid w:val="007F4DA5"/>
    <w:rsid w:val="007F504C"/>
    <w:rsid w:val="007F518C"/>
    <w:rsid w:val="007F523F"/>
    <w:rsid w:val="007F5264"/>
    <w:rsid w:val="007F533B"/>
    <w:rsid w:val="007F535E"/>
    <w:rsid w:val="007F53A1"/>
    <w:rsid w:val="007F548D"/>
    <w:rsid w:val="007F5A93"/>
    <w:rsid w:val="007F5B33"/>
    <w:rsid w:val="007F5B84"/>
    <w:rsid w:val="007F5C7C"/>
    <w:rsid w:val="007F5D3B"/>
    <w:rsid w:val="007F5F02"/>
    <w:rsid w:val="007F61F0"/>
    <w:rsid w:val="007F643C"/>
    <w:rsid w:val="007F64F8"/>
    <w:rsid w:val="007F6564"/>
    <w:rsid w:val="007F6608"/>
    <w:rsid w:val="007F66B9"/>
    <w:rsid w:val="007F6812"/>
    <w:rsid w:val="007F68AE"/>
    <w:rsid w:val="007F6901"/>
    <w:rsid w:val="007F6B84"/>
    <w:rsid w:val="007F6BDC"/>
    <w:rsid w:val="007F6BE4"/>
    <w:rsid w:val="007F6CC5"/>
    <w:rsid w:val="007F6CDA"/>
    <w:rsid w:val="007F6CF5"/>
    <w:rsid w:val="007F6D3B"/>
    <w:rsid w:val="007F6F7B"/>
    <w:rsid w:val="007F7047"/>
    <w:rsid w:val="007F74F6"/>
    <w:rsid w:val="007F7712"/>
    <w:rsid w:val="007F7748"/>
    <w:rsid w:val="007F7BF9"/>
    <w:rsid w:val="007F7C4D"/>
    <w:rsid w:val="007F7CF3"/>
    <w:rsid w:val="007F7E51"/>
    <w:rsid w:val="007F7EF1"/>
    <w:rsid w:val="007F7FF0"/>
    <w:rsid w:val="00800126"/>
    <w:rsid w:val="008001AD"/>
    <w:rsid w:val="008006D4"/>
    <w:rsid w:val="00800936"/>
    <w:rsid w:val="008009D1"/>
    <w:rsid w:val="00800A86"/>
    <w:rsid w:val="00800B4D"/>
    <w:rsid w:val="00800C64"/>
    <w:rsid w:val="00800C92"/>
    <w:rsid w:val="00800D27"/>
    <w:rsid w:val="00800D3F"/>
    <w:rsid w:val="00800D80"/>
    <w:rsid w:val="00800F09"/>
    <w:rsid w:val="00801360"/>
    <w:rsid w:val="008013ED"/>
    <w:rsid w:val="00801862"/>
    <w:rsid w:val="0080187D"/>
    <w:rsid w:val="008019DA"/>
    <w:rsid w:val="00801A22"/>
    <w:rsid w:val="00801ACC"/>
    <w:rsid w:val="00801B0E"/>
    <w:rsid w:val="00801EF7"/>
    <w:rsid w:val="00801F44"/>
    <w:rsid w:val="00801F80"/>
    <w:rsid w:val="00802015"/>
    <w:rsid w:val="00802083"/>
    <w:rsid w:val="008020D6"/>
    <w:rsid w:val="008022CB"/>
    <w:rsid w:val="00802359"/>
    <w:rsid w:val="008025D7"/>
    <w:rsid w:val="008025FD"/>
    <w:rsid w:val="008026C6"/>
    <w:rsid w:val="008026EF"/>
    <w:rsid w:val="008027E4"/>
    <w:rsid w:val="0080282A"/>
    <w:rsid w:val="008028AE"/>
    <w:rsid w:val="0080296B"/>
    <w:rsid w:val="00802A39"/>
    <w:rsid w:val="00802D03"/>
    <w:rsid w:val="00802D8F"/>
    <w:rsid w:val="00802ECB"/>
    <w:rsid w:val="00802FF8"/>
    <w:rsid w:val="00803203"/>
    <w:rsid w:val="00803241"/>
    <w:rsid w:val="00803242"/>
    <w:rsid w:val="008036D5"/>
    <w:rsid w:val="008037E5"/>
    <w:rsid w:val="008038BA"/>
    <w:rsid w:val="00803962"/>
    <w:rsid w:val="00803995"/>
    <w:rsid w:val="00803ACF"/>
    <w:rsid w:val="00803B9D"/>
    <w:rsid w:val="00803CF4"/>
    <w:rsid w:val="00803D35"/>
    <w:rsid w:val="00803D6D"/>
    <w:rsid w:val="00803FA0"/>
    <w:rsid w:val="0080400B"/>
    <w:rsid w:val="008040D2"/>
    <w:rsid w:val="0080423D"/>
    <w:rsid w:val="008042CB"/>
    <w:rsid w:val="0080432F"/>
    <w:rsid w:val="008047B8"/>
    <w:rsid w:val="00804933"/>
    <w:rsid w:val="008049E7"/>
    <w:rsid w:val="00804A02"/>
    <w:rsid w:val="00804A69"/>
    <w:rsid w:val="00804C89"/>
    <w:rsid w:val="00804D09"/>
    <w:rsid w:val="00804D12"/>
    <w:rsid w:val="00804E68"/>
    <w:rsid w:val="00804F2A"/>
    <w:rsid w:val="00804F4E"/>
    <w:rsid w:val="0080504E"/>
    <w:rsid w:val="008050D5"/>
    <w:rsid w:val="00805213"/>
    <w:rsid w:val="00805560"/>
    <w:rsid w:val="00805561"/>
    <w:rsid w:val="008055AD"/>
    <w:rsid w:val="0080562F"/>
    <w:rsid w:val="00805655"/>
    <w:rsid w:val="0080574D"/>
    <w:rsid w:val="00805784"/>
    <w:rsid w:val="00805996"/>
    <w:rsid w:val="008059C1"/>
    <w:rsid w:val="00805DA8"/>
    <w:rsid w:val="00805E57"/>
    <w:rsid w:val="00805EB7"/>
    <w:rsid w:val="0080612E"/>
    <w:rsid w:val="0080614E"/>
    <w:rsid w:val="0080622A"/>
    <w:rsid w:val="00806296"/>
    <w:rsid w:val="00806531"/>
    <w:rsid w:val="00806563"/>
    <w:rsid w:val="008065CB"/>
    <w:rsid w:val="0080660A"/>
    <w:rsid w:val="00806638"/>
    <w:rsid w:val="00806AF2"/>
    <w:rsid w:val="00806AFA"/>
    <w:rsid w:val="00807018"/>
    <w:rsid w:val="00807037"/>
    <w:rsid w:val="0080709A"/>
    <w:rsid w:val="0080719D"/>
    <w:rsid w:val="008072D0"/>
    <w:rsid w:val="008073B9"/>
    <w:rsid w:val="00807795"/>
    <w:rsid w:val="008077AE"/>
    <w:rsid w:val="008078FB"/>
    <w:rsid w:val="00807A28"/>
    <w:rsid w:val="00807DAE"/>
    <w:rsid w:val="00810024"/>
    <w:rsid w:val="00810041"/>
    <w:rsid w:val="008100F0"/>
    <w:rsid w:val="00810165"/>
    <w:rsid w:val="00810180"/>
    <w:rsid w:val="00810294"/>
    <w:rsid w:val="008102BD"/>
    <w:rsid w:val="0081072E"/>
    <w:rsid w:val="00810853"/>
    <w:rsid w:val="0081093F"/>
    <w:rsid w:val="008109E9"/>
    <w:rsid w:val="008109EB"/>
    <w:rsid w:val="00810A11"/>
    <w:rsid w:val="00810A21"/>
    <w:rsid w:val="00810B29"/>
    <w:rsid w:val="00810C8D"/>
    <w:rsid w:val="00810D33"/>
    <w:rsid w:val="00810DE2"/>
    <w:rsid w:val="00810DE8"/>
    <w:rsid w:val="00810EE4"/>
    <w:rsid w:val="00810F5F"/>
    <w:rsid w:val="00810FF1"/>
    <w:rsid w:val="00811228"/>
    <w:rsid w:val="0081129C"/>
    <w:rsid w:val="008112A2"/>
    <w:rsid w:val="008112D0"/>
    <w:rsid w:val="008116ED"/>
    <w:rsid w:val="0081199E"/>
    <w:rsid w:val="00811A2A"/>
    <w:rsid w:val="00811CD2"/>
    <w:rsid w:val="00811CEA"/>
    <w:rsid w:val="00811E49"/>
    <w:rsid w:val="00811EF1"/>
    <w:rsid w:val="00812089"/>
    <w:rsid w:val="00812239"/>
    <w:rsid w:val="0081230A"/>
    <w:rsid w:val="00812363"/>
    <w:rsid w:val="0081240C"/>
    <w:rsid w:val="008124C1"/>
    <w:rsid w:val="00812514"/>
    <w:rsid w:val="0081252F"/>
    <w:rsid w:val="00812549"/>
    <w:rsid w:val="008126EF"/>
    <w:rsid w:val="008127CD"/>
    <w:rsid w:val="0081281A"/>
    <w:rsid w:val="00812828"/>
    <w:rsid w:val="00812A36"/>
    <w:rsid w:val="00812AA0"/>
    <w:rsid w:val="00812B22"/>
    <w:rsid w:val="00812C13"/>
    <w:rsid w:val="00812DE1"/>
    <w:rsid w:val="00812DF2"/>
    <w:rsid w:val="00812E67"/>
    <w:rsid w:val="00812EE3"/>
    <w:rsid w:val="00813064"/>
    <w:rsid w:val="00813102"/>
    <w:rsid w:val="008131DA"/>
    <w:rsid w:val="008133B0"/>
    <w:rsid w:val="008136AC"/>
    <w:rsid w:val="008137A5"/>
    <w:rsid w:val="0081393F"/>
    <w:rsid w:val="00813AD7"/>
    <w:rsid w:val="00813AEF"/>
    <w:rsid w:val="00813B14"/>
    <w:rsid w:val="00813BB6"/>
    <w:rsid w:val="00814077"/>
    <w:rsid w:val="0081409B"/>
    <w:rsid w:val="00814107"/>
    <w:rsid w:val="008141F9"/>
    <w:rsid w:val="00814229"/>
    <w:rsid w:val="00814236"/>
    <w:rsid w:val="008142AB"/>
    <w:rsid w:val="0081446F"/>
    <w:rsid w:val="0081455D"/>
    <w:rsid w:val="008146CF"/>
    <w:rsid w:val="008146EE"/>
    <w:rsid w:val="008147EE"/>
    <w:rsid w:val="0081481E"/>
    <w:rsid w:val="00814899"/>
    <w:rsid w:val="00814A49"/>
    <w:rsid w:val="00814AD9"/>
    <w:rsid w:val="00814B7D"/>
    <w:rsid w:val="00814B96"/>
    <w:rsid w:val="00814BCA"/>
    <w:rsid w:val="00814C6A"/>
    <w:rsid w:val="00814D4D"/>
    <w:rsid w:val="00814D51"/>
    <w:rsid w:val="00814E99"/>
    <w:rsid w:val="00815248"/>
    <w:rsid w:val="008153F1"/>
    <w:rsid w:val="008154D7"/>
    <w:rsid w:val="00815615"/>
    <w:rsid w:val="008156B7"/>
    <w:rsid w:val="00815792"/>
    <w:rsid w:val="00815873"/>
    <w:rsid w:val="00815D6E"/>
    <w:rsid w:val="0081603C"/>
    <w:rsid w:val="008162B9"/>
    <w:rsid w:val="008165A0"/>
    <w:rsid w:val="00816611"/>
    <w:rsid w:val="00816658"/>
    <w:rsid w:val="00816661"/>
    <w:rsid w:val="008166F5"/>
    <w:rsid w:val="00816814"/>
    <w:rsid w:val="0081686A"/>
    <w:rsid w:val="00816A04"/>
    <w:rsid w:val="00816A9D"/>
    <w:rsid w:val="00816BB5"/>
    <w:rsid w:val="00816C75"/>
    <w:rsid w:val="00816FB7"/>
    <w:rsid w:val="00817083"/>
    <w:rsid w:val="0081714C"/>
    <w:rsid w:val="00817161"/>
    <w:rsid w:val="00817346"/>
    <w:rsid w:val="0081737F"/>
    <w:rsid w:val="008173BA"/>
    <w:rsid w:val="008174E6"/>
    <w:rsid w:val="00817B2D"/>
    <w:rsid w:val="00817C4A"/>
    <w:rsid w:val="00817D9D"/>
    <w:rsid w:val="00817F28"/>
    <w:rsid w:val="00817FDD"/>
    <w:rsid w:val="00820001"/>
    <w:rsid w:val="0082000B"/>
    <w:rsid w:val="00820031"/>
    <w:rsid w:val="0082005E"/>
    <w:rsid w:val="008202B0"/>
    <w:rsid w:val="00820322"/>
    <w:rsid w:val="0082041A"/>
    <w:rsid w:val="00820498"/>
    <w:rsid w:val="008205A2"/>
    <w:rsid w:val="00820648"/>
    <w:rsid w:val="008206F1"/>
    <w:rsid w:val="008207FE"/>
    <w:rsid w:val="00820859"/>
    <w:rsid w:val="008209D1"/>
    <w:rsid w:val="00820C2D"/>
    <w:rsid w:val="00820E13"/>
    <w:rsid w:val="00820E55"/>
    <w:rsid w:val="00820EC9"/>
    <w:rsid w:val="00820F0C"/>
    <w:rsid w:val="00821157"/>
    <w:rsid w:val="0082125A"/>
    <w:rsid w:val="00821310"/>
    <w:rsid w:val="0082131F"/>
    <w:rsid w:val="008213B5"/>
    <w:rsid w:val="0082144B"/>
    <w:rsid w:val="00821674"/>
    <w:rsid w:val="00821C74"/>
    <w:rsid w:val="00821C92"/>
    <w:rsid w:val="00821DAE"/>
    <w:rsid w:val="00821EEF"/>
    <w:rsid w:val="00821EF9"/>
    <w:rsid w:val="0082217B"/>
    <w:rsid w:val="008223D9"/>
    <w:rsid w:val="00822489"/>
    <w:rsid w:val="008224B9"/>
    <w:rsid w:val="00822588"/>
    <w:rsid w:val="00822657"/>
    <w:rsid w:val="00822667"/>
    <w:rsid w:val="0082273C"/>
    <w:rsid w:val="00822744"/>
    <w:rsid w:val="00822AB0"/>
    <w:rsid w:val="00822B80"/>
    <w:rsid w:val="00822C5E"/>
    <w:rsid w:val="00823031"/>
    <w:rsid w:val="00823096"/>
    <w:rsid w:val="00823178"/>
    <w:rsid w:val="008232CE"/>
    <w:rsid w:val="0082334D"/>
    <w:rsid w:val="0082339B"/>
    <w:rsid w:val="0082375D"/>
    <w:rsid w:val="008238A0"/>
    <w:rsid w:val="008238B5"/>
    <w:rsid w:val="00823958"/>
    <w:rsid w:val="008239E5"/>
    <w:rsid w:val="00823A4C"/>
    <w:rsid w:val="00823CE9"/>
    <w:rsid w:val="00823E2C"/>
    <w:rsid w:val="00823E6D"/>
    <w:rsid w:val="0082420D"/>
    <w:rsid w:val="008242E3"/>
    <w:rsid w:val="00824589"/>
    <w:rsid w:val="00824595"/>
    <w:rsid w:val="0082459A"/>
    <w:rsid w:val="00824795"/>
    <w:rsid w:val="008247E3"/>
    <w:rsid w:val="00824904"/>
    <w:rsid w:val="0082496B"/>
    <w:rsid w:val="00824BC2"/>
    <w:rsid w:val="00824D6B"/>
    <w:rsid w:val="00824DCB"/>
    <w:rsid w:val="00824DF3"/>
    <w:rsid w:val="00825006"/>
    <w:rsid w:val="0082535C"/>
    <w:rsid w:val="008255D1"/>
    <w:rsid w:val="00825609"/>
    <w:rsid w:val="008257E4"/>
    <w:rsid w:val="00825895"/>
    <w:rsid w:val="008258CF"/>
    <w:rsid w:val="008259BE"/>
    <w:rsid w:val="008259D8"/>
    <w:rsid w:val="00825AAF"/>
    <w:rsid w:val="00825DD3"/>
    <w:rsid w:val="00825DDA"/>
    <w:rsid w:val="0082623A"/>
    <w:rsid w:val="008262B8"/>
    <w:rsid w:val="0082646C"/>
    <w:rsid w:val="008264ED"/>
    <w:rsid w:val="00826800"/>
    <w:rsid w:val="0082684F"/>
    <w:rsid w:val="008268F0"/>
    <w:rsid w:val="00826A2C"/>
    <w:rsid w:val="00826D6F"/>
    <w:rsid w:val="00826D80"/>
    <w:rsid w:val="00826DBA"/>
    <w:rsid w:val="00826DDB"/>
    <w:rsid w:val="00826E1E"/>
    <w:rsid w:val="00826F29"/>
    <w:rsid w:val="00826F54"/>
    <w:rsid w:val="00827364"/>
    <w:rsid w:val="008274E6"/>
    <w:rsid w:val="0082758E"/>
    <w:rsid w:val="008276A8"/>
    <w:rsid w:val="00827792"/>
    <w:rsid w:val="0082787D"/>
    <w:rsid w:val="008278BF"/>
    <w:rsid w:val="00827B1B"/>
    <w:rsid w:val="00827D1D"/>
    <w:rsid w:val="00827E8C"/>
    <w:rsid w:val="00830379"/>
    <w:rsid w:val="00830856"/>
    <w:rsid w:val="00830A8D"/>
    <w:rsid w:val="00830AEC"/>
    <w:rsid w:val="00830CDA"/>
    <w:rsid w:val="00830D46"/>
    <w:rsid w:val="00830F75"/>
    <w:rsid w:val="00830FE5"/>
    <w:rsid w:val="008310FA"/>
    <w:rsid w:val="00831401"/>
    <w:rsid w:val="008314B7"/>
    <w:rsid w:val="0083151F"/>
    <w:rsid w:val="00831704"/>
    <w:rsid w:val="0083177D"/>
    <w:rsid w:val="008319DD"/>
    <w:rsid w:val="00831E3D"/>
    <w:rsid w:val="00831F49"/>
    <w:rsid w:val="008320F7"/>
    <w:rsid w:val="00832299"/>
    <w:rsid w:val="008323E2"/>
    <w:rsid w:val="0083245B"/>
    <w:rsid w:val="00832704"/>
    <w:rsid w:val="00832894"/>
    <w:rsid w:val="008328B2"/>
    <w:rsid w:val="00832BAA"/>
    <w:rsid w:val="00832C1E"/>
    <w:rsid w:val="00832CD8"/>
    <w:rsid w:val="00832D30"/>
    <w:rsid w:val="00832DEE"/>
    <w:rsid w:val="00832E22"/>
    <w:rsid w:val="00832EE5"/>
    <w:rsid w:val="00833031"/>
    <w:rsid w:val="008330E9"/>
    <w:rsid w:val="00833115"/>
    <w:rsid w:val="00833145"/>
    <w:rsid w:val="0083316A"/>
    <w:rsid w:val="00833277"/>
    <w:rsid w:val="008332AB"/>
    <w:rsid w:val="008332CF"/>
    <w:rsid w:val="00833367"/>
    <w:rsid w:val="008333E7"/>
    <w:rsid w:val="008333F3"/>
    <w:rsid w:val="00833418"/>
    <w:rsid w:val="008335CE"/>
    <w:rsid w:val="008335CF"/>
    <w:rsid w:val="00833642"/>
    <w:rsid w:val="00833745"/>
    <w:rsid w:val="00833764"/>
    <w:rsid w:val="008337B6"/>
    <w:rsid w:val="008338FB"/>
    <w:rsid w:val="0083395B"/>
    <w:rsid w:val="00833DDE"/>
    <w:rsid w:val="00833F60"/>
    <w:rsid w:val="00834137"/>
    <w:rsid w:val="00834160"/>
    <w:rsid w:val="0083420E"/>
    <w:rsid w:val="0083435B"/>
    <w:rsid w:val="008344E6"/>
    <w:rsid w:val="008347C1"/>
    <w:rsid w:val="008348D7"/>
    <w:rsid w:val="008348EB"/>
    <w:rsid w:val="00834958"/>
    <w:rsid w:val="008349D3"/>
    <w:rsid w:val="00834A93"/>
    <w:rsid w:val="00834AE6"/>
    <w:rsid w:val="00834B20"/>
    <w:rsid w:val="00834BFB"/>
    <w:rsid w:val="00834D37"/>
    <w:rsid w:val="00834D92"/>
    <w:rsid w:val="00834DE4"/>
    <w:rsid w:val="00835055"/>
    <w:rsid w:val="0083544A"/>
    <w:rsid w:val="008357E9"/>
    <w:rsid w:val="00835862"/>
    <w:rsid w:val="008359F2"/>
    <w:rsid w:val="00835AA0"/>
    <w:rsid w:val="00835BE3"/>
    <w:rsid w:val="00835E3D"/>
    <w:rsid w:val="00835EA2"/>
    <w:rsid w:val="0083613B"/>
    <w:rsid w:val="00836231"/>
    <w:rsid w:val="008362FF"/>
    <w:rsid w:val="00836391"/>
    <w:rsid w:val="008363BD"/>
    <w:rsid w:val="00836435"/>
    <w:rsid w:val="008365C2"/>
    <w:rsid w:val="00836719"/>
    <w:rsid w:val="00836794"/>
    <w:rsid w:val="00836838"/>
    <w:rsid w:val="008368D8"/>
    <w:rsid w:val="008368E3"/>
    <w:rsid w:val="00836A5D"/>
    <w:rsid w:val="00836AD7"/>
    <w:rsid w:val="00836B81"/>
    <w:rsid w:val="00836C7C"/>
    <w:rsid w:val="00836CF5"/>
    <w:rsid w:val="00836D17"/>
    <w:rsid w:val="00836D57"/>
    <w:rsid w:val="00836D81"/>
    <w:rsid w:val="00837080"/>
    <w:rsid w:val="0083719A"/>
    <w:rsid w:val="008371C4"/>
    <w:rsid w:val="008372A9"/>
    <w:rsid w:val="00837357"/>
    <w:rsid w:val="00837447"/>
    <w:rsid w:val="008374D2"/>
    <w:rsid w:val="0083753E"/>
    <w:rsid w:val="008375CF"/>
    <w:rsid w:val="008376E0"/>
    <w:rsid w:val="0083782A"/>
    <w:rsid w:val="008379A1"/>
    <w:rsid w:val="00837B01"/>
    <w:rsid w:val="00837F13"/>
    <w:rsid w:val="0084004B"/>
    <w:rsid w:val="0084006A"/>
    <w:rsid w:val="008401B4"/>
    <w:rsid w:val="008401E5"/>
    <w:rsid w:val="00840220"/>
    <w:rsid w:val="00840372"/>
    <w:rsid w:val="00840491"/>
    <w:rsid w:val="00840550"/>
    <w:rsid w:val="008405D4"/>
    <w:rsid w:val="00840736"/>
    <w:rsid w:val="0084073D"/>
    <w:rsid w:val="00840923"/>
    <w:rsid w:val="008409B0"/>
    <w:rsid w:val="00840ADB"/>
    <w:rsid w:val="00840B4D"/>
    <w:rsid w:val="00840CBB"/>
    <w:rsid w:val="00840D6C"/>
    <w:rsid w:val="00841024"/>
    <w:rsid w:val="008410BB"/>
    <w:rsid w:val="00841560"/>
    <w:rsid w:val="0084156C"/>
    <w:rsid w:val="00841679"/>
    <w:rsid w:val="008416C1"/>
    <w:rsid w:val="00841B04"/>
    <w:rsid w:val="00841C1F"/>
    <w:rsid w:val="00841E1C"/>
    <w:rsid w:val="00841EB9"/>
    <w:rsid w:val="00841FC7"/>
    <w:rsid w:val="00842112"/>
    <w:rsid w:val="00842267"/>
    <w:rsid w:val="00842271"/>
    <w:rsid w:val="008422FD"/>
    <w:rsid w:val="0084240C"/>
    <w:rsid w:val="0084265B"/>
    <w:rsid w:val="008426C7"/>
    <w:rsid w:val="00842903"/>
    <w:rsid w:val="00842A31"/>
    <w:rsid w:val="00842A44"/>
    <w:rsid w:val="00842B06"/>
    <w:rsid w:val="00842BA6"/>
    <w:rsid w:val="00842BA7"/>
    <w:rsid w:val="00842E39"/>
    <w:rsid w:val="00842F4C"/>
    <w:rsid w:val="0084301B"/>
    <w:rsid w:val="008430C0"/>
    <w:rsid w:val="008434C8"/>
    <w:rsid w:val="0084352A"/>
    <w:rsid w:val="008435B3"/>
    <w:rsid w:val="008438ED"/>
    <w:rsid w:val="00843AE6"/>
    <w:rsid w:val="00843C49"/>
    <w:rsid w:val="00843D1F"/>
    <w:rsid w:val="00843DC4"/>
    <w:rsid w:val="008440B4"/>
    <w:rsid w:val="008443D1"/>
    <w:rsid w:val="00844404"/>
    <w:rsid w:val="00844600"/>
    <w:rsid w:val="0084493A"/>
    <w:rsid w:val="00844975"/>
    <w:rsid w:val="00844ABE"/>
    <w:rsid w:val="00844AE5"/>
    <w:rsid w:val="00844B6C"/>
    <w:rsid w:val="00844DA8"/>
    <w:rsid w:val="00844DFA"/>
    <w:rsid w:val="00844ECC"/>
    <w:rsid w:val="00844ED4"/>
    <w:rsid w:val="00844F6E"/>
    <w:rsid w:val="00844FD1"/>
    <w:rsid w:val="008451FB"/>
    <w:rsid w:val="00845231"/>
    <w:rsid w:val="0084528A"/>
    <w:rsid w:val="0084548F"/>
    <w:rsid w:val="008454A4"/>
    <w:rsid w:val="0084559C"/>
    <w:rsid w:val="00845770"/>
    <w:rsid w:val="008457AF"/>
    <w:rsid w:val="008457CD"/>
    <w:rsid w:val="00845AAC"/>
    <w:rsid w:val="00845B03"/>
    <w:rsid w:val="00845B3B"/>
    <w:rsid w:val="00845BF5"/>
    <w:rsid w:val="00845C2C"/>
    <w:rsid w:val="00845CE7"/>
    <w:rsid w:val="00845D6F"/>
    <w:rsid w:val="00846013"/>
    <w:rsid w:val="008460AF"/>
    <w:rsid w:val="008462E5"/>
    <w:rsid w:val="0084640C"/>
    <w:rsid w:val="008465B1"/>
    <w:rsid w:val="0084664C"/>
    <w:rsid w:val="0084688C"/>
    <w:rsid w:val="008468C0"/>
    <w:rsid w:val="00846C86"/>
    <w:rsid w:val="008472E3"/>
    <w:rsid w:val="00847369"/>
    <w:rsid w:val="00847371"/>
    <w:rsid w:val="00847689"/>
    <w:rsid w:val="008476C1"/>
    <w:rsid w:val="00847B77"/>
    <w:rsid w:val="00847BF1"/>
    <w:rsid w:val="00847D83"/>
    <w:rsid w:val="00847D93"/>
    <w:rsid w:val="00847EDF"/>
    <w:rsid w:val="00847EF3"/>
    <w:rsid w:val="00850116"/>
    <w:rsid w:val="0085014F"/>
    <w:rsid w:val="00850348"/>
    <w:rsid w:val="008504EB"/>
    <w:rsid w:val="0085057A"/>
    <w:rsid w:val="00850610"/>
    <w:rsid w:val="0085084B"/>
    <w:rsid w:val="008508E5"/>
    <w:rsid w:val="00850A82"/>
    <w:rsid w:val="00850BB2"/>
    <w:rsid w:val="00850BFB"/>
    <w:rsid w:val="00850C07"/>
    <w:rsid w:val="00850E87"/>
    <w:rsid w:val="00850EE6"/>
    <w:rsid w:val="00851026"/>
    <w:rsid w:val="00851079"/>
    <w:rsid w:val="008510B1"/>
    <w:rsid w:val="008510BB"/>
    <w:rsid w:val="0085119E"/>
    <w:rsid w:val="008513D3"/>
    <w:rsid w:val="008514EE"/>
    <w:rsid w:val="008516A7"/>
    <w:rsid w:val="008516D7"/>
    <w:rsid w:val="00851755"/>
    <w:rsid w:val="00851928"/>
    <w:rsid w:val="00851B0D"/>
    <w:rsid w:val="00851E90"/>
    <w:rsid w:val="00851EAB"/>
    <w:rsid w:val="00851EE9"/>
    <w:rsid w:val="00851F3A"/>
    <w:rsid w:val="00851FD4"/>
    <w:rsid w:val="00852042"/>
    <w:rsid w:val="0085218F"/>
    <w:rsid w:val="008523A1"/>
    <w:rsid w:val="00852488"/>
    <w:rsid w:val="0085272A"/>
    <w:rsid w:val="0085285E"/>
    <w:rsid w:val="00852A24"/>
    <w:rsid w:val="00852C44"/>
    <w:rsid w:val="00852D02"/>
    <w:rsid w:val="00852EA4"/>
    <w:rsid w:val="00852ED6"/>
    <w:rsid w:val="00853063"/>
    <w:rsid w:val="008530EB"/>
    <w:rsid w:val="008532B8"/>
    <w:rsid w:val="0085330E"/>
    <w:rsid w:val="008534EA"/>
    <w:rsid w:val="00853566"/>
    <w:rsid w:val="00853625"/>
    <w:rsid w:val="00853725"/>
    <w:rsid w:val="00853796"/>
    <w:rsid w:val="00853887"/>
    <w:rsid w:val="0085391F"/>
    <w:rsid w:val="00853958"/>
    <w:rsid w:val="00853CAB"/>
    <w:rsid w:val="00853D15"/>
    <w:rsid w:val="00853D21"/>
    <w:rsid w:val="00853D8B"/>
    <w:rsid w:val="00853DA9"/>
    <w:rsid w:val="00853E41"/>
    <w:rsid w:val="00853FF1"/>
    <w:rsid w:val="00854141"/>
    <w:rsid w:val="008542B3"/>
    <w:rsid w:val="008543A4"/>
    <w:rsid w:val="00854430"/>
    <w:rsid w:val="00854471"/>
    <w:rsid w:val="008544D2"/>
    <w:rsid w:val="00854601"/>
    <w:rsid w:val="0085471A"/>
    <w:rsid w:val="00854758"/>
    <w:rsid w:val="008547B5"/>
    <w:rsid w:val="008548DF"/>
    <w:rsid w:val="008549CD"/>
    <w:rsid w:val="00854A49"/>
    <w:rsid w:val="00854A58"/>
    <w:rsid w:val="00854A64"/>
    <w:rsid w:val="00854A66"/>
    <w:rsid w:val="00854B18"/>
    <w:rsid w:val="00854DBF"/>
    <w:rsid w:val="00854EE5"/>
    <w:rsid w:val="00854FD5"/>
    <w:rsid w:val="00855107"/>
    <w:rsid w:val="008551DA"/>
    <w:rsid w:val="0085526B"/>
    <w:rsid w:val="0085532E"/>
    <w:rsid w:val="00855364"/>
    <w:rsid w:val="00855398"/>
    <w:rsid w:val="008554B7"/>
    <w:rsid w:val="008554F1"/>
    <w:rsid w:val="00855516"/>
    <w:rsid w:val="0085560A"/>
    <w:rsid w:val="00855662"/>
    <w:rsid w:val="008556B7"/>
    <w:rsid w:val="0085587C"/>
    <w:rsid w:val="008559D0"/>
    <w:rsid w:val="00855A08"/>
    <w:rsid w:val="00855A87"/>
    <w:rsid w:val="00855C6F"/>
    <w:rsid w:val="00855C91"/>
    <w:rsid w:val="00855C95"/>
    <w:rsid w:val="00855DAF"/>
    <w:rsid w:val="00856050"/>
    <w:rsid w:val="0085624B"/>
    <w:rsid w:val="00856351"/>
    <w:rsid w:val="0085643A"/>
    <w:rsid w:val="00856487"/>
    <w:rsid w:val="008569DB"/>
    <w:rsid w:val="00856A56"/>
    <w:rsid w:val="00856AD2"/>
    <w:rsid w:val="00856D17"/>
    <w:rsid w:val="00856F2D"/>
    <w:rsid w:val="00857083"/>
    <w:rsid w:val="008572C4"/>
    <w:rsid w:val="008573D4"/>
    <w:rsid w:val="008573EA"/>
    <w:rsid w:val="0085742C"/>
    <w:rsid w:val="00857669"/>
    <w:rsid w:val="00857690"/>
    <w:rsid w:val="00857834"/>
    <w:rsid w:val="00857927"/>
    <w:rsid w:val="008579E1"/>
    <w:rsid w:val="00857AFF"/>
    <w:rsid w:val="00857BAA"/>
    <w:rsid w:val="00857D42"/>
    <w:rsid w:val="00857D62"/>
    <w:rsid w:val="00857E26"/>
    <w:rsid w:val="00857E7F"/>
    <w:rsid w:val="00857EA9"/>
    <w:rsid w:val="00857EBC"/>
    <w:rsid w:val="00857F0A"/>
    <w:rsid w:val="008602FD"/>
    <w:rsid w:val="00860302"/>
    <w:rsid w:val="008604E6"/>
    <w:rsid w:val="00860531"/>
    <w:rsid w:val="0086059A"/>
    <w:rsid w:val="0086059F"/>
    <w:rsid w:val="00860651"/>
    <w:rsid w:val="008606C9"/>
    <w:rsid w:val="0086072B"/>
    <w:rsid w:val="00860749"/>
    <w:rsid w:val="008607F7"/>
    <w:rsid w:val="00860A2E"/>
    <w:rsid w:val="00860B3E"/>
    <w:rsid w:val="00860B5B"/>
    <w:rsid w:val="00860C66"/>
    <w:rsid w:val="00860DB3"/>
    <w:rsid w:val="00860FA9"/>
    <w:rsid w:val="00860FF7"/>
    <w:rsid w:val="0086100C"/>
    <w:rsid w:val="00861067"/>
    <w:rsid w:val="00861069"/>
    <w:rsid w:val="008610CC"/>
    <w:rsid w:val="00861223"/>
    <w:rsid w:val="0086141F"/>
    <w:rsid w:val="008614C2"/>
    <w:rsid w:val="0086154F"/>
    <w:rsid w:val="008615B2"/>
    <w:rsid w:val="008616C7"/>
    <w:rsid w:val="0086170E"/>
    <w:rsid w:val="00861742"/>
    <w:rsid w:val="008618DA"/>
    <w:rsid w:val="0086196A"/>
    <w:rsid w:val="008619DE"/>
    <w:rsid w:val="00861A8B"/>
    <w:rsid w:val="00861CDC"/>
    <w:rsid w:val="00861DA0"/>
    <w:rsid w:val="00861E19"/>
    <w:rsid w:val="00861E39"/>
    <w:rsid w:val="00861E42"/>
    <w:rsid w:val="00861E44"/>
    <w:rsid w:val="0086220F"/>
    <w:rsid w:val="00862244"/>
    <w:rsid w:val="008622AC"/>
    <w:rsid w:val="008623DC"/>
    <w:rsid w:val="00862780"/>
    <w:rsid w:val="008627C3"/>
    <w:rsid w:val="008627F0"/>
    <w:rsid w:val="008627F4"/>
    <w:rsid w:val="00862870"/>
    <w:rsid w:val="0086297F"/>
    <w:rsid w:val="00862A85"/>
    <w:rsid w:val="00862AA0"/>
    <w:rsid w:val="00862AAA"/>
    <w:rsid w:val="00862AAB"/>
    <w:rsid w:val="00862AE6"/>
    <w:rsid w:val="00862BEC"/>
    <w:rsid w:val="00862DD2"/>
    <w:rsid w:val="00862F54"/>
    <w:rsid w:val="00862F93"/>
    <w:rsid w:val="00863094"/>
    <w:rsid w:val="008630F9"/>
    <w:rsid w:val="008631B7"/>
    <w:rsid w:val="0086328C"/>
    <w:rsid w:val="00863374"/>
    <w:rsid w:val="0086339C"/>
    <w:rsid w:val="0086353E"/>
    <w:rsid w:val="008639C9"/>
    <w:rsid w:val="00863BE3"/>
    <w:rsid w:val="00863C46"/>
    <w:rsid w:val="00863F8B"/>
    <w:rsid w:val="00864196"/>
    <w:rsid w:val="008641A0"/>
    <w:rsid w:val="008641DB"/>
    <w:rsid w:val="00864211"/>
    <w:rsid w:val="00864288"/>
    <w:rsid w:val="008642F9"/>
    <w:rsid w:val="00864452"/>
    <w:rsid w:val="008644D9"/>
    <w:rsid w:val="00864627"/>
    <w:rsid w:val="00864652"/>
    <w:rsid w:val="0086477D"/>
    <w:rsid w:val="00864788"/>
    <w:rsid w:val="008647FC"/>
    <w:rsid w:val="00864846"/>
    <w:rsid w:val="008649B0"/>
    <w:rsid w:val="00864B00"/>
    <w:rsid w:val="00864C42"/>
    <w:rsid w:val="00864DFD"/>
    <w:rsid w:val="00864EAA"/>
    <w:rsid w:val="008652BC"/>
    <w:rsid w:val="0086536A"/>
    <w:rsid w:val="00865535"/>
    <w:rsid w:val="008655C0"/>
    <w:rsid w:val="00865851"/>
    <w:rsid w:val="008659FD"/>
    <w:rsid w:val="00865ACE"/>
    <w:rsid w:val="00865DE7"/>
    <w:rsid w:val="00865FFF"/>
    <w:rsid w:val="0086607E"/>
    <w:rsid w:val="00866084"/>
    <w:rsid w:val="00866090"/>
    <w:rsid w:val="008663A2"/>
    <w:rsid w:val="00866401"/>
    <w:rsid w:val="00866433"/>
    <w:rsid w:val="0086644F"/>
    <w:rsid w:val="00866483"/>
    <w:rsid w:val="008665E9"/>
    <w:rsid w:val="00866628"/>
    <w:rsid w:val="008667B7"/>
    <w:rsid w:val="00866C11"/>
    <w:rsid w:val="00866D28"/>
    <w:rsid w:val="00866EEF"/>
    <w:rsid w:val="0086703B"/>
    <w:rsid w:val="008670D7"/>
    <w:rsid w:val="00867113"/>
    <w:rsid w:val="00867358"/>
    <w:rsid w:val="008673FF"/>
    <w:rsid w:val="00867529"/>
    <w:rsid w:val="008677E1"/>
    <w:rsid w:val="008679BC"/>
    <w:rsid w:val="00867D3A"/>
    <w:rsid w:val="00867E2B"/>
    <w:rsid w:val="00870012"/>
    <w:rsid w:val="0087012D"/>
    <w:rsid w:val="008701DC"/>
    <w:rsid w:val="00870368"/>
    <w:rsid w:val="00870373"/>
    <w:rsid w:val="00870651"/>
    <w:rsid w:val="00870738"/>
    <w:rsid w:val="0087081E"/>
    <w:rsid w:val="00870938"/>
    <w:rsid w:val="0087095A"/>
    <w:rsid w:val="00870A8D"/>
    <w:rsid w:val="00870B7D"/>
    <w:rsid w:val="00870B93"/>
    <w:rsid w:val="00870C34"/>
    <w:rsid w:val="00870CC4"/>
    <w:rsid w:val="0087100F"/>
    <w:rsid w:val="00871482"/>
    <w:rsid w:val="0087172D"/>
    <w:rsid w:val="00871C1F"/>
    <w:rsid w:val="00871CD6"/>
    <w:rsid w:val="00871D75"/>
    <w:rsid w:val="00872086"/>
    <w:rsid w:val="00872208"/>
    <w:rsid w:val="00872308"/>
    <w:rsid w:val="008723D1"/>
    <w:rsid w:val="00872404"/>
    <w:rsid w:val="00872577"/>
    <w:rsid w:val="00872808"/>
    <w:rsid w:val="0087286E"/>
    <w:rsid w:val="00872900"/>
    <w:rsid w:val="0087297A"/>
    <w:rsid w:val="00872A2A"/>
    <w:rsid w:val="00872AE5"/>
    <w:rsid w:val="00872C06"/>
    <w:rsid w:val="00872C80"/>
    <w:rsid w:val="00872CC5"/>
    <w:rsid w:val="00872E33"/>
    <w:rsid w:val="00872FF9"/>
    <w:rsid w:val="008730C0"/>
    <w:rsid w:val="0087313A"/>
    <w:rsid w:val="008731E3"/>
    <w:rsid w:val="008734CB"/>
    <w:rsid w:val="00873568"/>
    <w:rsid w:val="00873595"/>
    <w:rsid w:val="00873C4B"/>
    <w:rsid w:val="00873DC2"/>
    <w:rsid w:val="00873FD5"/>
    <w:rsid w:val="008742CF"/>
    <w:rsid w:val="00874409"/>
    <w:rsid w:val="00874415"/>
    <w:rsid w:val="00874AAD"/>
    <w:rsid w:val="00874B4A"/>
    <w:rsid w:val="00874CE9"/>
    <w:rsid w:val="00874DF2"/>
    <w:rsid w:val="00874F79"/>
    <w:rsid w:val="00874FCD"/>
    <w:rsid w:val="00875359"/>
    <w:rsid w:val="00875415"/>
    <w:rsid w:val="00875582"/>
    <w:rsid w:val="008758E4"/>
    <w:rsid w:val="008758FA"/>
    <w:rsid w:val="0087592D"/>
    <w:rsid w:val="00875934"/>
    <w:rsid w:val="0087598D"/>
    <w:rsid w:val="008759C7"/>
    <w:rsid w:val="008759D1"/>
    <w:rsid w:val="00875BDD"/>
    <w:rsid w:val="00875F57"/>
    <w:rsid w:val="0087602F"/>
    <w:rsid w:val="00876106"/>
    <w:rsid w:val="00876316"/>
    <w:rsid w:val="0087631C"/>
    <w:rsid w:val="0087646B"/>
    <w:rsid w:val="008765AD"/>
    <w:rsid w:val="00876681"/>
    <w:rsid w:val="00876979"/>
    <w:rsid w:val="008769AC"/>
    <w:rsid w:val="008769C9"/>
    <w:rsid w:val="008769DE"/>
    <w:rsid w:val="00876A6B"/>
    <w:rsid w:val="00876EF3"/>
    <w:rsid w:val="00877055"/>
    <w:rsid w:val="00877065"/>
    <w:rsid w:val="00877205"/>
    <w:rsid w:val="00877235"/>
    <w:rsid w:val="00877349"/>
    <w:rsid w:val="008773E7"/>
    <w:rsid w:val="00877572"/>
    <w:rsid w:val="008775A6"/>
    <w:rsid w:val="00877644"/>
    <w:rsid w:val="008776BB"/>
    <w:rsid w:val="0087774E"/>
    <w:rsid w:val="008777C3"/>
    <w:rsid w:val="00877811"/>
    <w:rsid w:val="00877819"/>
    <w:rsid w:val="00877B54"/>
    <w:rsid w:val="00877B88"/>
    <w:rsid w:val="00877CA6"/>
    <w:rsid w:val="00877CCE"/>
    <w:rsid w:val="00877FC2"/>
    <w:rsid w:val="0088019A"/>
    <w:rsid w:val="008801B0"/>
    <w:rsid w:val="0088047F"/>
    <w:rsid w:val="008804CF"/>
    <w:rsid w:val="00880525"/>
    <w:rsid w:val="008805C7"/>
    <w:rsid w:val="008805E2"/>
    <w:rsid w:val="00880616"/>
    <w:rsid w:val="0088067F"/>
    <w:rsid w:val="008807B3"/>
    <w:rsid w:val="008807CA"/>
    <w:rsid w:val="008807D5"/>
    <w:rsid w:val="00880882"/>
    <w:rsid w:val="008809DE"/>
    <w:rsid w:val="008809EA"/>
    <w:rsid w:val="00880A15"/>
    <w:rsid w:val="00880DEA"/>
    <w:rsid w:val="00880F2D"/>
    <w:rsid w:val="00881099"/>
    <w:rsid w:val="0088127E"/>
    <w:rsid w:val="00881352"/>
    <w:rsid w:val="008813BA"/>
    <w:rsid w:val="00881594"/>
    <w:rsid w:val="00881656"/>
    <w:rsid w:val="00881789"/>
    <w:rsid w:val="0088188D"/>
    <w:rsid w:val="008818DD"/>
    <w:rsid w:val="00881981"/>
    <w:rsid w:val="00881AC4"/>
    <w:rsid w:val="00881AD1"/>
    <w:rsid w:val="00881AFD"/>
    <w:rsid w:val="00881B6D"/>
    <w:rsid w:val="00881E2F"/>
    <w:rsid w:val="00881EFD"/>
    <w:rsid w:val="008821A7"/>
    <w:rsid w:val="008822D1"/>
    <w:rsid w:val="00882387"/>
    <w:rsid w:val="00882531"/>
    <w:rsid w:val="00882595"/>
    <w:rsid w:val="0088269E"/>
    <w:rsid w:val="008829AA"/>
    <w:rsid w:val="00882AD4"/>
    <w:rsid w:val="00882D50"/>
    <w:rsid w:val="00882D7F"/>
    <w:rsid w:val="00882DB7"/>
    <w:rsid w:val="00882E54"/>
    <w:rsid w:val="00883060"/>
    <w:rsid w:val="008837ED"/>
    <w:rsid w:val="0088383E"/>
    <w:rsid w:val="0088398C"/>
    <w:rsid w:val="0088399D"/>
    <w:rsid w:val="008839B0"/>
    <w:rsid w:val="00883AD2"/>
    <w:rsid w:val="00883B12"/>
    <w:rsid w:val="00883BC3"/>
    <w:rsid w:val="00883C93"/>
    <w:rsid w:val="00883D1A"/>
    <w:rsid w:val="00883E65"/>
    <w:rsid w:val="00883F17"/>
    <w:rsid w:val="00883F2E"/>
    <w:rsid w:val="00883F33"/>
    <w:rsid w:val="00884058"/>
    <w:rsid w:val="008840D2"/>
    <w:rsid w:val="008840E7"/>
    <w:rsid w:val="008844C9"/>
    <w:rsid w:val="008845B3"/>
    <w:rsid w:val="0088462D"/>
    <w:rsid w:val="0088465B"/>
    <w:rsid w:val="00884893"/>
    <w:rsid w:val="008848CC"/>
    <w:rsid w:val="008848FE"/>
    <w:rsid w:val="00884A1B"/>
    <w:rsid w:val="00884AAD"/>
    <w:rsid w:val="00884ADC"/>
    <w:rsid w:val="00884C3A"/>
    <w:rsid w:val="00884D2B"/>
    <w:rsid w:val="00884ED8"/>
    <w:rsid w:val="00884F08"/>
    <w:rsid w:val="00884FD0"/>
    <w:rsid w:val="00884FE1"/>
    <w:rsid w:val="0088505A"/>
    <w:rsid w:val="008850DD"/>
    <w:rsid w:val="0088519F"/>
    <w:rsid w:val="00885261"/>
    <w:rsid w:val="00885477"/>
    <w:rsid w:val="0088557C"/>
    <w:rsid w:val="008855C0"/>
    <w:rsid w:val="008856A6"/>
    <w:rsid w:val="008856AC"/>
    <w:rsid w:val="00885815"/>
    <w:rsid w:val="00885A22"/>
    <w:rsid w:val="00885D16"/>
    <w:rsid w:val="00885D49"/>
    <w:rsid w:val="00885EAB"/>
    <w:rsid w:val="00886025"/>
    <w:rsid w:val="00886080"/>
    <w:rsid w:val="0088643E"/>
    <w:rsid w:val="008864B6"/>
    <w:rsid w:val="008864EE"/>
    <w:rsid w:val="008864F5"/>
    <w:rsid w:val="00886536"/>
    <w:rsid w:val="008865C4"/>
    <w:rsid w:val="008865FC"/>
    <w:rsid w:val="00886728"/>
    <w:rsid w:val="00886A00"/>
    <w:rsid w:val="00886BA0"/>
    <w:rsid w:val="00886C05"/>
    <w:rsid w:val="00886E59"/>
    <w:rsid w:val="00886EBF"/>
    <w:rsid w:val="00886F48"/>
    <w:rsid w:val="008870ED"/>
    <w:rsid w:val="00887337"/>
    <w:rsid w:val="008873A1"/>
    <w:rsid w:val="00887459"/>
    <w:rsid w:val="0088769B"/>
    <w:rsid w:val="00887804"/>
    <w:rsid w:val="008878D5"/>
    <w:rsid w:val="00887953"/>
    <w:rsid w:val="0088797B"/>
    <w:rsid w:val="00887C70"/>
    <w:rsid w:val="00887CDA"/>
    <w:rsid w:val="00887E44"/>
    <w:rsid w:val="008900DF"/>
    <w:rsid w:val="0089020A"/>
    <w:rsid w:val="008902BC"/>
    <w:rsid w:val="008904EA"/>
    <w:rsid w:val="008906A0"/>
    <w:rsid w:val="008907CF"/>
    <w:rsid w:val="00890B04"/>
    <w:rsid w:val="008911A3"/>
    <w:rsid w:val="008911A6"/>
    <w:rsid w:val="00891242"/>
    <w:rsid w:val="0089133A"/>
    <w:rsid w:val="008913A1"/>
    <w:rsid w:val="008914EA"/>
    <w:rsid w:val="00891536"/>
    <w:rsid w:val="008916A6"/>
    <w:rsid w:val="008916AA"/>
    <w:rsid w:val="00891775"/>
    <w:rsid w:val="00891791"/>
    <w:rsid w:val="00891CC9"/>
    <w:rsid w:val="00891E06"/>
    <w:rsid w:val="00891E54"/>
    <w:rsid w:val="00891F70"/>
    <w:rsid w:val="00892000"/>
    <w:rsid w:val="008921D6"/>
    <w:rsid w:val="008921EF"/>
    <w:rsid w:val="0089223E"/>
    <w:rsid w:val="008923BD"/>
    <w:rsid w:val="008923E8"/>
    <w:rsid w:val="00892430"/>
    <w:rsid w:val="00892936"/>
    <w:rsid w:val="0089293A"/>
    <w:rsid w:val="008929C1"/>
    <w:rsid w:val="00892CDA"/>
    <w:rsid w:val="00893209"/>
    <w:rsid w:val="008933EE"/>
    <w:rsid w:val="0089356C"/>
    <w:rsid w:val="00893582"/>
    <w:rsid w:val="008935C9"/>
    <w:rsid w:val="00893693"/>
    <w:rsid w:val="00893983"/>
    <w:rsid w:val="008939CA"/>
    <w:rsid w:val="00893A62"/>
    <w:rsid w:val="00893AA1"/>
    <w:rsid w:val="00893B9B"/>
    <w:rsid w:val="00893BAB"/>
    <w:rsid w:val="00893CD6"/>
    <w:rsid w:val="00893D87"/>
    <w:rsid w:val="00893D94"/>
    <w:rsid w:val="00893F91"/>
    <w:rsid w:val="00894012"/>
    <w:rsid w:val="0089406B"/>
    <w:rsid w:val="00894109"/>
    <w:rsid w:val="0089412D"/>
    <w:rsid w:val="008942F8"/>
    <w:rsid w:val="00894313"/>
    <w:rsid w:val="008943B4"/>
    <w:rsid w:val="00894554"/>
    <w:rsid w:val="0089468A"/>
    <w:rsid w:val="008946A4"/>
    <w:rsid w:val="008948F0"/>
    <w:rsid w:val="00894A9C"/>
    <w:rsid w:val="00894E6C"/>
    <w:rsid w:val="00895243"/>
    <w:rsid w:val="008954A8"/>
    <w:rsid w:val="00895A8F"/>
    <w:rsid w:val="00895B41"/>
    <w:rsid w:val="00895BC9"/>
    <w:rsid w:val="00895C05"/>
    <w:rsid w:val="00895C40"/>
    <w:rsid w:val="00895C9C"/>
    <w:rsid w:val="00895D7A"/>
    <w:rsid w:val="00895E0B"/>
    <w:rsid w:val="00895E70"/>
    <w:rsid w:val="00895EC9"/>
    <w:rsid w:val="00895F0A"/>
    <w:rsid w:val="00895F70"/>
    <w:rsid w:val="00895FF3"/>
    <w:rsid w:val="00895FFE"/>
    <w:rsid w:val="008961A0"/>
    <w:rsid w:val="008961A3"/>
    <w:rsid w:val="00896208"/>
    <w:rsid w:val="00896220"/>
    <w:rsid w:val="008962E9"/>
    <w:rsid w:val="00896448"/>
    <w:rsid w:val="008964C5"/>
    <w:rsid w:val="0089659D"/>
    <w:rsid w:val="00896632"/>
    <w:rsid w:val="00896651"/>
    <w:rsid w:val="008966B8"/>
    <w:rsid w:val="008966D8"/>
    <w:rsid w:val="0089683F"/>
    <w:rsid w:val="00896964"/>
    <w:rsid w:val="00896A0A"/>
    <w:rsid w:val="00896C0E"/>
    <w:rsid w:val="00896CA2"/>
    <w:rsid w:val="00896DF5"/>
    <w:rsid w:val="00896EFE"/>
    <w:rsid w:val="008974A7"/>
    <w:rsid w:val="00897576"/>
    <w:rsid w:val="00897659"/>
    <w:rsid w:val="00897674"/>
    <w:rsid w:val="00897738"/>
    <w:rsid w:val="0089795A"/>
    <w:rsid w:val="0089796A"/>
    <w:rsid w:val="00897C5E"/>
    <w:rsid w:val="00897FA7"/>
    <w:rsid w:val="008A0027"/>
    <w:rsid w:val="008A01F4"/>
    <w:rsid w:val="008A02B1"/>
    <w:rsid w:val="008A0622"/>
    <w:rsid w:val="008A0706"/>
    <w:rsid w:val="008A075D"/>
    <w:rsid w:val="008A07A0"/>
    <w:rsid w:val="008A0B6A"/>
    <w:rsid w:val="008A0CAD"/>
    <w:rsid w:val="008A0D1E"/>
    <w:rsid w:val="008A0DED"/>
    <w:rsid w:val="008A0E7D"/>
    <w:rsid w:val="008A0F0C"/>
    <w:rsid w:val="008A0F42"/>
    <w:rsid w:val="008A0FA2"/>
    <w:rsid w:val="008A0FB5"/>
    <w:rsid w:val="008A0FCC"/>
    <w:rsid w:val="008A1107"/>
    <w:rsid w:val="008A125C"/>
    <w:rsid w:val="008A12B5"/>
    <w:rsid w:val="008A1421"/>
    <w:rsid w:val="008A14AB"/>
    <w:rsid w:val="008A14B5"/>
    <w:rsid w:val="008A162A"/>
    <w:rsid w:val="008A18A2"/>
    <w:rsid w:val="008A1A23"/>
    <w:rsid w:val="008A1A50"/>
    <w:rsid w:val="008A1A7F"/>
    <w:rsid w:val="008A1D05"/>
    <w:rsid w:val="008A1F56"/>
    <w:rsid w:val="008A20AE"/>
    <w:rsid w:val="008A22F0"/>
    <w:rsid w:val="008A23DB"/>
    <w:rsid w:val="008A24F9"/>
    <w:rsid w:val="008A25A2"/>
    <w:rsid w:val="008A2699"/>
    <w:rsid w:val="008A29DB"/>
    <w:rsid w:val="008A2BD9"/>
    <w:rsid w:val="008A2BFA"/>
    <w:rsid w:val="008A2D3F"/>
    <w:rsid w:val="008A2EFE"/>
    <w:rsid w:val="008A2F29"/>
    <w:rsid w:val="008A2F34"/>
    <w:rsid w:val="008A2F80"/>
    <w:rsid w:val="008A3152"/>
    <w:rsid w:val="008A315D"/>
    <w:rsid w:val="008A32B7"/>
    <w:rsid w:val="008A332C"/>
    <w:rsid w:val="008A336A"/>
    <w:rsid w:val="008A3437"/>
    <w:rsid w:val="008A3502"/>
    <w:rsid w:val="008A3581"/>
    <w:rsid w:val="008A374B"/>
    <w:rsid w:val="008A37F5"/>
    <w:rsid w:val="008A3846"/>
    <w:rsid w:val="008A38D3"/>
    <w:rsid w:val="008A3A3A"/>
    <w:rsid w:val="008A3A49"/>
    <w:rsid w:val="008A3C36"/>
    <w:rsid w:val="008A3DB4"/>
    <w:rsid w:val="008A3DFC"/>
    <w:rsid w:val="008A4159"/>
    <w:rsid w:val="008A4209"/>
    <w:rsid w:val="008A4211"/>
    <w:rsid w:val="008A43E5"/>
    <w:rsid w:val="008A4406"/>
    <w:rsid w:val="008A4538"/>
    <w:rsid w:val="008A45D4"/>
    <w:rsid w:val="008A45F3"/>
    <w:rsid w:val="008A4629"/>
    <w:rsid w:val="008A4673"/>
    <w:rsid w:val="008A4867"/>
    <w:rsid w:val="008A487C"/>
    <w:rsid w:val="008A4988"/>
    <w:rsid w:val="008A49EF"/>
    <w:rsid w:val="008A4A9C"/>
    <w:rsid w:val="008A4AFF"/>
    <w:rsid w:val="008A4B31"/>
    <w:rsid w:val="008A4E19"/>
    <w:rsid w:val="008A4F59"/>
    <w:rsid w:val="008A4FBB"/>
    <w:rsid w:val="008A4FCC"/>
    <w:rsid w:val="008A53D5"/>
    <w:rsid w:val="008A55DC"/>
    <w:rsid w:val="008A56F1"/>
    <w:rsid w:val="008A579D"/>
    <w:rsid w:val="008A5993"/>
    <w:rsid w:val="008A5ACE"/>
    <w:rsid w:val="008A5C88"/>
    <w:rsid w:val="008A5D01"/>
    <w:rsid w:val="008A5F37"/>
    <w:rsid w:val="008A602B"/>
    <w:rsid w:val="008A6105"/>
    <w:rsid w:val="008A628B"/>
    <w:rsid w:val="008A64D4"/>
    <w:rsid w:val="008A6506"/>
    <w:rsid w:val="008A666B"/>
    <w:rsid w:val="008A6865"/>
    <w:rsid w:val="008A719F"/>
    <w:rsid w:val="008A7408"/>
    <w:rsid w:val="008A74CB"/>
    <w:rsid w:val="008A7540"/>
    <w:rsid w:val="008A77E3"/>
    <w:rsid w:val="008A79F5"/>
    <w:rsid w:val="008A7A55"/>
    <w:rsid w:val="008A7B5C"/>
    <w:rsid w:val="008A7F1A"/>
    <w:rsid w:val="008A7F6D"/>
    <w:rsid w:val="008B0051"/>
    <w:rsid w:val="008B017B"/>
    <w:rsid w:val="008B04D0"/>
    <w:rsid w:val="008B04F1"/>
    <w:rsid w:val="008B0505"/>
    <w:rsid w:val="008B053A"/>
    <w:rsid w:val="008B07CC"/>
    <w:rsid w:val="008B08A1"/>
    <w:rsid w:val="008B08BC"/>
    <w:rsid w:val="008B098B"/>
    <w:rsid w:val="008B0C63"/>
    <w:rsid w:val="008B0C76"/>
    <w:rsid w:val="008B0CA5"/>
    <w:rsid w:val="008B0D5F"/>
    <w:rsid w:val="008B0DF3"/>
    <w:rsid w:val="008B0DF6"/>
    <w:rsid w:val="008B0E81"/>
    <w:rsid w:val="008B1082"/>
    <w:rsid w:val="008B118B"/>
    <w:rsid w:val="008B1199"/>
    <w:rsid w:val="008B11E2"/>
    <w:rsid w:val="008B1327"/>
    <w:rsid w:val="008B1344"/>
    <w:rsid w:val="008B154A"/>
    <w:rsid w:val="008B1703"/>
    <w:rsid w:val="008B17A9"/>
    <w:rsid w:val="008B1829"/>
    <w:rsid w:val="008B1875"/>
    <w:rsid w:val="008B1B24"/>
    <w:rsid w:val="008B1B4A"/>
    <w:rsid w:val="008B1BA0"/>
    <w:rsid w:val="008B1BC0"/>
    <w:rsid w:val="008B1BEA"/>
    <w:rsid w:val="008B1C4D"/>
    <w:rsid w:val="008B1D29"/>
    <w:rsid w:val="008B1D34"/>
    <w:rsid w:val="008B1DF6"/>
    <w:rsid w:val="008B1EB1"/>
    <w:rsid w:val="008B1FE4"/>
    <w:rsid w:val="008B2059"/>
    <w:rsid w:val="008B209A"/>
    <w:rsid w:val="008B222B"/>
    <w:rsid w:val="008B232B"/>
    <w:rsid w:val="008B240C"/>
    <w:rsid w:val="008B26AF"/>
    <w:rsid w:val="008B272A"/>
    <w:rsid w:val="008B2756"/>
    <w:rsid w:val="008B2837"/>
    <w:rsid w:val="008B2C1C"/>
    <w:rsid w:val="008B2C24"/>
    <w:rsid w:val="008B2CB1"/>
    <w:rsid w:val="008B2CB8"/>
    <w:rsid w:val="008B31C7"/>
    <w:rsid w:val="008B33EE"/>
    <w:rsid w:val="008B36A4"/>
    <w:rsid w:val="008B372D"/>
    <w:rsid w:val="008B3881"/>
    <w:rsid w:val="008B3FF1"/>
    <w:rsid w:val="008B43A6"/>
    <w:rsid w:val="008B43E8"/>
    <w:rsid w:val="008B4534"/>
    <w:rsid w:val="008B4576"/>
    <w:rsid w:val="008B4926"/>
    <w:rsid w:val="008B49CD"/>
    <w:rsid w:val="008B4A43"/>
    <w:rsid w:val="008B4A46"/>
    <w:rsid w:val="008B4A5D"/>
    <w:rsid w:val="008B4CFC"/>
    <w:rsid w:val="008B4EEE"/>
    <w:rsid w:val="008B4EF1"/>
    <w:rsid w:val="008B4F03"/>
    <w:rsid w:val="008B507D"/>
    <w:rsid w:val="008B5130"/>
    <w:rsid w:val="008B541E"/>
    <w:rsid w:val="008B55E2"/>
    <w:rsid w:val="008B5845"/>
    <w:rsid w:val="008B58E1"/>
    <w:rsid w:val="008B597B"/>
    <w:rsid w:val="008B5AE1"/>
    <w:rsid w:val="008B5BB3"/>
    <w:rsid w:val="008B5BC1"/>
    <w:rsid w:val="008B5C18"/>
    <w:rsid w:val="008B5C1F"/>
    <w:rsid w:val="008B5C2B"/>
    <w:rsid w:val="008B5C76"/>
    <w:rsid w:val="008B5CFD"/>
    <w:rsid w:val="008B5E0F"/>
    <w:rsid w:val="008B61CA"/>
    <w:rsid w:val="008B628F"/>
    <w:rsid w:val="008B639B"/>
    <w:rsid w:val="008B6538"/>
    <w:rsid w:val="008B657E"/>
    <w:rsid w:val="008B65DD"/>
    <w:rsid w:val="008B6626"/>
    <w:rsid w:val="008B66FF"/>
    <w:rsid w:val="008B6731"/>
    <w:rsid w:val="008B6756"/>
    <w:rsid w:val="008B67D3"/>
    <w:rsid w:val="008B68D4"/>
    <w:rsid w:val="008B6A91"/>
    <w:rsid w:val="008B6BE7"/>
    <w:rsid w:val="008B7012"/>
    <w:rsid w:val="008B7019"/>
    <w:rsid w:val="008B703B"/>
    <w:rsid w:val="008B72F9"/>
    <w:rsid w:val="008B7350"/>
    <w:rsid w:val="008B7360"/>
    <w:rsid w:val="008B755D"/>
    <w:rsid w:val="008B7594"/>
    <w:rsid w:val="008B770E"/>
    <w:rsid w:val="008B77FB"/>
    <w:rsid w:val="008B7840"/>
    <w:rsid w:val="008B7891"/>
    <w:rsid w:val="008B7C9B"/>
    <w:rsid w:val="008B7FA1"/>
    <w:rsid w:val="008C0093"/>
    <w:rsid w:val="008C0141"/>
    <w:rsid w:val="008C0269"/>
    <w:rsid w:val="008C026E"/>
    <w:rsid w:val="008C02B8"/>
    <w:rsid w:val="008C04EE"/>
    <w:rsid w:val="008C06C1"/>
    <w:rsid w:val="008C083B"/>
    <w:rsid w:val="008C09EA"/>
    <w:rsid w:val="008C09EC"/>
    <w:rsid w:val="008C0BBE"/>
    <w:rsid w:val="008C0E4D"/>
    <w:rsid w:val="008C0FFA"/>
    <w:rsid w:val="008C1041"/>
    <w:rsid w:val="008C1151"/>
    <w:rsid w:val="008C1181"/>
    <w:rsid w:val="008C1674"/>
    <w:rsid w:val="008C16B5"/>
    <w:rsid w:val="008C16FB"/>
    <w:rsid w:val="008C190D"/>
    <w:rsid w:val="008C193B"/>
    <w:rsid w:val="008C1965"/>
    <w:rsid w:val="008C1A4F"/>
    <w:rsid w:val="008C1AA1"/>
    <w:rsid w:val="008C1B10"/>
    <w:rsid w:val="008C1B1B"/>
    <w:rsid w:val="008C1B3F"/>
    <w:rsid w:val="008C1D6A"/>
    <w:rsid w:val="008C1D73"/>
    <w:rsid w:val="008C1F0F"/>
    <w:rsid w:val="008C1F9C"/>
    <w:rsid w:val="008C1FAD"/>
    <w:rsid w:val="008C219F"/>
    <w:rsid w:val="008C21D3"/>
    <w:rsid w:val="008C24DD"/>
    <w:rsid w:val="008C25F6"/>
    <w:rsid w:val="008C261F"/>
    <w:rsid w:val="008C28B1"/>
    <w:rsid w:val="008C2CCA"/>
    <w:rsid w:val="008C2CE3"/>
    <w:rsid w:val="008C2D67"/>
    <w:rsid w:val="008C2DF7"/>
    <w:rsid w:val="008C2E71"/>
    <w:rsid w:val="008C30A0"/>
    <w:rsid w:val="008C31EE"/>
    <w:rsid w:val="008C33F4"/>
    <w:rsid w:val="008C35D9"/>
    <w:rsid w:val="008C36D2"/>
    <w:rsid w:val="008C3831"/>
    <w:rsid w:val="008C3861"/>
    <w:rsid w:val="008C38D6"/>
    <w:rsid w:val="008C3B6D"/>
    <w:rsid w:val="008C3C11"/>
    <w:rsid w:val="008C3D30"/>
    <w:rsid w:val="008C3D87"/>
    <w:rsid w:val="008C3E07"/>
    <w:rsid w:val="008C3E09"/>
    <w:rsid w:val="008C3E9E"/>
    <w:rsid w:val="008C3FF8"/>
    <w:rsid w:val="008C404E"/>
    <w:rsid w:val="008C4288"/>
    <w:rsid w:val="008C432A"/>
    <w:rsid w:val="008C438C"/>
    <w:rsid w:val="008C45C0"/>
    <w:rsid w:val="008C46D2"/>
    <w:rsid w:val="008C480D"/>
    <w:rsid w:val="008C488D"/>
    <w:rsid w:val="008C4A76"/>
    <w:rsid w:val="008C4AC9"/>
    <w:rsid w:val="008C4ADC"/>
    <w:rsid w:val="008C4B64"/>
    <w:rsid w:val="008C4F46"/>
    <w:rsid w:val="008C4FA4"/>
    <w:rsid w:val="008C50C6"/>
    <w:rsid w:val="008C50D9"/>
    <w:rsid w:val="008C5110"/>
    <w:rsid w:val="008C51C3"/>
    <w:rsid w:val="008C5231"/>
    <w:rsid w:val="008C5603"/>
    <w:rsid w:val="008C5A82"/>
    <w:rsid w:val="008C5A9C"/>
    <w:rsid w:val="008C5B61"/>
    <w:rsid w:val="008C6017"/>
    <w:rsid w:val="008C601C"/>
    <w:rsid w:val="008C60CE"/>
    <w:rsid w:val="008C61BC"/>
    <w:rsid w:val="008C6282"/>
    <w:rsid w:val="008C637E"/>
    <w:rsid w:val="008C63AD"/>
    <w:rsid w:val="008C68B9"/>
    <w:rsid w:val="008C6931"/>
    <w:rsid w:val="008C6BFA"/>
    <w:rsid w:val="008C6CE3"/>
    <w:rsid w:val="008C70C3"/>
    <w:rsid w:val="008C70C5"/>
    <w:rsid w:val="008C70F9"/>
    <w:rsid w:val="008C7300"/>
    <w:rsid w:val="008C734C"/>
    <w:rsid w:val="008C73A4"/>
    <w:rsid w:val="008C75F0"/>
    <w:rsid w:val="008C7748"/>
    <w:rsid w:val="008C79DF"/>
    <w:rsid w:val="008C7A73"/>
    <w:rsid w:val="008C7C30"/>
    <w:rsid w:val="008C7C46"/>
    <w:rsid w:val="008C7CB9"/>
    <w:rsid w:val="008C7D1E"/>
    <w:rsid w:val="008C7FA5"/>
    <w:rsid w:val="008C7FE0"/>
    <w:rsid w:val="008C7FE2"/>
    <w:rsid w:val="008D00F6"/>
    <w:rsid w:val="008D018B"/>
    <w:rsid w:val="008D01F7"/>
    <w:rsid w:val="008D0279"/>
    <w:rsid w:val="008D0457"/>
    <w:rsid w:val="008D0530"/>
    <w:rsid w:val="008D06A8"/>
    <w:rsid w:val="008D073B"/>
    <w:rsid w:val="008D0B22"/>
    <w:rsid w:val="008D0CFE"/>
    <w:rsid w:val="008D0DA4"/>
    <w:rsid w:val="008D0E3B"/>
    <w:rsid w:val="008D0ED1"/>
    <w:rsid w:val="008D1045"/>
    <w:rsid w:val="008D1180"/>
    <w:rsid w:val="008D1230"/>
    <w:rsid w:val="008D12A8"/>
    <w:rsid w:val="008D131F"/>
    <w:rsid w:val="008D1375"/>
    <w:rsid w:val="008D142D"/>
    <w:rsid w:val="008D1541"/>
    <w:rsid w:val="008D15AD"/>
    <w:rsid w:val="008D160A"/>
    <w:rsid w:val="008D16B4"/>
    <w:rsid w:val="008D1B54"/>
    <w:rsid w:val="008D1B92"/>
    <w:rsid w:val="008D1C4A"/>
    <w:rsid w:val="008D1C68"/>
    <w:rsid w:val="008D1CA6"/>
    <w:rsid w:val="008D1CD5"/>
    <w:rsid w:val="008D1DB2"/>
    <w:rsid w:val="008D2345"/>
    <w:rsid w:val="008D277A"/>
    <w:rsid w:val="008D282B"/>
    <w:rsid w:val="008D28CF"/>
    <w:rsid w:val="008D293B"/>
    <w:rsid w:val="008D2AB2"/>
    <w:rsid w:val="008D2AC8"/>
    <w:rsid w:val="008D2B36"/>
    <w:rsid w:val="008D2B8C"/>
    <w:rsid w:val="008D2BB8"/>
    <w:rsid w:val="008D2BC8"/>
    <w:rsid w:val="008D2D41"/>
    <w:rsid w:val="008D2E01"/>
    <w:rsid w:val="008D2ECB"/>
    <w:rsid w:val="008D2F03"/>
    <w:rsid w:val="008D2F41"/>
    <w:rsid w:val="008D2F5F"/>
    <w:rsid w:val="008D3024"/>
    <w:rsid w:val="008D30A4"/>
    <w:rsid w:val="008D3232"/>
    <w:rsid w:val="008D33C4"/>
    <w:rsid w:val="008D34C7"/>
    <w:rsid w:val="008D374C"/>
    <w:rsid w:val="008D37A0"/>
    <w:rsid w:val="008D37E7"/>
    <w:rsid w:val="008D3A8A"/>
    <w:rsid w:val="008D3B57"/>
    <w:rsid w:val="008D3C3B"/>
    <w:rsid w:val="008D3D42"/>
    <w:rsid w:val="008D3D9A"/>
    <w:rsid w:val="008D41B8"/>
    <w:rsid w:val="008D436A"/>
    <w:rsid w:val="008D43E4"/>
    <w:rsid w:val="008D4401"/>
    <w:rsid w:val="008D443F"/>
    <w:rsid w:val="008D457C"/>
    <w:rsid w:val="008D4905"/>
    <w:rsid w:val="008D4961"/>
    <w:rsid w:val="008D4991"/>
    <w:rsid w:val="008D49E7"/>
    <w:rsid w:val="008D4A3A"/>
    <w:rsid w:val="008D4CBC"/>
    <w:rsid w:val="008D4DCC"/>
    <w:rsid w:val="008D4ED6"/>
    <w:rsid w:val="008D4F38"/>
    <w:rsid w:val="008D5185"/>
    <w:rsid w:val="008D527D"/>
    <w:rsid w:val="008D52CE"/>
    <w:rsid w:val="008D53A1"/>
    <w:rsid w:val="008D541C"/>
    <w:rsid w:val="008D545F"/>
    <w:rsid w:val="008D54EC"/>
    <w:rsid w:val="008D5530"/>
    <w:rsid w:val="008D5696"/>
    <w:rsid w:val="008D5897"/>
    <w:rsid w:val="008D589F"/>
    <w:rsid w:val="008D5C3C"/>
    <w:rsid w:val="008D5E90"/>
    <w:rsid w:val="008D604A"/>
    <w:rsid w:val="008D6062"/>
    <w:rsid w:val="008D62CC"/>
    <w:rsid w:val="008D6337"/>
    <w:rsid w:val="008D642A"/>
    <w:rsid w:val="008D6491"/>
    <w:rsid w:val="008D65CD"/>
    <w:rsid w:val="008D6635"/>
    <w:rsid w:val="008D6652"/>
    <w:rsid w:val="008D668F"/>
    <w:rsid w:val="008D674D"/>
    <w:rsid w:val="008D6766"/>
    <w:rsid w:val="008D6809"/>
    <w:rsid w:val="008D68A4"/>
    <w:rsid w:val="008D6C44"/>
    <w:rsid w:val="008D6F0E"/>
    <w:rsid w:val="008D6FF3"/>
    <w:rsid w:val="008D7126"/>
    <w:rsid w:val="008D71A6"/>
    <w:rsid w:val="008D728A"/>
    <w:rsid w:val="008D7297"/>
    <w:rsid w:val="008D7351"/>
    <w:rsid w:val="008D7494"/>
    <w:rsid w:val="008D7542"/>
    <w:rsid w:val="008D76BA"/>
    <w:rsid w:val="008D78EF"/>
    <w:rsid w:val="008D794C"/>
    <w:rsid w:val="008D7B11"/>
    <w:rsid w:val="008D7B1A"/>
    <w:rsid w:val="008D7C03"/>
    <w:rsid w:val="008D7C9D"/>
    <w:rsid w:val="008D7EB5"/>
    <w:rsid w:val="008D7EFA"/>
    <w:rsid w:val="008D7F65"/>
    <w:rsid w:val="008D7FEF"/>
    <w:rsid w:val="008E0065"/>
    <w:rsid w:val="008E01D6"/>
    <w:rsid w:val="008E02ED"/>
    <w:rsid w:val="008E03A7"/>
    <w:rsid w:val="008E051B"/>
    <w:rsid w:val="008E05F9"/>
    <w:rsid w:val="008E06D5"/>
    <w:rsid w:val="008E0746"/>
    <w:rsid w:val="008E0750"/>
    <w:rsid w:val="008E083B"/>
    <w:rsid w:val="008E0A7C"/>
    <w:rsid w:val="008E0AE2"/>
    <w:rsid w:val="008E0B9B"/>
    <w:rsid w:val="008E0F90"/>
    <w:rsid w:val="008E1092"/>
    <w:rsid w:val="008E1132"/>
    <w:rsid w:val="008E13D0"/>
    <w:rsid w:val="008E153C"/>
    <w:rsid w:val="008E1552"/>
    <w:rsid w:val="008E1BEE"/>
    <w:rsid w:val="008E1C5A"/>
    <w:rsid w:val="008E1C8D"/>
    <w:rsid w:val="008E1DA4"/>
    <w:rsid w:val="008E1F14"/>
    <w:rsid w:val="008E1F15"/>
    <w:rsid w:val="008E2055"/>
    <w:rsid w:val="008E222B"/>
    <w:rsid w:val="008E223B"/>
    <w:rsid w:val="008E2355"/>
    <w:rsid w:val="008E237B"/>
    <w:rsid w:val="008E2416"/>
    <w:rsid w:val="008E2456"/>
    <w:rsid w:val="008E2709"/>
    <w:rsid w:val="008E2847"/>
    <w:rsid w:val="008E296B"/>
    <w:rsid w:val="008E2B74"/>
    <w:rsid w:val="008E2BDA"/>
    <w:rsid w:val="008E2D5F"/>
    <w:rsid w:val="008E2DEC"/>
    <w:rsid w:val="008E2EBF"/>
    <w:rsid w:val="008E2EDE"/>
    <w:rsid w:val="008E2F8A"/>
    <w:rsid w:val="008E3016"/>
    <w:rsid w:val="008E3277"/>
    <w:rsid w:val="008E32C0"/>
    <w:rsid w:val="008E3350"/>
    <w:rsid w:val="008E3395"/>
    <w:rsid w:val="008E34D6"/>
    <w:rsid w:val="008E3624"/>
    <w:rsid w:val="008E3707"/>
    <w:rsid w:val="008E378D"/>
    <w:rsid w:val="008E3883"/>
    <w:rsid w:val="008E397D"/>
    <w:rsid w:val="008E3BAB"/>
    <w:rsid w:val="008E3C8B"/>
    <w:rsid w:val="008E3D2C"/>
    <w:rsid w:val="008E3DFC"/>
    <w:rsid w:val="008E3E42"/>
    <w:rsid w:val="008E4056"/>
    <w:rsid w:val="008E4117"/>
    <w:rsid w:val="008E4398"/>
    <w:rsid w:val="008E4478"/>
    <w:rsid w:val="008E4806"/>
    <w:rsid w:val="008E48EF"/>
    <w:rsid w:val="008E4A09"/>
    <w:rsid w:val="008E4AF1"/>
    <w:rsid w:val="008E4B10"/>
    <w:rsid w:val="008E5092"/>
    <w:rsid w:val="008E5116"/>
    <w:rsid w:val="008E5228"/>
    <w:rsid w:val="008E526B"/>
    <w:rsid w:val="008E535A"/>
    <w:rsid w:val="008E5587"/>
    <w:rsid w:val="008E58E4"/>
    <w:rsid w:val="008E5C70"/>
    <w:rsid w:val="008E5CDD"/>
    <w:rsid w:val="008E5D61"/>
    <w:rsid w:val="008E5D66"/>
    <w:rsid w:val="008E5DB6"/>
    <w:rsid w:val="008E5F12"/>
    <w:rsid w:val="008E5FB7"/>
    <w:rsid w:val="008E6004"/>
    <w:rsid w:val="008E613A"/>
    <w:rsid w:val="008E6344"/>
    <w:rsid w:val="008E63D1"/>
    <w:rsid w:val="008E6532"/>
    <w:rsid w:val="008E65B7"/>
    <w:rsid w:val="008E66AD"/>
    <w:rsid w:val="008E67A3"/>
    <w:rsid w:val="008E6979"/>
    <w:rsid w:val="008E6B1A"/>
    <w:rsid w:val="008E6CF4"/>
    <w:rsid w:val="008E6D2C"/>
    <w:rsid w:val="008E6DD8"/>
    <w:rsid w:val="008E6E8F"/>
    <w:rsid w:val="008E6F0B"/>
    <w:rsid w:val="008E6F2A"/>
    <w:rsid w:val="008E704B"/>
    <w:rsid w:val="008E71BB"/>
    <w:rsid w:val="008E72A1"/>
    <w:rsid w:val="008E72F9"/>
    <w:rsid w:val="008E734D"/>
    <w:rsid w:val="008E735C"/>
    <w:rsid w:val="008E7453"/>
    <w:rsid w:val="008E74F4"/>
    <w:rsid w:val="008E7573"/>
    <w:rsid w:val="008E7627"/>
    <w:rsid w:val="008E76D2"/>
    <w:rsid w:val="008E7A2C"/>
    <w:rsid w:val="008E7B56"/>
    <w:rsid w:val="008E7B62"/>
    <w:rsid w:val="008E7C61"/>
    <w:rsid w:val="008E7CB0"/>
    <w:rsid w:val="008E7CFF"/>
    <w:rsid w:val="008E7D37"/>
    <w:rsid w:val="008E7D93"/>
    <w:rsid w:val="008F00B3"/>
    <w:rsid w:val="008F02F9"/>
    <w:rsid w:val="008F059C"/>
    <w:rsid w:val="008F05F7"/>
    <w:rsid w:val="008F0857"/>
    <w:rsid w:val="008F08A1"/>
    <w:rsid w:val="008F09DE"/>
    <w:rsid w:val="008F0B2D"/>
    <w:rsid w:val="008F0B3D"/>
    <w:rsid w:val="008F0B7C"/>
    <w:rsid w:val="008F0B86"/>
    <w:rsid w:val="008F0B8F"/>
    <w:rsid w:val="008F0BF8"/>
    <w:rsid w:val="008F0CF0"/>
    <w:rsid w:val="008F0D37"/>
    <w:rsid w:val="008F0D7A"/>
    <w:rsid w:val="008F1197"/>
    <w:rsid w:val="008F1293"/>
    <w:rsid w:val="008F13A5"/>
    <w:rsid w:val="008F146B"/>
    <w:rsid w:val="008F1519"/>
    <w:rsid w:val="008F15D0"/>
    <w:rsid w:val="008F1657"/>
    <w:rsid w:val="008F1691"/>
    <w:rsid w:val="008F1841"/>
    <w:rsid w:val="008F1B16"/>
    <w:rsid w:val="008F1B81"/>
    <w:rsid w:val="008F1BA4"/>
    <w:rsid w:val="008F1C28"/>
    <w:rsid w:val="008F1C39"/>
    <w:rsid w:val="008F1D2B"/>
    <w:rsid w:val="008F1E0F"/>
    <w:rsid w:val="008F22B7"/>
    <w:rsid w:val="008F233B"/>
    <w:rsid w:val="008F2532"/>
    <w:rsid w:val="008F26AD"/>
    <w:rsid w:val="008F27E8"/>
    <w:rsid w:val="008F27EB"/>
    <w:rsid w:val="008F2865"/>
    <w:rsid w:val="008F28ED"/>
    <w:rsid w:val="008F29EA"/>
    <w:rsid w:val="008F2B37"/>
    <w:rsid w:val="008F2BF0"/>
    <w:rsid w:val="008F309A"/>
    <w:rsid w:val="008F327E"/>
    <w:rsid w:val="008F352D"/>
    <w:rsid w:val="008F377B"/>
    <w:rsid w:val="008F385E"/>
    <w:rsid w:val="008F3887"/>
    <w:rsid w:val="008F38C5"/>
    <w:rsid w:val="008F38CE"/>
    <w:rsid w:val="008F3970"/>
    <w:rsid w:val="008F3995"/>
    <w:rsid w:val="008F39A6"/>
    <w:rsid w:val="008F3AD7"/>
    <w:rsid w:val="008F3ADF"/>
    <w:rsid w:val="008F3AF7"/>
    <w:rsid w:val="008F3BE6"/>
    <w:rsid w:val="008F40B5"/>
    <w:rsid w:val="008F4291"/>
    <w:rsid w:val="008F4382"/>
    <w:rsid w:val="008F4458"/>
    <w:rsid w:val="008F4628"/>
    <w:rsid w:val="008F46D9"/>
    <w:rsid w:val="008F47E3"/>
    <w:rsid w:val="008F48B3"/>
    <w:rsid w:val="008F4966"/>
    <w:rsid w:val="008F499B"/>
    <w:rsid w:val="008F4A9E"/>
    <w:rsid w:val="008F4D46"/>
    <w:rsid w:val="008F4E65"/>
    <w:rsid w:val="008F4F77"/>
    <w:rsid w:val="008F4F98"/>
    <w:rsid w:val="008F50B6"/>
    <w:rsid w:val="008F50BE"/>
    <w:rsid w:val="008F5367"/>
    <w:rsid w:val="008F5394"/>
    <w:rsid w:val="008F53C2"/>
    <w:rsid w:val="008F548F"/>
    <w:rsid w:val="008F54B5"/>
    <w:rsid w:val="008F54E0"/>
    <w:rsid w:val="008F561F"/>
    <w:rsid w:val="008F56C8"/>
    <w:rsid w:val="008F5734"/>
    <w:rsid w:val="008F5860"/>
    <w:rsid w:val="008F5951"/>
    <w:rsid w:val="008F5C77"/>
    <w:rsid w:val="008F5EEE"/>
    <w:rsid w:val="008F6028"/>
    <w:rsid w:val="008F6050"/>
    <w:rsid w:val="008F619C"/>
    <w:rsid w:val="008F62F6"/>
    <w:rsid w:val="008F6319"/>
    <w:rsid w:val="008F64E8"/>
    <w:rsid w:val="008F65E5"/>
    <w:rsid w:val="008F6692"/>
    <w:rsid w:val="008F6817"/>
    <w:rsid w:val="008F68A1"/>
    <w:rsid w:val="008F6A55"/>
    <w:rsid w:val="008F6A6F"/>
    <w:rsid w:val="008F6AB3"/>
    <w:rsid w:val="008F6C4D"/>
    <w:rsid w:val="008F6CDC"/>
    <w:rsid w:val="008F6E8C"/>
    <w:rsid w:val="008F6F44"/>
    <w:rsid w:val="008F6F9C"/>
    <w:rsid w:val="008F70FF"/>
    <w:rsid w:val="008F72C4"/>
    <w:rsid w:val="008F73E9"/>
    <w:rsid w:val="008F749C"/>
    <w:rsid w:val="008F7512"/>
    <w:rsid w:val="008F752B"/>
    <w:rsid w:val="008F75CD"/>
    <w:rsid w:val="008F76C0"/>
    <w:rsid w:val="008F7769"/>
    <w:rsid w:val="008F783F"/>
    <w:rsid w:val="008F79D7"/>
    <w:rsid w:val="008F79D8"/>
    <w:rsid w:val="008F7D60"/>
    <w:rsid w:val="008F7E83"/>
    <w:rsid w:val="0090005F"/>
    <w:rsid w:val="009002FD"/>
    <w:rsid w:val="0090059B"/>
    <w:rsid w:val="00900687"/>
    <w:rsid w:val="00900693"/>
    <w:rsid w:val="00900A4D"/>
    <w:rsid w:val="00900AC5"/>
    <w:rsid w:val="00900ADE"/>
    <w:rsid w:val="00900D10"/>
    <w:rsid w:val="00900D41"/>
    <w:rsid w:val="00900F6B"/>
    <w:rsid w:val="00900F95"/>
    <w:rsid w:val="00900F96"/>
    <w:rsid w:val="00901A4A"/>
    <w:rsid w:val="00901D26"/>
    <w:rsid w:val="00901FBF"/>
    <w:rsid w:val="009020A4"/>
    <w:rsid w:val="009021C5"/>
    <w:rsid w:val="0090226B"/>
    <w:rsid w:val="0090251A"/>
    <w:rsid w:val="00902546"/>
    <w:rsid w:val="009025B2"/>
    <w:rsid w:val="00902601"/>
    <w:rsid w:val="0090275D"/>
    <w:rsid w:val="00902844"/>
    <w:rsid w:val="00902AC3"/>
    <w:rsid w:val="00902ACD"/>
    <w:rsid w:val="00902D56"/>
    <w:rsid w:val="00902EFF"/>
    <w:rsid w:val="00902F59"/>
    <w:rsid w:val="009030C6"/>
    <w:rsid w:val="009030FE"/>
    <w:rsid w:val="009034A4"/>
    <w:rsid w:val="00903670"/>
    <w:rsid w:val="0090375B"/>
    <w:rsid w:val="009039FF"/>
    <w:rsid w:val="00903BAE"/>
    <w:rsid w:val="00903DC5"/>
    <w:rsid w:val="00903E88"/>
    <w:rsid w:val="00904074"/>
    <w:rsid w:val="0090428D"/>
    <w:rsid w:val="0090433B"/>
    <w:rsid w:val="009043C4"/>
    <w:rsid w:val="009043D8"/>
    <w:rsid w:val="0090449B"/>
    <w:rsid w:val="009045C9"/>
    <w:rsid w:val="009046DC"/>
    <w:rsid w:val="00904736"/>
    <w:rsid w:val="00904790"/>
    <w:rsid w:val="00904927"/>
    <w:rsid w:val="0090499A"/>
    <w:rsid w:val="00904B47"/>
    <w:rsid w:val="00904D24"/>
    <w:rsid w:val="00905097"/>
    <w:rsid w:val="00905182"/>
    <w:rsid w:val="0090527B"/>
    <w:rsid w:val="009052D1"/>
    <w:rsid w:val="0090533E"/>
    <w:rsid w:val="0090564E"/>
    <w:rsid w:val="0090592D"/>
    <w:rsid w:val="009059FB"/>
    <w:rsid w:val="00905A11"/>
    <w:rsid w:val="00905AAC"/>
    <w:rsid w:val="00905AD5"/>
    <w:rsid w:val="00905DA1"/>
    <w:rsid w:val="00905EA2"/>
    <w:rsid w:val="009060D5"/>
    <w:rsid w:val="00906240"/>
    <w:rsid w:val="00906452"/>
    <w:rsid w:val="00906745"/>
    <w:rsid w:val="009067AF"/>
    <w:rsid w:val="009067E2"/>
    <w:rsid w:val="00906ABA"/>
    <w:rsid w:val="00906CAB"/>
    <w:rsid w:val="00907006"/>
    <w:rsid w:val="00907011"/>
    <w:rsid w:val="009070AA"/>
    <w:rsid w:val="00907103"/>
    <w:rsid w:val="00907221"/>
    <w:rsid w:val="0090725A"/>
    <w:rsid w:val="009074EF"/>
    <w:rsid w:val="00907528"/>
    <w:rsid w:val="009075D6"/>
    <w:rsid w:val="009077FD"/>
    <w:rsid w:val="009079D1"/>
    <w:rsid w:val="00907B5C"/>
    <w:rsid w:val="00907C02"/>
    <w:rsid w:val="00907C8C"/>
    <w:rsid w:val="00907CDC"/>
    <w:rsid w:val="00907D4E"/>
    <w:rsid w:val="00907D80"/>
    <w:rsid w:val="00907E2B"/>
    <w:rsid w:val="00907F46"/>
    <w:rsid w:val="00907FCC"/>
    <w:rsid w:val="0091006E"/>
    <w:rsid w:val="009100D4"/>
    <w:rsid w:val="009101BE"/>
    <w:rsid w:val="00910274"/>
    <w:rsid w:val="009102A3"/>
    <w:rsid w:val="009102DA"/>
    <w:rsid w:val="009102F9"/>
    <w:rsid w:val="0091053E"/>
    <w:rsid w:val="009105A1"/>
    <w:rsid w:val="009105C5"/>
    <w:rsid w:val="009106F2"/>
    <w:rsid w:val="00910769"/>
    <w:rsid w:val="00910777"/>
    <w:rsid w:val="00910800"/>
    <w:rsid w:val="00910814"/>
    <w:rsid w:val="00910907"/>
    <w:rsid w:val="00910B20"/>
    <w:rsid w:val="00910B22"/>
    <w:rsid w:val="00910C62"/>
    <w:rsid w:val="00910D72"/>
    <w:rsid w:val="00910DCF"/>
    <w:rsid w:val="00911340"/>
    <w:rsid w:val="00911461"/>
    <w:rsid w:val="0091152E"/>
    <w:rsid w:val="00911583"/>
    <w:rsid w:val="009116CE"/>
    <w:rsid w:val="009118DD"/>
    <w:rsid w:val="009118E1"/>
    <w:rsid w:val="009118E6"/>
    <w:rsid w:val="0091198C"/>
    <w:rsid w:val="00911E6F"/>
    <w:rsid w:val="00911ED1"/>
    <w:rsid w:val="00911F65"/>
    <w:rsid w:val="009120EC"/>
    <w:rsid w:val="009123FB"/>
    <w:rsid w:val="00912591"/>
    <w:rsid w:val="009125F2"/>
    <w:rsid w:val="009127B5"/>
    <w:rsid w:val="009128F2"/>
    <w:rsid w:val="00912A6D"/>
    <w:rsid w:val="00912A97"/>
    <w:rsid w:val="00912B30"/>
    <w:rsid w:val="00912C21"/>
    <w:rsid w:val="00912F9F"/>
    <w:rsid w:val="009131C2"/>
    <w:rsid w:val="009134C4"/>
    <w:rsid w:val="009134EB"/>
    <w:rsid w:val="00913551"/>
    <w:rsid w:val="0091362F"/>
    <w:rsid w:val="0091368E"/>
    <w:rsid w:val="0091373B"/>
    <w:rsid w:val="00913810"/>
    <w:rsid w:val="00913865"/>
    <w:rsid w:val="00913979"/>
    <w:rsid w:val="009139D7"/>
    <w:rsid w:val="009139D9"/>
    <w:rsid w:val="00913B55"/>
    <w:rsid w:val="00913BE5"/>
    <w:rsid w:val="00913C54"/>
    <w:rsid w:val="00913DAA"/>
    <w:rsid w:val="00913E7E"/>
    <w:rsid w:val="00913EBB"/>
    <w:rsid w:val="00914004"/>
    <w:rsid w:val="009143AF"/>
    <w:rsid w:val="009143FE"/>
    <w:rsid w:val="009144CF"/>
    <w:rsid w:val="0091450D"/>
    <w:rsid w:val="00914557"/>
    <w:rsid w:val="009145C5"/>
    <w:rsid w:val="00914762"/>
    <w:rsid w:val="009147C5"/>
    <w:rsid w:val="00914948"/>
    <w:rsid w:val="00914969"/>
    <w:rsid w:val="009149C3"/>
    <w:rsid w:val="00914AD5"/>
    <w:rsid w:val="00914BC4"/>
    <w:rsid w:val="00914C51"/>
    <w:rsid w:val="00914CA5"/>
    <w:rsid w:val="00914F6D"/>
    <w:rsid w:val="00914F87"/>
    <w:rsid w:val="009150C0"/>
    <w:rsid w:val="00915148"/>
    <w:rsid w:val="0091540C"/>
    <w:rsid w:val="00915467"/>
    <w:rsid w:val="0091590A"/>
    <w:rsid w:val="00915A78"/>
    <w:rsid w:val="00915AB9"/>
    <w:rsid w:val="00915BBB"/>
    <w:rsid w:val="00915ECC"/>
    <w:rsid w:val="00915EF3"/>
    <w:rsid w:val="00915F69"/>
    <w:rsid w:val="0091603F"/>
    <w:rsid w:val="00916043"/>
    <w:rsid w:val="009161C3"/>
    <w:rsid w:val="0091621C"/>
    <w:rsid w:val="0091634D"/>
    <w:rsid w:val="009163C1"/>
    <w:rsid w:val="00916484"/>
    <w:rsid w:val="00916684"/>
    <w:rsid w:val="0091680E"/>
    <w:rsid w:val="009168E9"/>
    <w:rsid w:val="009168F1"/>
    <w:rsid w:val="00916930"/>
    <w:rsid w:val="009169FB"/>
    <w:rsid w:val="00916AF5"/>
    <w:rsid w:val="00916CE1"/>
    <w:rsid w:val="00916D94"/>
    <w:rsid w:val="00917066"/>
    <w:rsid w:val="009170BD"/>
    <w:rsid w:val="009171FD"/>
    <w:rsid w:val="0091732F"/>
    <w:rsid w:val="00917358"/>
    <w:rsid w:val="0091737B"/>
    <w:rsid w:val="0091748F"/>
    <w:rsid w:val="00917541"/>
    <w:rsid w:val="00917563"/>
    <w:rsid w:val="009175BB"/>
    <w:rsid w:val="0091773F"/>
    <w:rsid w:val="00917756"/>
    <w:rsid w:val="00917770"/>
    <w:rsid w:val="009177F7"/>
    <w:rsid w:val="009179BF"/>
    <w:rsid w:val="00917B7D"/>
    <w:rsid w:val="00917BB1"/>
    <w:rsid w:val="00917E04"/>
    <w:rsid w:val="00917F2B"/>
    <w:rsid w:val="00920057"/>
    <w:rsid w:val="0092006D"/>
    <w:rsid w:val="009201C9"/>
    <w:rsid w:val="009203EA"/>
    <w:rsid w:val="00920487"/>
    <w:rsid w:val="00920505"/>
    <w:rsid w:val="0092056B"/>
    <w:rsid w:val="00920751"/>
    <w:rsid w:val="009207BE"/>
    <w:rsid w:val="009208A8"/>
    <w:rsid w:val="009209F2"/>
    <w:rsid w:val="00920AA0"/>
    <w:rsid w:val="00920AB4"/>
    <w:rsid w:val="00920BA7"/>
    <w:rsid w:val="00920E24"/>
    <w:rsid w:val="00920F2B"/>
    <w:rsid w:val="00920F63"/>
    <w:rsid w:val="00921199"/>
    <w:rsid w:val="009211B5"/>
    <w:rsid w:val="00921212"/>
    <w:rsid w:val="009212C9"/>
    <w:rsid w:val="0092138D"/>
    <w:rsid w:val="009214CD"/>
    <w:rsid w:val="00921568"/>
    <w:rsid w:val="00921617"/>
    <w:rsid w:val="00921747"/>
    <w:rsid w:val="009218D7"/>
    <w:rsid w:val="0092192E"/>
    <w:rsid w:val="009219E8"/>
    <w:rsid w:val="00921C0E"/>
    <w:rsid w:val="00921CF8"/>
    <w:rsid w:val="00921E0E"/>
    <w:rsid w:val="00921ECF"/>
    <w:rsid w:val="00921ED4"/>
    <w:rsid w:val="00921EDF"/>
    <w:rsid w:val="00921EE7"/>
    <w:rsid w:val="00921F99"/>
    <w:rsid w:val="00921FC0"/>
    <w:rsid w:val="00922323"/>
    <w:rsid w:val="009223CB"/>
    <w:rsid w:val="009224FB"/>
    <w:rsid w:val="00922542"/>
    <w:rsid w:val="00922724"/>
    <w:rsid w:val="009229B0"/>
    <w:rsid w:val="00922C0D"/>
    <w:rsid w:val="00922E5D"/>
    <w:rsid w:val="00922FCF"/>
    <w:rsid w:val="00923079"/>
    <w:rsid w:val="009231E0"/>
    <w:rsid w:val="0092324A"/>
    <w:rsid w:val="0092339E"/>
    <w:rsid w:val="009235D8"/>
    <w:rsid w:val="009237C8"/>
    <w:rsid w:val="009237E7"/>
    <w:rsid w:val="00923880"/>
    <w:rsid w:val="00923959"/>
    <w:rsid w:val="00923CCA"/>
    <w:rsid w:val="00923F42"/>
    <w:rsid w:val="009240B4"/>
    <w:rsid w:val="009242A4"/>
    <w:rsid w:val="00924679"/>
    <w:rsid w:val="009246C2"/>
    <w:rsid w:val="0092471E"/>
    <w:rsid w:val="00924738"/>
    <w:rsid w:val="00924787"/>
    <w:rsid w:val="0092483B"/>
    <w:rsid w:val="00924887"/>
    <w:rsid w:val="00924ABA"/>
    <w:rsid w:val="00924C16"/>
    <w:rsid w:val="00924FB5"/>
    <w:rsid w:val="00925012"/>
    <w:rsid w:val="0092513E"/>
    <w:rsid w:val="0092517D"/>
    <w:rsid w:val="009251F2"/>
    <w:rsid w:val="0092542A"/>
    <w:rsid w:val="00925628"/>
    <w:rsid w:val="00925754"/>
    <w:rsid w:val="00925931"/>
    <w:rsid w:val="00925941"/>
    <w:rsid w:val="00925952"/>
    <w:rsid w:val="009259F0"/>
    <w:rsid w:val="00925A44"/>
    <w:rsid w:val="00925AB6"/>
    <w:rsid w:val="00925E20"/>
    <w:rsid w:val="00925F03"/>
    <w:rsid w:val="009262D1"/>
    <w:rsid w:val="009264D9"/>
    <w:rsid w:val="009265F7"/>
    <w:rsid w:val="00926690"/>
    <w:rsid w:val="009266B2"/>
    <w:rsid w:val="009266CD"/>
    <w:rsid w:val="009268A4"/>
    <w:rsid w:val="00926BA3"/>
    <w:rsid w:val="009270AF"/>
    <w:rsid w:val="00927306"/>
    <w:rsid w:val="00927420"/>
    <w:rsid w:val="009274B4"/>
    <w:rsid w:val="00927524"/>
    <w:rsid w:val="00927575"/>
    <w:rsid w:val="00927589"/>
    <w:rsid w:val="00927642"/>
    <w:rsid w:val="0092767F"/>
    <w:rsid w:val="009276A8"/>
    <w:rsid w:val="009276C7"/>
    <w:rsid w:val="009276FA"/>
    <w:rsid w:val="009277E9"/>
    <w:rsid w:val="009277EF"/>
    <w:rsid w:val="0092793D"/>
    <w:rsid w:val="00927C42"/>
    <w:rsid w:val="00927D85"/>
    <w:rsid w:val="00927FC5"/>
    <w:rsid w:val="0093000A"/>
    <w:rsid w:val="00930060"/>
    <w:rsid w:val="009300E5"/>
    <w:rsid w:val="00930372"/>
    <w:rsid w:val="00930566"/>
    <w:rsid w:val="0093057A"/>
    <w:rsid w:val="0093079B"/>
    <w:rsid w:val="00930B01"/>
    <w:rsid w:val="00930B1D"/>
    <w:rsid w:val="00930BD7"/>
    <w:rsid w:val="00930E43"/>
    <w:rsid w:val="0093104C"/>
    <w:rsid w:val="009310F4"/>
    <w:rsid w:val="00931113"/>
    <w:rsid w:val="009312C8"/>
    <w:rsid w:val="009312CD"/>
    <w:rsid w:val="00931643"/>
    <w:rsid w:val="0093193B"/>
    <w:rsid w:val="00931C2E"/>
    <w:rsid w:val="00931DC4"/>
    <w:rsid w:val="00931E88"/>
    <w:rsid w:val="00931EF1"/>
    <w:rsid w:val="00932273"/>
    <w:rsid w:val="00932372"/>
    <w:rsid w:val="009323C3"/>
    <w:rsid w:val="00932528"/>
    <w:rsid w:val="00932866"/>
    <w:rsid w:val="00932880"/>
    <w:rsid w:val="00932ABC"/>
    <w:rsid w:val="00932BE1"/>
    <w:rsid w:val="00932C4E"/>
    <w:rsid w:val="00932D90"/>
    <w:rsid w:val="00932DD7"/>
    <w:rsid w:val="00932E3D"/>
    <w:rsid w:val="00932E75"/>
    <w:rsid w:val="0093311A"/>
    <w:rsid w:val="0093325A"/>
    <w:rsid w:val="009336B9"/>
    <w:rsid w:val="0093372E"/>
    <w:rsid w:val="009337CD"/>
    <w:rsid w:val="00933A42"/>
    <w:rsid w:val="00933C81"/>
    <w:rsid w:val="00933E70"/>
    <w:rsid w:val="00933EB6"/>
    <w:rsid w:val="00933FB7"/>
    <w:rsid w:val="0093447F"/>
    <w:rsid w:val="00934572"/>
    <w:rsid w:val="0093458D"/>
    <w:rsid w:val="00934647"/>
    <w:rsid w:val="00934991"/>
    <w:rsid w:val="009349C0"/>
    <w:rsid w:val="00934AC4"/>
    <w:rsid w:val="00934C84"/>
    <w:rsid w:val="0093511B"/>
    <w:rsid w:val="00935204"/>
    <w:rsid w:val="009352C9"/>
    <w:rsid w:val="009356DF"/>
    <w:rsid w:val="0093574E"/>
    <w:rsid w:val="00935800"/>
    <w:rsid w:val="009359A9"/>
    <w:rsid w:val="009359E7"/>
    <w:rsid w:val="00935A0D"/>
    <w:rsid w:val="00935AA1"/>
    <w:rsid w:val="00935C1E"/>
    <w:rsid w:val="00935D12"/>
    <w:rsid w:val="00935F32"/>
    <w:rsid w:val="00935FE1"/>
    <w:rsid w:val="0093610C"/>
    <w:rsid w:val="009361BD"/>
    <w:rsid w:val="009363BD"/>
    <w:rsid w:val="009366FB"/>
    <w:rsid w:val="00936715"/>
    <w:rsid w:val="00936813"/>
    <w:rsid w:val="00936CCA"/>
    <w:rsid w:val="00936F22"/>
    <w:rsid w:val="00936FE5"/>
    <w:rsid w:val="00937024"/>
    <w:rsid w:val="009371B1"/>
    <w:rsid w:val="0093723F"/>
    <w:rsid w:val="00937268"/>
    <w:rsid w:val="009373EF"/>
    <w:rsid w:val="0093742A"/>
    <w:rsid w:val="00937479"/>
    <w:rsid w:val="00937B23"/>
    <w:rsid w:val="00937BF8"/>
    <w:rsid w:val="00937D8F"/>
    <w:rsid w:val="00937ECA"/>
    <w:rsid w:val="00937F41"/>
    <w:rsid w:val="009402A8"/>
    <w:rsid w:val="009402BE"/>
    <w:rsid w:val="009403A0"/>
    <w:rsid w:val="00940ACD"/>
    <w:rsid w:val="00940BF6"/>
    <w:rsid w:val="00940F49"/>
    <w:rsid w:val="00941164"/>
    <w:rsid w:val="0094117A"/>
    <w:rsid w:val="009411FB"/>
    <w:rsid w:val="0094128A"/>
    <w:rsid w:val="009412F2"/>
    <w:rsid w:val="00941590"/>
    <w:rsid w:val="00941828"/>
    <w:rsid w:val="009418EE"/>
    <w:rsid w:val="009419B5"/>
    <w:rsid w:val="009419BB"/>
    <w:rsid w:val="00941C7D"/>
    <w:rsid w:val="00941D18"/>
    <w:rsid w:val="00941DEE"/>
    <w:rsid w:val="00941E34"/>
    <w:rsid w:val="00941EFF"/>
    <w:rsid w:val="009421AA"/>
    <w:rsid w:val="00942301"/>
    <w:rsid w:val="0094234F"/>
    <w:rsid w:val="009424C4"/>
    <w:rsid w:val="009424DE"/>
    <w:rsid w:val="0094265C"/>
    <w:rsid w:val="009426B1"/>
    <w:rsid w:val="0094272C"/>
    <w:rsid w:val="00942766"/>
    <w:rsid w:val="009428EF"/>
    <w:rsid w:val="0094296A"/>
    <w:rsid w:val="00942A2C"/>
    <w:rsid w:val="00942A2F"/>
    <w:rsid w:val="00942AAA"/>
    <w:rsid w:val="00942ABB"/>
    <w:rsid w:val="00942CD1"/>
    <w:rsid w:val="00942D47"/>
    <w:rsid w:val="00942EBE"/>
    <w:rsid w:val="00942F7D"/>
    <w:rsid w:val="009430D2"/>
    <w:rsid w:val="00943204"/>
    <w:rsid w:val="00943361"/>
    <w:rsid w:val="0094339D"/>
    <w:rsid w:val="009433CD"/>
    <w:rsid w:val="00943472"/>
    <w:rsid w:val="00943588"/>
    <w:rsid w:val="009435EF"/>
    <w:rsid w:val="0094383F"/>
    <w:rsid w:val="00943889"/>
    <w:rsid w:val="0094391E"/>
    <w:rsid w:val="009439B2"/>
    <w:rsid w:val="00943ADD"/>
    <w:rsid w:val="00943CC7"/>
    <w:rsid w:val="009440D5"/>
    <w:rsid w:val="00944550"/>
    <w:rsid w:val="009446DB"/>
    <w:rsid w:val="0094470F"/>
    <w:rsid w:val="009449ED"/>
    <w:rsid w:val="009449FC"/>
    <w:rsid w:val="00944A7E"/>
    <w:rsid w:val="00944ADE"/>
    <w:rsid w:val="00944BAF"/>
    <w:rsid w:val="00944C5C"/>
    <w:rsid w:val="00944CFE"/>
    <w:rsid w:val="00944D07"/>
    <w:rsid w:val="00944EBC"/>
    <w:rsid w:val="009451BE"/>
    <w:rsid w:val="0094520E"/>
    <w:rsid w:val="0094546A"/>
    <w:rsid w:val="0094548F"/>
    <w:rsid w:val="00945606"/>
    <w:rsid w:val="009456EE"/>
    <w:rsid w:val="009457A7"/>
    <w:rsid w:val="009457CD"/>
    <w:rsid w:val="00945881"/>
    <w:rsid w:val="00945A19"/>
    <w:rsid w:val="00945A46"/>
    <w:rsid w:val="00945A81"/>
    <w:rsid w:val="00945C19"/>
    <w:rsid w:val="00945C65"/>
    <w:rsid w:val="00945D81"/>
    <w:rsid w:val="009461FC"/>
    <w:rsid w:val="00946301"/>
    <w:rsid w:val="0094656C"/>
    <w:rsid w:val="0094665E"/>
    <w:rsid w:val="009468FF"/>
    <w:rsid w:val="00946941"/>
    <w:rsid w:val="00946A08"/>
    <w:rsid w:val="00946BA1"/>
    <w:rsid w:val="00946C75"/>
    <w:rsid w:val="00946CDF"/>
    <w:rsid w:val="00946CED"/>
    <w:rsid w:val="00946D49"/>
    <w:rsid w:val="00946DD9"/>
    <w:rsid w:val="00946F18"/>
    <w:rsid w:val="00946F1B"/>
    <w:rsid w:val="00946F75"/>
    <w:rsid w:val="009470A7"/>
    <w:rsid w:val="009470BB"/>
    <w:rsid w:val="0094710B"/>
    <w:rsid w:val="0094715D"/>
    <w:rsid w:val="00947277"/>
    <w:rsid w:val="009472A5"/>
    <w:rsid w:val="00947542"/>
    <w:rsid w:val="009477B1"/>
    <w:rsid w:val="0094787B"/>
    <w:rsid w:val="00947A35"/>
    <w:rsid w:val="00947A45"/>
    <w:rsid w:val="00947BF6"/>
    <w:rsid w:val="00947CF1"/>
    <w:rsid w:val="00947D4D"/>
    <w:rsid w:val="0095000B"/>
    <w:rsid w:val="00950A07"/>
    <w:rsid w:val="00950B02"/>
    <w:rsid w:val="00950D4A"/>
    <w:rsid w:val="00950D50"/>
    <w:rsid w:val="00950DF4"/>
    <w:rsid w:val="00951113"/>
    <w:rsid w:val="00951365"/>
    <w:rsid w:val="00951499"/>
    <w:rsid w:val="009514BD"/>
    <w:rsid w:val="0095186C"/>
    <w:rsid w:val="00951919"/>
    <w:rsid w:val="00951A27"/>
    <w:rsid w:val="00951A74"/>
    <w:rsid w:val="00951BF1"/>
    <w:rsid w:val="00951D34"/>
    <w:rsid w:val="00951D74"/>
    <w:rsid w:val="00952005"/>
    <w:rsid w:val="0095211C"/>
    <w:rsid w:val="00952355"/>
    <w:rsid w:val="009527A6"/>
    <w:rsid w:val="00952913"/>
    <w:rsid w:val="00952C26"/>
    <w:rsid w:val="00952C94"/>
    <w:rsid w:val="00952D3B"/>
    <w:rsid w:val="0095310D"/>
    <w:rsid w:val="0095337B"/>
    <w:rsid w:val="0095341B"/>
    <w:rsid w:val="009535CE"/>
    <w:rsid w:val="009537B8"/>
    <w:rsid w:val="009537F9"/>
    <w:rsid w:val="00953874"/>
    <w:rsid w:val="009538AB"/>
    <w:rsid w:val="00953A6E"/>
    <w:rsid w:val="00953A7C"/>
    <w:rsid w:val="00953B50"/>
    <w:rsid w:val="00953C37"/>
    <w:rsid w:val="00953C68"/>
    <w:rsid w:val="00953D1F"/>
    <w:rsid w:val="00953EA8"/>
    <w:rsid w:val="00953F9D"/>
    <w:rsid w:val="00954078"/>
    <w:rsid w:val="009541D1"/>
    <w:rsid w:val="00954275"/>
    <w:rsid w:val="009542BE"/>
    <w:rsid w:val="009544CF"/>
    <w:rsid w:val="0095455D"/>
    <w:rsid w:val="0095457C"/>
    <w:rsid w:val="009545C2"/>
    <w:rsid w:val="00954617"/>
    <w:rsid w:val="0095464E"/>
    <w:rsid w:val="009546D7"/>
    <w:rsid w:val="00954720"/>
    <w:rsid w:val="009548BF"/>
    <w:rsid w:val="0095499B"/>
    <w:rsid w:val="009549EF"/>
    <w:rsid w:val="00954AD1"/>
    <w:rsid w:val="00954D06"/>
    <w:rsid w:val="00954EC2"/>
    <w:rsid w:val="00955071"/>
    <w:rsid w:val="00955157"/>
    <w:rsid w:val="009551DD"/>
    <w:rsid w:val="00955251"/>
    <w:rsid w:val="009553EE"/>
    <w:rsid w:val="009554BB"/>
    <w:rsid w:val="0095560C"/>
    <w:rsid w:val="009557AC"/>
    <w:rsid w:val="009557E7"/>
    <w:rsid w:val="00955877"/>
    <w:rsid w:val="00955AEA"/>
    <w:rsid w:val="00955C5D"/>
    <w:rsid w:val="00955F2F"/>
    <w:rsid w:val="00955FE4"/>
    <w:rsid w:val="0095600A"/>
    <w:rsid w:val="0095603B"/>
    <w:rsid w:val="009561F4"/>
    <w:rsid w:val="0095671A"/>
    <w:rsid w:val="00956790"/>
    <w:rsid w:val="00956983"/>
    <w:rsid w:val="00956A14"/>
    <w:rsid w:val="00956A52"/>
    <w:rsid w:val="00956ADB"/>
    <w:rsid w:val="00956AEE"/>
    <w:rsid w:val="00956BD1"/>
    <w:rsid w:val="00956CFB"/>
    <w:rsid w:val="00956DED"/>
    <w:rsid w:val="00956EDF"/>
    <w:rsid w:val="00956FB0"/>
    <w:rsid w:val="00957090"/>
    <w:rsid w:val="009571F3"/>
    <w:rsid w:val="00957417"/>
    <w:rsid w:val="0095744D"/>
    <w:rsid w:val="009575C5"/>
    <w:rsid w:val="009576FB"/>
    <w:rsid w:val="0095788B"/>
    <w:rsid w:val="009578D9"/>
    <w:rsid w:val="00957915"/>
    <w:rsid w:val="00957B51"/>
    <w:rsid w:val="00957FAA"/>
    <w:rsid w:val="0096005A"/>
    <w:rsid w:val="00960292"/>
    <w:rsid w:val="009603EE"/>
    <w:rsid w:val="0096045E"/>
    <w:rsid w:val="00960483"/>
    <w:rsid w:val="00960539"/>
    <w:rsid w:val="009608E2"/>
    <w:rsid w:val="009609A0"/>
    <w:rsid w:val="00960A6B"/>
    <w:rsid w:val="00960AA2"/>
    <w:rsid w:val="00960CD7"/>
    <w:rsid w:val="00960CDD"/>
    <w:rsid w:val="00960CF7"/>
    <w:rsid w:val="00960F2E"/>
    <w:rsid w:val="00960FFF"/>
    <w:rsid w:val="009610AD"/>
    <w:rsid w:val="009610AF"/>
    <w:rsid w:val="0096112E"/>
    <w:rsid w:val="00961254"/>
    <w:rsid w:val="00961460"/>
    <w:rsid w:val="0096149A"/>
    <w:rsid w:val="00961501"/>
    <w:rsid w:val="009615B8"/>
    <w:rsid w:val="00961631"/>
    <w:rsid w:val="009618AB"/>
    <w:rsid w:val="00961A98"/>
    <w:rsid w:val="00961AFE"/>
    <w:rsid w:val="00961B42"/>
    <w:rsid w:val="00961B49"/>
    <w:rsid w:val="00961B53"/>
    <w:rsid w:val="00961C75"/>
    <w:rsid w:val="00961CAE"/>
    <w:rsid w:val="00961D6E"/>
    <w:rsid w:val="00961D7E"/>
    <w:rsid w:val="00961F70"/>
    <w:rsid w:val="00961FC0"/>
    <w:rsid w:val="0096218F"/>
    <w:rsid w:val="009622B8"/>
    <w:rsid w:val="00962300"/>
    <w:rsid w:val="0096230B"/>
    <w:rsid w:val="009623B8"/>
    <w:rsid w:val="00962428"/>
    <w:rsid w:val="009626A4"/>
    <w:rsid w:val="00962B6B"/>
    <w:rsid w:val="00962BBC"/>
    <w:rsid w:val="00962D1D"/>
    <w:rsid w:val="00962D40"/>
    <w:rsid w:val="00962E80"/>
    <w:rsid w:val="00962EAC"/>
    <w:rsid w:val="00962EDD"/>
    <w:rsid w:val="00962F01"/>
    <w:rsid w:val="00962F79"/>
    <w:rsid w:val="00962FC5"/>
    <w:rsid w:val="009630B5"/>
    <w:rsid w:val="009630E2"/>
    <w:rsid w:val="0096322C"/>
    <w:rsid w:val="00963659"/>
    <w:rsid w:val="00963778"/>
    <w:rsid w:val="009637DD"/>
    <w:rsid w:val="009637F0"/>
    <w:rsid w:val="0096381D"/>
    <w:rsid w:val="00963858"/>
    <w:rsid w:val="00963974"/>
    <w:rsid w:val="00963A6D"/>
    <w:rsid w:val="00963BF9"/>
    <w:rsid w:val="00963CE0"/>
    <w:rsid w:val="00963CF6"/>
    <w:rsid w:val="00963DDE"/>
    <w:rsid w:val="009640B2"/>
    <w:rsid w:val="0096412E"/>
    <w:rsid w:val="0096420C"/>
    <w:rsid w:val="009642BD"/>
    <w:rsid w:val="009642E4"/>
    <w:rsid w:val="00964316"/>
    <w:rsid w:val="00964336"/>
    <w:rsid w:val="009643A5"/>
    <w:rsid w:val="009645C1"/>
    <w:rsid w:val="009645C5"/>
    <w:rsid w:val="0096471E"/>
    <w:rsid w:val="0096477D"/>
    <w:rsid w:val="00964BAE"/>
    <w:rsid w:val="00964C35"/>
    <w:rsid w:val="00964D76"/>
    <w:rsid w:val="00964D91"/>
    <w:rsid w:val="00964D96"/>
    <w:rsid w:val="00964ECB"/>
    <w:rsid w:val="00964EFE"/>
    <w:rsid w:val="00964F80"/>
    <w:rsid w:val="00964FDA"/>
    <w:rsid w:val="0096513B"/>
    <w:rsid w:val="0096514E"/>
    <w:rsid w:val="009651B6"/>
    <w:rsid w:val="009652BB"/>
    <w:rsid w:val="009652CC"/>
    <w:rsid w:val="009652E4"/>
    <w:rsid w:val="009653C2"/>
    <w:rsid w:val="009655A9"/>
    <w:rsid w:val="009655BC"/>
    <w:rsid w:val="00965600"/>
    <w:rsid w:val="0096569E"/>
    <w:rsid w:val="009656CC"/>
    <w:rsid w:val="00965810"/>
    <w:rsid w:val="00965946"/>
    <w:rsid w:val="00965A9D"/>
    <w:rsid w:val="00965E20"/>
    <w:rsid w:val="00965E75"/>
    <w:rsid w:val="00965F00"/>
    <w:rsid w:val="00965F52"/>
    <w:rsid w:val="009662F5"/>
    <w:rsid w:val="0096648F"/>
    <w:rsid w:val="009664AC"/>
    <w:rsid w:val="00966585"/>
    <w:rsid w:val="0096667F"/>
    <w:rsid w:val="00966835"/>
    <w:rsid w:val="00966983"/>
    <w:rsid w:val="009669A3"/>
    <w:rsid w:val="00966B8B"/>
    <w:rsid w:val="00966CD5"/>
    <w:rsid w:val="00966FF4"/>
    <w:rsid w:val="00967146"/>
    <w:rsid w:val="0096727D"/>
    <w:rsid w:val="009674E7"/>
    <w:rsid w:val="00967517"/>
    <w:rsid w:val="00967C83"/>
    <w:rsid w:val="00967DEC"/>
    <w:rsid w:val="009700D6"/>
    <w:rsid w:val="00970510"/>
    <w:rsid w:val="00970629"/>
    <w:rsid w:val="0097085D"/>
    <w:rsid w:val="00970B28"/>
    <w:rsid w:val="00970C8B"/>
    <w:rsid w:val="00970D7F"/>
    <w:rsid w:val="00970DB7"/>
    <w:rsid w:val="00970DE6"/>
    <w:rsid w:val="00971062"/>
    <w:rsid w:val="009712A3"/>
    <w:rsid w:val="009714EA"/>
    <w:rsid w:val="00971502"/>
    <w:rsid w:val="009715AE"/>
    <w:rsid w:val="009715D1"/>
    <w:rsid w:val="00971631"/>
    <w:rsid w:val="009717E4"/>
    <w:rsid w:val="009717ED"/>
    <w:rsid w:val="00971874"/>
    <w:rsid w:val="0097194B"/>
    <w:rsid w:val="009719B9"/>
    <w:rsid w:val="009719D1"/>
    <w:rsid w:val="00971C5A"/>
    <w:rsid w:val="00971EC6"/>
    <w:rsid w:val="00971FEA"/>
    <w:rsid w:val="009723E2"/>
    <w:rsid w:val="009723F0"/>
    <w:rsid w:val="00972430"/>
    <w:rsid w:val="00972653"/>
    <w:rsid w:val="00972837"/>
    <w:rsid w:val="00973027"/>
    <w:rsid w:val="009731B9"/>
    <w:rsid w:val="00973234"/>
    <w:rsid w:val="009732D6"/>
    <w:rsid w:val="00973321"/>
    <w:rsid w:val="009736AA"/>
    <w:rsid w:val="0097385B"/>
    <w:rsid w:val="00973916"/>
    <w:rsid w:val="00973ABE"/>
    <w:rsid w:val="00973AC1"/>
    <w:rsid w:val="00973CBD"/>
    <w:rsid w:val="00973E0E"/>
    <w:rsid w:val="00973E2E"/>
    <w:rsid w:val="00973E54"/>
    <w:rsid w:val="00973ED1"/>
    <w:rsid w:val="00973F3F"/>
    <w:rsid w:val="00973F5C"/>
    <w:rsid w:val="00973FE4"/>
    <w:rsid w:val="00974008"/>
    <w:rsid w:val="0097412F"/>
    <w:rsid w:val="00974130"/>
    <w:rsid w:val="009743C8"/>
    <w:rsid w:val="0097443A"/>
    <w:rsid w:val="009744A2"/>
    <w:rsid w:val="009744E4"/>
    <w:rsid w:val="00974519"/>
    <w:rsid w:val="0097454D"/>
    <w:rsid w:val="00974656"/>
    <w:rsid w:val="0097466E"/>
    <w:rsid w:val="00974942"/>
    <w:rsid w:val="00974C16"/>
    <w:rsid w:val="00974CBE"/>
    <w:rsid w:val="00974CF9"/>
    <w:rsid w:val="00974DBA"/>
    <w:rsid w:val="00974F2A"/>
    <w:rsid w:val="00974FA8"/>
    <w:rsid w:val="0097518E"/>
    <w:rsid w:val="009755B3"/>
    <w:rsid w:val="00975675"/>
    <w:rsid w:val="009758E6"/>
    <w:rsid w:val="009758F2"/>
    <w:rsid w:val="00975985"/>
    <w:rsid w:val="0097599A"/>
    <w:rsid w:val="00975CAA"/>
    <w:rsid w:val="00975CBC"/>
    <w:rsid w:val="00975E0C"/>
    <w:rsid w:val="00975E28"/>
    <w:rsid w:val="00975E97"/>
    <w:rsid w:val="00975EE8"/>
    <w:rsid w:val="00976094"/>
    <w:rsid w:val="009761D2"/>
    <w:rsid w:val="00976531"/>
    <w:rsid w:val="00976659"/>
    <w:rsid w:val="009766C0"/>
    <w:rsid w:val="00976719"/>
    <w:rsid w:val="009767C6"/>
    <w:rsid w:val="00976838"/>
    <w:rsid w:val="009768DF"/>
    <w:rsid w:val="00976926"/>
    <w:rsid w:val="009769AD"/>
    <w:rsid w:val="00976A60"/>
    <w:rsid w:val="00976AAC"/>
    <w:rsid w:val="00976BE5"/>
    <w:rsid w:val="00976C64"/>
    <w:rsid w:val="00976C93"/>
    <w:rsid w:val="00976D3D"/>
    <w:rsid w:val="00976E64"/>
    <w:rsid w:val="00976EE0"/>
    <w:rsid w:val="00976F89"/>
    <w:rsid w:val="00976F99"/>
    <w:rsid w:val="0097707E"/>
    <w:rsid w:val="00977105"/>
    <w:rsid w:val="00977237"/>
    <w:rsid w:val="0097729C"/>
    <w:rsid w:val="00977386"/>
    <w:rsid w:val="00977513"/>
    <w:rsid w:val="0097756B"/>
    <w:rsid w:val="009775EF"/>
    <w:rsid w:val="00977606"/>
    <w:rsid w:val="00977695"/>
    <w:rsid w:val="00977759"/>
    <w:rsid w:val="009777C4"/>
    <w:rsid w:val="009778AD"/>
    <w:rsid w:val="009778B0"/>
    <w:rsid w:val="00977B1A"/>
    <w:rsid w:val="00977C7C"/>
    <w:rsid w:val="00977CAD"/>
    <w:rsid w:val="00977CD3"/>
    <w:rsid w:val="00977FF5"/>
    <w:rsid w:val="00980007"/>
    <w:rsid w:val="0098013F"/>
    <w:rsid w:val="009801A8"/>
    <w:rsid w:val="00980201"/>
    <w:rsid w:val="009802E1"/>
    <w:rsid w:val="00980495"/>
    <w:rsid w:val="00980563"/>
    <w:rsid w:val="009805BA"/>
    <w:rsid w:val="009805D7"/>
    <w:rsid w:val="00980667"/>
    <w:rsid w:val="0098081B"/>
    <w:rsid w:val="00980854"/>
    <w:rsid w:val="009808CF"/>
    <w:rsid w:val="009809D6"/>
    <w:rsid w:val="00980CAD"/>
    <w:rsid w:val="00980DCB"/>
    <w:rsid w:val="00980E01"/>
    <w:rsid w:val="00980F7C"/>
    <w:rsid w:val="00981000"/>
    <w:rsid w:val="0098135E"/>
    <w:rsid w:val="00981506"/>
    <w:rsid w:val="00981938"/>
    <w:rsid w:val="00981A29"/>
    <w:rsid w:val="00981AC3"/>
    <w:rsid w:val="00981B1C"/>
    <w:rsid w:val="00981C9D"/>
    <w:rsid w:val="00981CF8"/>
    <w:rsid w:val="00981EFE"/>
    <w:rsid w:val="00981F59"/>
    <w:rsid w:val="00981FCE"/>
    <w:rsid w:val="00982196"/>
    <w:rsid w:val="00982248"/>
    <w:rsid w:val="0098225F"/>
    <w:rsid w:val="00982284"/>
    <w:rsid w:val="00982325"/>
    <w:rsid w:val="009824D0"/>
    <w:rsid w:val="00982836"/>
    <w:rsid w:val="009828B3"/>
    <w:rsid w:val="00982905"/>
    <w:rsid w:val="00982B3C"/>
    <w:rsid w:val="00982BA4"/>
    <w:rsid w:val="00982BF8"/>
    <w:rsid w:val="00982CF3"/>
    <w:rsid w:val="00982E6B"/>
    <w:rsid w:val="00982EAB"/>
    <w:rsid w:val="00983227"/>
    <w:rsid w:val="00983419"/>
    <w:rsid w:val="0098357F"/>
    <w:rsid w:val="00983763"/>
    <w:rsid w:val="009837B3"/>
    <w:rsid w:val="0098396D"/>
    <w:rsid w:val="00983C46"/>
    <w:rsid w:val="00983E82"/>
    <w:rsid w:val="00983E93"/>
    <w:rsid w:val="00984073"/>
    <w:rsid w:val="00984572"/>
    <w:rsid w:val="00984747"/>
    <w:rsid w:val="0098476E"/>
    <w:rsid w:val="00984812"/>
    <w:rsid w:val="00984820"/>
    <w:rsid w:val="00984852"/>
    <w:rsid w:val="00984877"/>
    <w:rsid w:val="00984A12"/>
    <w:rsid w:val="00984A87"/>
    <w:rsid w:val="00984BC4"/>
    <w:rsid w:val="00984DB1"/>
    <w:rsid w:val="00984E08"/>
    <w:rsid w:val="00984E70"/>
    <w:rsid w:val="00984FFC"/>
    <w:rsid w:val="00985173"/>
    <w:rsid w:val="009852EC"/>
    <w:rsid w:val="0098543E"/>
    <w:rsid w:val="009858F9"/>
    <w:rsid w:val="00985901"/>
    <w:rsid w:val="00985B49"/>
    <w:rsid w:val="00985BA4"/>
    <w:rsid w:val="00985C76"/>
    <w:rsid w:val="00985D1E"/>
    <w:rsid w:val="00985D6A"/>
    <w:rsid w:val="00985E47"/>
    <w:rsid w:val="00985ECC"/>
    <w:rsid w:val="00986111"/>
    <w:rsid w:val="009865B3"/>
    <w:rsid w:val="009865C5"/>
    <w:rsid w:val="00986675"/>
    <w:rsid w:val="009867B0"/>
    <w:rsid w:val="009868F3"/>
    <w:rsid w:val="00986999"/>
    <w:rsid w:val="00986B28"/>
    <w:rsid w:val="00986C30"/>
    <w:rsid w:val="00986DB9"/>
    <w:rsid w:val="00986F67"/>
    <w:rsid w:val="00986FE6"/>
    <w:rsid w:val="00987142"/>
    <w:rsid w:val="0098714C"/>
    <w:rsid w:val="0098714E"/>
    <w:rsid w:val="00987168"/>
    <w:rsid w:val="00987369"/>
    <w:rsid w:val="00987518"/>
    <w:rsid w:val="0098756B"/>
    <w:rsid w:val="00987770"/>
    <w:rsid w:val="00987925"/>
    <w:rsid w:val="00987B46"/>
    <w:rsid w:val="00987BEC"/>
    <w:rsid w:val="00987BF0"/>
    <w:rsid w:val="00987C54"/>
    <w:rsid w:val="00987D05"/>
    <w:rsid w:val="00987D5C"/>
    <w:rsid w:val="00990124"/>
    <w:rsid w:val="009901E9"/>
    <w:rsid w:val="00990265"/>
    <w:rsid w:val="0099039B"/>
    <w:rsid w:val="009903D5"/>
    <w:rsid w:val="00990604"/>
    <w:rsid w:val="00990618"/>
    <w:rsid w:val="00990825"/>
    <w:rsid w:val="009908E0"/>
    <w:rsid w:val="00990910"/>
    <w:rsid w:val="00990A3B"/>
    <w:rsid w:val="00990B22"/>
    <w:rsid w:val="00990B23"/>
    <w:rsid w:val="00990BC9"/>
    <w:rsid w:val="00990C62"/>
    <w:rsid w:val="00990DF7"/>
    <w:rsid w:val="00990E52"/>
    <w:rsid w:val="0099102F"/>
    <w:rsid w:val="00991268"/>
    <w:rsid w:val="00991458"/>
    <w:rsid w:val="0099159E"/>
    <w:rsid w:val="009915CB"/>
    <w:rsid w:val="009916A6"/>
    <w:rsid w:val="009916A8"/>
    <w:rsid w:val="009917DE"/>
    <w:rsid w:val="00991812"/>
    <w:rsid w:val="00991C3E"/>
    <w:rsid w:val="00991CD1"/>
    <w:rsid w:val="00991D57"/>
    <w:rsid w:val="00991DA1"/>
    <w:rsid w:val="00991F80"/>
    <w:rsid w:val="0099204C"/>
    <w:rsid w:val="009920E8"/>
    <w:rsid w:val="00992153"/>
    <w:rsid w:val="00992175"/>
    <w:rsid w:val="009921B0"/>
    <w:rsid w:val="0099275C"/>
    <w:rsid w:val="009927D7"/>
    <w:rsid w:val="00992C61"/>
    <w:rsid w:val="00992D50"/>
    <w:rsid w:val="00992F90"/>
    <w:rsid w:val="0099331C"/>
    <w:rsid w:val="009933B5"/>
    <w:rsid w:val="00993415"/>
    <w:rsid w:val="00993562"/>
    <w:rsid w:val="00993616"/>
    <w:rsid w:val="00993637"/>
    <w:rsid w:val="0099372E"/>
    <w:rsid w:val="00993881"/>
    <w:rsid w:val="009938B2"/>
    <w:rsid w:val="00993D3E"/>
    <w:rsid w:val="00993D7E"/>
    <w:rsid w:val="00993DFC"/>
    <w:rsid w:val="00993EE8"/>
    <w:rsid w:val="00993FA7"/>
    <w:rsid w:val="009940FC"/>
    <w:rsid w:val="00994136"/>
    <w:rsid w:val="009942DE"/>
    <w:rsid w:val="0099448B"/>
    <w:rsid w:val="00994782"/>
    <w:rsid w:val="009947A1"/>
    <w:rsid w:val="009947F4"/>
    <w:rsid w:val="00994AFD"/>
    <w:rsid w:val="00994C35"/>
    <w:rsid w:val="00994D74"/>
    <w:rsid w:val="00994EDB"/>
    <w:rsid w:val="009950EE"/>
    <w:rsid w:val="0099524C"/>
    <w:rsid w:val="009952CF"/>
    <w:rsid w:val="0099542E"/>
    <w:rsid w:val="00995519"/>
    <w:rsid w:val="009955F2"/>
    <w:rsid w:val="0099561E"/>
    <w:rsid w:val="009956E0"/>
    <w:rsid w:val="009956E3"/>
    <w:rsid w:val="0099592C"/>
    <w:rsid w:val="0099597E"/>
    <w:rsid w:val="009959A5"/>
    <w:rsid w:val="00995B09"/>
    <w:rsid w:val="00995C56"/>
    <w:rsid w:val="00995C5D"/>
    <w:rsid w:val="00995E0C"/>
    <w:rsid w:val="00995EA2"/>
    <w:rsid w:val="00996016"/>
    <w:rsid w:val="009962E4"/>
    <w:rsid w:val="00996316"/>
    <w:rsid w:val="009963FD"/>
    <w:rsid w:val="00996464"/>
    <w:rsid w:val="0099646D"/>
    <w:rsid w:val="00996480"/>
    <w:rsid w:val="009964CC"/>
    <w:rsid w:val="009967A3"/>
    <w:rsid w:val="0099683D"/>
    <w:rsid w:val="00996BAF"/>
    <w:rsid w:val="00996BBE"/>
    <w:rsid w:val="00996C45"/>
    <w:rsid w:val="00996E98"/>
    <w:rsid w:val="00997000"/>
    <w:rsid w:val="0099705F"/>
    <w:rsid w:val="0099706D"/>
    <w:rsid w:val="009970EC"/>
    <w:rsid w:val="00997110"/>
    <w:rsid w:val="009971E0"/>
    <w:rsid w:val="009973AB"/>
    <w:rsid w:val="009973B4"/>
    <w:rsid w:val="00997465"/>
    <w:rsid w:val="009975A6"/>
    <w:rsid w:val="009977F6"/>
    <w:rsid w:val="009979A3"/>
    <w:rsid w:val="00997AA6"/>
    <w:rsid w:val="00997AB3"/>
    <w:rsid w:val="00997B28"/>
    <w:rsid w:val="009A001F"/>
    <w:rsid w:val="009A0070"/>
    <w:rsid w:val="009A0401"/>
    <w:rsid w:val="009A0553"/>
    <w:rsid w:val="009A06B0"/>
    <w:rsid w:val="009A0759"/>
    <w:rsid w:val="009A0823"/>
    <w:rsid w:val="009A0856"/>
    <w:rsid w:val="009A0B37"/>
    <w:rsid w:val="009A0B4C"/>
    <w:rsid w:val="009A0B97"/>
    <w:rsid w:val="009A0BAC"/>
    <w:rsid w:val="009A0C69"/>
    <w:rsid w:val="009A0CDB"/>
    <w:rsid w:val="009A1157"/>
    <w:rsid w:val="009A131E"/>
    <w:rsid w:val="009A1445"/>
    <w:rsid w:val="009A146D"/>
    <w:rsid w:val="009A15A0"/>
    <w:rsid w:val="009A1618"/>
    <w:rsid w:val="009A18C1"/>
    <w:rsid w:val="009A18DF"/>
    <w:rsid w:val="009A18EE"/>
    <w:rsid w:val="009A193A"/>
    <w:rsid w:val="009A1974"/>
    <w:rsid w:val="009A1A2A"/>
    <w:rsid w:val="009A1B5C"/>
    <w:rsid w:val="009A1D7B"/>
    <w:rsid w:val="009A1EB5"/>
    <w:rsid w:val="009A1FCA"/>
    <w:rsid w:val="009A2071"/>
    <w:rsid w:val="009A20A4"/>
    <w:rsid w:val="009A20DD"/>
    <w:rsid w:val="009A21E4"/>
    <w:rsid w:val="009A2257"/>
    <w:rsid w:val="009A2273"/>
    <w:rsid w:val="009A23F0"/>
    <w:rsid w:val="009A2406"/>
    <w:rsid w:val="009A243C"/>
    <w:rsid w:val="009A2871"/>
    <w:rsid w:val="009A28A7"/>
    <w:rsid w:val="009A2A22"/>
    <w:rsid w:val="009A2B38"/>
    <w:rsid w:val="009A2BEF"/>
    <w:rsid w:val="009A2C42"/>
    <w:rsid w:val="009A2E96"/>
    <w:rsid w:val="009A2F60"/>
    <w:rsid w:val="009A3138"/>
    <w:rsid w:val="009A337D"/>
    <w:rsid w:val="009A34C5"/>
    <w:rsid w:val="009A356D"/>
    <w:rsid w:val="009A361A"/>
    <w:rsid w:val="009A36D2"/>
    <w:rsid w:val="009A3817"/>
    <w:rsid w:val="009A38A5"/>
    <w:rsid w:val="009A3AE5"/>
    <w:rsid w:val="009A3C6F"/>
    <w:rsid w:val="009A3D30"/>
    <w:rsid w:val="009A3E93"/>
    <w:rsid w:val="009A3FD5"/>
    <w:rsid w:val="009A4062"/>
    <w:rsid w:val="009A40C5"/>
    <w:rsid w:val="009A41A1"/>
    <w:rsid w:val="009A4218"/>
    <w:rsid w:val="009A47D5"/>
    <w:rsid w:val="009A484E"/>
    <w:rsid w:val="009A48BC"/>
    <w:rsid w:val="009A496E"/>
    <w:rsid w:val="009A49C2"/>
    <w:rsid w:val="009A49E3"/>
    <w:rsid w:val="009A4A67"/>
    <w:rsid w:val="009A4DB5"/>
    <w:rsid w:val="009A5095"/>
    <w:rsid w:val="009A52A2"/>
    <w:rsid w:val="009A5355"/>
    <w:rsid w:val="009A537C"/>
    <w:rsid w:val="009A5382"/>
    <w:rsid w:val="009A53C2"/>
    <w:rsid w:val="009A555E"/>
    <w:rsid w:val="009A565E"/>
    <w:rsid w:val="009A5789"/>
    <w:rsid w:val="009A57AB"/>
    <w:rsid w:val="009A57FD"/>
    <w:rsid w:val="009A58CF"/>
    <w:rsid w:val="009A5A26"/>
    <w:rsid w:val="009A5CEE"/>
    <w:rsid w:val="009A5EDB"/>
    <w:rsid w:val="009A6039"/>
    <w:rsid w:val="009A61E9"/>
    <w:rsid w:val="009A6241"/>
    <w:rsid w:val="009A62C1"/>
    <w:rsid w:val="009A62DE"/>
    <w:rsid w:val="009A6502"/>
    <w:rsid w:val="009A6548"/>
    <w:rsid w:val="009A669F"/>
    <w:rsid w:val="009A66C3"/>
    <w:rsid w:val="009A675B"/>
    <w:rsid w:val="009A67F1"/>
    <w:rsid w:val="009A6809"/>
    <w:rsid w:val="009A6814"/>
    <w:rsid w:val="009A689C"/>
    <w:rsid w:val="009A69E6"/>
    <w:rsid w:val="009A69EE"/>
    <w:rsid w:val="009A6A06"/>
    <w:rsid w:val="009A6B9E"/>
    <w:rsid w:val="009A6C6B"/>
    <w:rsid w:val="009A6D40"/>
    <w:rsid w:val="009A6D9E"/>
    <w:rsid w:val="009A6E6B"/>
    <w:rsid w:val="009A6F89"/>
    <w:rsid w:val="009A6F98"/>
    <w:rsid w:val="009A7027"/>
    <w:rsid w:val="009A7100"/>
    <w:rsid w:val="009A7178"/>
    <w:rsid w:val="009A72EF"/>
    <w:rsid w:val="009A72FC"/>
    <w:rsid w:val="009A7484"/>
    <w:rsid w:val="009A76A0"/>
    <w:rsid w:val="009A772A"/>
    <w:rsid w:val="009A777E"/>
    <w:rsid w:val="009A7817"/>
    <w:rsid w:val="009A7838"/>
    <w:rsid w:val="009A79E5"/>
    <w:rsid w:val="009A7B0B"/>
    <w:rsid w:val="009A7B15"/>
    <w:rsid w:val="009A7D30"/>
    <w:rsid w:val="009A7FD0"/>
    <w:rsid w:val="009B01DF"/>
    <w:rsid w:val="009B027D"/>
    <w:rsid w:val="009B037B"/>
    <w:rsid w:val="009B03F0"/>
    <w:rsid w:val="009B0422"/>
    <w:rsid w:val="009B048C"/>
    <w:rsid w:val="009B0589"/>
    <w:rsid w:val="009B068D"/>
    <w:rsid w:val="009B0A01"/>
    <w:rsid w:val="009B0A5A"/>
    <w:rsid w:val="009B0A61"/>
    <w:rsid w:val="009B0A66"/>
    <w:rsid w:val="009B0B6E"/>
    <w:rsid w:val="009B0E4F"/>
    <w:rsid w:val="009B0F3F"/>
    <w:rsid w:val="009B0F82"/>
    <w:rsid w:val="009B0FE0"/>
    <w:rsid w:val="009B1108"/>
    <w:rsid w:val="009B130A"/>
    <w:rsid w:val="009B1331"/>
    <w:rsid w:val="009B1466"/>
    <w:rsid w:val="009B14B0"/>
    <w:rsid w:val="009B1562"/>
    <w:rsid w:val="009B15A4"/>
    <w:rsid w:val="009B173A"/>
    <w:rsid w:val="009B184A"/>
    <w:rsid w:val="009B1BA0"/>
    <w:rsid w:val="009B1D11"/>
    <w:rsid w:val="009B1D45"/>
    <w:rsid w:val="009B1DA6"/>
    <w:rsid w:val="009B1DC7"/>
    <w:rsid w:val="009B1EAA"/>
    <w:rsid w:val="009B2354"/>
    <w:rsid w:val="009B2509"/>
    <w:rsid w:val="009B26CD"/>
    <w:rsid w:val="009B2862"/>
    <w:rsid w:val="009B2899"/>
    <w:rsid w:val="009B2951"/>
    <w:rsid w:val="009B2A0F"/>
    <w:rsid w:val="009B2A47"/>
    <w:rsid w:val="009B2AB8"/>
    <w:rsid w:val="009B2B57"/>
    <w:rsid w:val="009B2B6F"/>
    <w:rsid w:val="009B2CAD"/>
    <w:rsid w:val="009B2D06"/>
    <w:rsid w:val="009B2D2B"/>
    <w:rsid w:val="009B2F9C"/>
    <w:rsid w:val="009B30FE"/>
    <w:rsid w:val="009B31B4"/>
    <w:rsid w:val="009B3342"/>
    <w:rsid w:val="009B3422"/>
    <w:rsid w:val="009B3576"/>
    <w:rsid w:val="009B38D9"/>
    <w:rsid w:val="009B38E6"/>
    <w:rsid w:val="009B3A28"/>
    <w:rsid w:val="009B3AF4"/>
    <w:rsid w:val="009B3CAA"/>
    <w:rsid w:val="009B3D1E"/>
    <w:rsid w:val="009B3E58"/>
    <w:rsid w:val="009B3F07"/>
    <w:rsid w:val="009B3F3D"/>
    <w:rsid w:val="009B40AC"/>
    <w:rsid w:val="009B415C"/>
    <w:rsid w:val="009B4275"/>
    <w:rsid w:val="009B4425"/>
    <w:rsid w:val="009B460E"/>
    <w:rsid w:val="009B4910"/>
    <w:rsid w:val="009B4AAF"/>
    <w:rsid w:val="009B4C23"/>
    <w:rsid w:val="009B4D85"/>
    <w:rsid w:val="009B4E5A"/>
    <w:rsid w:val="009B509F"/>
    <w:rsid w:val="009B5136"/>
    <w:rsid w:val="009B514F"/>
    <w:rsid w:val="009B5293"/>
    <w:rsid w:val="009B531C"/>
    <w:rsid w:val="009B5460"/>
    <w:rsid w:val="009B54D4"/>
    <w:rsid w:val="009B5621"/>
    <w:rsid w:val="009B56BD"/>
    <w:rsid w:val="009B59A2"/>
    <w:rsid w:val="009B5B1C"/>
    <w:rsid w:val="009B5CC4"/>
    <w:rsid w:val="009B5E6B"/>
    <w:rsid w:val="009B5FA4"/>
    <w:rsid w:val="009B6249"/>
    <w:rsid w:val="009B6327"/>
    <w:rsid w:val="009B6387"/>
    <w:rsid w:val="009B63D4"/>
    <w:rsid w:val="009B6757"/>
    <w:rsid w:val="009B686C"/>
    <w:rsid w:val="009B6885"/>
    <w:rsid w:val="009B6988"/>
    <w:rsid w:val="009B6AB3"/>
    <w:rsid w:val="009B6AE1"/>
    <w:rsid w:val="009B6BF3"/>
    <w:rsid w:val="009B6C2F"/>
    <w:rsid w:val="009B6C79"/>
    <w:rsid w:val="009B6D05"/>
    <w:rsid w:val="009B6F6F"/>
    <w:rsid w:val="009B7286"/>
    <w:rsid w:val="009B73C7"/>
    <w:rsid w:val="009B745C"/>
    <w:rsid w:val="009B7471"/>
    <w:rsid w:val="009B7729"/>
    <w:rsid w:val="009B78A8"/>
    <w:rsid w:val="009B7A91"/>
    <w:rsid w:val="009B7B09"/>
    <w:rsid w:val="009B7CAC"/>
    <w:rsid w:val="009B7FE6"/>
    <w:rsid w:val="009C0040"/>
    <w:rsid w:val="009C00A6"/>
    <w:rsid w:val="009C0248"/>
    <w:rsid w:val="009C0275"/>
    <w:rsid w:val="009C0460"/>
    <w:rsid w:val="009C04FD"/>
    <w:rsid w:val="009C0807"/>
    <w:rsid w:val="009C089F"/>
    <w:rsid w:val="009C08D6"/>
    <w:rsid w:val="009C08E5"/>
    <w:rsid w:val="009C09B3"/>
    <w:rsid w:val="009C09DB"/>
    <w:rsid w:val="009C0AA9"/>
    <w:rsid w:val="009C0D51"/>
    <w:rsid w:val="009C0DE2"/>
    <w:rsid w:val="009C1030"/>
    <w:rsid w:val="009C10EF"/>
    <w:rsid w:val="009C1105"/>
    <w:rsid w:val="009C1327"/>
    <w:rsid w:val="009C1436"/>
    <w:rsid w:val="009C1512"/>
    <w:rsid w:val="009C16B3"/>
    <w:rsid w:val="009C1959"/>
    <w:rsid w:val="009C1967"/>
    <w:rsid w:val="009C1A23"/>
    <w:rsid w:val="009C1A6B"/>
    <w:rsid w:val="009C1B21"/>
    <w:rsid w:val="009C1B80"/>
    <w:rsid w:val="009C1E8E"/>
    <w:rsid w:val="009C1EA8"/>
    <w:rsid w:val="009C20AC"/>
    <w:rsid w:val="009C2139"/>
    <w:rsid w:val="009C2257"/>
    <w:rsid w:val="009C237C"/>
    <w:rsid w:val="009C253B"/>
    <w:rsid w:val="009C2619"/>
    <w:rsid w:val="009C27E5"/>
    <w:rsid w:val="009C286F"/>
    <w:rsid w:val="009C297F"/>
    <w:rsid w:val="009C2B3B"/>
    <w:rsid w:val="009C2D17"/>
    <w:rsid w:val="009C2D5D"/>
    <w:rsid w:val="009C2DAA"/>
    <w:rsid w:val="009C2F39"/>
    <w:rsid w:val="009C34FF"/>
    <w:rsid w:val="009C36C7"/>
    <w:rsid w:val="009C3AFC"/>
    <w:rsid w:val="009C3B82"/>
    <w:rsid w:val="009C3D04"/>
    <w:rsid w:val="009C3E44"/>
    <w:rsid w:val="009C3E95"/>
    <w:rsid w:val="009C3F4E"/>
    <w:rsid w:val="009C3FA2"/>
    <w:rsid w:val="009C422B"/>
    <w:rsid w:val="009C42A5"/>
    <w:rsid w:val="009C44B9"/>
    <w:rsid w:val="009C454F"/>
    <w:rsid w:val="009C46B3"/>
    <w:rsid w:val="009C4ACB"/>
    <w:rsid w:val="009C4B2A"/>
    <w:rsid w:val="009C4C43"/>
    <w:rsid w:val="009C4E1E"/>
    <w:rsid w:val="009C5792"/>
    <w:rsid w:val="009C58A6"/>
    <w:rsid w:val="009C58E1"/>
    <w:rsid w:val="009C5971"/>
    <w:rsid w:val="009C5A17"/>
    <w:rsid w:val="009C5B03"/>
    <w:rsid w:val="009C5CA5"/>
    <w:rsid w:val="009C5DAC"/>
    <w:rsid w:val="009C5F06"/>
    <w:rsid w:val="009C5F6A"/>
    <w:rsid w:val="009C60B1"/>
    <w:rsid w:val="009C6167"/>
    <w:rsid w:val="009C616E"/>
    <w:rsid w:val="009C6269"/>
    <w:rsid w:val="009C637A"/>
    <w:rsid w:val="009C6392"/>
    <w:rsid w:val="009C648F"/>
    <w:rsid w:val="009C650C"/>
    <w:rsid w:val="009C6518"/>
    <w:rsid w:val="009C6628"/>
    <w:rsid w:val="009C66F2"/>
    <w:rsid w:val="009C68D8"/>
    <w:rsid w:val="009C6917"/>
    <w:rsid w:val="009C6B93"/>
    <w:rsid w:val="009C6CDA"/>
    <w:rsid w:val="009C6EAE"/>
    <w:rsid w:val="009C709F"/>
    <w:rsid w:val="009C71A1"/>
    <w:rsid w:val="009C7264"/>
    <w:rsid w:val="009C7293"/>
    <w:rsid w:val="009C7427"/>
    <w:rsid w:val="009C75B0"/>
    <w:rsid w:val="009C75CC"/>
    <w:rsid w:val="009C7710"/>
    <w:rsid w:val="009C77A0"/>
    <w:rsid w:val="009C7844"/>
    <w:rsid w:val="009C79D0"/>
    <w:rsid w:val="009C7A33"/>
    <w:rsid w:val="009C7BC2"/>
    <w:rsid w:val="009C7EDE"/>
    <w:rsid w:val="009C7F9C"/>
    <w:rsid w:val="009D01DF"/>
    <w:rsid w:val="009D0261"/>
    <w:rsid w:val="009D0374"/>
    <w:rsid w:val="009D0394"/>
    <w:rsid w:val="009D04B5"/>
    <w:rsid w:val="009D0508"/>
    <w:rsid w:val="009D059B"/>
    <w:rsid w:val="009D05E6"/>
    <w:rsid w:val="009D060E"/>
    <w:rsid w:val="009D062B"/>
    <w:rsid w:val="009D093B"/>
    <w:rsid w:val="009D0E78"/>
    <w:rsid w:val="009D0EA3"/>
    <w:rsid w:val="009D0F56"/>
    <w:rsid w:val="009D118C"/>
    <w:rsid w:val="009D1367"/>
    <w:rsid w:val="009D139D"/>
    <w:rsid w:val="009D1408"/>
    <w:rsid w:val="009D147B"/>
    <w:rsid w:val="009D14B3"/>
    <w:rsid w:val="009D17BE"/>
    <w:rsid w:val="009D1A02"/>
    <w:rsid w:val="009D1AFE"/>
    <w:rsid w:val="009D1DF9"/>
    <w:rsid w:val="009D200C"/>
    <w:rsid w:val="009D2038"/>
    <w:rsid w:val="009D21C8"/>
    <w:rsid w:val="009D2320"/>
    <w:rsid w:val="009D2431"/>
    <w:rsid w:val="009D269C"/>
    <w:rsid w:val="009D26E0"/>
    <w:rsid w:val="009D2A28"/>
    <w:rsid w:val="009D2B5A"/>
    <w:rsid w:val="009D2C64"/>
    <w:rsid w:val="009D2C80"/>
    <w:rsid w:val="009D2D2A"/>
    <w:rsid w:val="009D2E55"/>
    <w:rsid w:val="009D2F09"/>
    <w:rsid w:val="009D3036"/>
    <w:rsid w:val="009D3190"/>
    <w:rsid w:val="009D3317"/>
    <w:rsid w:val="009D33D1"/>
    <w:rsid w:val="009D3496"/>
    <w:rsid w:val="009D3600"/>
    <w:rsid w:val="009D370E"/>
    <w:rsid w:val="009D37AD"/>
    <w:rsid w:val="009D3858"/>
    <w:rsid w:val="009D38F4"/>
    <w:rsid w:val="009D395B"/>
    <w:rsid w:val="009D3AE8"/>
    <w:rsid w:val="009D3DB1"/>
    <w:rsid w:val="009D3ED3"/>
    <w:rsid w:val="009D4268"/>
    <w:rsid w:val="009D4377"/>
    <w:rsid w:val="009D45F9"/>
    <w:rsid w:val="009D4802"/>
    <w:rsid w:val="009D4A15"/>
    <w:rsid w:val="009D4AD0"/>
    <w:rsid w:val="009D4B5A"/>
    <w:rsid w:val="009D4C96"/>
    <w:rsid w:val="009D4EA6"/>
    <w:rsid w:val="009D500B"/>
    <w:rsid w:val="009D50FC"/>
    <w:rsid w:val="009D51E4"/>
    <w:rsid w:val="009D52CA"/>
    <w:rsid w:val="009D5584"/>
    <w:rsid w:val="009D5624"/>
    <w:rsid w:val="009D5882"/>
    <w:rsid w:val="009D59D1"/>
    <w:rsid w:val="009D5ACD"/>
    <w:rsid w:val="009D5B38"/>
    <w:rsid w:val="009D5BA6"/>
    <w:rsid w:val="009D5C95"/>
    <w:rsid w:val="009D5D75"/>
    <w:rsid w:val="009D5E03"/>
    <w:rsid w:val="009D5E32"/>
    <w:rsid w:val="009D5F37"/>
    <w:rsid w:val="009D5F7E"/>
    <w:rsid w:val="009D5FDA"/>
    <w:rsid w:val="009D60AD"/>
    <w:rsid w:val="009D6346"/>
    <w:rsid w:val="009D6610"/>
    <w:rsid w:val="009D67CF"/>
    <w:rsid w:val="009D686C"/>
    <w:rsid w:val="009D6891"/>
    <w:rsid w:val="009D69C4"/>
    <w:rsid w:val="009D6A53"/>
    <w:rsid w:val="009D6A56"/>
    <w:rsid w:val="009D6A97"/>
    <w:rsid w:val="009D6BE2"/>
    <w:rsid w:val="009D6C65"/>
    <w:rsid w:val="009D6D67"/>
    <w:rsid w:val="009D6ED8"/>
    <w:rsid w:val="009D707D"/>
    <w:rsid w:val="009D71BC"/>
    <w:rsid w:val="009D752F"/>
    <w:rsid w:val="009D7568"/>
    <w:rsid w:val="009D762F"/>
    <w:rsid w:val="009D7704"/>
    <w:rsid w:val="009D7890"/>
    <w:rsid w:val="009D78FE"/>
    <w:rsid w:val="009D7BF1"/>
    <w:rsid w:val="009D7DE1"/>
    <w:rsid w:val="009D7E3D"/>
    <w:rsid w:val="009D7E52"/>
    <w:rsid w:val="009D7F3B"/>
    <w:rsid w:val="009D7F43"/>
    <w:rsid w:val="009E0429"/>
    <w:rsid w:val="009E06BB"/>
    <w:rsid w:val="009E07CA"/>
    <w:rsid w:val="009E0802"/>
    <w:rsid w:val="009E097E"/>
    <w:rsid w:val="009E0A3C"/>
    <w:rsid w:val="009E0BB8"/>
    <w:rsid w:val="009E0C4A"/>
    <w:rsid w:val="009E0C6D"/>
    <w:rsid w:val="009E0C9D"/>
    <w:rsid w:val="009E0DB6"/>
    <w:rsid w:val="009E0EBB"/>
    <w:rsid w:val="009E11DB"/>
    <w:rsid w:val="009E1337"/>
    <w:rsid w:val="009E1468"/>
    <w:rsid w:val="009E156E"/>
    <w:rsid w:val="009E18CD"/>
    <w:rsid w:val="009E1B60"/>
    <w:rsid w:val="009E1CD8"/>
    <w:rsid w:val="009E1CE3"/>
    <w:rsid w:val="009E1D4F"/>
    <w:rsid w:val="009E1E7E"/>
    <w:rsid w:val="009E1EAD"/>
    <w:rsid w:val="009E1EB3"/>
    <w:rsid w:val="009E1FEB"/>
    <w:rsid w:val="009E200C"/>
    <w:rsid w:val="009E21CE"/>
    <w:rsid w:val="009E2624"/>
    <w:rsid w:val="009E267D"/>
    <w:rsid w:val="009E2887"/>
    <w:rsid w:val="009E2998"/>
    <w:rsid w:val="009E2A54"/>
    <w:rsid w:val="009E2B09"/>
    <w:rsid w:val="009E2B92"/>
    <w:rsid w:val="009E2D3A"/>
    <w:rsid w:val="009E2D7C"/>
    <w:rsid w:val="009E2D7F"/>
    <w:rsid w:val="009E2FD5"/>
    <w:rsid w:val="009E306E"/>
    <w:rsid w:val="009E308F"/>
    <w:rsid w:val="009E317B"/>
    <w:rsid w:val="009E3444"/>
    <w:rsid w:val="009E3608"/>
    <w:rsid w:val="009E36CB"/>
    <w:rsid w:val="009E3B16"/>
    <w:rsid w:val="009E3C54"/>
    <w:rsid w:val="009E3CEC"/>
    <w:rsid w:val="009E3E18"/>
    <w:rsid w:val="009E3FD1"/>
    <w:rsid w:val="009E4000"/>
    <w:rsid w:val="009E4521"/>
    <w:rsid w:val="009E4574"/>
    <w:rsid w:val="009E45E8"/>
    <w:rsid w:val="009E4633"/>
    <w:rsid w:val="009E46D3"/>
    <w:rsid w:val="009E4856"/>
    <w:rsid w:val="009E48B3"/>
    <w:rsid w:val="009E48FA"/>
    <w:rsid w:val="009E4ACB"/>
    <w:rsid w:val="009E4C44"/>
    <w:rsid w:val="009E4E31"/>
    <w:rsid w:val="009E4E4E"/>
    <w:rsid w:val="009E4EFD"/>
    <w:rsid w:val="009E4FD1"/>
    <w:rsid w:val="009E506F"/>
    <w:rsid w:val="009E50F5"/>
    <w:rsid w:val="009E527D"/>
    <w:rsid w:val="009E537E"/>
    <w:rsid w:val="009E5428"/>
    <w:rsid w:val="009E542D"/>
    <w:rsid w:val="009E548E"/>
    <w:rsid w:val="009E55C4"/>
    <w:rsid w:val="009E5635"/>
    <w:rsid w:val="009E568A"/>
    <w:rsid w:val="009E56FE"/>
    <w:rsid w:val="009E57E4"/>
    <w:rsid w:val="009E5850"/>
    <w:rsid w:val="009E5980"/>
    <w:rsid w:val="009E5AD0"/>
    <w:rsid w:val="009E5B2B"/>
    <w:rsid w:val="009E5B39"/>
    <w:rsid w:val="009E5BC0"/>
    <w:rsid w:val="009E5BFE"/>
    <w:rsid w:val="009E5ED7"/>
    <w:rsid w:val="009E5FCA"/>
    <w:rsid w:val="009E60F3"/>
    <w:rsid w:val="009E620C"/>
    <w:rsid w:val="009E6238"/>
    <w:rsid w:val="009E62E3"/>
    <w:rsid w:val="009E62ED"/>
    <w:rsid w:val="009E6396"/>
    <w:rsid w:val="009E63E0"/>
    <w:rsid w:val="009E6488"/>
    <w:rsid w:val="009E6AF4"/>
    <w:rsid w:val="009E6B0C"/>
    <w:rsid w:val="009E6C54"/>
    <w:rsid w:val="009E6E4F"/>
    <w:rsid w:val="009E6E95"/>
    <w:rsid w:val="009E706F"/>
    <w:rsid w:val="009E7169"/>
    <w:rsid w:val="009E765D"/>
    <w:rsid w:val="009E777D"/>
    <w:rsid w:val="009E77EB"/>
    <w:rsid w:val="009E7877"/>
    <w:rsid w:val="009E7AD2"/>
    <w:rsid w:val="009E7B4C"/>
    <w:rsid w:val="009E7BC5"/>
    <w:rsid w:val="009E7BE0"/>
    <w:rsid w:val="009E7DD4"/>
    <w:rsid w:val="009E7E5D"/>
    <w:rsid w:val="009E7F0F"/>
    <w:rsid w:val="009E7F59"/>
    <w:rsid w:val="009E7FF0"/>
    <w:rsid w:val="009F0014"/>
    <w:rsid w:val="009F0381"/>
    <w:rsid w:val="009F040F"/>
    <w:rsid w:val="009F0463"/>
    <w:rsid w:val="009F047C"/>
    <w:rsid w:val="009F04D2"/>
    <w:rsid w:val="009F0596"/>
    <w:rsid w:val="009F065A"/>
    <w:rsid w:val="009F06D3"/>
    <w:rsid w:val="009F0871"/>
    <w:rsid w:val="009F087E"/>
    <w:rsid w:val="009F088E"/>
    <w:rsid w:val="009F0949"/>
    <w:rsid w:val="009F0A1E"/>
    <w:rsid w:val="009F0B21"/>
    <w:rsid w:val="009F11F6"/>
    <w:rsid w:val="009F13AE"/>
    <w:rsid w:val="009F1485"/>
    <w:rsid w:val="009F1528"/>
    <w:rsid w:val="009F1587"/>
    <w:rsid w:val="009F16CB"/>
    <w:rsid w:val="009F182A"/>
    <w:rsid w:val="009F18D1"/>
    <w:rsid w:val="009F18F7"/>
    <w:rsid w:val="009F19F6"/>
    <w:rsid w:val="009F1F6C"/>
    <w:rsid w:val="009F2097"/>
    <w:rsid w:val="009F2134"/>
    <w:rsid w:val="009F2213"/>
    <w:rsid w:val="009F23F1"/>
    <w:rsid w:val="009F285E"/>
    <w:rsid w:val="009F28F6"/>
    <w:rsid w:val="009F2A44"/>
    <w:rsid w:val="009F2B50"/>
    <w:rsid w:val="009F2C3C"/>
    <w:rsid w:val="009F2CF4"/>
    <w:rsid w:val="009F2D2A"/>
    <w:rsid w:val="009F2D5D"/>
    <w:rsid w:val="009F3064"/>
    <w:rsid w:val="009F3258"/>
    <w:rsid w:val="009F3434"/>
    <w:rsid w:val="009F35CA"/>
    <w:rsid w:val="009F383A"/>
    <w:rsid w:val="009F3981"/>
    <w:rsid w:val="009F3BE4"/>
    <w:rsid w:val="009F3D58"/>
    <w:rsid w:val="009F3EE1"/>
    <w:rsid w:val="009F3FCC"/>
    <w:rsid w:val="009F406A"/>
    <w:rsid w:val="009F40D6"/>
    <w:rsid w:val="009F41DF"/>
    <w:rsid w:val="009F4392"/>
    <w:rsid w:val="009F43E6"/>
    <w:rsid w:val="009F4464"/>
    <w:rsid w:val="009F46B8"/>
    <w:rsid w:val="009F4811"/>
    <w:rsid w:val="009F48EE"/>
    <w:rsid w:val="009F4AAC"/>
    <w:rsid w:val="009F4B2D"/>
    <w:rsid w:val="009F4CD8"/>
    <w:rsid w:val="009F4DF0"/>
    <w:rsid w:val="009F4E39"/>
    <w:rsid w:val="009F4ECA"/>
    <w:rsid w:val="009F4FBE"/>
    <w:rsid w:val="009F5117"/>
    <w:rsid w:val="009F5389"/>
    <w:rsid w:val="009F544F"/>
    <w:rsid w:val="009F54C0"/>
    <w:rsid w:val="009F564B"/>
    <w:rsid w:val="009F5680"/>
    <w:rsid w:val="009F56EB"/>
    <w:rsid w:val="009F57ED"/>
    <w:rsid w:val="009F5921"/>
    <w:rsid w:val="009F59BA"/>
    <w:rsid w:val="009F59D4"/>
    <w:rsid w:val="009F5A86"/>
    <w:rsid w:val="009F5A93"/>
    <w:rsid w:val="009F5AC8"/>
    <w:rsid w:val="009F5BC7"/>
    <w:rsid w:val="009F5C48"/>
    <w:rsid w:val="009F5C55"/>
    <w:rsid w:val="009F5CC2"/>
    <w:rsid w:val="009F5CE7"/>
    <w:rsid w:val="009F5D5D"/>
    <w:rsid w:val="009F5EB8"/>
    <w:rsid w:val="009F5F4E"/>
    <w:rsid w:val="009F6103"/>
    <w:rsid w:val="009F612D"/>
    <w:rsid w:val="009F65CC"/>
    <w:rsid w:val="009F66F6"/>
    <w:rsid w:val="009F6817"/>
    <w:rsid w:val="009F69BD"/>
    <w:rsid w:val="009F6B9F"/>
    <w:rsid w:val="009F6C95"/>
    <w:rsid w:val="009F6D40"/>
    <w:rsid w:val="009F6FAC"/>
    <w:rsid w:val="009F6FFE"/>
    <w:rsid w:val="009F71C5"/>
    <w:rsid w:val="009F750E"/>
    <w:rsid w:val="009F7622"/>
    <w:rsid w:val="009F7656"/>
    <w:rsid w:val="009F77C2"/>
    <w:rsid w:val="009F7969"/>
    <w:rsid w:val="009F7B02"/>
    <w:rsid w:val="009F7CE3"/>
    <w:rsid w:val="009F7D04"/>
    <w:rsid w:val="009F7D5B"/>
    <w:rsid w:val="009F7F18"/>
    <w:rsid w:val="009F7F70"/>
    <w:rsid w:val="009F7F9F"/>
    <w:rsid w:val="00A000DD"/>
    <w:rsid w:val="00A00215"/>
    <w:rsid w:val="00A00278"/>
    <w:rsid w:val="00A002BA"/>
    <w:rsid w:val="00A002FB"/>
    <w:rsid w:val="00A00348"/>
    <w:rsid w:val="00A00397"/>
    <w:rsid w:val="00A003AF"/>
    <w:rsid w:val="00A00490"/>
    <w:rsid w:val="00A00645"/>
    <w:rsid w:val="00A006CA"/>
    <w:rsid w:val="00A007DB"/>
    <w:rsid w:val="00A00837"/>
    <w:rsid w:val="00A008A6"/>
    <w:rsid w:val="00A00DEF"/>
    <w:rsid w:val="00A00E26"/>
    <w:rsid w:val="00A00F20"/>
    <w:rsid w:val="00A00FC8"/>
    <w:rsid w:val="00A01149"/>
    <w:rsid w:val="00A01156"/>
    <w:rsid w:val="00A012AE"/>
    <w:rsid w:val="00A01342"/>
    <w:rsid w:val="00A0134A"/>
    <w:rsid w:val="00A01599"/>
    <w:rsid w:val="00A015A2"/>
    <w:rsid w:val="00A01666"/>
    <w:rsid w:val="00A0189A"/>
    <w:rsid w:val="00A0195C"/>
    <w:rsid w:val="00A019AA"/>
    <w:rsid w:val="00A01A81"/>
    <w:rsid w:val="00A01A90"/>
    <w:rsid w:val="00A01CF0"/>
    <w:rsid w:val="00A01FC6"/>
    <w:rsid w:val="00A0216C"/>
    <w:rsid w:val="00A02285"/>
    <w:rsid w:val="00A0235E"/>
    <w:rsid w:val="00A0239F"/>
    <w:rsid w:val="00A02491"/>
    <w:rsid w:val="00A024D6"/>
    <w:rsid w:val="00A024F9"/>
    <w:rsid w:val="00A02559"/>
    <w:rsid w:val="00A02625"/>
    <w:rsid w:val="00A0270B"/>
    <w:rsid w:val="00A027A8"/>
    <w:rsid w:val="00A0293C"/>
    <w:rsid w:val="00A02A93"/>
    <w:rsid w:val="00A02BAA"/>
    <w:rsid w:val="00A02CEF"/>
    <w:rsid w:val="00A02D6D"/>
    <w:rsid w:val="00A02EFA"/>
    <w:rsid w:val="00A02F83"/>
    <w:rsid w:val="00A02FBA"/>
    <w:rsid w:val="00A02FF7"/>
    <w:rsid w:val="00A03228"/>
    <w:rsid w:val="00A03286"/>
    <w:rsid w:val="00A0370D"/>
    <w:rsid w:val="00A037D5"/>
    <w:rsid w:val="00A037EF"/>
    <w:rsid w:val="00A038A8"/>
    <w:rsid w:val="00A03B54"/>
    <w:rsid w:val="00A03C0C"/>
    <w:rsid w:val="00A03D82"/>
    <w:rsid w:val="00A03DF0"/>
    <w:rsid w:val="00A03E9D"/>
    <w:rsid w:val="00A03F7C"/>
    <w:rsid w:val="00A03F9E"/>
    <w:rsid w:val="00A04064"/>
    <w:rsid w:val="00A04194"/>
    <w:rsid w:val="00A041A5"/>
    <w:rsid w:val="00A04267"/>
    <w:rsid w:val="00A04276"/>
    <w:rsid w:val="00A042D1"/>
    <w:rsid w:val="00A04357"/>
    <w:rsid w:val="00A044FD"/>
    <w:rsid w:val="00A04616"/>
    <w:rsid w:val="00A046FF"/>
    <w:rsid w:val="00A04776"/>
    <w:rsid w:val="00A047A1"/>
    <w:rsid w:val="00A04901"/>
    <w:rsid w:val="00A04908"/>
    <w:rsid w:val="00A04973"/>
    <w:rsid w:val="00A04985"/>
    <w:rsid w:val="00A04B62"/>
    <w:rsid w:val="00A04D78"/>
    <w:rsid w:val="00A04E3F"/>
    <w:rsid w:val="00A04EDC"/>
    <w:rsid w:val="00A04F5E"/>
    <w:rsid w:val="00A05020"/>
    <w:rsid w:val="00A051BA"/>
    <w:rsid w:val="00A05233"/>
    <w:rsid w:val="00A052A1"/>
    <w:rsid w:val="00A05462"/>
    <w:rsid w:val="00A0552B"/>
    <w:rsid w:val="00A05539"/>
    <w:rsid w:val="00A05794"/>
    <w:rsid w:val="00A058B2"/>
    <w:rsid w:val="00A05946"/>
    <w:rsid w:val="00A05A41"/>
    <w:rsid w:val="00A05CB9"/>
    <w:rsid w:val="00A05D12"/>
    <w:rsid w:val="00A05D4E"/>
    <w:rsid w:val="00A05DAF"/>
    <w:rsid w:val="00A05E35"/>
    <w:rsid w:val="00A05F77"/>
    <w:rsid w:val="00A05FED"/>
    <w:rsid w:val="00A06153"/>
    <w:rsid w:val="00A0651F"/>
    <w:rsid w:val="00A06ACF"/>
    <w:rsid w:val="00A06DF8"/>
    <w:rsid w:val="00A06EDB"/>
    <w:rsid w:val="00A071DF"/>
    <w:rsid w:val="00A07246"/>
    <w:rsid w:val="00A072D1"/>
    <w:rsid w:val="00A073EC"/>
    <w:rsid w:val="00A0766F"/>
    <w:rsid w:val="00A0775A"/>
    <w:rsid w:val="00A077B3"/>
    <w:rsid w:val="00A0783B"/>
    <w:rsid w:val="00A0793C"/>
    <w:rsid w:val="00A07A67"/>
    <w:rsid w:val="00A07B0C"/>
    <w:rsid w:val="00A07DC2"/>
    <w:rsid w:val="00A07DDE"/>
    <w:rsid w:val="00A07E42"/>
    <w:rsid w:val="00A07F87"/>
    <w:rsid w:val="00A10166"/>
    <w:rsid w:val="00A10254"/>
    <w:rsid w:val="00A102B7"/>
    <w:rsid w:val="00A1047A"/>
    <w:rsid w:val="00A1074F"/>
    <w:rsid w:val="00A1080F"/>
    <w:rsid w:val="00A1092B"/>
    <w:rsid w:val="00A10A26"/>
    <w:rsid w:val="00A10A34"/>
    <w:rsid w:val="00A10C21"/>
    <w:rsid w:val="00A10C4A"/>
    <w:rsid w:val="00A10CDB"/>
    <w:rsid w:val="00A11019"/>
    <w:rsid w:val="00A110EE"/>
    <w:rsid w:val="00A11126"/>
    <w:rsid w:val="00A11197"/>
    <w:rsid w:val="00A1124D"/>
    <w:rsid w:val="00A113A0"/>
    <w:rsid w:val="00A116A8"/>
    <w:rsid w:val="00A118C1"/>
    <w:rsid w:val="00A11B01"/>
    <w:rsid w:val="00A11B0F"/>
    <w:rsid w:val="00A11BA1"/>
    <w:rsid w:val="00A11BD7"/>
    <w:rsid w:val="00A11BE3"/>
    <w:rsid w:val="00A11D3E"/>
    <w:rsid w:val="00A11DFB"/>
    <w:rsid w:val="00A11E5F"/>
    <w:rsid w:val="00A11F2F"/>
    <w:rsid w:val="00A12105"/>
    <w:rsid w:val="00A122F1"/>
    <w:rsid w:val="00A125FE"/>
    <w:rsid w:val="00A12665"/>
    <w:rsid w:val="00A12667"/>
    <w:rsid w:val="00A12680"/>
    <w:rsid w:val="00A12771"/>
    <w:rsid w:val="00A12801"/>
    <w:rsid w:val="00A1295C"/>
    <w:rsid w:val="00A12B93"/>
    <w:rsid w:val="00A12C25"/>
    <w:rsid w:val="00A12C58"/>
    <w:rsid w:val="00A12D6C"/>
    <w:rsid w:val="00A12D79"/>
    <w:rsid w:val="00A12D84"/>
    <w:rsid w:val="00A12E8D"/>
    <w:rsid w:val="00A12FC9"/>
    <w:rsid w:val="00A1322B"/>
    <w:rsid w:val="00A13518"/>
    <w:rsid w:val="00A136F8"/>
    <w:rsid w:val="00A139B7"/>
    <w:rsid w:val="00A13C8D"/>
    <w:rsid w:val="00A13CDA"/>
    <w:rsid w:val="00A13E30"/>
    <w:rsid w:val="00A1407A"/>
    <w:rsid w:val="00A140C9"/>
    <w:rsid w:val="00A142FA"/>
    <w:rsid w:val="00A14360"/>
    <w:rsid w:val="00A14406"/>
    <w:rsid w:val="00A1440C"/>
    <w:rsid w:val="00A144AB"/>
    <w:rsid w:val="00A144C4"/>
    <w:rsid w:val="00A1452A"/>
    <w:rsid w:val="00A1454A"/>
    <w:rsid w:val="00A1458E"/>
    <w:rsid w:val="00A14A07"/>
    <w:rsid w:val="00A14B74"/>
    <w:rsid w:val="00A14BE8"/>
    <w:rsid w:val="00A14C0D"/>
    <w:rsid w:val="00A15308"/>
    <w:rsid w:val="00A15669"/>
    <w:rsid w:val="00A156B7"/>
    <w:rsid w:val="00A1574E"/>
    <w:rsid w:val="00A15949"/>
    <w:rsid w:val="00A15979"/>
    <w:rsid w:val="00A159B2"/>
    <w:rsid w:val="00A159FF"/>
    <w:rsid w:val="00A15B4E"/>
    <w:rsid w:val="00A15F06"/>
    <w:rsid w:val="00A15F45"/>
    <w:rsid w:val="00A160A5"/>
    <w:rsid w:val="00A16263"/>
    <w:rsid w:val="00A162A7"/>
    <w:rsid w:val="00A1632C"/>
    <w:rsid w:val="00A16467"/>
    <w:rsid w:val="00A16525"/>
    <w:rsid w:val="00A16616"/>
    <w:rsid w:val="00A167B7"/>
    <w:rsid w:val="00A16A74"/>
    <w:rsid w:val="00A16BAD"/>
    <w:rsid w:val="00A16C82"/>
    <w:rsid w:val="00A16DB9"/>
    <w:rsid w:val="00A16E4A"/>
    <w:rsid w:val="00A16E6C"/>
    <w:rsid w:val="00A16EEA"/>
    <w:rsid w:val="00A16F0D"/>
    <w:rsid w:val="00A17047"/>
    <w:rsid w:val="00A17104"/>
    <w:rsid w:val="00A172BA"/>
    <w:rsid w:val="00A172EA"/>
    <w:rsid w:val="00A17440"/>
    <w:rsid w:val="00A17483"/>
    <w:rsid w:val="00A17603"/>
    <w:rsid w:val="00A176B7"/>
    <w:rsid w:val="00A177E7"/>
    <w:rsid w:val="00A179FC"/>
    <w:rsid w:val="00A17A0E"/>
    <w:rsid w:val="00A17A79"/>
    <w:rsid w:val="00A17D1E"/>
    <w:rsid w:val="00A17FEB"/>
    <w:rsid w:val="00A200E1"/>
    <w:rsid w:val="00A2018F"/>
    <w:rsid w:val="00A203A5"/>
    <w:rsid w:val="00A20450"/>
    <w:rsid w:val="00A20600"/>
    <w:rsid w:val="00A20643"/>
    <w:rsid w:val="00A2077A"/>
    <w:rsid w:val="00A207A4"/>
    <w:rsid w:val="00A2091C"/>
    <w:rsid w:val="00A209B8"/>
    <w:rsid w:val="00A20B58"/>
    <w:rsid w:val="00A20CB4"/>
    <w:rsid w:val="00A20DB5"/>
    <w:rsid w:val="00A20E4E"/>
    <w:rsid w:val="00A20E6F"/>
    <w:rsid w:val="00A20E9A"/>
    <w:rsid w:val="00A20F6A"/>
    <w:rsid w:val="00A2104B"/>
    <w:rsid w:val="00A213DE"/>
    <w:rsid w:val="00A21496"/>
    <w:rsid w:val="00A214F8"/>
    <w:rsid w:val="00A21546"/>
    <w:rsid w:val="00A21602"/>
    <w:rsid w:val="00A2161D"/>
    <w:rsid w:val="00A217B7"/>
    <w:rsid w:val="00A21A2B"/>
    <w:rsid w:val="00A21C33"/>
    <w:rsid w:val="00A21D07"/>
    <w:rsid w:val="00A22056"/>
    <w:rsid w:val="00A22091"/>
    <w:rsid w:val="00A22233"/>
    <w:rsid w:val="00A2223B"/>
    <w:rsid w:val="00A22278"/>
    <w:rsid w:val="00A222B1"/>
    <w:rsid w:val="00A224A7"/>
    <w:rsid w:val="00A225D1"/>
    <w:rsid w:val="00A2271E"/>
    <w:rsid w:val="00A22790"/>
    <w:rsid w:val="00A22921"/>
    <w:rsid w:val="00A22925"/>
    <w:rsid w:val="00A22948"/>
    <w:rsid w:val="00A22A1C"/>
    <w:rsid w:val="00A22A7D"/>
    <w:rsid w:val="00A22AD0"/>
    <w:rsid w:val="00A22AD2"/>
    <w:rsid w:val="00A22BD8"/>
    <w:rsid w:val="00A22C94"/>
    <w:rsid w:val="00A22DB3"/>
    <w:rsid w:val="00A23169"/>
    <w:rsid w:val="00A2369A"/>
    <w:rsid w:val="00A23706"/>
    <w:rsid w:val="00A23726"/>
    <w:rsid w:val="00A2390D"/>
    <w:rsid w:val="00A23B2B"/>
    <w:rsid w:val="00A23B4B"/>
    <w:rsid w:val="00A23B66"/>
    <w:rsid w:val="00A23CB4"/>
    <w:rsid w:val="00A23D02"/>
    <w:rsid w:val="00A23DBF"/>
    <w:rsid w:val="00A23F35"/>
    <w:rsid w:val="00A23F81"/>
    <w:rsid w:val="00A24237"/>
    <w:rsid w:val="00A24246"/>
    <w:rsid w:val="00A243A8"/>
    <w:rsid w:val="00A243F6"/>
    <w:rsid w:val="00A24763"/>
    <w:rsid w:val="00A247F0"/>
    <w:rsid w:val="00A2482A"/>
    <w:rsid w:val="00A24879"/>
    <w:rsid w:val="00A24AF1"/>
    <w:rsid w:val="00A24BBA"/>
    <w:rsid w:val="00A24CF4"/>
    <w:rsid w:val="00A24D7F"/>
    <w:rsid w:val="00A24E30"/>
    <w:rsid w:val="00A24F92"/>
    <w:rsid w:val="00A2506D"/>
    <w:rsid w:val="00A25164"/>
    <w:rsid w:val="00A25257"/>
    <w:rsid w:val="00A25426"/>
    <w:rsid w:val="00A2545D"/>
    <w:rsid w:val="00A25481"/>
    <w:rsid w:val="00A2558E"/>
    <w:rsid w:val="00A25626"/>
    <w:rsid w:val="00A257A7"/>
    <w:rsid w:val="00A2596D"/>
    <w:rsid w:val="00A25B70"/>
    <w:rsid w:val="00A25D1C"/>
    <w:rsid w:val="00A25E96"/>
    <w:rsid w:val="00A25EB9"/>
    <w:rsid w:val="00A25F08"/>
    <w:rsid w:val="00A260B5"/>
    <w:rsid w:val="00A26170"/>
    <w:rsid w:val="00A2653F"/>
    <w:rsid w:val="00A265CB"/>
    <w:rsid w:val="00A265D9"/>
    <w:rsid w:val="00A26635"/>
    <w:rsid w:val="00A26827"/>
    <w:rsid w:val="00A2684C"/>
    <w:rsid w:val="00A26A67"/>
    <w:rsid w:val="00A26A80"/>
    <w:rsid w:val="00A26AAC"/>
    <w:rsid w:val="00A26D44"/>
    <w:rsid w:val="00A26F06"/>
    <w:rsid w:val="00A26F56"/>
    <w:rsid w:val="00A26FEC"/>
    <w:rsid w:val="00A2714F"/>
    <w:rsid w:val="00A271AC"/>
    <w:rsid w:val="00A27403"/>
    <w:rsid w:val="00A275FA"/>
    <w:rsid w:val="00A2784B"/>
    <w:rsid w:val="00A27963"/>
    <w:rsid w:val="00A27E56"/>
    <w:rsid w:val="00A27EBF"/>
    <w:rsid w:val="00A27FAB"/>
    <w:rsid w:val="00A300B2"/>
    <w:rsid w:val="00A300C5"/>
    <w:rsid w:val="00A301B9"/>
    <w:rsid w:val="00A30447"/>
    <w:rsid w:val="00A304A3"/>
    <w:rsid w:val="00A30535"/>
    <w:rsid w:val="00A30564"/>
    <w:rsid w:val="00A305A8"/>
    <w:rsid w:val="00A307AC"/>
    <w:rsid w:val="00A30AEB"/>
    <w:rsid w:val="00A30BC7"/>
    <w:rsid w:val="00A30F1D"/>
    <w:rsid w:val="00A31053"/>
    <w:rsid w:val="00A3107F"/>
    <w:rsid w:val="00A31134"/>
    <w:rsid w:val="00A31412"/>
    <w:rsid w:val="00A315CD"/>
    <w:rsid w:val="00A315F5"/>
    <w:rsid w:val="00A3176B"/>
    <w:rsid w:val="00A318E1"/>
    <w:rsid w:val="00A3190A"/>
    <w:rsid w:val="00A31A02"/>
    <w:rsid w:val="00A31A04"/>
    <w:rsid w:val="00A31A95"/>
    <w:rsid w:val="00A31BCF"/>
    <w:rsid w:val="00A31D0B"/>
    <w:rsid w:val="00A31E6D"/>
    <w:rsid w:val="00A31EE1"/>
    <w:rsid w:val="00A31FEE"/>
    <w:rsid w:val="00A322F1"/>
    <w:rsid w:val="00A3234A"/>
    <w:rsid w:val="00A323C9"/>
    <w:rsid w:val="00A3268A"/>
    <w:rsid w:val="00A32776"/>
    <w:rsid w:val="00A327AE"/>
    <w:rsid w:val="00A328F7"/>
    <w:rsid w:val="00A32933"/>
    <w:rsid w:val="00A32A40"/>
    <w:rsid w:val="00A32CF5"/>
    <w:rsid w:val="00A33037"/>
    <w:rsid w:val="00A33045"/>
    <w:rsid w:val="00A3306D"/>
    <w:rsid w:val="00A3319C"/>
    <w:rsid w:val="00A33201"/>
    <w:rsid w:val="00A33216"/>
    <w:rsid w:val="00A3342A"/>
    <w:rsid w:val="00A33430"/>
    <w:rsid w:val="00A334F3"/>
    <w:rsid w:val="00A33574"/>
    <w:rsid w:val="00A33695"/>
    <w:rsid w:val="00A33731"/>
    <w:rsid w:val="00A33855"/>
    <w:rsid w:val="00A33A03"/>
    <w:rsid w:val="00A33A8C"/>
    <w:rsid w:val="00A33D85"/>
    <w:rsid w:val="00A33E45"/>
    <w:rsid w:val="00A33EAA"/>
    <w:rsid w:val="00A33FA8"/>
    <w:rsid w:val="00A33FF6"/>
    <w:rsid w:val="00A340A7"/>
    <w:rsid w:val="00A34427"/>
    <w:rsid w:val="00A344ED"/>
    <w:rsid w:val="00A345CA"/>
    <w:rsid w:val="00A346B2"/>
    <w:rsid w:val="00A346C1"/>
    <w:rsid w:val="00A34743"/>
    <w:rsid w:val="00A3478F"/>
    <w:rsid w:val="00A347D3"/>
    <w:rsid w:val="00A348BE"/>
    <w:rsid w:val="00A349EA"/>
    <w:rsid w:val="00A34B27"/>
    <w:rsid w:val="00A34C08"/>
    <w:rsid w:val="00A34D84"/>
    <w:rsid w:val="00A34F32"/>
    <w:rsid w:val="00A35094"/>
    <w:rsid w:val="00A351FC"/>
    <w:rsid w:val="00A3522C"/>
    <w:rsid w:val="00A3549F"/>
    <w:rsid w:val="00A35677"/>
    <w:rsid w:val="00A356A1"/>
    <w:rsid w:val="00A3585A"/>
    <w:rsid w:val="00A359A2"/>
    <w:rsid w:val="00A35A1A"/>
    <w:rsid w:val="00A35A89"/>
    <w:rsid w:val="00A35AA4"/>
    <w:rsid w:val="00A35BFE"/>
    <w:rsid w:val="00A35CD2"/>
    <w:rsid w:val="00A35D7C"/>
    <w:rsid w:val="00A35E03"/>
    <w:rsid w:val="00A35FBC"/>
    <w:rsid w:val="00A35FE1"/>
    <w:rsid w:val="00A36161"/>
    <w:rsid w:val="00A3622F"/>
    <w:rsid w:val="00A362B8"/>
    <w:rsid w:val="00A362FC"/>
    <w:rsid w:val="00A363A2"/>
    <w:rsid w:val="00A36461"/>
    <w:rsid w:val="00A36492"/>
    <w:rsid w:val="00A364C4"/>
    <w:rsid w:val="00A364E2"/>
    <w:rsid w:val="00A367A4"/>
    <w:rsid w:val="00A367D0"/>
    <w:rsid w:val="00A36892"/>
    <w:rsid w:val="00A36940"/>
    <w:rsid w:val="00A36D75"/>
    <w:rsid w:val="00A36D82"/>
    <w:rsid w:val="00A36F1E"/>
    <w:rsid w:val="00A36F2E"/>
    <w:rsid w:val="00A37561"/>
    <w:rsid w:val="00A375B1"/>
    <w:rsid w:val="00A375C9"/>
    <w:rsid w:val="00A377C7"/>
    <w:rsid w:val="00A37801"/>
    <w:rsid w:val="00A378C7"/>
    <w:rsid w:val="00A378DF"/>
    <w:rsid w:val="00A378E1"/>
    <w:rsid w:val="00A37915"/>
    <w:rsid w:val="00A37A0E"/>
    <w:rsid w:val="00A37A44"/>
    <w:rsid w:val="00A37A47"/>
    <w:rsid w:val="00A37B19"/>
    <w:rsid w:val="00A37E0D"/>
    <w:rsid w:val="00A400B9"/>
    <w:rsid w:val="00A40141"/>
    <w:rsid w:val="00A403AE"/>
    <w:rsid w:val="00A403EB"/>
    <w:rsid w:val="00A404B8"/>
    <w:rsid w:val="00A4058A"/>
    <w:rsid w:val="00A4059D"/>
    <w:rsid w:val="00A4079B"/>
    <w:rsid w:val="00A40BCF"/>
    <w:rsid w:val="00A40EA0"/>
    <w:rsid w:val="00A40FE7"/>
    <w:rsid w:val="00A410D6"/>
    <w:rsid w:val="00A41212"/>
    <w:rsid w:val="00A4127D"/>
    <w:rsid w:val="00A41300"/>
    <w:rsid w:val="00A4135A"/>
    <w:rsid w:val="00A41374"/>
    <w:rsid w:val="00A4146C"/>
    <w:rsid w:val="00A41534"/>
    <w:rsid w:val="00A41623"/>
    <w:rsid w:val="00A4175D"/>
    <w:rsid w:val="00A418D6"/>
    <w:rsid w:val="00A41988"/>
    <w:rsid w:val="00A41A56"/>
    <w:rsid w:val="00A41A9B"/>
    <w:rsid w:val="00A41AA3"/>
    <w:rsid w:val="00A41BCE"/>
    <w:rsid w:val="00A41C23"/>
    <w:rsid w:val="00A41ED3"/>
    <w:rsid w:val="00A41F0D"/>
    <w:rsid w:val="00A422DB"/>
    <w:rsid w:val="00A4251C"/>
    <w:rsid w:val="00A426AC"/>
    <w:rsid w:val="00A427F2"/>
    <w:rsid w:val="00A42952"/>
    <w:rsid w:val="00A42963"/>
    <w:rsid w:val="00A42E5E"/>
    <w:rsid w:val="00A4327C"/>
    <w:rsid w:val="00A43366"/>
    <w:rsid w:val="00A4337A"/>
    <w:rsid w:val="00A4341C"/>
    <w:rsid w:val="00A43595"/>
    <w:rsid w:val="00A43636"/>
    <w:rsid w:val="00A43677"/>
    <w:rsid w:val="00A43C82"/>
    <w:rsid w:val="00A43EDD"/>
    <w:rsid w:val="00A43F12"/>
    <w:rsid w:val="00A44062"/>
    <w:rsid w:val="00A440A5"/>
    <w:rsid w:val="00A441FA"/>
    <w:rsid w:val="00A442DA"/>
    <w:rsid w:val="00A442F9"/>
    <w:rsid w:val="00A44315"/>
    <w:rsid w:val="00A4436D"/>
    <w:rsid w:val="00A4446A"/>
    <w:rsid w:val="00A44587"/>
    <w:rsid w:val="00A445D8"/>
    <w:rsid w:val="00A4476E"/>
    <w:rsid w:val="00A447E7"/>
    <w:rsid w:val="00A44952"/>
    <w:rsid w:val="00A44AB3"/>
    <w:rsid w:val="00A44DD0"/>
    <w:rsid w:val="00A45092"/>
    <w:rsid w:val="00A450A5"/>
    <w:rsid w:val="00A4511C"/>
    <w:rsid w:val="00A452E8"/>
    <w:rsid w:val="00A453AA"/>
    <w:rsid w:val="00A453E0"/>
    <w:rsid w:val="00A454C7"/>
    <w:rsid w:val="00A45928"/>
    <w:rsid w:val="00A45ADE"/>
    <w:rsid w:val="00A45C7A"/>
    <w:rsid w:val="00A45D45"/>
    <w:rsid w:val="00A45E42"/>
    <w:rsid w:val="00A45FF0"/>
    <w:rsid w:val="00A46057"/>
    <w:rsid w:val="00A460F8"/>
    <w:rsid w:val="00A46118"/>
    <w:rsid w:val="00A46197"/>
    <w:rsid w:val="00A4628A"/>
    <w:rsid w:val="00A4630F"/>
    <w:rsid w:val="00A463B4"/>
    <w:rsid w:val="00A466C0"/>
    <w:rsid w:val="00A4672D"/>
    <w:rsid w:val="00A46BC6"/>
    <w:rsid w:val="00A46BDE"/>
    <w:rsid w:val="00A46C98"/>
    <w:rsid w:val="00A46E0E"/>
    <w:rsid w:val="00A46EA6"/>
    <w:rsid w:val="00A46FB9"/>
    <w:rsid w:val="00A46FE0"/>
    <w:rsid w:val="00A47040"/>
    <w:rsid w:val="00A4704F"/>
    <w:rsid w:val="00A47179"/>
    <w:rsid w:val="00A47397"/>
    <w:rsid w:val="00A473E5"/>
    <w:rsid w:val="00A474B8"/>
    <w:rsid w:val="00A4756D"/>
    <w:rsid w:val="00A4757E"/>
    <w:rsid w:val="00A47A25"/>
    <w:rsid w:val="00A47AAC"/>
    <w:rsid w:val="00A47C71"/>
    <w:rsid w:val="00A47E35"/>
    <w:rsid w:val="00A47FD7"/>
    <w:rsid w:val="00A50174"/>
    <w:rsid w:val="00A502FE"/>
    <w:rsid w:val="00A50432"/>
    <w:rsid w:val="00A50638"/>
    <w:rsid w:val="00A5070C"/>
    <w:rsid w:val="00A507AA"/>
    <w:rsid w:val="00A5087A"/>
    <w:rsid w:val="00A509D2"/>
    <w:rsid w:val="00A50BB2"/>
    <w:rsid w:val="00A50C5C"/>
    <w:rsid w:val="00A50CC5"/>
    <w:rsid w:val="00A50CF2"/>
    <w:rsid w:val="00A50F7B"/>
    <w:rsid w:val="00A51024"/>
    <w:rsid w:val="00A5121C"/>
    <w:rsid w:val="00A51363"/>
    <w:rsid w:val="00A51750"/>
    <w:rsid w:val="00A51845"/>
    <w:rsid w:val="00A518BA"/>
    <w:rsid w:val="00A518F9"/>
    <w:rsid w:val="00A51B9D"/>
    <w:rsid w:val="00A51D5A"/>
    <w:rsid w:val="00A51D87"/>
    <w:rsid w:val="00A51EA8"/>
    <w:rsid w:val="00A51FB9"/>
    <w:rsid w:val="00A5200C"/>
    <w:rsid w:val="00A52183"/>
    <w:rsid w:val="00A5246B"/>
    <w:rsid w:val="00A5248F"/>
    <w:rsid w:val="00A524A2"/>
    <w:rsid w:val="00A524C5"/>
    <w:rsid w:val="00A52B67"/>
    <w:rsid w:val="00A52C7C"/>
    <w:rsid w:val="00A52C84"/>
    <w:rsid w:val="00A52F3E"/>
    <w:rsid w:val="00A53103"/>
    <w:rsid w:val="00A5314F"/>
    <w:rsid w:val="00A53670"/>
    <w:rsid w:val="00A5395B"/>
    <w:rsid w:val="00A539F4"/>
    <w:rsid w:val="00A53C62"/>
    <w:rsid w:val="00A53D6C"/>
    <w:rsid w:val="00A54007"/>
    <w:rsid w:val="00A5402A"/>
    <w:rsid w:val="00A54091"/>
    <w:rsid w:val="00A5452D"/>
    <w:rsid w:val="00A54615"/>
    <w:rsid w:val="00A547B1"/>
    <w:rsid w:val="00A54995"/>
    <w:rsid w:val="00A54AFE"/>
    <w:rsid w:val="00A54BBC"/>
    <w:rsid w:val="00A54C53"/>
    <w:rsid w:val="00A54C88"/>
    <w:rsid w:val="00A54CCE"/>
    <w:rsid w:val="00A54D2C"/>
    <w:rsid w:val="00A54E3D"/>
    <w:rsid w:val="00A54E45"/>
    <w:rsid w:val="00A54EEA"/>
    <w:rsid w:val="00A54F45"/>
    <w:rsid w:val="00A55006"/>
    <w:rsid w:val="00A551E0"/>
    <w:rsid w:val="00A552E5"/>
    <w:rsid w:val="00A55367"/>
    <w:rsid w:val="00A553A8"/>
    <w:rsid w:val="00A553D9"/>
    <w:rsid w:val="00A55510"/>
    <w:rsid w:val="00A5561C"/>
    <w:rsid w:val="00A5573A"/>
    <w:rsid w:val="00A558DE"/>
    <w:rsid w:val="00A55965"/>
    <w:rsid w:val="00A55969"/>
    <w:rsid w:val="00A5597F"/>
    <w:rsid w:val="00A55A38"/>
    <w:rsid w:val="00A55B73"/>
    <w:rsid w:val="00A55BCD"/>
    <w:rsid w:val="00A55C77"/>
    <w:rsid w:val="00A55CCE"/>
    <w:rsid w:val="00A55D6B"/>
    <w:rsid w:val="00A55FF4"/>
    <w:rsid w:val="00A5624C"/>
    <w:rsid w:val="00A564B3"/>
    <w:rsid w:val="00A5657F"/>
    <w:rsid w:val="00A56655"/>
    <w:rsid w:val="00A56751"/>
    <w:rsid w:val="00A56978"/>
    <w:rsid w:val="00A569BD"/>
    <w:rsid w:val="00A56A4D"/>
    <w:rsid w:val="00A56BB4"/>
    <w:rsid w:val="00A56C0C"/>
    <w:rsid w:val="00A56C4D"/>
    <w:rsid w:val="00A56D75"/>
    <w:rsid w:val="00A56FC3"/>
    <w:rsid w:val="00A5705E"/>
    <w:rsid w:val="00A571C1"/>
    <w:rsid w:val="00A571CC"/>
    <w:rsid w:val="00A5738E"/>
    <w:rsid w:val="00A57487"/>
    <w:rsid w:val="00A57C97"/>
    <w:rsid w:val="00A57F79"/>
    <w:rsid w:val="00A57FC0"/>
    <w:rsid w:val="00A60290"/>
    <w:rsid w:val="00A604EA"/>
    <w:rsid w:val="00A60712"/>
    <w:rsid w:val="00A607AD"/>
    <w:rsid w:val="00A607F8"/>
    <w:rsid w:val="00A60970"/>
    <w:rsid w:val="00A60A1A"/>
    <w:rsid w:val="00A60B9D"/>
    <w:rsid w:val="00A60BA9"/>
    <w:rsid w:val="00A60BD4"/>
    <w:rsid w:val="00A60BF4"/>
    <w:rsid w:val="00A60D09"/>
    <w:rsid w:val="00A60DFD"/>
    <w:rsid w:val="00A60E5A"/>
    <w:rsid w:val="00A61245"/>
    <w:rsid w:val="00A61508"/>
    <w:rsid w:val="00A615BF"/>
    <w:rsid w:val="00A6165A"/>
    <w:rsid w:val="00A61716"/>
    <w:rsid w:val="00A617F0"/>
    <w:rsid w:val="00A61850"/>
    <w:rsid w:val="00A61878"/>
    <w:rsid w:val="00A61A47"/>
    <w:rsid w:val="00A61C99"/>
    <w:rsid w:val="00A61F3C"/>
    <w:rsid w:val="00A61FF2"/>
    <w:rsid w:val="00A6205D"/>
    <w:rsid w:val="00A6227B"/>
    <w:rsid w:val="00A62306"/>
    <w:rsid w:val="00A626D0"/>
    <w:rsid w:val="00A6279A"/>
    <w:rsid w:val="00A62A9F"/>
    <w:rsid w:val="00A62B0C"/>
    <w:rsid w:val="00A62B32"/>
    <w:rsid w:val="00A62B3F"/>
    <w:rsid w:val="00A62B4D"/>
    <w:rsid w:val="00A62BF2"/>
    <w:rsid w:val="00A62D26"/>
    <w:rsid w:val="00A62EAF"/>
    <w:rsid w:val="00A6319D"/>
    <w:rsid w:val="00A631D4"/>
    <w:rsid w:val="00A633C3"/>
    <w:rsid w:val="00A633C5"/>
    <w:rsid w:val="00A6349D"/>
    <w:rsid w:val="00A634E2"/>
    <w:rsid w:val="00A6354C"/>
    <w:rsid w:val="00A636D7"/>
    <w:rsid w:val="00A6379A"/>
    <w:rsid w:val="00A637F5"/>
    <w:rsid w:val="00A639EA"/>
    <w:rsid w:val="00A639EE"/>
    <w:rsid w:val="00A63C0D"/>
    <w:rsid w:val="00A63C8B"/>
    <w:rsid w:val="00A63CBE"/>
    <w:rsid w:val="00A63CCA"/>
    <w:rsid w:val="00A63D84"/>
    <w:rsid w:val="00A63E77"/>
    <w:rsid w:val="00A6412B"/>
    <w:rsid w:val="00A642CE"/>
    <w:rsid w:val="00A64350"/>
    <w:rsid w:val="00A6438D"/>
    <w:rsid w:val="00A6466C"/>
    <w:rsid w:val="00A6468E"/>
    <w:rsid w:val="00A646A4"/>
    <w:rsid w:val="00A64730"/>
    <w:rsid w:val="00A64787"/>
    <w:rsid w:val="00A648CC"/>
    <w:rsid w:val="00A64C20"/>
    <w:rsid w:val="00A64CFC"/>
    <w:rsid w:val="00A64D53"/>
    <w:rsid w:val="00A64E87"/>
    <w:rsid w:val="00A64F46"/>
    <w:rsid w:val="00A65062"/>
    <w:rsid w:val="00A6506C"/>
    <w:rsid w:val="00A650E5"/>
    <w:rsid w:val="00A65236"/>
    <w:rsid w:val="00A6523B"/>
    <w:rsid w:val="00A654AB"/>
    <w:rsid w:val="00A655B7"/>
    <w:rsid w:val="00A6562F"/>
    <w:rsid w:val="00A657D6"/>
    <w:rsid w:val="00A657EB"/>
    <w:rsid w:val="00A65887"/>
    <w:rsid w:val="00A65C0B"/>
    <w:rsid w:val="00A65EC4"/>
    <w:rsid w:val="00A65F30"/>
    <w:rsid w:val="00A65FA7"/>
    <w:rsid w:val="00A661E3"/>
    <w:rsid w:val="00A6627E"/>
    <w:rsid w:val="00A662A9"/>
    <w:rsid w:val="00A665BC"/>
    <w:rsid w:val="00A66855"/>
    <w:rsid w:val="00A66A40"/>
    <w:rsid w:val="00A66AF8"/>
    <w:rsid w:val="00A66BF8"/>
    <w:rsid w:val="00A66E8F"/>
    <w:rsid w:val="00A66F6F"/>
    <w:rsid w:val="00A6716D"/>
    <w:rsid w:val="00A67656"/>
    <w:rsid w:val="00A678F4"/>
    <w:rsid w:val="00A6791B"/>
    <w:rsid w:val="00A67A7A"/>
    <w:rsid w:val="00A67AA5"/>
    <w:rsid w:val="00A67E39"/>
    <w:rsid w:val="00A67EA6"/>
    <w:rsid w:val="00A67FAE"/>
    <w:rsid w:val="00A67FD2"/>
    <w:rsid w:val="00A70183"/>
    <w:rsid w:val="00A70250"/>
    <w:rsid w:val="00A7028C"/>
    <w:rsid w:val="00A702A8"/>
    <w:rsid w:val="00A703B0"/>
    <w:rsid w:val="00A7067D"/>
    <w:rsid w:val="00A707A8"/>
    <w:rsid w:val="00A70889"/>
    <w:rsid w:val="00A708EF"/>
    <w:rsid w:val="00A709FC"/>
    <w:rsid w:val="00A70C2F"/>
    <w:rsid w:val="00A70C7E"/>
    <w:rsid w:val="00A70E76"/>
    <w:rsid w:val="00A70ECC"/>
    <w:rsid w:val="00A70F2C"/>
    <w:rsid w:val="00A71001"/>
    <w:rsid w:val="00A712E3"/>
    <w:rsid w:val="00A715A0"/>
    <w:rsid w:val="00A715BC"/>
    <w:rsid w:val="00A71733"/>
    <w:rsid w:val="00A718E9"/>
    <w:rsid w:val="00A71916"/>
    <w:rsid w:val="00A719BF"/>
    <w:rsid w:val="00A719CF"/>
    <w:rsid w:val="00A71A4C"/>
    <w:rsid w:val="00A71EE8"/>
    <w:rsid w:val="00A71F34"/>
    <w:rsid w:val="00A72077"/>
    <w:rsid w:val="00A7227C"/>
    <w:rsid w:val="00A724E5"/>
    <w:rsid w:val="00A725F6"/>
    <w:rsid w:val="00A72B38"/>
    <w:rsid w:val="00A72B6F"/>
    <w:rsid w:val="00A72E2F"/>
    <w:rsid w:val="00A72E62"/>
    <w:rsid w:val="00A72E88"/>
    <w:rsid w:val="00A72EF1"/>
    <w:rsid w:val="00A7304F"/>
    <w:rsid w:val="00A731A6"/>
    <w:rsid w:val="00A73376"/>
    <w:rsid w:val="00A733A4"/>
    <w:rsid w:val="00A734F8"/>
    <w:rsid w:val="00A7363F"/>
    <w:rsid w:val="00A73951"/>
    <w:rsid w:val="00A73AD9"/>
    <w:rsid w:val="00A73BF1"/>
    <w:rsid w:val="00A73CF9"/>
    <w:rsid w:val="00A74005"/>
    <w:rsid w:val="00A7406C"/>
    <w:rsid w:val="00A74138"/>
    <w:rsid w:val="00A7415D"/>
    <w:rsid w:val="00A741FA"/>
    <w:rsid w:val="00A74663"/>
    <w:rsid w:val="00A747E9"/>
    <w:rsid w:val="00A74878"/>
    <w:rsid w:val="00A748C8"/>
    <w:rsid w:val="00A749E4"/>
    <w:rsid w:val="00A749F9"/>
    <w:rsid w:val="00A74AD1"/>
    <w:rsid w:val="00A74B1D"/>
    <w:rsid w:val="00A74B30"/>
    <w:rsid w:val="00A74B6F"/>
    <w:rsid w:val="00A74B8B"/>
    <w:rsid w:val="00A74C11"/>
    <w:rsid w:val="00A750E1"/>
    <w:rsid w:val="00A7512D"/>
    <w:rsid w:val="00A75130"/>
    <w:rsid w:val="00A7515E"/>
    <w:rsid w:val="00A75169"/>
    <w:rsid w:val="00A75381"/>
    <w:rsid w:val="00A7543F"/>
    <w:rsid w:val="00A754C9"/>
    <w:rsid w:val="00A7555F"/>
    <w:rsid w:val="00A75900"/>
    <w:rsid w:val="00A75984"/>
    <w:rsid w:val="00A75AC4"/>
    <w:rsid w:val="00A75B57"/>
    <w:rsid w:val="00A75C1F"/>
    <w:rsid w:val="00A75DAB"/>
    <w:rsid w:val="00A75EDC"/>
    <w:rsid w:val="00A75FEA"/>
    <w:rsid w:val="00A7613F"/>
    <w:rsid w:val="00A762C4"/>
    <w:rsid w:val="00A76310"/>
    <w:rsid w:val="00A76392"/>
    <w:rsid w:val="00A76777"/>
    <w:rsid w:val="00A768EB"/>
    <w:rsid w:val="00A76921"/>
    <w:rsid w:val="00A76987"/>
    <w:rsid w:val="00A76ACC"/>
    <w:rsid w:val="00A76CD4"/>
    <w:rsid w:val="00A76CF7"/>
    <w:rsid w:val="00A76D56"/>
    <w:rsid w:val="00A76DEA"/>
    <w:rsid w:val="00A770C0"/>
    <w:rsid w:val="00A77144"/>
    <w:rsid w:val="00A77223"/>
    <w:rsid w:val="00A77380"/>
    <w:rsid w:val="00A77457"/>
    <w:rsid w:val="00A7754C"/>
    <w:rsid w:val="00A77566"/>
    <w:rsid w:val="00A776F3"/>
    <w:rsid w:val="00A777D9"/>
    <w:rsid w:val="00A77843"/>
    <w:rsid w:val="00A77873"/>
    <w:rsid w:val="00A77900"/>
    <w:rsid w:val="00A779C5"/>
    <w:rsid w:val="00A77A9E"/>
    <w:rsid w:val="00A77C0B"/>
    <w:rsid w:val="00A77D58"/>
    <w:rsid w:val="00A77DC2"/>
    <w:rsid w:val="00A77FF4"/>
    <w:rsid w:val="00A80109"/>
    <w:rsid w:val="00A80158"/>
    <w:rsid w:val="00A8023B"/>
    <w:rsid w:val="00A80356"/>
    <w:rsid w:val="00A804DE"/>
    <w:rsid w:val="00A804FE"/>
    <w:rsid w:val="00A80519"/>
    <w:rsid w:val="00A806EE"/>
    <w:rsid w:val="00A807F8"/>
    <w:rsid w:val="00A8081F"/>
    <w:rsid w:val="00A80BDA"/>
    <w:rsid w:val="00A80C6B"/>
    <w:rsid w:val="00A80CA9"/>
    <w:rsid w:val="00A80E17"/>
    <w:rsid w:val="00A80EA0"/>
    <w:rsid w:val="00A811F5"/>
    <w:rsid w:val="00A81512"/>
    <w:rsid w:val="00A815AD"/>
    <w:rsid w:val="00A81740"/>
    <w:rsid w:val="00A81748"/>
    <w:rsid w:val="00A817D7"/>
    <w:rsid w:val="00A8198C"/>
    <w:rsid w:val="00A81A58"/>
    <w:rsid w:val="00A81D0D"/>
    <w:rsid w:val="00A81D74"/>
    <w:rsid w:val="00A81EC6"/>
    <w:rsid w:val="00A81F23"/>
    <w:rsid w:val="00A82026"/>
    <w:rsid w:val="00A8202E"/>
    <w:rsid w:val="00A820C0"/>
    <w:rsid w:val="00A82485"/>
    <w:rsid w:val="00A824E8"/>
    <w:rsid w:val="00A82AA8"/>
    <w:rsid w:val="00A82AC3"/>
    <w:rsid w:val="00A82BE1"/>
    <w:rsid w:val="00A82CB6"/>
    <w:rsid w:val="00A82CC3"/>
    <w:rsid w:val="00A82D06"/>
    <w:rsid w:val="00A82D49"/>
    <w:rsid w:val="00A82D8E"/>
    <w:rsid w:val="00A82E19"/>
    <w:rsid w:val="00A82FBA"/>
    <w:rsid w:val="00A83042"/>
    <w:rsid w:val="00A83203"/>
    <w:rsid w:val="00A8321D"/>
    <w:rsid w:val="00A832C1"/>
    <w:rsid w:val="00A8347E"/>
    <w:rsid w:val="00A8357F"/>
    <w:rsid w:val="00A83601"/>
    <w:rsid w:val="00A836AA"/>
    <w:rsid w:val="00A83B97"/>
    <w:rsid w:val="00A83DCA"/>
    <w:rsid w:val="00A83F43"/>
    <w:rsid w:val="00A84017"/>
    <w:rsid w:val="00A840F1"/>
    <w:rsid w:val="00A8414F"/>
    <w:rsid w:val="00A8416A"/>
    <w:rsid w:val="00A841DB"/>
    <w:rsid w:val="00A8420E"/>
    <w:rsid w:val="00A8459C"/>
    <w:rsid w:val="00A8465C"/>
    <w:rsid w:val="00A8487E"/>
    <w:rsid w:val="00A848E8"/>
    <w:rsid w:val="00A849FE"/>
    <w:rsid w:val="00A84A62"/>
    <w:rsid w:val="00A84B7F"/>
    <w:rsid w:val="00A84DBC"/>
    <w:rsid w:val="00A8503C"/>
    <w:rsid w:val="00A852E6"/>
    <w:rsid w:val="00A85549"/>
    <w:rsid w:val="00A85846"/>
    <w:rsid w:val="00A85866"/>
    <w:rsid w:val="00A8598E"/>
    <w:rsid w:val="00A85C79"/>
    <w:rsid w:val="00A85D7A"/>
    <w:rsid w:val="00A85F51"/>
    <w:rsid w:val="00A85F58"/>
    <w:rsid w:val="00A85F65"/>
    <w:rsid w:val="00A85F90"/>
    <w:rsid w:val="00A8604B"/>
    <w:rsid w:val="00A86071"/>
    <w:rsid w:val="00A86105"/>
    <w:rsid w:val="00A86387"/>
    <w:rsid w:val="00A864BB"/>
    <w:rsid w:val="00A864D9"/>
    <w:rsid w:val="00A865FF"/>
    <w:rsid w:val="00A86654"/>
    <w:rsid w:val="00A86668"/>
    <w:rsid w:val="00A866F3"/>
    <w:rsid w:val="00A86760"/>
    <w:rsid w:val="00A8697A"/>
    <w:rsid w:val="00A86B29"/>
    <w:rsid w:val="00A86B85"/>
    <w:rsid w:val="00A86B8B"/>
    <w:rsid w:val="00A86D74"/>
    <w:rsid w:val="00A86F4B"/>
    <w:rsid w:val="00A870D4"/>
    <w:rsid w:val="00A87244"/>
    <w:rsid w:val="00A8735F"/>
    <w:rsid w:val="00A87399"/>
    <w:rsid w:val="00A873E3"/>
    <w:rsid w:val="00A87409"/>
    <w:rsid w:val="00A874F6"/>
    <w:rsid w:val="00A87510"/>
    <w:rsid w:val="00A87640"/>
    <w:rsid w:val="00A87735"/>
    <w:rsid w:val="00A87C0E"/>
    <w:rsid w:val="00A87CD9"/>
    <w:rsid w:val="00A87F03"/>
    <w:rsid w:val="00A87FCA"/>
    <w:rsid w:val="00A9021A"/>
    <w:rsid w:val="00A9034F"/>
    <w:rsid w:val="00A9040E"/>
    <w:rsid w:val="00A9053F"/>
    <w:rsid w:val="00A90713"/>
    <w:rsid w:val="00A9073C"/>
    <w:rsid w:val="00A90AB4"/>
    <w:rsid w:val="00A90B59"/>
    <w:rsid w:val="00A90B65"/>
    <w:rsid w:val="00A90BA0"/>
    <w:rsid w:val="00A90C50"/>
    <w:rsid w:val="00A90CA0"/>
    <w:rsid w:val="00A90FEF"/>
    <w:rsid w:val="00A91125"/>
    <w:rsid w:val="00A9123A"/>
    <w:rsid w:val="00A912BD"/>
    <w:rsid w:val="00A913AB"/>
    <w:rsid w:val="00A9140D"/>
    <w:rsid w:val="00A91590"/>
    <w:rsid w:val="00A915E2"/>
    <w:rsid w:val="00A9170C"/>
    <w:rsid w:val="00A91723"/>
    <w:rsid w:val="00A91968"/>
    <w:rsid w:val="00A91AA8"/>
    <w:rsid w:val="00A91B93"/>
    <w:rsid w:val="00A91F3E"/>
    <w:rsid w:val="00A92089"/>
    <w:rsid w:val="00A920EF"/>
    <w:rsid w:val="00A921B4"/>
    <w:rsid w:val="00A92249"/>
    <w:rsid w:val="00A9235D"/>
    <w:rsid w:val="00A9237B"/>
    <w:rsid w:val="00A923F7"/>
    <w:rsid w:val="00A925B2"/>
    <w:rsid w:val="00A92606"/>
    <w:rsid w:val="00A92622"/>
    <w:rsid w:val="00A926B3"/>
    <w:rsid w:val="00A92816"/>
    <w:rsid w:val="00A9283A"/>
    <w:rsid w:val="00A9289E"/>
    <w:rsid w:val="00A92A3B"/>
    <w:rsid w:val="00A92AF3"/>
    <w:rsid w:val="00A92B29"/>
    <w:rsid w:val="00A92B2E"/>
    <w:rsid w:val="00A92C0E"/>
    <w:rsid w:val="00A92C37"/>
    <w:rsid w:val="00A92C84"/>
    <w:rsid w:val="00A92E9F"/>
    <w:rsid w:val="00A9305A"/>
    <w:rsid w:val="00A9311C"/>
    <w:rsid w:val="00A932FA"/>
    <w:rsid w:val="00A933AD"/>
    <w:rsid w:val="00A933F2"/>
    <w:rsid w:val="00A93622"/>
    <w:rsid w:val="00A937B3"/>
    <w:rsid w:val="00A9382A"/>
    <w:rsid w:val="00A938E1"/>
    <w:rsid w:val="00A93A13"/>
    <w:rsid w:val="00A93AD8"/>
    <w:rsid w:val="00A93C23"/>
    <w:rsid w:val="00A93C53"/>
    <w:rsid w:val="00A93C97"/>
    <w:rsid w:val="00A93D02"/>
    <w:rsid w:val="00A94145"/>
    <w:rsid w:val="00A9416C"/>
    <w:rsid w:val="00A94188"/>
    <w:rsid w:val="00A941C2"/>
    <w:rsid w:val="00A94291"/>
    <w:rsid w:val="00A943BF"/>
    <w:rsid w:val="00A9447F"/>
    <w:rsid w:val="00A9464F"/>
    <w:rsid w:val="00A948C4"/>
    <w:rsid w:val="00A94ABD"/>
    <w:rsid w:val="00A94B45"/>
    <w:rsid w:val="00A94BAA"/>
    <w:rsid w:val="00A94D58"/>
    <w:rsid w:val="00A94D8E"/>
    <w:rsid w:val="00A94E07"/>
    <w:rsid w:val="00A94E16"/>
    <w:rsid w:val="00A94F4E"/>
    <w:rsid w:val="00A9502C"/>
    <w:rsid w:val="00A950B4"/>
    <w:rsid w:val="00A95276"/>
    <w:rsid w:val="00A952C1"/>
    <w:rsid w:val="00A955B0"/>
    <w:rsid w:val="00A955E8"/>
    <w:rsid w:val="00A956BE"/>
    <w:rsid w:val="00A95740"/>
    <w:rsid w:val="00A9576B"/>
    <w:rsid w:val="00A9596A"/>
    <w:rsid w:val="00A95970"/>
    <w:rsid w:val="00A95975"/>
    <w:rsid w:val="00A95A23"/>
    <w:rsid w:val="00A95B62"/>
    <w:rsid w:val="00A95D45"/>
    <w:rsid w:val="00A95D49"/>
    <w:rsid w:val="00A95DF9"/>
    <w:rsid w:val="00A95F4A"/>
    <w:rsid w:val="00A9612C"/>
    <w:rsid w:val="00A96215"/>
    <w:rsid w:val="00A963F4"/>
    <w:rsid w:val="00A963F9"/>
    <w:rsid w:val="00A964D2"/>
    <w:rsid w:val="00A9657F"/>
    <w:rsid w:val="00A96584"/>
    <w:rsid w:val="00A9667E"/>
    <w:rsid w:val="00A96743"/>
    <w:rsid w:val="00A96764"/>
    <w:rsid w:val="00A967BF"/>
    <w:rsid w:val="00A967FD"/>
    <w:rsid w:val="00A96A8C"/>
    <w:rsid w:val="00A96AEB"/>
    <w:rsid w:val="00A96B86"/>
    <w:rsid w:val="00A96BBB"/>
    <w:rsid w:val="00A96D08"/>
    <w:rsid w:val="00A96D5C"/>
    <w:rsid w:val="00A96DC7"/>
    <w:rsid w:val="00A970E0"/>
    <w:rsid w:val="00A9726C"/>
    <w:rsid w:val="00A97307"/>
    <w:rsid w:val="00A976DC"/>
    <w:rsid w:val="00A9776C"/>
    <w:rsid w:val="00A9779D"/>
    <w:rsid w:val="00A977C9"/>
    <w:rsid w:val="00A9780A"/>
    <w:rsid w:val="00A979CA"/>
    <w:rsid w:val="00A97BC2"/>
    <w:rsid w:val="00A97C1B"/>
    <w:rsid w:val="00A97C1E"/>
    <w:rsid w:val="00A97C7D"/>
    <w:rsid w:val="00A97CE4"/>
    <w:rsid w:val="00A97E23"/>
    <w:rsid w:val="00A97FDC"/>
    <w:rsid w:val="00A97FDD"/>
    <w:rsid w:val="00AA00B0"/>
    <w:rsid w:val="00AA013B"/>
    <w:rsid w:val="00AA062A"/>
    <w:rsid w:val="00AA0789"/>
    <w:rsid w:val="00AA078B"/>
    <w:rsid w:val="00AA08B9"/>
    <w:rsid w:val="00AA0954"/>
    <w:rsid w:val="00AA09B4"/>
    <w:rsid w:val="00AA09D8"/>
    <w:rsid w:val="00AA0AE0"/>
    <w:rsid w:val="00AA0B6E"/>
    <w:rsid w:val="00AA0BD7"/>
    <w:rsid w:val="00AA0BFD"/>
    <w:rsid w:val="00AA0DB2"/>
    <w:rsid w:val="00AA0EF2"/>
    <w:rsid w:val="00AA0F44"/>
    <w:rsid w:val="00AA1306"/>
    <w:rsid w:val="00AA149C"/>
    <w:rsid w:val="00AA14A7"/>
    <w:rsid w:val="00AA14A8"/>
    <w:rsid w:val="00AA163D"/>
    <w:rsid w:val="00AA182C"/>
    <w:rsid w:val="00AA1848"/>
    <w:rsid w:val="00AA1AD8"/>
    <w:rsid w:val="00AA1D13"/>
    <w:rsid w:val="00AA1EA5"/>
    <w:rsid w:val="00AA1FD0"/>
    <w:rsid w:val="00AA217E"/>
    <w:rsid w:val="00AA21CA"/>
    <w:rsid w:val="00AA22B2"/>
    <w:rsid w:val="00AA2332"/>
    <w:rsid w:val="00AA236D"/>
    <w:rsid w:val="00AA237B"/>
    <w:rsid w:val="00AA24FC"/>
    <w:rsid w:val="00AA2504"/>
    <w:rsid w:val="00AA25B2"/>
    <w:rsid w:val="00AA25C4"/>
    <w:rsid w:val="00AA275B"/>
    <w:rsid w:val="00AA2891"/>
    <w:rsid w:val="00AA28B5"/>
    <w:rsid w:val="00AA28FC"/>
    <w:rsid w:val="00AA298C"/>
    <w:rsid w:val="00AA2B4D"/>
    <w:rsid w:val="00AA2C2A"/>
    <w:rsid w:val="00AA2EC2"/>
    <w:rsid w:val="00AA2EFE"/>
    <w:rsid w:val="00AA30A9"/>
    <w:rsid w:val="00AA3199"/>
    <w:rsid w:val="00AA32CB"/>
    <w:rsid w:val="00AA32D9"/>
    <w:rsid w:val="00AA341F"/>
    <w:rsid w:val="00AA3547"/>
    <w:rsid w:val="00AA356E"/>
    <w:rsid w:val="00AA3620"/>
    <w:rsid w:val="00AA3653"/>
    <w:rsid w:val="00AA3671"/>
    <w:rsid w:val="00AA388A"/>
    <w:rsid w:val="00AA3A5F"/>
    <w:rsid w:val="00AA3A7A"/>
    <w:rsid w:val="00AA3A88"/>
    <w:rsid w:val="00AA3BBB"/>
    <w:rsid w:val="00AA3CF7"/>
    <w:rsid w:val="00AA3F50"/>
    <w:rsid w:val="00AA4028"/>
    <w:rsid w:val="00AA407B"/>
    <w:rsid w:val="00AA419D"/>
    <w:rsid w:val="00AA41E2"/>
    <w:rsid w:val="00AA425D"/>
    <w:rsid w:val="00AA4386"/>
    <w:rsid w:val="00AA4432"/>
    <w:rsid w:val="00AA4721"/>
    <w:rsid w:val="00AA4B75"/>
    <w:rsid w:val="00AA4C68"/>
    <w:rsid w:val="00AA4C7F"/>
    <w:rsid w:val="00AA4C8B"/>
    <w:rsid w:val="00AA4FBD"/>
    <w:rsid w:val="00AA50ED"/>
    <w:rsid w:val="00AA52C5"/>
    <w:rsid w:val="00AA5336"/>
    <w:rsid w:val="00AA5451"/>
    <w:rsid w:val="00AA54A6"/>
    <w:rsid w:val="00AA54C6"/>
    <w:rsid w:val="00AA5660"/>
    <w:rsid w:val="00AA5831"/>
    <w:rsid w:val="00AA5A44"/>
    <w:rsid w:val="00AA5A9A"/>
    <w:rsid w:val="00AA5AA4"/>
    <w:rsid w:val="00AA5C0D"/>
    <w:rsid w:val="00AA5C23"/>
    <w:rsid w:val="00AA5D68"/>
    <w:rsid w:val="00AA63DF"/>
    <w:rsid w:val="00AA644D"/>
    <w:rsid w:val="00AA660A"/>
    <w:rsid w:val="00AA66DC"/>
    <w:rsid w:val="00AA6768"/>
    <w:rsid w:val="00AA67BC"/>
    <w:rsid w:val="00AA6972"/>
    <w:rsid w:val="00AA69B5"/>
    <w:rsid w:val="00AA6AB5"/>
    <w:rsid w:val="00AA6C1F"/>
    <w:rsid w:val="00AA6C38"/>
    <w:rsid w:val="00AA6DF1"/>
    <w:rsid w:val="00AA6E3B"/>
    <w:rsid w:val="00AA6F31"/>
    <w:rsid w:val="00AA7139"/>
    <w:rsid w:val="00AA7287"/>
    <w:rsid w:val="00AA7363"/>
    <w:rsid w:val="00AA73B7"/>
    <w:rsid w:val="00AA742F"/>
    <w:rsid w:val="00AA74EA"/>
    <w:rsid w:val="00AA7530"/>
    <w:rsid w:val="00AA7847"/>
    <w:rsid w:val="00AA78D4"/>
    <w:rsid w:val="00AA793A"/>
    <w:rsid w:val="00AA7BFA"/>
    <w:rsid w:val="00AA7BFB"/>
    <w:rsid w:val="00AA7C73"/>
    <w:rsid w:val="00AA7CD8"/>
    <w:rsid w:val="00AA7D2D"/>
    <w:rsid w:val="00AA7E56"/>
    <w:rsid w:val="00AB007A"/>
    <w:rsid w:val="00AB01D2"/>
    <w:rsid w:val="00AB0244"/>
    <w:rsid w:val="00AB0290"/>
    <w:rsid w:val="00AB0539"/>
    <w:rsid w:val="00AB0623"/>
    <w:rsid w:val="00AB0642"/>
    <w:rsid w:val="00AB07A5"/>
    <w:rsid w:val="00AB08B5"/>
    <w:rsid w:val="00AB0913"/>
    <w:rsid w:val="00AB0AAB"/>
    <w:rsid w:val="00AB0AB9"/>
    <w:rsid w:val="00AB0B69"/>
    <w:rsid w:val="00AB0B82"/>
    <w:rsid w:val="00AB0C61"/>
    <w:rsid w:val="00AB0CBB"/>
    <w:rsid w:val="00AB0D99"/>
    <w:rsid w:val="00AB0E28"/>
    <w:rsid w:val="00AB0E49"/>
    <w:rsid w:val="00AB0ED9"/>
    <w:rsid w:val="00AB0FB8"/>
    <w:rsid w:val="00AB0FE2"/>
    <w:rsid w:val="00AB10EB"/>
    <w:rsid w:val="00AB115C"/>
    <w:rsid w:val="00AB1193"/>
    <w:rsid w:val="00AB119D"/>
    <w:rsid w:val="00AB1248"/>
    <w:rsid w:val="00AB172F"/>
    <w:rsid w:val="00AB1899"/>
    <w:rsid w:val="00AB18FB"/>
    <w:rsid w:val="00AB1918"/>
    <w:rsid w:val="00AB19A2"/>
    <w:rsid w:val="00AB1A49"/>
    <w:rsid w:val="00AB1CB5"/>
    <w:rsid w:val="00AB1D25"/>
    <w:rsid w:val="00AB1DDC"/>
    <w:rsid w:val="00AB1E57"/>
    <w:rsid w:val="00AB1EEE"/>
    <w:rsid w:val="00AB1F99"/>
    <w:rsid w:val="00AB212D"/>
    <w:rsid w:val="00AB2212"/>
    <w:rsid w:val="00AB23C5"/>
    <w:rsid w:val="00AB23CB"/>
    <w:rsid w:val="00AB24A4"/>
    <w:rsid w:val="00AB2525"/>
    <w:rsid w:val="00AB277B"/>
    <w:rsid w:val="00AB27EF"/>
    <w:rsid w:val="00AB2A84"/>
    <w:rsid w:val="00AB2EE6"/>
    <w:rsid w:val="00AB301A"/>
    <w:rsid w:val="00AB306D"/>
    <w:rsid w:val="00AB3267"/>
    <w:rsid w:val="00AB33F8"/>
    <w:rsid w:val="00AB352A"/>
    <w:rsid w:val="00AB35D1"/>
    <w:rsid w:val="00AB3687"/>
    <w:rsid w:val="00AB37AC"/>
    <w:rsid w:val="00AB385F"/>
    <w:rsid w:val="00AB3ABA"/>
    <w:rsid w:val="00AB3F9C"/>
    <w:rsid w:val="00AB3FCC"/>
    <w:rsid w:val="00AB407C"/>
    <w:rsid w:val="00AB428F"/>
    <w:rsid w:val="00AB458D"/>
    <w:rsid w:val="00AB46E7"/>
    <w:rsid w:val="00AB47DA"/>
    <w:rsid w:val="00AB4A61"/>
    <w:rsid w:val="00AB4AC6"/>
    <w:rsid w:val="00AB4AF1"/>
    <w:rsid w:val="00AB4CBD"/>
    <w:rsid w:val="00AB4D75"/>
    <w:rsid w:val="00AB5018"/>
    <w:rsid w:val="00AB5359"/>
    <w:rsid w:val="00AB54EE"/>
    <w:rsid w:val="00AB5630"/>
    <w:rsid w:val="00AB565E"/>
    <w:rsid w:val="00AB5666"/>
    <w:rsid w:val="00AB5757"/>
    <w:rsid w:val="00AB58D7"/>
    <w:rsid w:val="00AB59C6"/>
    <w:rsid w:val="00AB5A3A"/>
    <w:rsid w:val="00AB5C4D"/>
    <w:rsid w:val="00AB5D5B"/>
    <w:rsid w:val="00AB5E79"/>
    <w:rsid w:val="00AB5ED3"/>
    <w:rsid w:val="00AB64A5"/>
    <w:rsid w:val="00AB6789"/>
    <w:rsid w:val="00AB6849"/>
    <w:rsid w:val="00AB685F"/>
    <w:rsid w:val="00AB68D5"/>
    <w:rsid w:val="00AB690D"/>
    <w:rsid w:val="00AB6914"/>
    <w:rsid w:val="00AB692B"/>
    <w:rsid w:val="00AB6970"/>
    <w:rsid w:val="00AB6985"/>
    <w:rsid w:val="00AB6A1B"/>
    <w:rsid w:val="00AB6E61"/>
    <w:rsid w:val="00AB6F0D"/>
    <w:rsid w:val="00AB6FA6"/>
    <w:rsid w:val="00AB6FB5"/>
    <w:rsid w:val="00AB716B"/>
    <w:rsid w:val="00AB73B2"/>
    <w:rsid w:val="00AB73BD"/>
    <w:rsid w:val="00AB7402"/>
    <w:rsid w:val="00AB77F7"/>
    <w:rsid w:val="00AB797C"/>
    <w:rsid w:val="00AB7BDC"/>
    <w:rsid w:val="00AB7C40"/>
    <w:rsid w:val="00AB7D61"/>
    <w:rsid w:val="00AB7DE6"/>
    <w:rsid w:val="00AC01B4"/>
    <w:rsid w:val="00AC01D6"/>
    <w:rsid w:val="00AC031C"/>
    <w:rsid w:val="00AC0417"/>
    <w:rsid w:val="00AC076A"/>
    <w:rsid w:val="00AC0946"/>
    <w:rsid w:val="00AC097D"/>
    <w:rsid w:val="00AC0D3D"/>
    <w:rsid w:val="00AC0DE3"/>
    <w:rsid w:val="00AC0E47"/>
    <w:rsid w:val="00AC0F56"/>
    <w:rsid w:val="00AC0FED"/>
    <w:rsid w:val="00AC1151"/>
    <w:rsid w:val="00AC11B7"/>
    <w:rsid w:val="00AC121B"/>
    <w:rsid w:val="00AC129B"/>
    <w:rsid w:val="00AC131B"/>
    <w:rsid w:val="00AC1528"/>
    <w:rsid w:val="00AC17B2"/>
    <w:rsid w:val="00AC17E9"/>
    <w:rsid w:val="00AC1851"/>
    <w:rsid w:val="00AC1894"/>
    <w:rsid w:val="00AC1901"/>
    <w:rsid w:val="00AC1C28"/>
    <w:rsid w:val="00AC1C93"/>
    <w:rsid w:val="00AC1CE7"/>
    <w:rsid w:val="00AC1DBB"/>
    <w:rsid w:val="00AC1E26"/>
    <w:rsid w:val="00AC1EA6"/>
    <w:rsid w:val="00AC1F38"/>
    <w:rsid w:val="00AC1F76"/>
    <w:rsid w:val="00AC2152"/>
    <w:rsid w:val="00AC2556"/>
    <w:rsid w:val="00AC26C8"/>
    <w:rsid w:val="00AC27B2"/>
    <w:rsid w:val="00AC2922"/>
    <w:rsid w:val="00AC29ED"/>
    <w:rsid w:val="00AC2B2B"/>
    <w:rsid w:val="00AC2B67"/>
    <w:rsid w:val="00AC2B9A"/>
    <w:rsid w:val="00AC2BD2"/>
    <w:rsid w:val="00AC2C4F"/>
    <w:rsid w:val="00AC2E3C"/>
    <w:rsid w:val="00AC3274"/>
    <w:rsid w:val="00AC34FF"/>
    <w:rsid w:val="00AC3796"/>
    <w:rsid w:val="00AC37E8"/>
    <w:rsid w:val="00AC3872"/>
    <w:rsid w:val="00AC38B0"/>
    <w:rsid w:val="00AC3B55"/>
    <w:rsid w:val="00AC3F0B"/>
    <w:rsid w:val="00AC40C1"/>
    <w:rsid w:val="00AC40C8"/>
    <w:rsid w:val="00AC41FE"/>
    <w:rsid w:val="00AC420E"/>
    <w:rsid w:val="00AC421A"/>
    <w:rsid w:val="00AC434E"/>
    <w:rsid w:val="00AC4480"/>
    <w:rsid w:val="00AC498B"/>
    <w:rsid w:val="00AC4A72"/>
    <w:rsid w:val="00AC4AD6"/>
    <w:rsid w:val="00AC4B28"/>
    <w:rsid w:val="00AC4D19"/>
    <w:rsid w:val="00AC4DA4"/>
    <w:rsid w:val="00AC4E28"/>
    <w:rsid w:val="00AC4E6D"/>
    <w:rsid w:val="00AC4EB7"/>
    <w:rsid w:val="00AC506A"/>
    <w:rsid w:val="00AC50E9"/>
    <w:rsid w:val="00AC5380"/>
    <w:rsid w:val="00AC53C8"/>
    <w:rsid w:val="00AC5791"/>
    <w:rsid w:val="00AC5822"/>
    <w:rsid w:val="00AC594F"/>
    <w:rsid w:val="00AC5961"/>
    <w:rsid w:val="00AC5A6D"/>
    <w:rsid w:val="00AC5A9E"/>
    <w:rsid w:val="00AC5DFD"/>
    <w:rsid w:val="00AC5EF9"/>
    <w:rsid w:val="00AC5F18"/>
    <w:rsid w:val="00AC5FB1"/>
    <w:rsid w:val="00AC6029"/>
    <w:rsid w:val="00AC61E9"/>
    <w:rsid w:val="00AC631C"/>
    <w:rsid w:val="00AC632B"/>
    <w:rsid w:val="00AC64E7"/>
    <w:rsid w:val="00AC6564"/>
    <w:rsid w:val="00AC68BE"/>
    <w:rsid w:val="00AC691E"/>
    <w:rsid w:val="00AC69A8"/>
    <w:rsid w:val="00AC6A29"/>
    <w:rsid w:val="00AC6A54"/>
    <w:rsid w:val="00AC6C34"/>
    <w:rsid w:val="00AC6CB8"/>
    <w:rsid w:val="00AC6D22"/>
    <w:rsid w:val="00AC6E8F"/>
    <w:rsid w:val="00AC6F30"/>
    <w:rsid w:val="00AC6F3C"/>
    <w:rsid w:val="00AC6F8C"/>
    <w:rsid w:val="00AC70F2"/>
    <w:rsid w:val="00AC713D"/>
    <w:rsid w:val="00AC7169"/>
    <w:rsid w:val="00AC7314"/>
    <w:rsid w:val="00AC738F"/>
    <w:rsid w:val="00AC7421"/>
    <w:rsid w:val="00AC7460"/>
    <w:rsid w:val="00AC75DD"/>
    <w:rsid w:val="00AC770A"/>
    <w:rsid w:val="00AC7859"/>
    <w:rsid w:val="00AC7954"/>
    <w:rsid w:val="00AC79BD"/>
    <w:rsid w:val="00AC7A3F"/>
    <w:rsid w:val="00AC7BAE"/>
    <w:rsid w:val="00AC7D1A"/>
    <w:rsid w:val="00AC7F40"/>
    <w:rsid w:val="00AD01B0"/>
    <w:rsid w:val="00AD0276"/>
    <w:rsid w:val="00AD032F"/>
    <w:rsid w:val="00AD0555"/>
    <w:rsid w:val="00AD0556"/>
    <w:rsid w:val="00AD05BB"/>
    <w:rsid w:val="00AD0600"/>
    <w:rsid w:val="00AD07A8"/>
    <w:rsid w:val="00AD07E3"/>
    <w:rsid w:val="00AD0860"/>
    <w:rsid w:val="00AD087D"/>
    <w:rsid w:val="00AD097F"/>
    <w:rsid w:val="00AD1234"/>
    <w:rsid w:val="00AD12CB"/>
    <w:rsid w:val="00AD1466"/>
    <w:rsid w:val="00AD1691"/>
    <w:rsid w:val="00AD1853"/>
    <w:rsid w:val="00AD1A93"/>
    <w:rsid w:val="00AD1BBE"/>
    <w:rsid w:val="00AD1D54"/>
    <w:rsid w:val="00AD1FD3"/>
    <w:rsid w:val="00AD21A0"/>
    <w:rsid w:val="00AD21BA"/>
    <w:rsid w:val="00AD237E"/>
    <w:rsid w:val="00AD26E9"/>
    <w:rsid w:val="00AD27DF"/>
    <w:rsid w:val="00AD2942"/>
    <w:rsid w:val="00AD2A5E"/>
    <w:rsid w:val="00AD2CA1"/>
    <w:rsid w:val="00AD2D7B"/>
    <w:rsid w:val="00AD2E37"/>
    <w:rsid w:val="00AD2EB3"/>
    <w:rsid w:val="00AD30DE"/>
    <w:rsid w:val="00AD314A"/>
    <w:rsid w:val="00AD32C0"/>
    <w:rsid w:val="00AD3401"/>
    <w:rsid w:val="00AD3452"/>
    <w:rsid w:val="00AD3679"/>
    <w:rsid w:val="00AD3702"/>
    <w:rsid w:val="00AD38E8"/>
    <w:rsid w:val="00AD3949"/>
    <w:rsid w:val="00AD3AF2"/>
    <w:rsid w:val="00AD3CBC"/>
    <w:rsid w:val="00AD3DDF"/>
    <w:rsid w:val="00AD3E17"/>
    <w:rsid w:val="00AD4291"/>
    <w:rsid w:val="00AD44CC"/>
    <w:rsid w:val="00AD454E"/>
    <w:rsid w:val="00AD455A"/>
    <w:rsid w:val="00AD4697"/>
    <w:rsid w:val="00AD46C0"/>
    <w:rsid w:val="00AD47C1"/>
    <w:rsid w:val="00AD488F"/>
    <w:rsid w:val="00AD48E3"/>
    <w:rsid w:val="00AD4983"/>
    <w:rsid w:val="00AD4994"/>
    <w:rsid w:val="00AD4AC7"/>
    <w:rsid w:val="00AD4E83"/>
    <w:rsid w:val="00AD4F71"/>
    <w:rsid w:val="00AD5076"/>
    <w:rsid w:val="00AD5124"/>
    <w:rsid w:val="00AD514B"/>
    <w:rsid w:val="00AD51C7"/>
    <w:rsid w:val="00AD535A"/>
    <w:rsid w:val="00AD5540"/>
    <w:rsid w:val="00AD57FF"/>
    <w:rsid w:val="00AD5A8A"/>
    <w:rsid w:val="00AD5AE7"/>
    <w:rsid w:val="00AD5D0B"/>
    <w:rsid w:val="00AD5D3B"/>
    <w:rsid w:val="00AD5E13"/>
    <w:rsid w:val="00AD5F83"/>
    <w:rsid w:val="00AD5FA6"/>
    <w:rsid w:val="00AD5FDE"/>
    <w:rsid w:val="00AD6057"/>
    <w:rsid w:val="00AD62FD"/>
    <w:rsid w:val="00AD63F6"/>
    <w:rsid w:val="00AD64A7"/>
    <w:rsid w:val="00AD66B8"/>
    <w:rsid w:val="00AD684C"/>
    <w:rsid w:val="00AD6908"/>
    <w:rsid w:val="00AD6A1C"/>
    <w:rsid w:val="00AD6C6C"/>
    <w:rsid w:val="00AD6D86"/>
    <w:rsid w:val="00AD6DAA"/>
    <w:rsid w:val="00AD700F"/>
    <w:rsid w:val="00AD7050"/>
    <w:rsid w:val="00AD7A10"/>
    <w:rsid w:val="00AD7ADE"/>
    <w:rsid w:val="00AD7BE9"/>
    <w:rsid w:val="00AD7E52"/>
    <w:rsid w:val="00AD7E6F"/>
    <w:rsid w:val="00AD7ED5"/>
    <w:rsid w:val="00AE000F"/>
    <w:rsid w:val="00AE01CD"/>
    <w:rsid w:val="00AE045D"/>
    <w:rsid w:val="00AE057B"/>
    <w:rsid w:val="00AE07EA"/>
    <w:rsid w:val="00AE09C5"/>
    <w:rsid w:val="00AE09D3"/>
    <w:rsid w:val="00AE0A8E"/>
    <w:rsid w:val="00AE0B43"/>
    <w:rsid w:val="00AE0F2B"/>
    <w:rsid w:val="00AE119F"/>
    <w:rsid w:val="00AE126C"/>
    <w:rsid w:val="00AE143C"/>
    <w:rsid w:val="00AE1491"/>
    <w:rsid w:val="00AE1748"/>
    <w:rsid w:val="00AE1909"/>
    <w:rsid w:val="00AE1918"/>
    <w:rsid w:val="00AE1A34"/>
    <w:rsid w:val="00AE1AFF"/>
    <w:rsid w:val="00AE1B75"/>
    <w:rsid w:val="00AE1BDB"/>
    <w:rsid w:val="00AE1C09"/>
    <w:rsid w:val="00AE1D79"/>
    <w:rsid w:val="00AE1DC4"/>
    <w:rsid w:val="00AE1E19"/>
    <w:rsid w:val="00AE1E38"/>
    <w:rsid w:val="00AE1F56"/>
    <w:rsid w:val="00AE2092"/>
    <w:rsid w:val="00AE20D4"/>
    <w:rsid w:val="00AE2121"/>
    <w:rsid w:val="00AE26F4"/>
    <w:rsid w:val="00AE284A"/>
    <w:rsid w:val="00AE28A9"/>
    <w:rsid w:val="00AE2B72"/>
    <w:rsid w:val="00AE2CBA"/>
    <w:rsid w:val="00AE2EB1"/>
    <w:rsid w:val="00AE2ECC"/>
    <w:rsid w:val="00AE2F1B"/>
    <w:rsid w:val="00AE3062"/>
    <w:rsid w:val="00AE36D8"/>
    <w:rsid w:val="00AE3939"/>
    <w:rsid w:val="00AE3A23"/>
    <w:rsid w:val="00AE3A89"/>
    <w:rsid w:val="00AE3C4B"/>
    <w:rsid w:val="00AE3C9E"/>
    <w:rsid w:val="00AE3CB1"/>
    <w:rsid w:val="00AE3D24"/>
    <w:rsid w:val="00AE3D93"/>
    <w:rsid w:val="00AE3DF6"/>
    <w:rsid w:val="00AE3E8E"/>
    <w:rsid w:val="00AE3EB1"/>
    <w:rsid w:val="00AE3EE9"/>
    <w:rsid w:val="00AE3F72"/>
    <w:rsid w:val="00AE4039"/>
    <w:rsid w:val="00AE40F2"/>
    <w:rsid w:val="00AE4492"/>
    <w:rsid w:val="00AE452A"/>
    <w:rsid w:val="00AE46C7"/>
    <w:rsid w:val="00AE4727"/>
    <w:rsid w:val="00AE4772"/>
    <w:rsid w:val="00AE4862"/>
    <w:rsid w:val="00AE49C0"/>
    <w:rsid w:val="00AE4B21"/>
    <w:rsid w:val="00AE4B65"/>
    <w:rsid w:val="00AE4C85"/>
    <w:rsid w:val="00AE4E2E"/>
    <w:rsid w:val="00AE4E9B"/>
    <w:rsid w:val="00AE505D"/>
    <w:rsid w:val="00AE51BB"/>
    <w:rsid w:val="00AE53EE"/>
    <w:rsid w:val="00AE552B"/>
    <w:rsid w:val="00AE55AA"/>
    <w:rsid w:val="00AE5648"/>
    <w:rsid w:val="00AE5859"/>
    <w:rsid w:val="00AE596A"/>
    <w:rsid w:val="00AE59BE"/>
    <w:rsid w:val="00AE5A00"/>
    <w:rsid w:val="00AE5AD7"/>
    <w:rsid w:val="00AE5B5B"/>
    <w:rsid w:val="00AE5EF0"/>
    <w:rsid w:val="00AE5F1F"/>
    <w:rsid w:val="00AE6337"/>
    <w:rsid w:val="00AE6844"/>
    <w:rsid w:val="00AE6A2D"/>
    <w:rsid w:val="00AE6B14"/>
    <w:rsid w:val="00AE6B7A"/>
    <w:rsid w:val="00AE6E26"/>
    <w:rsid w:val="00AE6E32"/>
    <w:rsid w:val="00AE7428"/>
    <w:rsid w:val="00AE75D0"/>
    <w:rsid w:val="00AE7823"/>
    <w:rsid w:val="00AE7846"/>
    <w:rsid w:val="00AE7973"/>
    <w:rsid w:val="00AE79B5"/>
    <w:rsid w:val="00AE7A7D"/>
    <w:rsid w:val="00AE7C14"/>
    <w:rsid w:val="00AE7C85"/>
    <w:rsid w:val="00AE7D01"/>
    <w:rsid w:val="00AE7EE7"/>
    <w:rsid w:val="00AE7F2A"/>
    <w:rsid w:val="00AF00D4"/>
    <w:rsid w:val="00AF0269"/>
    <w:rsid w:val="00AF04EA"/>
    <w:rsid w:val="00AF052A"/>
    <w:rsid w:val="00AF05D5"/>
    <w:rsid w:val="00AF083C"/>
    <w:rsid w:val="00AF0AEF"/>
    <w:rsid w:val="00AF0E66"/>
    <w:rsid w:val="00AF1356"/>
    <w:rsid w:val="00AF1A1F"/>
    <w:rsid w:val="00AF1A8E"/>
    <w:rsid w:val="00AF1AF2"/>
    <w:rsid w:val="00AF1BB8"/>
    <w:rsid w:val="00AF1D57"/>
    <w:rsid w:val="00AF1E2C"/>
    <w:rsid w:val="00AF1E5D"/>
    <w:rsid w:val="00AF1F57"/>
    <w:rsid w:val="00AF20F6"/>
    <w:rsid w:val="00AF2286"/>
    <w:rsid w:val="00AF242C"/>
    <w:rsid w:val="00AF25C2"/>
    <w:rsid w:val="00AF286E"/>
    <w:rsid w:val="00AF2993"/>
    <w:rsid w:val="00AF2A89"/>
    <w:rsid w:val="00AF2D3A"/>
    <w:rsid w:val="00AF309B"/>
    <w:rsid w:val="00AF3106"/>
    <w:rsid w:val="00AF3149"/>
    <w:rsid w:val="00AF3152"/>
    <w:rsid w:val="00AF315A"/>
    <w:rsid w:val="00AF31A1"/>
    <w:rsid w:val="00AF320F"/>
    <w:rsid w:val="00AF3241"/>
    <w:rsid w:val="00AF32F2"/>
    <w:rsid w:val="00AF34F5"/>
    <w:rsid w:val="00AF366B"/>
    <w:rsid w:val="00AF36FC"/>
    <w:rsid w:val="00AF37BA"/>
    <w:rsid w:val="00AF38C7"/>
    <w:rsid w:val="00AF3945"/>
    <w:rsid w:val="00AF3C40"/>
    <w:rsid w:val="00AF3D28"/>
    <w:rsid w:val="00AF3DD9"/>
    <w:rsid w:val="00AF3E30"/>
    <w:rsid w:val="00AF40A5"/>
    <w:rsid w:val="00AF40C6"/>
    <w:rsid w:val="00AF42D9"/>
    <w:rsid w:val="00AF434B"/>
    <w:rsid w:val="00AF43BF"/>
    <w:rsid w:val="00AF4490"/>
    <w:rsid w:val="00AF44C1"/>
    <w:rsid w:val="00AF4658"/>
    <w:rsid w:val="00AF4736"/>
    <w:rsid w:val="00AF47C4"/>
    <w:rsid w:val="00AF49D4"/>
    <w:rsid w:val="00AF4A7F"/>
    <w:rsid w:val="00AF4AB4"/>
    <w:rsid w:val="00AF4ABA"/>
    <w:rsid w:val="00AF4E8C"/>
    <w:rsid w:val="00AF4EF3"/>
    <w:rsid w:val="00AF4FBA"/>
    <w:rsid w:val="00AF5154"/>
    <w:rsid w:val="00AF52E0"/>
    <w:rsid w:val="00AF52F5"/>
    <w:rsid w:val="00AF534D"/>
    <w:rsid w:val="00AF548B"/>
    <w:rsid w:val="00AF55A2"/>
    <w:rsid w:val="00AF563B"/>
    <w:rsid w:val="00AF56A1"/>
    <w:rsid w:val="00AF5A05"/>
    <w:rsid w:val="00AF5CF8"/>
    <w:rsid w:val="00AF5D25"/>
    <w:rsid w:val="00AF5D9F"/>
    <w:rsid w:val="00AF5DDF"/>
    <w:rsid w:val="00AF5F11"/>
    <w:rsid w:val="00AF5F35"/>
    <w:rsid w:val="00AF5FA8"/>
    <w:rsid w:val="00AF6047"/>
    <w:rsid w:val="00AF60C6"/>
    <w:rsid w:val="00AF60CB"/>
    <w:rsid w:val="00AF6263"/>
    <w:rsid w:val="00AF628B"/>
    <w:rsid w:val="00AF64EC"/>
    <w:rsid w:val="00AF64EF"/>
    <w:rsid w:val="00AF68F9"/>
    <w:rsid w:val="00AF6957"/>
    <w:rsid w:val="00AF6984"/>
    <w:rsid w:val="00AF6C19"/>
    <w:rsid w:val="00AF6C53"/>
    <w:rsid w:val="00AF6E52"/>
    <w:rsid w:val="00AF70B0"/>
    <w:rsid w:val="00AF71C2"/>
    <w:rsid w:val="00AF732D"/>
    <w:rsid w:val="00AF746F"/>
    <w:rsid w:val="00AF76C3"/>
    <w:rsid w:val="00AF76C6"/>
    <w:rsid w:val="00AF7758"/>
    <w:rsid w:val="00AF7793"/>
    <w:rsid w:val="00AF790F"/>
    <w:rsid w:val="00AF7B2A"/>
    <w:rsid w:val="00AF7CC9"/>
    <w:rsid w:val="00AF7D90"/>
    <w:rsid w:val="00AF7DA6"/>
    <w:rsid w:val="00AF7F9A"/>
    <w:rsid w:val="00B0032B"/>
    <w:rsid w:val="00B0049A"/>
    <w:rsid w:val="00B00627"/>
    <w:rsid w:val="00B006B8"/>
    <w:rsid w:val="00B00771"/>
    <w:rsid w:val="00B00844"/>
    <w:rsid w:val="00B00861"/>
    <w:rsid w:val="00B00884"/>
    <w:rsid w:val="00B00905"/>
    <w:rsid w:val="00B009DE"/>
    <w:rsid w:val="00B00A11"/>
    <w:rsid w:val="00B00A88"/>
    <w:rsid w:val="00B00B39"/>
    <w:rsid w:val="00B00BF4"/>
    <w:rsid w:val="00B00D5F"/>
    <w:rsid w:val="00B00DBE"/>
    <w:rsid w:val="00B00DD9"/>
    <w:rsid w:val="00B00F6D"/>
    <w:rsid w:val="00B01040"/>
    <w:rsid w:val="00B010B5"/>
    <w:rsid w:val="00B010B8"/>
    <w:rsid w:val="00B011C0"/>
    <w:rsid w:val="00B01244"/>
    <w:rsid w:val="00B0139B"/>
    <w:rsid w:val="00B01474"/>
    <w:rsid w:val="00B01621"/>
    <w:rsid w:val="00B016A0"/>
    <w:rsid w:val="00B017A3"/>
    <w:rsid w:val="00B018EA"/>
    <w:rsid w:val="00B01AD5"/>
    <w:rsid w:val="00B01B1B"/>
    <w:rsid w:val="00B01B5A"/>
    <w:rsid w:val="00B01C0B"/>
    <w:rsid w:val="00B01D9D"/>
    <w:rsid w:val="00B01E46"/>
    <w:rsid w:val="00B01F11"/>
    <w:rsid w:val="00B01F3A"/>
    <w:rsid w:val="00B02103"/>
    <w:rsid w:val="00B021B2"/>
    <w:rsid w:val="00B021FF"/>
    <w:rsid w:val="00B02213"/>
    <w:rsid w:val="00B022A0"/>
    <w:rsid w:val="00B022F3"/>
    <w:rsid w:val="00B02514"/>
    <w:rsid w:val="00B0275C"/>
    <w:rsid w:val="00B0280B"/>
    <w:rsid w:val="00B02835"/>
    <w:rsid w:val="00B02B69"/>
    <w:rsid w:val="00B031B5"/>
    <w:rsid w:val="00B0325A"/>
    <w:rsid w:val="00B033F8"/>
    <w:rsid w:val="00B035A4"/>
    <w:rsid w:val="00B03707"/>
    <w:rsid w:val="00B03A3D"/>
    <w:rsid w:val="00B03A95"/>
    <w:rsid w:val="00B03BDC"/>
    <w:rsid w:val="00B0402B"/>
    <w:rsid w:val="00B04142"/>
    <w:rsid w:val="00B041D9"/>
    <w:rsid w:val="00B0437B"/>
    <w:rsid w:val="00B04430"/>
    <w:rsid w:val="00B04546"/>
    <w:rsid w:val="00B04752"/>
    <w:rsid w:val="00B04AEF"/>
    <w:rsid w:val="00B04B47"/>
    <w:rsid w:val="00B04D7C"/>
    <w:rsid w:val="00B04F0C"/>
    <w:rsid w:val="00B04F26"/>
    <w:rsid w:val="00B050BC"/>
    <w:rsid w:val="00B05103"/>
    <w:rsid w:val="00B0520E"/>
    <w:rsid w:val="00B05299"/>
    <w:rsid w:val="00B05474"/>
    <w:rsid w:val="00B05580"/>
    <w:rsid w:val="00B0563F"/>
    <w:rsid w:val="00B057D9"/>
    <w:rsid w:val="00B059A8"/>
    <w:rsid w:val="00B05BA9"/>
    <w:rsid w:val="00B05BC4"/>
    <w:rsid w:val="00B05D73"/>
    <w:rsid w:val="00B05EE1"/>
    <w:rsid w:val="00B05F53"/>
    <w:rsid w:val="00B05FB5"/>
    <w:rsid w:val="00B0601A"/>
    <w:rsid w:val="00B060CC"/>
    <w:rsid w:val="00B061D1"/>
    <w:rsid w:val="00B06435"/>
    <w:rsid w:val="00B065D3"/>
    <w:rsid w:val="00B06609"/>
    <w:rsid w:val="00B067B9"/>
    <w:rsid w:val="00B067C0"/>
    <w:rsid w:val="00B06899"/>
    <w:rsid w:val="00B068D3"/>
    <w:rsid w:val="00B069D2"/>
    <w:rsid w:val="00B069EC"/>
    <w:rsid w:val="00B06A4A"/>
    <w:rsid w:val="00B06B89"/>
    <w:rsid w:val="00B06BEE"/>
    <w:rsid w:val="00B06C59"/>
    <w:rsid w:val="00B06E15"/>
    <w:rsid w:val="00B06EC2"/>
    <w:rsid w:val="00B07024"/>
    <w:rsid w:val="00B073CB"/>
    <w:rsid w:val="00B073E6"/>
    <w:rsid w:val="00B0743B"/>
    <w:rsid w:val="00B077CF"/>
    <w:rsid w:val="00B0780D"/>
    <w:rsid w:val="00B07817"/>
    <w:rsid w:val="00B0789B"/>
    <w:rsid w:val="00B0795D"/>
    <w:rsid w:val="00B07A2B"/>
    <w:rsid w:val="00B07A64"/>
    <w:rsid w:val="00B07ACF"/>
    <w:rsid w:val="00B07B11"/>
    <w:rsid w:val="00B07D2A"/>
    <w:rsid w:val="00B07E3D"/>
    <w:rsid w:val="00B07E85"/>
    <w:rsid w:val="00B07E94"/>
    <w:rsid w:val="00B07E9A"/>
    <w:rsid w:val="00B07F8C"/>
    <w:rsid w:val="00B1006A"/>
    <w:rsid w:val="00B100E1"/>
    <w:rsid w:val="00B102A4"/>
    <w:rsid w:val="00B10666"/>
    <w:rsid w:val="00B10697"/>
    <w:rsid w:val="00B10A2A"/>
    <w:rsid w:val="00B10BC5"/>
    <w:rsid w:val="00B10D4E"/>
    <w:rsid w:val="00B10ED3"/>
    <w:rsid w:val="00B11097"/>
    <w:rsid w:val="00B11106"/>
    <w:rsid w:val="00B112C1"/>
    <w:rsid w:val="00B114D5"/>
    <w:rsid w:val="00B1168B"/>
    <w:rsid w:val="00B117B6"/>
    <w:rsid w:val="00B11928"/>
    <w:rsid w:val="00B119CD"/>
    <w:rsid w:val="00B11A31"/>
    <w:rsid w:val="00B11ADD"/>
    <w:rsid w:val="00B11BEB"/>
    <w:rsid w:val="00B11CCF"/>
    <w:rsid w:val="00B11DA4"/>
    <w:rsid w:val="00B11DF9"/>
    <w:rsid w:val="00B11E28"/>
    <w:rsid w:val="00B12183"/>
    <w:rsid w:val="00B121F9"/>
    <w:rsid w:val="00B12207"/>
    <w:rsid w:val="00B12273"/>
    <w:rsid w:val="00B12855"/>
    <w:rsid w:val="00B129F8"/>
    <w:rsid w:val="00B12A09"/>
    <w:rsid w:val="00B12A68"/>
    <w:rsid w:val="00B12C5F"/>
    <w:rsid w:val="00B12CB9"/>
    <w:rsid w:val="00B12D33"/>
    <w:rsid w:val="00B12E9C"/>
    <w:rsid w:val="00B12ECD"/>
    <w:rsid w:val="00B12F62"/>
    <w:rsid w:val="00B12F81"/>
    <w:rsid w:val="00B1305B"/>
    <w:rsid w:val="00B13167"/>
    <w:rsid w:val="00B1345A"/>
    <w:rsid w:val="00B134A8"/>
    <w:rsid w:val="00B135BC"/>
    <w:rsid w:val="00B13612"/>
    <w:rsid w:val="00B13830"/>
    <w:rsid w:val="00B13BC6"/>
    <w:rsid w:val="00B13D19"/>
    <w:rsid w:val="00B13E2D"/>
    <w:rsid w:val="00B13F3D"/>
    <w:rsid w:val="00B13F49"/>
    <w:rsid w:val="00B14065"/>
    <w:rsid w:val="00B144D3"/>
    <w:rsid w:val="00B148D1"/>
    <w:rsid w:val="00B14943"/>
    <w:rsid w:val="00B14A36"/>
    <w:rsid w:val="00B14A85"/>
    <w:rsid w:val="00B14AFF"/>
    <w:rsid w:val="00B14C7B"/>
    <w:rsid w:val="00B14D2D"/>
    <w:rsid w:val="00B14D51"/>
    <w:rsid w:val="00B14DEA"/>
    <w:rsid w:val="00B14E8D"/>
    <w:rsid w:val="00B14F56"/>
    <w:rsid w:val="00B14F81"/>
    <w:rsid w:val="00B15175"/>
    <w:rsid w:val="00B1517D"/>
    <w:rsid w:val="00B15188"/>
    <w:rsid w:val="00B15241"/>
    <w:rsid w:val="00B1530B"/>
    <w:rsid w:val="00B15326"/>
    <w:rsid w:val="00B1541A"/>
    <w:rsid w:val="00B1545B"/>
    <w:rsid w:val="00B15605"/>
    <w:rsid w:val="00B15644"/>
    <w:rsid w:val="00B1564E"/>
    <w:rsid w:val="00B15796"/>
    <w:rsid w:val="00B15801"/>
    <w:rsid w:val="00B15815"/>
    <w:rsid w:val="00B15847"/>
    <w:rsid w:val="00B15860"/>
    <w:rsid w:val="00B159B3"/>
    <w:rsid w:val="00B159EA"/>
    <w:rsid w:val="00B159F0"/>
    <w:rsid w:val="00B15CE1"/>
    <w:rsid w:val="00B15D34"/>
    <w:rsid w:val="00B15D51"/>
    <w:rsid w:val="00B15EA3"/>
    <w:rsid w:val="00B15FE1"/>
    <w:rsid w:val="00B15FE8"/>
    <w:rsid w:val="00B1602E"/>
    <w:rsid w:val="00B16108"/>
    <w:rsid w:val="00B161D4"/>
    <w:rsid w:val="00B1629F"/>
    <w:rsid w:val="00B163A2"/>
    <w:rsid w:val="00B163F3"/>
    <w:rsid w:val="00B169BA"/>
    <w:rsid w:val="00B16A7C"/>
    <w:rsid w:val="00B16ABF"/>
    <w:rsid w:val="00B16C89"/>
    <w:rsid w:val="00B16D20"/>
    <w:rsid w:val="00B16E6E"/>
    <w:rsid w:val="00B16E90"/>
    <w:rsid w:val="00B16F6F"/>
    <w:rsid w:val="00B170F9"/>
    <w:rsid w:val="00B17181"/>
    <w:rsid w:val="00B1729A"/>
    <w:rsid w:val="00B17537"/>
    <w:rsid w:val="00B176A4"/>
    <w:rsid w:val="00B177D6"/>
    <w:rsid w:val="00B179F4"/>
    <w:rsid w:val="00B17A2A"/>
    <w:rsid w:val="00B17BA1"/>
    <w:rsid w:val="00B17D08"/>
    <w:rsid w:val="00B17D56"/>
    <w:rsid w:val="00B17D6A"/>
    <w:rsid w:val="00B17DA7"/>
    <w:rsid w:val="00B17E2C"/>
    <w:rsid w:val="00B17F93"/>
    <w:rsid w:val="00B2015F"/>
    <w:rsid w:val="00B20271"/>
    <w:rsid w:val="00B202E0"/>
    <w:rsid w:val="00B203F2"/>
    <w:rsid w:val="00B204A0"/>
    <w:rsid w:val="00B20692"/>
    <w:rsid w:val="00B20849"/>
    <w:rsid w:val="00B20A1C"/>
    <w:rsid w:val="00B20F06"/>
    <w:rsid w:val="00B2100B"/>
    <w:rsid w:val="00B2136B"/>
    <w:rsid w:val="00B214AB"/>
    <w:rsid w:val="00B21567"/>
    <w:rsid w:val="00B215A0"/>
    <w:rsid w:val="00B215D0"/>
    <w:rsid w:val="00B2168A"/>
    <w:rsid w:val="00B216BB"/>
    <w:rsid w:val="00B2172B"/>
    <w:rsid w:val="00B218BB"/>
    <w:rsid w:val="00B21912"/>
    <w:rsid w:val="00B21A1A"/>
    <w:rsid w:val="00B21B08"/>
    <w:rsid w:val="00B21C67"/>
    <w:rsid w:val="00B21D10"/>
    <w:rsid w:val="00B21EA2"/>
    <w:rsid w:val="00B22188"/>
    <w:rsid w:val="00B224AB"/>
    <w:rsid w:val="00B2254E"/>
    <w:rsid w:val="00B2256E"/>
    <w:rsid w:val="00B22680"/>
    <w:rsid w:val="00B22689"/>
    <w:rsid w:val="00B2272A"/>
    <w:rsid w:val="00B227C6"/>
    <w:rsid w:val="00B22DF7"/>
    <w:rsid w:val="00B2311E"/>
    <w:rsid w:val="00B2318B"/>
    <w:rsid w:val="00B231F5"/>
    <w:rsid w:val="00B23235"/>
    <w:rsid w:val="00B2330D"/>
    <w:rsid w:val="00B235EF"/>
    <w:rsid w:val="00B23634"/>
    <w:rsid w:val="00B23854"/>
    <w:rsid w:val="00B23884"/>
    <w:rsid w:val="00B23903"/>
    <w:rsid w:val="00B23971"/>
    <w:rsid w:val="00B23994"/>
    <w:rsid w:val="00B239A8"/>
    <w:rsid w:val="00B23AF1"/>
    <w:rsid w:val="00B23BF6"/>
    <w:rsid w:val="00B23CA5"/>
    <w:rsid w:val="00B23CC5"/>
    <w:rsid w:val="00B23D24"/>
    <w:rsid w:val="00B23D60"/>
    <w:rsid w:val="00B23EC6"/>
    <w:rsid w:val="00B24076"/>
    <w:rsid w:val="00B241EA"/>
    <w:rsid w:val="00B2422E"/>
    <w:rsid w:val="00B243A4"/>
    <w:rsid w:val="00B243D5"/>
    <w:rsid w:val="00B243DD"/>
    <w:rsid w:val="00B2443C"/>
    <w:rsid w:val="00B24495"/>
    <w:rsid w:val="00B244E0"/>
    <w:rsid w:val="00B2467D"/>
    <w:rsid w:val="00B24746"/>
    <w:rsid w:val="00B248D1"/>
    <w:rsid w:val="00B248D4"/>
    <w:rsid w:val="00B249BD"/>
    <w:rsid w:val="00B24AE7"/>
    <w:rsid w:val="00B24B82"/>
    <w:rsid w:val="00B24CA0"/>
    <w:rsid w:val="00B24DFD"/>
    <w:rsid w:val="00B24E80"/>
    <w:rsid w:val="00B24F14"/>
    <w:rsid w:val="00B24F33"/>
    <w:rsid w:val="00B24F70"/>
    <w:rsid w:val="00B250CD"/>
    <w:rsid w:val="00B2513D"/>
    <w:rsid w:val="00B252CE"/>
    <w:rsid w:val="00B2546C"/>
    <w:rsid w:val="00B255A7"/>
    <w:rsid w:val="00B256EA"/>
    <w:rsid w:val="00B25703"/>
    <w:rsid w:val="00B25869"/>
    <w:rsid w:val="00B258B9"/>
    <w:rsid w:val="00B2593E"/>
    <w:rsid w:val="00B2598B"/>
    <w:rsid w:val="00B25A88"/>
    <w:rsid w:val="00B25B27"/>
    <w:rsid w:val="00B25C7C"/>
    <w:rsid w:val="00B25F9E"/>
    <w:rsid w:val="00B25FB7"/>
    <w:rsid w:val="00B25FEF"/>
    <w:rsid w:val="00B25FFB"/>
    <w:rsid w:val="00B260C9"/>
    <w:rsid w:val="00B26133"/>
    <w:rsid w:val="00B26212"/>
    <w:rsid w:val="00B2624D"/>
    <w:rsid w:val="00B262D4"/>
    <w:rsid w:val="00B2630A"/>
    <w:rsid w:val="00B2638E"/>
    <w:rsid w:val="00B2689B"/>
    <w:rsid w:val="00B26A0B"/>
    <w:rsid w:val="00B26ABA"/>
    <w:rsid w:val="00B26D27"/>
    <w:rsid w:val="00B26D96"/>
    <w:rsid w:val="00B26E55"/>
    <w:rsid w:val="00B2700F"/>
    <w:rsid w:val="00B2716E"/>
    <w:rsid w:val="00B274B6"/>
    <w:rsid w:val="00B274C2"/>
    <w:rsid w:val="00B27503"/>
    <w:rsid w:val="00B27513"/>
    <w:rsid w:val="00B275DE"/>
    <w:rsid w:val="00B275EA"/>
    <w:rsid w:val="00B2765F"/>
    <w:rsid w:val="00B277FA"/>
    <w:rsid w:val="00B27861"/>
    <w:rsid w:val="00B27932"/>
    <w:rsid w:val="00B27A69"/>
    <w:rsid w:val="00B27C0E"/>
    <w:rsid w:val="00B27C70"/>
    <w:rsid w:val="00B27DA2"/>
    <w:rsid w:val="00B27E2C"/>
    <w:rsid w:val="00B27E4B"/>
    <w:rsid w:val="00B27FC0"/>
    <w:rsid w:val="00B30014"/>
    <w:rsid w:val="00B30075"/>
    <w:rsid w:val="00B302BE"/>
    <w:rsid w:val="00B302D3"/>
    <w:rsid w:val="00B304D2"/>
    <w:rsid w:val="00B30677"/>
    <w:rsid w:val="00B306FD"/>
    <w:rsid w:val="00B30768"/>
    <w:rsid w:val="00B3082C"/>
    <w:rsid w:val="00B308FC"/>
    <w:rsid w:val="00B3096A"/>
    <w:rsid w:val="00B30A3B"/>
    <w:rsid w:val="00B30ADA"/>
    <w:rsid w:val="00B30D0F"/>
    <w:rsid w:val="00B30D49"/>
    <w:rsid w:val="00B30DEB"/>
    <w:rsid w:val="00B30E05"/>
    <w:rsid w:val="00B30E11"/>
    <w:rsid w:val="00B30F92"/>
    <w:rsid w:val="00B310E8"/>
    <w:rsid w:val="00B310EE"/>
    <w:rsid w:val="00B311AD"/>
    <w:rsid w:val="00B312F8"/>
    <w:rsid w:val="00B31407"/>
    <w:rsid w:val="00B318E5"/>
    <w:rsid w:val="00B319C4"/>
    <w:rsid w:val="00B319F8"/>
    <w:rsid w:val="00B31A31"/>
    <w:rsid w:val="00B31C04"/>
    <w:rsid w:val="00B31C40"/>
    <w:rsid w:val="00B31E45"/>
    <w:rsid w:val="00B31ECB"/>
    <w:rsid w:val="00B320BF"/>
    <w:rsid w:val="00B32206"/>
    <w:rsid w:val="00B322AF"/>
    <w:rsid w:val="00B32310"/>
    <w:rsid w:val="00B32406"/>
    <w:rsid w:val="00B3246E"/>
    <w:rsid w:val="00B324AD"/>
    <w:rsid w:val="00B3267F"/>
    <w:rsid w:val="00B327AC"/>
    <w:rsid w:val="00B3282F"/>
    <w:rsid w:val="00B328E0"/>
    <w:rsid w:val="00B3297D"/>
    <w:rsid w:val="00B32A3B"/>
    <w:rsid w:val="00B32CD6"/>
    <w:rsid w:val="00B32DED"/>
    <w:rsid w:val="00B32E63"/>
    <w:rsid w:val="00B3310B"/>
    <w:rsid w:val="00B33271"/>
    <w:rsid w:val="00B33292"/>
    <w:rsid w:val="00B33375"/>
    <w:rsid w:val="00B333EE"/>
    <w:rsid w:val="00B334A0"/>
    <w:rsid w:val="00B334AA"/>
    <w:rsid w:val="00B3377A"/>
    <w:rsid w:val="00B33848"/>
    <w:rsid w:val="00B338E0"/>
    <w:rsid w:val="00B339C7"/>
    <w:rsid w:val="00B33A99"/>
    <w:rsid w:val="00B33E4E"/>
    <w:rsid w:val="00B34031"/>
    <w:rsid w:val="00B341AC"/>
    <w:rsid w:val="00B3424C"/>
    <w:rsid w:val="00B343D2"/>
    <w:rsid w:val="00B343EF"/>
    <w:rsid w:val="00B344E3"/>
    <w:rsid w:val="00B34529"/>
    <w:rsid w:val="00B3453C"/>
    <w:rsid w:val="00B346A2"/>
    <w:rsid w:val="00B34BBE"/>
    <w:rsid w:val="00B34F7D"/>
    <w:rsid w:val="00B34FCE"/>
    <w:rsid w:val="00B350C0"/>
    <w:rsid w:val="00B35218"/>
    <w:rsid w:val="00B35261"/>
    <w:rsid w:val="00B3528F"/>
    <w:rsid w:val="00B352B9"/>
    <w:rsid w:val="00B35431"/>
    <w:rsid w:val="00B356AA"/>
    <w:rsid w:val="00B35797"/>
    <w:rsid w:val="00B3588B"/>
    <w:rsid w:val="00B3599E"/>
    <w:rsid w:val="00B35A8E"/>
    <w:rsid w:val="00B35D99"/>
    <w:rsid w:val="00B35D9D"/>
    <w:rsid w:val="00B35FB4"/>
    <w:rsid w:val="00B360A2"/>
    <w:rsid w:val="00B3612F"/>
    <w:rsid w:val="00B3616C"/>
    <w:rsid w:val="00B361F7"/>
    <w:rsid w:val="00B36208"/>
    <w:rsid w:val="00B36368"/>
    <w:rsid w:val="00B363FF"/>
    <w:rsid w:val="00B364D6"/>
    <w:rsid w:val="00B3664D"/>
    <w:rsid w:val="00B36876"/>
    <w:rsid w:val="00B368A4"/>
    <w:rsid w:val="00B36A8B"/>
    <w:rsid w:val="00B36B4E"/>
    <w:rsid w:val="00B36BDB"/>
    <w:rsid w:val="00B36BE3"/>
    <w:rsid w:val="00B36E24"/>
    <w:rsid w:val="00B36FEC"/>
    <w:rsid w:val="00B37192"/>
    <w:rsid w:val="00B37263"/>
    <w:rsid w:val="00B37266"/>
    <w:rsid w:val="00B373FD"/>
    <w:rsid w:val="00B377D5"/>
    <w:rsid w:val="00B378B1"/>
    <w:rsid w:val="00B378E2"/>
    <w:rsid w:val="00B37926"/>
    <w:rsid w:val="00B37976"/>
    <w:rsid w:val="00B37977"/>
    <w:rsid w:val="00B37A89"/>
    <w:rsid w:val="00B37B82"/>
    <w:rsid w:val="00B37BF4"/>
    <w:rsid w:val="00B37DEB"/>
    <w:rsid w:val="00B37EAC"/>
    <w:rsid w:val="00B40184"/>
    <w:rsid w:val="00B403C8"/>
    <w:rsid w:val="00B40453"/>
    <w:rsid w:val="00B40631"/>
    <w:rsid w:val="00B408BD"/>
    <w:rsid w:val="00B40A0A"/>
    <w:rsid w:val="00B40AA9"/>
    <w:rsid w:val="00B40AB4"/>
    <w:rsid w:val="00B40CE7"/>
    <w:rsid w:val="00B40F52"/>
    <w:rsid w:val="00B410D0"/>
    <w:rsid w:val="00B4128D"/>
    <w:rsid w:val="00B41306"/>
    <w:rsid w:val="00B4130F"/>
    <w:rsid w:val="00B413CD"/>
    <w:rsid w:val="00B4144C"/>
    <w:rsid w:val="00B41576"/>
    <w:rsid w:val="00B415DB"/>
    <w:rsid w:val="00B417B3"/>
    <w:rsid w:val="00B417E0"/>
    <w:rsid w:val="00B41C84"/>
    <w:rsid w:val="00B41E19"/>
    <w:rsid w:val="00B41E47"/>
    <w:rsid w:val="00B41E75"/>
    <w:rsid w:val="00B41F00"/>
    <w:rsid w:val="00B4205D"/>
    <w:rsid w:val="00B422E1"/>
    <w:rsid w:val="00B424CE"/>
    <w:rsid w:val="00B42A65"/>
    <w:rsid w:val="00B42BBD"/>
    <w:rsid w:val="00B42CBC"/>
    <w:rsid w:val="00B42D64"/>
    <w:rsid w:val="00B42DD8"/>
    <w:rsid w:val="00B42F1C"/>
    <w:rsid w:val="00B42F5A"/>
    <w:rsid w:val="00B430A5"/>
    <w:rsid w:val="00B43162"/>
    <w:rsid w:val="00B4329C"/>
    <w:rsid w:val="00B433E0"/>
    <w:rsid w:val="00B43707"/>
    <w:rsid w:val="00B43841"/>
    <w:rsid w:val="00B43947"/>
    <w:rsid w:val="00B4396C"/>
    <w:rsid w:val="00B43A0D"/>
    <w:rsid w:val="00B43A71"/>
    <w:rsid w:val="00B43AAB"/>
    <w:rsid w:val="00B43C4F"/>
    <w:rsid w:val="00B43CED"/>
    <w:rsid w:val="00B43E41"/>
    <w:rsid w:val="00B43EA4"/>
    <w:rsid w:val="00B440FF"/>
    <w:rsid w:val="00B44194"/>
    <w:rsid w:val="00B442FB"/>
    <w:rsid w:val="00B44333"/>
    <w:rsid w:val="00B4439C"/>
    <w:rsid w:val="00B44643"/>
    <w:rsid w:val="00B44732"/>
    <w:rsid w:val="00B44756"/>
    <w:rsid w:val="00B447E4"/>
    <w:rsid w:val="00B447F4"/>
    <w:rsid w:val="00B44840"/>
    <w:rsid w:val="00B448E6"/>
    <w:rsid w:val="00B44B95"/>
    <w:rsid w:val="00B44D3D"/>
    <w:rsid w:val="00B44DAD"/>
    <w:rsid w:val="00B44E57"/>
    <w:rsid w:val="00B44E9A"/>
    <w:rsid w:val="00B44EF6"/>
    <w:rsid w:val="00B44F73"/>
    <w:rsid w:val="00B44FF4"/>
    <w:rsid w:val="00B450FB"/>
    <w:rsid w:val="00B45192"/>
    <w:rsid w:val="00B452C3"/>
    <w:rsid w:val="00B45657"/>
    <w:rsid w:val="00B456E4"/>
    <w:rsid w:val="00B457E1"/>
    <w:rsid w:val="00B45BB3"/>
    <w:rsid w:val="00B45CD7"/>
    <w:rsid w:val="00B45D0A"/>
    <w:rsid w:val="00B45F17"/>
    <w:rsid w:val="00B45FD6"/>
    <w:rsid w:val="00B46092"/>
    <w:rsid w:val="00B4617D"/>
    <w:rsid w:val="00B461A3"/>
    <w:rsid w:val="00B461EE"/>
    <w:rsid w:val="00B462C6"/>
    <w:rsid w:val="00B462DC"/>
    <w:rsid w:val="00B46745"/>
    <w:rsid w:val="00B467E5"/>
    <w:rsid w:val="00B46984"/>
    <w:rsid w:val="00B469E3"/>
    <w:rsid w:val="00B46B1E"/>
    <w:rsid w:val="00B46D3F"/>
    <w:rsid w:val="00B46D5A"/>
    <w:rsid w:val="00B4700B"/>
    <w:rsid w:val="00B4710D"/>
    <w:rsid w:val="00B4711A"/>
    <w:rsid w:val="00B47390"/>
    <w:rsid w:val="00B473CB"/>
    <w:rsid w:val="00B47423"/>
    <w:rsid w:val="00B47473"/>
    <w:rsid w:val="00B47501"/>
    <w:rsid w:val="00B47533"/>
    <w:rsid w:val="00B47767"/>
    <w:rsid w:val="00B4781B"/>
    <w:rsid w:val="00B4782D"/>
    <w:rsid w:val="00B4792C"/>
    <w:rsid w:val="00B479F5"/>
    <w:rsid w:val="00B47A66"/>
    <w:rsid w:val="00B47A8A"/>
    <w:rsid w:val="00B47BD0"/>
    <w:rsid w:val="00B47D93"/>
    <w:rsid w:val="00B47DE1"/>
    <w:rsid w:val="00B47F0B"/>
    <w:rsid w:val="00B47FDA"/>
    <w:rsid w:val="00B5017B"/>
    <w:rsid w:val="00B50333"/>
    <w:rsid w:val="00B50340"/>
    <w:rsid w:val="00B5037F"/>
    <w:rsid w:val="00B503AB"/>
    <w:rsid w:val="00B504B2"/>
    <w:rsid w:val="00B5053F"/>
    <w:rsid w:val="00B50550"/>
    <w:rsid w:val="00B50789"/>
    <w:rsid w:val="00B507D3"/>
    <w:rsid w:val="00B5093A"/>
    <w:rsid w:val="00B5094B"/>
    <w:rsid w:val="00B509C9"/>
    <w:rsid w:val="00B50D3F"/>
    <w:rsid w:val="00B50DAB"/>
    <w:rsid w:val="00B50DE7"/>
    <w:rsid w:val="00B50DFC"/>
    <w:rsid w:val="00B5110B"/>
    <w:rsid w:val="00B51320"/>
    <w:rsid w:val="00B51325"/>
    <w:rsid w:val="00B51341"/>
    <w:rsid w:val="00B514DC"/>
    <w:rsid w:val="00B515B8"/>
    <w:rsid w:val="00B51688"/>
    <w:rsid w:val="00B51770"/>
    <w:rsid w:val="00B519D5"/>
    <w:rsid w:val="00B51A64"/>
    <w:rsid w:val="00B51BCC"/>
    <w:rsid w:val="00B51BF6"/>
    <w:rsid w:val="00B51CB6"/>
    <w:rsid w:val="00B51CBF"/>
    <w:rsid w:val="00B51D8A"/>
    <w:rsid w:val="00B51E98"/>
    <w:rsid w:val="00B52393"/>
    <w:rsid w:val="00B523BC"/>
    <w:rsid w:val="00B5255A"/>
    <w:rsid w:val="00B52635"/>
    <w:rsid w:val="00B5283B"/>
    <w:rsid w:val="00B52894"/>
    <w:rsid w:val="00B52935"/>
    <w:rsid w:val="00B52964"/>
    <w:rsid w:val="00B52CE4"/>
    <w:rsid w:val="00B52E01"/>
    <w:rsid w:val="00B52E51"/>
    <w:rsid w:val="00B52FCC"/>
    <w:rsid w:val="00B5364B"/>
    <w:rsid w:val="00B53759"/>
    <w:rsid w:val="00B537C9"/>
    <w:rsid w:val="00B538D3"/>
    <w:rsid w:val="00B53955"/>
    <w:rsid w:val="00B53AAA"/>
    <w:rsid w:val="00B53ABD"/>
    <w:rsid w:val="00B53EDB"/>
    <w:rsid w:val="00B53F9D"/>
    <w:rsid w:val="00B54124"/>
    <w:rsid w:val="00B544DC"/>
    <w:rsid w:val="00B5457F"/>
    <w:rsid w:val="00B546E1"/>
    <w:rsid w:val="00B54818"/>
    <w:rsid w:val="00B548D4"/>
    <w:rsid w:val="00B54984"/>
    <w:rsid w:val="00B54B7F"/>
    <w:rsid w:val="00B54C27"/>
    <w:rsid w:val="00B54C42"/>
    <w:rsid w:val="00B54CA3"/>
    <w:rsid w:val="00B54E12"/>
    <w:rsid w:val="00B54E49"/>
    <w:rsid w:val="00B54E63"/>
    <w:rsid w:val="00B54FF1"/>
    <w:rsid w:val="00B55242"/>
    <w:rsid w:val="00B5529E"/>
    <w:rsid w:val="00B55344"/>
    <w:rsid w:val="00B55845"/>
    <w:rsid w:val="00B55896"/>
    <w:rsid w:val="00B558ED"/>
    <w:rsid w:val="00B558FF"/>
    <w:rsid w:val="00B5598B"/>
    <w:rsid w:val="00B55E22"/>
    <w:rsid w:val="00B55E91"/>
    <w:rsid w:val="00B55F25"/>
    <w:rsid w:val="00B560FE"/>
    <w:rsid w:val="00B561FC"/>
    <w:rsid w:val="00B56459"/>
    <w:rsid w:val="00B564A6"/>
    <w:rsid w:val="00B56532"/>
    <w:rsid w:val="00B5663E"/>
    <w:rsid w:val="00B56648"/>
    <w:rsid w:val="00B56779"/>
    <w:rsid w:val="00B56804"/>
    <w:rsid w:val="00B56987"/>
    <w:rsid w:val="00B56A58"/>
    <w:rsid w:val="00B56BA1"/>
    <w:rsid w:val="00B56C7E"/>
    <w:rsid w:val="00B56D49"/>
    <w:rsid w:val="00B56D77"/>
    <w:rsid w:val="00B56F11"/>
    <w:rsid w:val="00B56F89"/>
    <w:rsid w:val="00B5701D"/>
    <w:rsid w:val="00B57023"/>
    <w:rsid w:val="00B571F9"/>
    <w:rsid w:val="00B572FE"/>
    <w:rsid w:val="00B574B1"/>
    <w:rsid w:val="00B57659"/>
    <w:rsid w:val="00B5772F"/>
    <w:rsid w:val="00B57803"/>
    <w:rsid w:val="00B5785F"/>
    <w:rsid w:val="00B57905"/>
    <w:rsid w:val="00B57B45"/>
    <w:rsid w:val="00B57C75"/>
    <w:rsid w:val="00B57D9B"/>
    <w:rsid w:val="00B57DD3"/>
    <w:rsid w:val="00B57FF9"/>
    <w:rsid w:val="00B60011"/>
    <w:rsid w:val="00B60580"/>
    <w:rsid w:val="00B607BA"/>
    <w:rsid w:val="00B607E1"/>
    <w:rsid w:val="00B60944"/>
    <w:rsid w:val="00B609A5"/>
    <w:rsid w:val="00B60A54"/>
    <w:rsid w:val="00B60B02"/>
    <w:rsid w:val="00B60B29"/>
    <w:rsid w:val="00B60B4E"/>
    <w:rsid w:val="00B60B57"/>
    <w:rsid w:val="00B60C18"/>
    <w:rsid w:val="00B60D32"/>
    <w:rsid w:val="00B60EE1"/>
    <w:rsid w:val="00B60FE9"/>
    <w:rsid w:val="00B6109D"/>
    <w:rsid w:val="00B6137F"/>
    <w:rsid w:val="00B61443"/>
    <w:rsid w:val="00B6148C"/>
    <w:rsid w:val="00B6167D"/>
    <w:rsid w:val="00B616FC"/>
    <w:rsid w:val="00B61778"/>
    <w:rsid w:val="00B61931"/>
    <w:rsid w:val="00B61943"/>
    <w:rsid w:val="00B61B03"/>
    <w:rsid w:val="00B61C2D"/>
    <w:rsid w:val="00B61F2A"/>
    <w:rsid w:val="00B61FF7"/>
    <w:rsid w:val="00B62116"/>
    <w:rsid w:val="00B621A8"/>
    <w:rsid w:val="00B6221C"/>
    <w:rsid w:val="00B623F4"/>
    <w:rsid w:val="00B624E5"/>
    <w:rsid w:val="00B62586"/>
    <w:rsid w:val="00B626DC"/>
    <w:rsid w:val="00B6279D"/>
    <w:rsid w:val="00B6291A"/>
    <w:rsid w:val="00B6295D"/>
    <w:rsid w:val="00B62BAA"/>
    <w:rsid w:val="00B62C6D"/>
    <w:rsid w:val="00B62CC1"/>
    <w:rsid w:val="00B62EB3"/>
    <w:rsid w:val="00B631C8"/>
    <w:rsid w:val="00B6339D"/>
    <w:rsid w:val="00B633A8"/>
    <w:rsid w:val="00B6342B"/>
    <w:rsid w:val="00B635DF"/>
    <w:rsid w:val="00B63727"/>
    <w:rsid w:val="00B6382E"/>
    <w:rsid w:val="00B63839"/>
    <w:rsid w:val="00B63AE8"/>
    <w:rsid w:val="00B63B91"/>
    <w:rsid w:val="00B63C51"/>
    <w:rsid w:val="00B63DC4"/>
    <w:rsid w:val="00B63DF1"/>
    <w:rsid w:val="00B6406A"/>
    <w:rsid w:val="00B6414C"/>
    <w:rsid w:val="00B64195"/>
    <w:rsid w:val="00B642BB"/>
    <w:rsid w:val="00B642F3"/>
    <w:rsid w:val="00B64342"/>
    <w:rsid w:val="00B643CE"/>
    <w:rsid w:val="00B64537"/>
    <w:rsid w:val="00B646F4"/>
    <w:rsid w:val="00B6490B"/>
    <w:rsid w:val="00B649CE"/>
    <w:rsid w:val="00B64CAF"/>
    <w:rsid w:val="00B64CDB"/>
    <w:rsid w:val="00B64D0D"/>
    <w:rsid w:val="00B64DE5"/>
    <w:rsid w:val="00B64EF4"/>
    <w:rsid w:val="00B651DF"/>
    <w:rsid w:val="00B65232"/>
    <w:rsid w:val="00B6532F"/>
    <w:rsid w:val="00B653D4"/>
    <w:rsid w:val="00B653F3"/>
    <w:rsid w:val="00B65446"/>
    <w:rsid w:val="00B65608"/>
    <w:rsid w:val="00B656DE"/>
    <w:rsid w:val="00B656E3"/>
    <w:rsid w:val="00B6585E"/>
    <w:rsid w:val="00B658F5"/>
    <w:rsid w:val="00B65965"/>
    <w:rsid w:val="00B65AFA"/>
    <w:rsid w:val="00B65B45"/>
    <w:rsid w:val="00B65BC6"/>
    <w:rsid w:val="00B65BEC"/>
    <w:rsid w:val="00B65C87"/>
    <w:rsid w:val="00B65CC7"/>
    <w:rsid w:val="00B65CD6"/>
    <w:rsid w:val="00B65F87"/>
    <w:rsid w:val="00B660CA"/>
    <w:rsid w:val="00B66212"/>
    <w:rsid w:val="00B66277"/>
    <w:rsid w:val="00B66401"/>
    <w:rsid w:val="00B665BF"/>
    <w:rsid w:val="00B665CC"/>
    <w:rsid w:val="00B665CE"/>
    <w:rsid w:val="00B665DE"/>
    <w:rsid w:val="00B66608"/>
    <w:rsid w:val="00B66622"/>
    <w:rsid w:val="00B66714"/>
    <w:rsid w:val="00B6677A"/>
    <w:rsid w:val="00B66786"/>
    <w:rsid w:val="00B667FE"/>
    <w:rsid w:val="00B6681A"/>
    <w:rsid w:val="00B66872"/>
    <w:rsid w:val="00B6692C"/>
    <w:rsid w:val="00B66981"/>
    <w:rsid w:val="00B66BEA"/>
    <w:rsid w:val="00B66CAA"/>
    <w:rsid w:val="00B66CF3"/>
    <w:rsid w:val="00B66DEA"/>
    <w:rsid w:val="00B66E44"/>
    <w:rsid w:val="00B66E5A"/>
    <w:rsid w:val="00B6706E"/>
    <w:rsid w:val="00B6710C"/>
    <w:rsid w:val="00B67296"/>
    <w:rsid w:val="00B672B9"/>
    <w:rsid w:val="00B6756D"/>
    <w:rsid w:val="00B67626"/>
    <w:rsid w:val="00B676C3"/>
    <w:rsid w:val="00B677F1"/>
    <w:rsid w:val="00B67CD4"/>
    <w:rsid w:val="00B67D80"/>
    <w:rsid w:val="00B70095"/>
    <w:rsid w:val="00B700D4"/>
    <w:rsid w:val="00B7031F"/>
    <w:rsid w:val="00B7036F"/>
    <w:rsid w:val="00B707FF"/>
    <w:rsid w:val="00B70846"/>
    <w:rsid w:val="00B7096F"/>
    <w:rsid w:val="00B709A8"/>
    <w:rsid w:val="00B70B21"/>
    <w:rsid w:val="00B70D57"/>
    <w:rsid w:val="00B70D9E"/>
    <w:rsid w:val="00B70E6C"/>
    <w:rsid w:val="00B70EEA"/>
    <w:rsid w:val="00B70F53"/>
    <w:rsid w:val="00B7108A"/>
    <w:rsid w:val="00B7108F"/>
    <w:rsid w:val="00B71147"/>
    <w:rsid w:val="00B7116F"/>
    <w:rsid w:val="00B715B2"/>
    <w:rsid w:val="00B715B4"/>
    <w:rsid w:val="00B717A4"/>
    <w:rsid w:val="00B717CB"/>
    <w:rsid w:val="00B71AFD"/>
    <w:rsid w:val="00B71EC6"/>
    <w:rsid w:val="00B71F5C"/>
    <w:rsid w:val="00B71FA8"/>
    <w:rsid w:val="00B721EE"/>
    <w:rsid w:val="00B7235D"/>
    <w:rsid w:val="00B72462"/>
    <w:rsid w:val="00B72603"/>
    <w:rsid w:val="00B7270B"/>
    <w:rsid w:val="00B72A82"/>
    <w:rsid w:val="00B72B2D"/>
    <w:rsid w:val="00B72CC6"/>
    <w:rsid w:val="00B72D60"/>
    <w:rsid w:val="00B72E45"/>
    <w:rsid w:val="00B72E4F"/>
    <w:rsid w:val="00B72E87"/>
    <w:rsid w:val="00B72FD7"/>
    <w:rsid w:val="00B73309"/>
    <w:rsid w:val="00B733DA"/>
    <w:rsid w:val="00B73461"/>
    <w:rsid w:val="00B7346A"/>
    <w:rsid w:val="00B7352E"/>
    <w:rsid w:val="00B73552"/>
    <w:rsid w:val="00B737C1"/>
    <w:rsid w:val="00B73A1B"/>
    <w:rsid w:val="00B73DC8"/>
    <w:rsid w:val="00B73DFA"/>
    <w:rsid w:val="00B73EC4"/>
    <w:rsid w:val="00B7413B"/>
    <w:rsid w:val="00B742AA"/>
    <w:rsid w:val="00B743BE"/>
    <w:rsid w:val="00B7442C"/>
    <w:rsid w:val="00B74557"/>
    <w:rsid w:val="00B74633"/>
    <w:rsid w:val="00B746BD"/>
    <w:rsid w:val="00B746F8"/>
    <w:rsid w:val="00B74798"/>
    <w:rsid w:val="00B748B3"/>
    <w:rsid w:val="00B748BC"/>
    <w:rsid w:val="00B74A73"/>
    <w:rsid w:val="00B74B50"/>
    <w:rsid w:val="00B74E2B"/>
    <w:rsid w:val="00B74EBC"/>
    <w:rsid w:val="00B74FBB"/>
    <w:rsid w:val="00B750FD"/>
    <w:rsid w:val="00B752A7"/>
    <w:rsid w:val="00B75445"/>
    <w:rsid w:val="00B75579"/>
    <w:rsid w:val="00B75620"/>
    <w:rsid w:val="00B75699"/>
    <w:rsid w:val="00B756A4"/>
    <w:rsid w:val="00B756C2"/>
    <w:rsid w:val="00B75770"/>
    <w:rsid w:val="00B757D2"/>
    <w:rsid w:val="00B7589D"/>
    <w:rsid w:val="00B75ADC"/>
    <w:rsid w:val="00B75CAE"/>
    <w:rsid w:val="00B75CD5"/>
    <w:rsid w:val="00B75DFD"/>
    <w:rsid w:val="00B75EFD"/>
    <w:rsid w:val="00B76038"/>
    <w:rsid w:val="00B76352"/>
    <w:rsid w:val="00B764BB"/>
    <w:rsid w:val="00B76611"/>
    <w:rsid w:val="00B76668"/>
    <w:rsid w:val="00B767EE"/>
    <w:rsid w:val="00B767F6"/>
    <w:rsid w:val="00B76818"/>
    <w:rsid w:val="00B76900"/>
    <w:rsid w:val="00B76BD0"/>
    <w:rsid w:val="00B76DD1"/>
    <w:rsid w:val="00B76DDB"/>
    <w:rsid w:val="00B76EF2"/>
    <w:rsid w:val="00B76EFB"/>
    <w:rsid w:val="00B77052"/>
    <w:rsid w:val="00B7733C"/>
    <w:rsid w:val="00B773AA"/>
    <w:rsid w:val="00B774F0"/>
    <w:rsid w:val="00B775B1"/>
    <w:rsid w:val="00B7761E"/>
    <w:rsid w:val="00B77733"/>
    <w:rsid w:val="00B7777B"/>
    <w:rsid w:val="00B7789F"/>
    <w:rsid w:val="00B7793F"/>
    <w:rsid w:val="00B77959"/>
    <w:rsid w:val="00B77A16"/>
    <w:rsid w:val="00B77AFE"/>
    <w:rsid w:val="00B77B36"/>
    <w:rsid w:val="00B77BF2"/>
    <w:rsid w:val="00B77C33"/>
    <w:rsid w:val="00B77D5D"/>
    <w:rsid w:val="00B77DA3"/>
    <w:rsid w:val="00B77E20"/>
    <w:rsid w:val="00B77F9E"/>
    <w:rsid w:val="00B80081"/>
    <w:rsid w:val="00B800EB"/>
    <w:rsid w:val="00B80129"/>
    <w:rsid w:val="00B8017C"/>
    <w:rsid w:val="00B80312"/>
    <w:rsid w:val="00B80360"/>
    <w:rsid w:val="00B8054E"/>
    <w:rsid w:val="00B806E0"/>
    <w:rsid w:val="00B80858"/>
    <w:rsid w:val="00B80A07"/>
    <w:rsid w:val="00B80B5E"/>
    <w:rsid w:val="00B80C71"/>
    <w:rsid w:val="00B80CFE"/>
    <w:rsid w:val="00B80F30"/>
    <w:rsid w:val="00B81003"/>
    <w:rsid w:val="00B81043"/>
    <w:rsid w:val="00B8118A"/>
    <w:rsid w:val="00B8119A"/>
    <w:rsid w:val="00B812E1"/>
    <w:rsid w:val="00B81321"/>
    <w:rsid w:val="00B81454"/>
    <w:rsid w:val="00B81471"/>
    <w:rsid w:val="00B814AB"/>
    <w:rsid w:val="00B8157D"/>
    <w:rsid w:val="00B815FE"/>
    <w:rsid w:val="00B8162D"/>
    <w:rsid w:val="00B816C6"/>
    <w:rsid w:val="00B816E8"/>
    <w:rsid w:val="00B8185C"/>
    <w:rsid w:val="00B819D2"/>
    <w:rsid w:val="00B81A0C"/>
    <w:rsid w:val="00B81AB9"/>
    <w:rsid w:val="00B81ADE"/>
    <w:rsid w:val="00B81C9C"/>
    <w:rsid w:val="00B82065"/>
    <w:rsid w:val="00B820AB"/>
    <w:rsid w:val="00B820D2"/>
    <w:rsid w:val="00B82173"/>
    <w:rsid w:val="00B823BF"/>
    <w:rsid w:val="00B8248F"/>
    <w:rsid w:val="00B824DC"/>
    <w:rsid w:val="00B8257D"/>
    <w:rsid w:val="00B8278B"/>
    <w:rsid w:val="00B828C8"/>
    <w:rsid w:val="00B82A9F"/>
    <w:rsid w:val="00B82B94"/>
    <w:rsid w:val="00B82C5A"/>
    <w:rsid w:val="00B82DE9"/>
    <w:rsid w:val="00B82E07"/>
    <w:rsid w:val="00B82F4E"/>
    <w:rsid w:val="00B830E4"/>
    <w:rsid w:val="00B83367"/>
    <w:rsid w:val="00B833F8"/>
    <w:rsid w:val="00B835E7"/>
    <w:rsid w:val="00B83649"/>
    <w:rsid w:val="00B83B58"/>
    <w:rsid w:val="00B83D0B"/>
    <w:rsid w:val="00B83D76"/>
    <w:rsid w:val="00B83DD3"/>
    <w:rsid w:val="00B83DFB"/>
    <w:rsid w:val="00B83E03"/>
    <w:rsid w:val="00B84057"/>
    <w:rsid w:val="00B841AB"/>
    <w:rsid w:val="00B841DB"/>
    <w:rsid w:val="00B84208"/>
    <w:rsid w:val="00B84518"/>
    <w:rsid w:val="00B84773"/>
    <w:rsid w:val="00B8477E"/>
    <w:rsid w:val="00B84812"/>
    <w:rsid w:val="00B84A14"/>
    <w:rsid w:val="00B84A82"/>
    <w:rsid w:val="00B84AA2"/>
    <w:rsid w:val="00B84AFD"/>
    <w:rsid w:val="00B84D44"/>
    <w:rsid w:val="00B84D52"/>
    <w:rsid w:val="00B84D7A"/>
    <w:rsid w:val="00B84EE5"/>
    <w:rsid w:val="00B85019"/>
    <w:rsid w:val="00B85288"/>
    <w:rsid w:val="00B8578C"/>
    <w:rsid w:val="00B858E5"/>
    <w:rsid w:val="00B8590B"/>
    <w:rsid w:val="00B85917"/>
    <w:rsid w:val="00B85BA6"/>
    <w:rsid w:val="00B85CA0"/>
    <w:rsid w:val="00B85D7E"/>
    <w:rsid w:val="00B85EB9"/>
    <w:rsid w:val="00B8607C"/>
    <w:rsid w:val="00B86088"/>
    <w:rsid w:val="00B8621D"/>
    <w:rsid w:val="00B86267"/>
    <w:rsid w:val="00B863E9"/>
    <w:rsid w:val="00B86506"/>
    <w:rsid w:val="00B8679E"/>
    <w:rsid w:val="00B867A3"/>
    <w:rsid w:val="00B867EC"/>
    <w:rsid w:val="00B86982"/>
    <w:rsid w:val="00B86A98"/>
    <w:rsid w:val="00B86CBF"/>
    <w:rsid w:val="00B86D45"/>
    <w:rsid w:val="00B86F1E"/>
    <w:rsid w:val="00B8705C"/>
    <w:rsid w:val="00B87062"/>
    <w:rsid w:val="00B870AB"/>
    <w:rsid w:val="00B870AD"/>
    <w:rsid w:val="00B87125"/>
    <w:rsid w:val="00B87352"/>
    <w:rsid w:val="00B874A3"/>
    <w:rsid w:val="00B87709"/>
    <w:rsid w:val="00B8772B"/>
    <w:rsid w:val="00B877AC"/>
    <w:rsid w:val="00B8797D"/>
    <w:rsid w:val="00B879C4"/>
    <w:rsid w:val="00B87B9C"/>
    <w:rsid w:val="00B87D0E"/>
    <w:rsid w:val="00B87E54"/>
    <w:rsid w:val="00B87EDF"/>
    <w:rsid w:val="00B87FD2"/>
    <w:rsid w:val="00B90026"/>
    <w:rsid w:val="00B9004B"/>
    <w:rsid w:val="00B900C7"/>
    <w:rsid w:val="00B901FE"/>
    <w:rsid w:val="00B9026B"/>
    <w:rsid w:val="00B90393"/>
    <w:rsid w:val="00B90426"/>
    <w:rsid w:val="00B90620"/>
    <w:rsid w:val="00B909AE"/>
    <w:rsid w:val="00B909FF"/>
    <w:rsid w:val="00B90E0D"/>
    <w:rsid w:val="00B91147"/>
    <w:rsid w:val="00B911B2"/>
    <w:rsid w:val="00B912AC"/>
    <w:rsid w:val="00B912B2"/>
    <w:rsid w:val="00B913B6"/>
    <w:rsid w:val="00B913E8"/>
    <w:rsid w:val="00B9143B"/>
    <w:rsid w:val="00B91687"/>
    <w:rsid w:val="00B917F7"/>
    <w:rsid w:val="00B9184C"/>
    <w:rsid w:val="00B91892"/>
    <w:rsid w:val="00B918C7"/>
    <w:rsid w:val="00B9191E"/>
    <w:rsid w:val="00B9195C"/>
    <w:rsid w:val="00B919C1"/>
    <w:rsid w:val="00B91A81"/>
    <w:rsid w:val="00B91B2F"/>
    <w:rsid w:val="00B91C03"/>
    <w:rsid w:val="00B91CD5"/>
    <w:rsid w:val="00B91DBD"/>
    <w:rsid w:val="00B91FF1"/>
    <w:rsid w:val="00B91FFF"/>
    <w:rsid w:val="00B920F2"/>
    <w:rsid w:val="00B921CA"/>
    <w:rsid w:val="00B92208"/>
    <w:rsid w:val="00B9240D"/>
    <w:rsid w:val="00B925AB"/>
    <w:rsid w:val="00B92747"/>
    <w:rsid w:val="00B92B02"/>
    <w:rsid w:val="00B92B05"/>
    <w:rsid w:val="00B92B6E"/>
    <w:rsid w:val="00B92C01"/>
    <w:rsid w:val="00B92DFE"/>
    <w:rsid w:val="00B92E11"/>
    <w:rsid w:val="00B92EA8"/>
    <w:rsid w:val="00B93129"/>
    <w:rsid w:val="00B93245"/>
    <w:rsid w:val="00B932CC"/>
    <w:rsid w:val="00B932EE"/>
    <w:rsid w:val="00B9334F"/>
    <w:rsid w:val="00B9337B"/>
    <w:rsid w:val="00B93385"/>
    <w:rsid w:val="00B933E5"/>
    <w:rsid w:val="00B933F9"/>
    <w:rsid w:val="00B93418"/>
    <w:rsid w:val="00B93448"/>
    <w:rsid w:val="00B9387B"/>
    <w:rsid w:val="00B9390B"/>
    <w:rsid w:val="00B93A7D"/>
    <w:rsid w:val="00B93B9F"/>
    <w:rsid w:val="00B93C26"/>
    <w:rsid w:val="00B93C70"/>
    <w:rsid w:val="00B93CAB"/>
    <w:rsid w:val="00B93EC3"/>
    <w:rsid w:val="00B944A0"/>
    <w:rsid w:val="00B948E4"/>
    <w:rsid w:val="00B94B6C"/>
    <w:rsid w:val="00B94CBC"/>
    <w:rsid w:val="00B94E6E"/>
    <w:rsid w:val="00B94EB4"/>
    <w:rsid w:val="00B94F79"/>
    <w:rsid w:val="00B94FA8"/>
    <w:rsid w:val="00B9509B"/>
    <w:rsid w:val="00B9521B"/>
    <w:rsid w:val="00B952CC"/>
    <w:rsid w:val="00B956E6"/>
    <w:rsid w:val="00B956EC"/>
    <w:rsid w:val="00B958CE"/>
    <w:rsid w:val="00B95AA5"/>
    <w:rsid w:val="00B95D9F"/>
    <w:rsid w:val="00B95E10"/>
    <w:rsid w:val="00B95ED9"/>
    <w:rsid w:val="00B96211"/>
    <w:rsid w:val="00B9625D"/>
    <w:rsid w:val="00B96272"/>
    <w:rsid w:val="00B962C8"/>
    <w:rsid w:val="00B9637F"/>
    <w:rsid w:val="00B96382"/>
    <w:rsid w:val="00B963A2"/>
    <w:rsid w:val="00B9648A"/>
    <w:rsid w:val="00B965BF"/>
    <w:rsid w:val="00B965C2"/>
    <w:rsid w:val="00B965DD"/>
    <w:rsid w:val="00B96624"/>
    <w:rsid w:val="00B9664E"/>
    <w:rsid w:val="00B96733"/>
    <w:rsid w:val="00B96863"/>
    <w:rsid w:val="00B969C8"/>
    <w:rsid w:val="00B96B68"/>
    <w:rsid w:val="00B96BC7"/>
    <w:rsid w:val="00B970A7"/>
    <w:rsid w:val="00B973F9"/>
    <w:rsid w:val="00B974E7"/>
    <w:rsid w:val="00B97771"/>
    <w:rsid w:val="00B9778F"/>
    <w:rsid w:val="00B9780E"/>
    <w:rsid w:val="00B9788A"/>
    <w:rsid w:val="00B978E6"/>
    <w:rsid w:val="00B979DD"/>
    <w:rsid w:val="00B97ADB"/>
    <w:rsid w:val="00B97AE3"/>
    <w:rsid w:val="00B97C3B"/>
    <w:rsid w:val="00BA007E"/>
    <w:rsid w:val="00BA0198"/>
    <w:rsid w:val="00BA01B0"/>
    <w:rsid w:val="00BA059B"/>
    <w:rsid w:val="00BA0626"/>
    <w:rsid w:val="00BA0660"/>
    <w:rsid w:val="00BA06CC"/>
    <w:rsid w:val="00BA0776"/>
    <w:rsid w:val="00BA0858"/>
    <w:rsid w:val="00BA091F"/>
    <w:rsid w:val="00BA095A"/>
    <w:rsid w:val="00BA0CDE"/>
    <w:rsid w:val="00BA0F07"/>
    <w:rsid w:val="00BA1241"/>
    <w:rsid w:val="00BA134E"/>
    <w:rsid w:val="00BA1489"/>
    <w:rsid w:val="00BA1B8F"/>
    <w:rsid w:val="00BA1C36"/>
    <w:rsid w:val="00BA1DB7"/>
    <w:rsid w:val="00BA1EB2"/>
    <w:rsid w:val="00BA1ECE"/>
    <w:rsid w:val="00BA1EDF"/>
    <w:rsid w:val="00BA2005"/>
    <w:rsid w:val="00BA2110"/>
    <w:rsid w:val="00BA2323"/>
    <w:rsid w:val="00BA233B"/>
    <w:rsid w:val="00BA267D"/>
    <w:rsid w:val="00BA2814"/>
    <w:rsid w:val="00BA2826"/>
    <w:rsid w:val="00BA29ED"/>
    <w:rsid w:val="00BA2D66"/>
    <w:rsid w:val="00BA2EE5"/>
    <w:rsid w:val="00BA2F03"/>
    <w:rsid w:val="00BA2F4E"/>
    <w:rsid w:val="00BA2FDA"/>
    <w:rsid w:val="00BA2FF5"/>
    <w:rsid w:val="00BA312B"/>
    <w:rsid w:val="00BA317F"/>
    <w:rsid w:val="00BA332D"/>
    <w:rsid w:val="00BA349E"/>
    <w:rsid w:val="00BA3508"/>
    <w:rsid w:val="00BA351B"/>
    <w:rsid w:val="00BA35C4"/>
    <w:rsid w:val="00BA373D"/>
    <w:rsid w:val="00BA3C08"/>
    <w:rsid w:val="00BA3D8C"/>
    <w:rsid w:val="00BA3DAA"/>
    <w:rsid w:val="00BA41DD"/>
    <w:rsid w:val="00BA4359"/>
    <w:rsid w:val="00BA44BD"/>
    <w:rsid w:val="00BA45A3"/>
    <w:rsid w:val="00BA4672"/>
    <w:rsid w:val="00BA47F5"/>
    <w:rsid w:val="00BA483F"/>
    <w:rsid w:val="00BA4A80"/>
    <w:rsid w:val="00BA4B19"/>
    <w:rsid w:val="00BA4B6D"/>
    <w:rsid w:val="00BA4CDE"/>
    <w:rsid w:val="00BA4CEE"/>
    <w:rsid w:val="00BA4E2D"/>
    <w:rsid w:val="00BA4E73"/>
    <w:rsid w:val="00BA4F0B"/>
    <w:rsid w:val="00BA4F85"/>
    <w:rsid w:val="00BA5023"/>
    <w:rsid w:val="00BA5039"/>
    <w:rsid w:val="00BA5291"/>
    <w:rsid w:val="00BA52CF"/>
    <w:rsid w:val="00BA53A1"/>
    <w:rsid w:val="00BA546A"/>
    <w:rsid w:val="00BA547B"/>
    <w:rsid w:val="00BA5530"/>
    <w:rsid w:val="00BA5545"/>
    <w:rsid w:val="00BA555E"/>
    <w:rsid w:val="00BA56B3"/>
    <w:rsid w:val="00BA56C2"/>
    <w:rsid w:val="00BA56E3"/>
    <w:rsid w:val="00BA5761"/>
    <w:rsid w:val="00BA5931"/>
    <w:rsid w:val="00BA5A0E"/>
    <w:rsid w:val="00BA5A6F"/>
    <w:rsid w:val="00BA5D17"/>
    <w:rsid w:val="00BA5D41"/>
    <w:rsid w:val="00BA5E00"/>
    <w:rsid w:val="00BA5E7A"/>
    <w:rsid w:val="00BA60A1"/>
    <w:rsid w:val="00BA60A5"/>
    <w:rsid w:val="00BA6100"/>
    <w:rsid w:val="00BA613B"/>
    <w:rsid w:val="00BA63D0"/>
    <w:rsid w:val="00BA65FA"/>
    <w:rsid w:val="00BA66EC"/>
    <w:rsid w:val="00BA67E7"/>
    <w:rsid w:val="00BA686C"/>
    <w:rsid w:val="00BA6895"/>
    <w:rsid w:val="00BA6C37"/>
    <w:rsid w:val="00BA70EA"/>
    <w:rsid w:val="00BA7515"/>
    <w:rsid w:val="00BA7735"/>
    <w:rsid w:val="00BA78DE"/>
    <w:rsid w:val="00BA7930"/>
    <w:rsid w:val="00BA7A89"/>
    <w:rsid w:val="00BA7AA7"/>
    <w:rsid w:val="00BA7C18"/>
    <w:rsid w:val="00BA7F14"/>
    <w:rsid w:val="00BB003D"/>
    <w:rsid w:val="00BB005E"/>
    <w:rsid w:val="00BB0095"/>
    <w:rsid w:val="00BB00AC"/>
    <w:rsid w:val="00BB00E4"/>
    <w:rsid w:val="00BB01A8"/>
    <w:rsid w:val="00BB029D"/>
    <w:rsid w:val="00BB02AE"/>
    <w:rsid w:val="00BB038D"/>
    <w:rsid w:val="00BB04E2"/>
    <w:rsid w:val="00BB064E"/>
    <w:rsid w:val="00BB075E"/>
    <w:rsid w:val="00BB08F7"/>
    <w:rsid w:val="00BB0A4C"/>
    <w:rsid w:val="00BB0AC9"/>
    <w:rsid w:val="00BB0AD0"/>
    <w:rsid w:val="00BB0BE7"/>
    <w:rsid w:val="00BB0C08"/>
    <w:rsid w:val="00BB0C3D"/>
    <w:rsid w:val="00BB0D0D"/>
    <w:rsid w:val="00BB0D14"/>
    <w:rsid w:val="00BB0E57"/>
    <w:rsid w:val="00BB0E82"/>
    <w:rsid w:val="00BB0EB3"/>
    <w:rsid w:val="00BB0FE9"/>
    <w:rsid w:val="00BB1423"/>
    <w:rsid w:val="00BB1426"/>
    <w:rsid w:val="00BB146B"/>
    <w:rsid w:val="00BB14AE"/>
    <w:rsid w:val="00BB14F6"/>
    <w:rsid w:val="00BB1534"/>
    <w:rsid w:val="00BB155C"/>
    <w:rsid w:val="00BB183C"/>
    <w:rsid w:val="00BB1942"/>
    <w:rsid w:val="00BB196F"/>
    <w:rsid w:val="00BB1A7C"/>
    <w:rsid w:val="00BB1AE6"/>
    <w:rsid w:val="00BB1B43"/>
    <w:rsid w:val="00BB1BCF"/>
    <w:rsid w:val="00BB1BD5"/>
    <w:rsid w:val="00BB1C14"/>
    <w:rsid w:val="00BB1C6B"/>
    <w:rsid w:val="00BB1CF7"/>
    <w:rsid w:val="00BB1D08"/>
    <w:rsid w:val="00BB1F28"/>
    <w:rsid w:val="00BB20FF"/>
    <w:rsid w:val="00BB220F"/>
    <w:rsid w:val="00BB233E"/>
    <w:rsid w:val="00BB281D"/>
    <w:rsid w:val="00BB2895"/>
    <w:rsid w:val="00BB2A71"/>
    <w:rsid w:val="00BB2A7C"/>
    <w:rsid w:val="00BB2AF0"/>
    <w:rsid w:val="00BB2CAB"/>
    <w:rsid w:val="00BB2EB0"/>
    <w:rsid w:val="00BB2F96"/>
    <w:rsid w:val="00BB32E8"/>
    <w:rsid w:val="00BB3430"/>
    <w:rsid w:val="00BB351A"/>
    <w:rsid w:val="00BB3542"/>
    <w:rsid w:val="00BB361C"/>
    <w:rsid w:val="00BB37FD"/>
    <w:rsid w:val="00BB3871"/>
    <w:rsid w:val="00BB397F"/>
    <w:rsid w:val="00BB3A17"/>
    <w:rsid w:val="00BB3B06"/>
    <w:rsid w:val="00BB3B95"/>
    <w:rsid w:val="00BB3BFD"/>
    <w:rsid w:val="00BB3DA3"/>
    <w:rsid w:val="00BB3DBB"/>
    <w:rsid w:val="00BB40E8"/>
    <w:rsid w:val="00BB414C"/>
    <w:rsid w:val="00BB4233"/>
    <w:rsid w:val="00BB4382"/>
    <w:rsid w:val="00BB4434"/>
    <w:rsid w:val="00BB44FF"/>
    <w:rsid w:val="00BB46E4"/>
    <w:rsid w:val="00BB4721"/>
    <w:rsid w:val="00BB4960"/>
    <w:rsid w:val="00BB4A79"/>
    <w:rsid w:val="00BB4AA1"/>
    <w:rsid w:val="00BB4AB9"/>
    <w:rsid w:val="00BB4ACE"/>
    <w:rsid w:val="00BB4B86"/>
    <w:rsid w:val="00BB4BC1"/>
    <w:rsid w:val="00BB4C22"/>
    <w:rsid w:val="00BB4E8D"/>
    <w:rsid w:val="00BB5159"/>
    <w:rsid w:val="00BB5201"/>
    <w:rsid w:val="00BB542A"/>
    <w:rsid w:val="00BB54B8"/>
    <w:rsid w:val="00BB558E"/>
    <w:rsid w:val="00BB5672"/>
    <w:rsid w:val="00BB57B0"/>
    <w:rsid w:val="00BB5824"/>
    <w:rsid w:val="00BB58DC"/>
    <w:rsid w:val="00BB5AC0"/>
    <w:rsid w:val="00BB5BDA"/>
    <w:rsid w:val="00BB5C71"/>
    <w:rsid w:val="00BB5C8C"/>
    <w:rsid w:val="00BB5D32"/>
    <w:rsid w:val="00BB5FC7"/>
    <w:rsid w:val="00BB6186"/>
    <w:rsid w:val="00BB62D5"/>
    <w:rsid w:val="00BB63DA"/>
    <w:rsid w:val="00BB64A5"/>
    <w:rsid w:val="00BB66EA"/>
    <w:rsid w:val="00BB69FA"/>
    <w:rsid w:val="00BB6C7B"/>
    <w:rsid w:val="00BB6C85"/>
    <w:rsid w:val="00BB6EB1"/>
    <w:rsid w:val="00BB706A"/>
    <w:rsid w:val="00BB7179"/>
    <w:rsid w:val="00BB7187"/>
    <w:rsid w:val="00BB71EC"/>
    <w:rsid w:val="00BB755B"/>
    <w:rsid w:val="00BB7748"/>
    <w:rsid w:val="00BB786D"/>
    <w:rsid w:val="00BB7A32"/>
    <w:rsid w:val="00BB7AE7"/>
    <w:rsid w:val="00BB7BAE"/>
    <w:rsid w:val="00BB7D71"/>
    <w:rsid w:val="00BB7E23"/>
    <w:rsid w:val="00BB7E24"/>
    <w:rsid w:val="00BB7E9C"/>
    <w:rsid w:val="00BB7EB5"/>
    <w:rsid w:val="00BC0014"/>
    <w:rsid w:val="00BC0036"/>
    <w:rsid w:val="00BC0278"/>
    <w:rsid w:val="00BC02D2"/>
    <w:rsid w:val="00BC02F3"/>
    <w:rsid w:val="00BC0473"/>
    <w:rsid w:val="00BC0577"/>
    <w:rsid w:val="00BC0AE5"/>
    <w:rsid w:val="00BC0DBE"/>
    <w:rsid w:val="00BC0E83"/>
    <w:rsid w:val="00BC0FD0"/>
    <w:rsid w:val="00BC0FF4"/>
    <w:rsid w:val="00BC11FF"/>
    <w:rsid w:val="00BC1461"/>
    <w:rsid w:val="00BC1533"/>
    <w:rsid w:val="00BC1666"/>
    <w:rsid w:val="00BC1669"/>
    <w:rsid w:val="00BC16DB"/>
    <w:rsid w:val="00BC173C"/>
    <w:rsid w:val="00BC182C"/>
    <w:rsid w:val="00BC18D7"/>
    <w:rsid w:val="00BC1949"/>
    <w:rsid w:val="00BC1A6E"/>
    <w:rsid w:val="00BC1BDA"/>
    <w:rsid w:val="00BC1C1A"/>
    <w:rsid w:val="00BC1CC4"/>
    <w:rsid w:val="00BC1D72"/>
    <w:rsid w:val="00BC1E9D"/>
    <w:rsid w:val="00BC1FC7"/>
    <w:rsid w:val="00BC204E"/>
    <w:rsid w:val="00BC2197"/>
    <w:rsid w:val="00BC21B2"/>
    <w:rsid w:val="00BC21C0"/>
    <w:rsid w:val="00BC22C3"/>
    <w:rsid w:val="00BC22EB"/>
    <w:rsid w:val="00BC232C"/>
    <w:rsid w:val="00BC2373"/>
    <w:rsid w:val="00BC23C0"/>
    <w:rsid w:val="00BC2400"/>
    <w:rsid w:val="00BC2410"/>
    <w:rsid w:val="00BC2675"/>
    <w:rsid w:val="00BC26B9"/>
    <w:rsid w:val="00BC2876"/>
    <w:rsid w:val="00BC2953"/>
    <w:rsid w:val="00BC2B12"/>
    <w:rsid w:val="00BC2D5C"/>
    <w:rsid w:val="00BC2E94"/>
    <w:rsid w:val="00BC2FBD"/>
    <w:rsid w:val="00BC3084"/>
    <w:rsid w:val="00BC3301"/>
    <w:rsid w:val="00BC330D"/>
    <w:rsid w:val="00BC3348"/>
    <w:rsid w:val="00BC3509"/>
    <w:rsid w:val="00BC35CB"/>
    <w:rsid w:val="00BC3849"/>
    <w:rsid w:val="00BC3908"/>
    <w:rsid w:val="00BC39EB"/>
    <w:rsid w:val="00BC3B80"/>
    <w:rsid w:val="00BC3BBE"/>
    <w:rsid w:val="00BC3C3D"/>
    <w:rsid w:val="00BC3D2C"/>
    <w:rsid w:val="00BC3F87"/>
    <w:rsid w:val="00BC4069"/>
    <w:rsid w:val="00BC41BD"/>
    <w:rsid w:val="00BC445B"/>
    <w:rsid w:val="00BC447B"/>
    <w:rsid w:val="00BC44C0"/>
    <w:rsid w:val="00BC457A"/>
    <w:rsid w:val="00BC45A5"/>
    <w:rsid w:val="00BC47D6"/>
    <w:rsid w:val="00BC4928"/>
    <w:rsid w:val="00BC49B5"/>
    <w:rsid w:val="00BC53F0"/>
    <w:rsid w:val="00BC5406"/>
    <w:rsid w:val="00BC544E"/>
    <w:rsid w:val="00BC559D"/>
    <w:rsid w:val="00BC5783"/>
    <w:rsid w:val="00BC57E2"/>
    <w:rsid w:val="00BC597E"/>
    <w:rsid w:val="00BC5B64"/>
    <w:rsid w:val="00BC5BFB"/>
    <w:rsid w:val="00BC5C21"/>
    <w:rsid w:val="00BC5E97"/>
    <w:rsid w:val="00BC5EA5"/>
    <w:rsid w:val="00BC6073"/>
    <w:rsid w:val="00BC61C9"/>
    <w:rsid w:val="00BC6513"/>
    <w:rsid w:val="00BC667E"/>
    <w:rsid w:val="00BC6732"/>
    <w:rsid w:val="00BC682D"/>
    <w:rsid w:val="00BC68C7"/>
    <w:rsid w:val="00BC6A08"/>
    <w:rsid w:val="00BC6A67"/>
    <w:rsid w:val="00BC6A74"/>
    <w:rsid w:val="00BC6ACA"/>
    <w:rsid w:val="00BC6B04"/>
    <w:rsid w:val="00BC6B2E"/>
    <w:rsid w:val="00BC6C66"/>
    <w:rsid w:val="00BC6ED0"/>
    <w:rsid w:val="00BC6FBF"/>
    <w:rsid w:val="00BC704E"/>
    <w:rsid w:val="00BC71D5"/>
    <w:rsid w:val="00BC71DE"/>
    <w:rsid w:val="00BC7227"/>
    <w:rsid w:val="00BC7362"/>
    <w:rsid w:val="00BC7385"/>
    <w:rsid w:val="00BC73B3"/>
    <w:rsid w:val="00BC745A"/>
    <w:rsid w:val="00BC74DD"/>
    <w:rsid w:val="00BC769F"/>
    <w:rsid w:val="00BC76FD"/>
    <w:rsid w:val="00BC7A3C"/>
    <w:rsid w:val="00BC7B48"/>
    <w:rsid w:val="00BC7D27"/>
    <w:rsid w:val="00BC7DA6"/>
    <w:rsid w:val="00BC7E64"/>
    <w:rsid w:val="00BC7F86"/>
    <w:rsid w:val="00BC7F9F"/>
    <w:rsid w:val="00BC7FC4"/>
    <w:rsid w:val="00BD029F"/>
    <w:rsid w:val="00BD0306"/>
    <w:rsid w:val="00BD03C1"/>
    <w:rsid w:val="00BD0436"/>
    <w:rsid w:val="00BD05FC"/>
    <w:rsid w:val="00BD07F2"/>
    <w:rsid w:val="00BD082A"/>
    <w:rsid w:val="00BD0AB3"/>
    <w:rsid w:val="00BD0AFE"/>
    <w:rsid w:val="00BD0BBA"/>
    <w:rsid w:val="00BD0BD3"/>
    <w:rsid w:val="00BD0C10"/>
    <w:rsid w:val="00BD0F37"/>
    <w:rsid w:val="00BD0FA7"/>
    <w:rsid w:val="00BD11AA"/>
    <w:rsid w:val="00BD1205"/>
    <w:rsid w:val="00BD15F9"/>
    <w:rsid w:val="00BD16F8"/>
    <w:rsid w:val="00BD1725"/>
    <w:rsid w:val="00BD1922"/>
    <w:rsid w:val="00BD195B"/>
    <w:rsid w:val="00BD1BD8"/>
    <w:rsid w:val="00BD1BFA"/>
    <w:rsid w:val="00BD1D70"/>
    <w:rsid w:val="00BD2100"/>
    <w:rsid w:val="00BD2126"/>
    <w:rsid w:val="00BD219A"/>
    <w:rsid w:val="00BD21CB"/>
    <w:rsid w:val="00BD22A5"/>
    <w:rsid w:val="00BD23D2"/>
    <w:rsid w:val="00BD2759"/>
    <w:rsid w:val="00BD27B2"/>
    <w:rsid w:val="00BD2822"/>
    <w:rsid w:val="00BD29E5"/>
    <w:rsid w:val="00BD2E8C"/>
    <w:rsid w:val="00BD317C"/>
    <w:rsid w:val="00BD3280"/>
    <w:rsid w:val="00BD333A"/>
    <w:rsid w:val="00BD33ED"/>
    <w:rsid w:val="00BD34F1"/>
    <w:rsid w:val="00BD386D"/>
    <w:rsid w:val="00BD3918"/>
    <w:rsid w:val="00BD3A85"/>
    <w:rsid w:val="00BD3B9E"/>
    <w:rsid w:val="00BD3D0B"/>
    <w:rsid w:val="00BD4114"/>
    <w:rsid w:val="00BD411E"/>
    <w:rsid w:val="00BD420F"/>
    <w:rsid w:val="00BD4270"/>
    <w:rsid w:val="00BD4518"/>
    <w:rsid w:val="00BD458B"/>
    <w:rsid w:val="00BD45BF"/>
    <w:rsid w:val="00BD47AA"/>
    <w:rsid w:val="00BD4C14"/>
    <w:rsid w:val="00BD4D13"/>
    <w:rsid w:val="00BD4FCD"/>
    <w:rsid w:val="00BD5267"/>
    <w:rsid w:val="00BD545D"/>
    <w:rsid w:val="00BD54E7"/>
    <w:rsid w:val="00BD553F"/>
    <w:rsid w:val="00BD56FA"/>
    <w:rsid w:val="00BD5760"/>
    <w:rsid w:val="00BD5945"/>
    <w:rsid w:val="00BD5C40"/>
    <w:rsid w:val="00BD5C55"/>
    <w:rsid w:val="00BD5CCE"/>
    <w:rsid w:val="00BD5CFA"/>
    <w:rsid w:val="00BD5E7E"/>
    <w:rsid w:val="00BD61C1"/>
    <w:rsid w:val="00BD621A"/>
    <w:rsid w:val="00BD6295"/>
    <w:rsid w:val="00BD62BF"/>
    <w:rsid w:val="00BD63CD"/>
    <w:rsid w:val="00BD66BE"/>
    <w:rsid w:val="00BD6752"/>
    <w:rsid w:val="00BD6864"/>
    <w:rsid w:val="00BD69A8"/>
    <w:rsid w:val="00BD69EC"/>
    <w:rsid w:val="00BD6BF4"/>
    <w:rsid w:val="00BD6F95"/>
    <w:rsid w:val="00BD7092"/>
    <w:rsid w:val="00BD71B6"/>
    <w:rsid w:val="00BD7768"/>
    <w:rsid w:val="00BD77D8"/>
    <w:rsid w:val="00BD79DA"/>
    <w:rsid w:val="00BD7B18"/>
    <w:rsid w:val="00BD7B2E"/>
    <w:rsid w:val="00BD7D52"/>
    <w:rsid w:val="00BD7FF1"/>
    <w:rsid w:val="00BE02F1"/>
    <w:rsid w:val="00BE03B0"/>
    <w:rsid w:val="00BE0420"/>
    <w:rsid w:val="00BE05C8"/>
    <w:rsid w:val="00BE0628"/>
    <w:rsid w:val="00BE08B6"/>
    <w:rsid w:val="00BE0BAD"/>
    <w:rsid w:val="00BE0C48"/>
    <w:rsid w:val="00BE0EB9"/>
    <w:rsid w:val="00BE0F1C"/>
    <w:rsid w:val="00BE12C1"/>
    <w:rsid w:val="00BE1369"/>
    <w:rsid w:val="00BE148F"/>
    <w:rsid w:val="00BE14DF"/>
    <w:rsid w:val="00BE1561"/>
    <w:rsid w:val="00BE15A8"/>
    <w:rsid w:val="00BE174F"/>
    <w:rsid w:val="00BE1850"/>
    <w:rsid w:val="00BE1CAB"/>
    <w:rsid w:val="00BE1D11"/>
    <w:rsid w:val="00BE1DDC"/>
    <w:rsid w:val="00BE204B"/>
    <w:rsid w:val="00BE2136"/>
    <w:rsid w:val="00BE21E7"/>
    <w:rsid w:val="00BE2262"/>
    <w:rsid w:val="00BE24E7"/>
    <w:rsid w:val="00BE2534"/>
    <w:rsid w:val="00BE27A4"/>
    <w:rsid w:val="00BE29F5"/>
    <w:rsid w:val="00BE2A78"/>
    <w:rsid w:val="00BE2A7D"/>
    <w:rsid w:val="00BE2C29"/>
    <w:rsid w:val="00BE2DF2"/>
    <w:rsid w:val="00BE2E15"/>
    <w:rsid w:val="00BE2E61"/>
    <w:rsid w:val="00BE2FD9"/>
    <w:rsid w:val="00BE3052"/>
    <w:rsid w:val="00BE3099"/>
    <w:rsid w:val="00BE3277"/>
    <w:rsid w:val="00BE3282"/>
    <w:rsid w:val="00BE3373"/>
    <w:rsid w:val="00BE35C2"/>
    <w:rsid w:val="00BE3627"/>
    <w:rsid w:val="00BE3668"/>
    <w:rsid w:val="00BE372F"/>
    <w:rsid w:val="00BE37B0"/>
    <w:rsid w:val="00BE37E3"/>
    <w:rsid w:val="00BE38E9"/>
    <w:rsid w:val="00BE3A2F"/>
    <w:rsid w:val="00BE3A66"/>
    <w:rsid w:val="00BE3ACB"/>
    <w:rsid w:val="00BE3B5B"/>
    <w:rsid w:val="00BE3B65"/>
    <w:rsid w:val="00BE3D1F"/>
    <w:rsid w:val="00BE41FD"/>
    <w:rsid w:val="00BE42BD"/>
    <w:rsid w:val="00BE4385"/>
    <w:rsid w:val="00BE43BD"/>
    <w:rsid w:val="00BE44E3"/>
    <w:rsid w:val="00BE459A"/>
    <w:rsid w:val="00BE4A01"/>
    <w:rsid w:val="00BE4A45"/>
    <w:rsid w:val="00BE4B87"/>
    <w:rsid w:val="00BE4CE5"/>
    <w:rsid w:val="00BE4E59"/>
    <w:rsid w:val="00BE4E6D"/>
    <w:rsid w:val="00BE524D"/>
    <w:rsid w:val="00BE53BE"/>
    <w:rsid w:val="00BE55E4"/>
    <w:rsid w:val="00BE56C8"/>
    <w:rsid w:val="00BE56DE"/>
    <w:rsid w:val="00BE5738"/>
    <w:rsid w:val="00BE5802"/>
    <w:rsid w:val="00BE58C4"/>
    <w:rsid w:val="00BE5B4D"/>
    <w:rsid w:val="00BE5CAE"/>
    <w:rsid w:val="00BE5E41"/>
    <w:rsid w:val="00BE6169"/>
    <w:rsid w:val="00BE639E"/>
    <w:rsid w:val="00BE641E"/>
    <w:rsid w:val="00BE64D6"/>
    <w:rsid w:val="00BE658C"/>
    <w:rsid w:val="00BE67DE"/>
    <w:rsid w:val="00BE67EC"/>
    <w:rsid w:val="00BE696D"/>
    <w:rsid w:val="00BE6BC2"/>
    <w:rsid w:val="00BE6CDC"/>
    <w:rsid w:val="00BE6D64"/>
    <w:rsid w:val="00BE6E4E"/>
    <w:rsid w:val="00BE6E67"/>
    <w:rsid w:val="00BE6EB9"/>
    <w:rsid w:val="00BE6FEC"/>
    <w:rsid w:val="00BE7068"/>
    <w:rsid w:val="00BE70EA"/>
    <w:rsid w:val="00BE7394"/>
    <w:rsid w:val="00BE73A2"/>
    <w:rsid w:val="00BE73AD"/>
    <w:rsid w:val="00BE7411"/>
    <w:rsid w:val="00BE7661"/>
    <w:rsid w:val="00BE7866"/>
    <w:rsid w:val="00BE7928"/>
    <w:rsid w:val="00BE7A44"/>
    <w:rsid w:val="00BE7A8B"/>
    <w:rsid w:val="00BE7B4C"/>
    <w:rsid w:val="00BE7BA4"/>
    <w:rsid w:val="00BE7BC3"/>
    <w:rsid w:val="00BE7D0E"/>
    <w:rsid w:val="00BE7E10"/>
    <w:rsid w:val="00BE7E91"/>
    <w:rsid w:val="00BE7F19"/>
    <w:rsid w:val="00BF04A3"/>
    <w:rsid w:val="00BF06D8"/>
    <w:rsid w:val="00BF0907"/>
    <w:rsid w:val="00BF0AE4"/>
    <w:rsid w:val="00BF0B1E"/>
    <w:rsid w:val="00BF0E1A"/>
    <w:rsid w:val="00BF0FA0"/>
    <w:rsid w:val="00BF1071"/>
    <w:rsid w:val="00BF112E"/>
    <w:rsid w:val="00BF136D"/>
    <w:rsid w:val="00BF1395"/>
    <w:rsid w:val="00BF15D1"/>
    <w:rsid w:val="00BF1628"/>
    <w:rsid w:val="00BF1679"/>
    <w:rsid w:val="00BF16DE"/>
    <w:rsid w:val="00BF179E"/>
    <w:rsid w:val="00BF1A99"/>
    <w:rsid w:val="00BF1D77"/>
    <w:rsid w:val="00BF1E3E"/>
    <w:rsid w:val="00BF1EB8"/>
    <w:rsid w:val="00BF1FEA"/>
    <w:rsid w:val="00BF2274"/>
    <w:rsid w:val="00BF2307"/>
    <w:rsid w:val="00BF23D4"/>
    <w:rsid w:val="00BF2698"/>
    <w:rsid w:val="00BF27D8"/>
    <w:rsid w:val="00BF2845"/>
    <w:rsid w:val="00BF2927"/>
    <w:rsid w:val="00BF2991"/>
    <w:rsid w:val="00BF29C5"/>
    <w:rsid w:val="00BF2A24"/>
    <w:rsid w:val="00BF2A48"/>
    <w:rsid w:val="00BF2C1B"/>
    <w:rsid w:val="00BF2C66"/>
    <w:rsid w:val="00BF2CFE"/>
    <w:rsid w:val="00BF2FAE"/>
    <w:rsid w:val="00BF32C3"/>
    <w:rsid w:val="00BF359E"/>
    <w:rsid w:val="00BF36A0"/>
    <w:rsid w:val="00BF36BA"/>
    <w:rsid w:val="00BF3C74"/>
    <w:rsid w:val="00BF3DBE"/>
    <w:rsid w:val="00BF3E7E"/>
    <w:rsid w:val="00BF3F48"/>
    <w:rsid w:val="00BF412E"/>
    <w:rsid w:val="00BF41EB"/>
    <w:rsid w:val="00BF42E4"/>
    <w:rsid w:val="00BF463A"/>
    <w:rsid w:val="00BF466F"/>
    <w:rsid w:val="00BF4798"/>
    <w:rsid w:val="00BF47DD"/>
    <w:rsid w:val="00BF47E8"/>
    <w:rsid w:val="00BF4920"/>
    <w:rsid w:val="00BF4CC0"/>
    <w:rsid w:val="00BF4ED2"/>
    <w:rsid w:val="00BF4FFE"/>
    <w:rsid w:val="00BF508B"/>
    <w:rsid w:val="00BF5408"/>
    <w:rsid w:val="00BF568A"/>
    <w:rsid w:val="00BF5822"/>
    <w:rsid w:val="00BF58C2"/>
    <w:rsid w:val="00BF5AB5"/>
    <w:rsid w:val="00BF5B51"/>
    <w:rsid w:val="00BF5B8A"/>
    <w:rsid w:val="00BF5BED"/>
    <w:rsid w:val="00BF6096"/>
    <w:rsid w:val="00BF60C9"/>
    <w:rsid w:val="00BF6258"/>
    <w:rsid w:val="00BF6262"/>
    <w:rsid w:val="00BF668C"/>
    <w:rsid w:val="00BF674C"/>
    <w:rsid w:val="00BF6ACD"/>
    <w:rsid w:val="00BF6B72"/>
    <w:rsid w:val="00BF6C37"/>
    <w:rsid w:val="00BF6C56"/>
    <w:rsid w:val="00BF7447"/>
    <w:rsid w:val="00BF759B"/>
    <w:rsid w:val="00BF784F"/>
    <w:rsid w:val="00BF7895"/>
    <w:rsid w:val="00BF79EB"/>
    <w:rsid w:val="00BF7BA8"/>
    <w:rsid w:val="00BF7CC6"/>
    <w:rsid w:val="00BF7D20"/>
    <w:rsid w:val="00BF7EDA"/>
    <w:rsid w:val="00BF7FAF"/>
    <w:rsid w:val="00C001E9"/>
    <w:rsid w:val="00C003A6"/>
    <w:rsid w:val="00C003DA"/>
    <w:rsid w:val="00C0081E"/>
    <w:rsid w:val="00C00DE0"/>
    <w:rsid w:val="00C00E18"/>
    <w:rsid w:val="00C00EAD"/>
    <w:rsid w:val="00C00F9C"/>
    <w:rsid w:val="00C011E3"/>
    <w:rsid w:val="00C011FC"/>
    <w:rsid w:val="00C011FE"/>
    <w:rsid w:val="00C0136E"/>
    <w:rsid w:val="00C013D3"/>
    <w:rsid w:val="00C013DB"/>
    <w:rsid w:val="00C015C7"/>
    <w:rsid w:val="00C016AD"/>
    <w:rsid w:val="00C017BD"/>
    <w:rsid w:val="00C0180B"/>
    <w:rsid w:val="00C01890"/>
    <w:rsid w:val="00C01AA5"/>
    <w:rsid w:val="00C01BBD"/>
    <w:rsid w:val="00C01C12"/>
    <w:rsid w:val="00C01D8D"/>
    <w:rsid w:val="00C01E12"/>
    <w:rsid w:val="00C01EDC"/>
    <w:rsid w:val="00C01F22"/>
    <w:rsid w:val="00C02159"/>
    <w:rsid w:val="00C021CE"/>
    <w:rsid w:val="00C0233D"/>
    <w:rsid w:val="00C02556"/>
    <w:rsid w:val="00C0275D"/>
    <w:rsid w:val="00C02837"/>
    <w:rsid w:val="00C02A5D"/>
    <w:rsid w:val="00C02B8B"/>
    <w:rsid w:val="00C02BDE"/>
    <w:rsid w:val="00C02CD5"/>
    <w:rsid w:val="00C02D42"/>
    <w:rsid w:val="00C02EA7"/>
    <w:rsid w:val="00C02EB9"/>
    <w:rsid w:val="00C02FF7"/>
    <w:rsid w:val="00C0301E"/>
    <w:rsid w:val="00C03089"/>
    <w:rsid w:val="00C0309F"/>
    <w:rsid w:val="00C030AF"/>
    <w:rsid w:val="00C031CA"/>
    <w:rsid w:val="00C03330"/>
    <w:rsid w:val="00C03376"/>
    <w:rsid w:val="00C033F4"/>
    <w:rsid w:val="00C0346D"/>
    <w:rsid w:val="00C035FF"/>
    <w:rsid w:val="00C0369B"/>
    <w:rsid w:val="00C03780"/>
    <w:rsid w:val="00C038BA"/>
    <w:rsid w:val="00C03926"/>
    <w:rsid w:val="00C03A34"/>
    <w:rsid w:val="00C03A92"/>
    <w:rsid w:val="00C03B5E"/>
    <w:rsid w:val="00C03E4C"/>
    <w:rsid w:val="00C03E56"/>
    <w:rsid w:val="00C04081"/>
    <w:rsid w:val="00C04086"/>
    <w:rsid w:val="00C040E9"/>
    <w:rsid w:val="00C04178"/>
    <w:rsid w:val="00C0425D"/>
    <w:rsid w:val="00C04398"/>
    <w:rsid w:val="00C04442"/>
    <w:rsid w:val="00C044A6"/>
    <w:rsid w:val="00C04500"/>
    <w:rsid w:val="00C045B4"/>
    <w:rsid w:val="00C04663"/>
    <w:rsid w:val="00C0466A"/>
    <w:rsid w:val="00C04761"/>
    <w:rsid w:val="00C04A23"/>
    <w:rsid w:val="00C04B41"/>
    <w:rsid w:val="00C04D1A"/>
    <w:rsid w:val="00C04DB6"/>
    <w:rsid w:val="00C04E39"/>
    <w:rsid w:val="00C04F80"/>
    <w:rsid w:val="00C05049"/>
    <w:rsid w:val="00C05268"/>
    <w:rsid w:val="00C053CC"/>
    <w:rsid w:val="00C054AB"/>
    <w:rsid w:val="00C05838"/>
    <w:rsid w:val="00C0586F"/>
    <w:rsid w:val="00C05A7D"/>
    <w:rsid w:val="00C05BFE"/>
    <w:rsid w:val="00C05C45"/>
    <w:rsid w:val="00C05D9A"/>
    <w:rsid w:val="00C05DB2"/>
    <w:rsid w:val="00C05E86"/>
    <w:rsid w:val="00C05F37"/>
    <w:rsid w:val="00C06003"/>
    <w:rsid w:val="00C06195"/>
    <w:rsid w:val="00C061CD"/>
    <w:rsid w:val="00C06209"/>
    <w:rsid w:val="00C062B0"/>
    <w:rsid w:val="00C063BF"/>
    <w:rsid w:val="00C063D5"/>
    <w:rsid w:val="00C06537"/>
    <w:rsid w:val="00C06557"/>
    <w:rsid w:val="00C0666E"/>
    <w:rsid w:val="00C06792"/>
    <w:rsid w:val="00C06B7B"/>
    <w:rsid w:val="00C06BE3"/>
    <w:rsid w:val="00C06DA6"/>
    <w:rsid w:val="00C06DAD"/>
    <w:rsid w:val="00C06E85"/>
    <w:rsid w:val="00C0700F"/>
    <w:rsid w:val="00C0708C"/>
    <w:rsid w:val="00C072CB"/>
    <w:rsid w:val="00C076F1"/>
    <w:rsid w:val="00C0781F"/>
    <w:rsid w:val="00C07C94"/>
    <w:rsid w:val="00C07CFC"/>
    <w:rsid w:val="00C07ECA"/>
    <w:rsid w:val="00C100EA"/>
    <w:rsid w:val="00C10167"/>
    <w:rsid w:val="00C10242"/>
    <w:rsid w:val="00C103F8"/>
    <w:rsid w:val="00C1061A"/>
    <w:rsid w:val="00C10714"/>
    <w:rsid w:val="00C10735"/>
    <w:rsid w:val="00C10754"/>
    <w:rsid w:val="00C10863"/>
    <w:rsid w:val="00C10A0A"/>
    <w:rsid w:val="00C10BA6"/>
    <w:rsid w:val="00C10BAA"/>
    <w:rsid w:val="00C10C3E"/>
    <w:rsid w:val="00C1109C"/>
    <w:rsid w:val="00C110C3"/>
    <w:rsid w:val="00C11168"/>
    <w:rsid w:val="00C112E3"/>
    <w:rsid w:val="00C113DC"/>
    <w:rsid w:val="00C11451"/>
    <w:rsid w:val="00C11457"/>
    <w:rsid w:val="00C11461"/>
    <w:rsid w:val="00C11676"/>
    <w:rsid w:val="00C11799"/>
    <w:rsid w:val="00C11802"/>
    <w:rsid w:val="00C11944"/>
    <w:rsid w:val="00C11A6A"/>
    <w:rsid w:val="00C11CA8"/>
    <w:rsid w:val="00C11FF7"/>
    <w:rsid w:val="00C12247"/>
    <w:rsid w:val="00C123D1"/>
    <w:rsid w:val="00C124F7"/>
    <w:rsid w:val="00C1271A"/>
    <w:rsid w:val="00C127C1"/>
    <w:rsid w:val="00C127ED"/>
    <w:rsid w:val="00C12865"/>
    <w:rsid w:val="00C128AB"/>
    <w:rsid w:val="00C12957"/>
    <w:rsid w:val="00C129E0"/>
    <w:rsid w:val="00C12AF6"/>
    <w:rsid w:val="00C12C5F"/>
    <w:rsid w:val="00C12E58"/>
    <w:rsid w:val="00C12EE9"/>
    <w:rsid w:val="00C12F17"/>
    <w:rsid w:val="00C12F6B"/>
    <w:rsid w:val="00C13002"/>
    <w:rsid w:val="00C1347D"/>
    <w:rsid w:val="00C135CA"/>
    <w:rsid w:val="00C13664"/>
    <w:rsid w:val="00C13792"/>
    <w:rsid w:val="00C139B8"/>
    <w:rsid w:val="00C139CD"/>
    <w:rsid w:val="00C13A0F"/>
    <w:rsid w:val="00C13BA7"/>
    <w:rsid w:val="00C13D14"/>
    <w:rsid w:val="00C13D4E"/>
    <w:rsid w:val="00C13E8F"/>
    <w:rsid w:val="00C13EB0"/>
    <w:rsid w:val="00C13F2B"/>
    <w:rsid w:val="00C13F9B"/>
    <w:rsid w:val="00C14014"/>
    <w:rsid w:val="00C14100"/>
    <w:rsid w:val="00C14108"/>
    <w:rsid w:val="00C142BF"/>
    <w:rsid w:val="00C142E1"/>
    <w:rsid w:val="00C14537"/>
    <w:rsid w:val="00C146B5"/>
    <w:rsid w:val="00C146D3"/>
    <w:rsid w:val="00C146F1"/>
    <w:rsid w:val="00C14715"/>
    <w:rsid w:val="00C147D9"/>
    <w:rsid w:val="00C14A0D"/>
    <w:rsid w:val="00C14D52"/>
    <w:rsid w:val="00C14EEA"/>
    <w:rsid w:val="00C14F03"/>
    <w:rsid w:val="00C14FD4"/>
    <w:rsid w:val="00C1507A"/>
    <w:rsid w:val="00C15118"/>
    <w:rsid w:val="00C1516F"/>
    <w:rsid w:val="00C1545A"/>
    <w:rsid w:val="00C154C4"/>
    <w:rsid w:val="00C1574F"/>
    <w:rsid w:val="00C157C7"/>
    <w:rsid w:val="00C1582B"/>
    <w:rsid w:val="00C15B38"/>
    <w:rsid w:val="00C15C92"/>
    <w:rsid w:val="00C15E0F"/>
    <w:rsid w:val="00C1622D"/>
    <w:rsid w:val="00C16256"/>
    <w:rsid w:val="00C162C1"/>
    <w:rsid w:val="00C162CC"/>
    <w:rsid w:val="00C164E9"/>
    <w:rsid w:val="00C16516"/>
    <w:rsid w:val="00C16582"/>
    <w:rsid w:val="00C16656"/>
    <w:rsid w:val="00C16A5A"/>
    <w:rsid w:val="00C16D34"/>
    <w:rsid w:val="00C1710A"/>
    <w:rsid w:val="00C1725B"/>
    <w:rsid w:val="00C1725F"/>
    <w:rsid w:val="00C17278"/>
    <w:rsid w:val="00C17344"/>
    <w:rsid w:val="00C17418"/>
    <w:rsid w:val="00C175EB"/>
    <w:rsid w:val="00C1765A"/>
    <w:rsid w:val="00C1774F"/>
    <w:rsid w:val="00C17773"/>
    <w:rsid w:val="00C1778E"/>
    <w:rsid w:val="00C177F8"/>
    <w:rsid w:val="00C17AB5"/>
    <w:rsid w:val="00C17BD3"/>
    <w:rsid w:val="00C17C75"/>
    <w:rsid w:val="00C17CC9"/>
    <w:rsid w:val="00C17D60"/>
    <w:rsid w:val="00C17DD4"/>
    <w:rsid w:val="00C17F08"/>
    <w:rsid w:val="00C201CB"/>
    <w:rsid w:val="00C202B8"/>
    <w:rsid w:val="00C20365"/>
    <w:rsid w:val="00C20BB6"/>
    <w:rsid w:val="00C20BD2"/>
    <w:rsid w:val="00C20CE8"/>
    <w:rsid w:val="00C20D82"/>
    <w:rsid w:val="00C20DB4"/>
    <w:rsid w:val="00C20E78"/>
    <w:rsid w:val="00C20EAB"/>
    <w:rsid w:val="00C2109F"/>
    <w:rsid w:val="00C213D6"/>
    <w:rsid w:val="00C2158E"/>
    <w:rsid w:val="00C2159C"/>
    <w:rsid w:val="00C21634"/>
    <w:rsid w:val="00C2169C"/>
    <w:rsid w:val="00C21760"/>
    <w:rsid w:val="00C218B3"/>
    <w:rsid w:val="00C21A09"/>
    <w:rsid w:val="00C21A27"/>
    <w:rsid w:val="00C21C37"/>
    <w:rsid w:val="00C21C9A"/>
    <w:rsid w:val="00C21CF2"/>
    <w:rsid w:val="00C21E02"/>
    <w:rsid w:val="00C21EDB"/>
    <w:rsid w:val="00C21EE4"/>
    <w:rsid w:val="00C21FF8"/>
    <w:rsid w:val="00C2211C"/>
    <w:rsid w:val="00C2229F"/>
    <w:rsid w:val="00C22561"/>
    <w:rsid w:val="00C22763"/>
    <w:rsid w:val="00C22770"/>
    <w:rsid w:val="00C22790"/>
    <w:rsid w:val="00C22982"/>
    <w:rsid w:val="00C229D9"/>
    <w:rsid w:val="00C22A61"/>
    <w:rsid w:val="00C22B4E"/>
    <w:rsid w:val="00C2303A"/>
    <w:rsid w:val="00C2309D"/>
    <w:rsid w:val="00C230E2"/>
    <w:rsid w:val="00C230FA"/>
    <w:rsid w:val="00C2321A"/>
    <w:rsid w:val="00C2376F"/>
    <w:rsid w:val="00C237B9"/>
    <w:rsid w:val="00C237D2"/>
    <w:rsid w:val="00C23976"/>
    <w:rsid w:val="00C23A74"/>
    <w:rsid w:val="00C23ADB"/>
    <w:rsid w:val="00C23B8D"/>
    <w:rsid w:val="00C23C26"/>
    <w:rsid w:val="00C23C9D"/>
    <w:rsid w:val="00C23E8F"/>
    <w:rsid w:val="00C23F22"/>
    <w:rsid w:val="00C23F27"/>
    <w:rsid w:val="00C23F2D"/>
    <w:rsid w:val="00C24047"/>
    <w:rsid w:val="00C24257"/>
    <w:rsid w:val="00C24361"/>
    <w:rsid w:val="00C24375"/>
    <w:rsid w:val="00C243E7"/>
    <w:rsid w:val="00C2445D"/>
    <w:rsid w:val="00C2448B"/>
    <w:rsid w:val="00C247A2"/>
    <w:rsid w:val="00C24B41"/>
    <w:rsid w:val="00C24B6E"/>
    <w:rsid w:val="00C24C54"/>
    <w:rsid w:val="00C24D69"/>
    <w:rsid w:val="00C24DC1"/>
    <w:rsid w:val="00C24EA1"/>
    <w:rsid w:val="00C251A0"/>
    <w:rsid w:val="00C25374"/>
    <w:rsid w:val="00C25378"/>
    <w:rsid w:val="00C2550E"/>
    <w:rsid w:val="00C25646"/>
    <w:rsid w:val="00C25910"/>
    <w:rsid w:val="00C25921"/>
    <w:rsid w:val="00C25A10"/>
    <w:rsid w:val="00C25A51"/>
    <w:rsid w:val="00C25BC8"/>
    <w:rsid w:val="00C26126"/>
    <w:rsid w:val="00C26187"/>
    <w:rsid w:val="00C26390"/>
    <w:rsid w:val="00C26576"/>
    <w:rsid w:val="00C26698"/>
    <w:rsid w:val="00C267FF"/>
    <w:rsid w:val="00C26893"/>
    <w:rsid w:val="00C2699E"/>
    <w:rsid w:val="00C26A74"/>
    <w:rsid w:val="00C26AD8"/>
    <w:rsid w:val="00C26F4A"/>
    <w:rsid w:val="00C270C2"/>
    <w:rsid w:val="00C27113"/>
    <w:rsid w:val="00C2718F"/>
    <w:rsid w:val="00C271C5"/>
    <w:rsid w:val="00C271EF"/>
    <w:rsid w:val="00C27332"/>
    <w:rsid w:val="00C2739C"/>
    <w:rsid w:val="00C27436"/>
    <w:rsid w:val="00C27526"/>
    <w:rsid w:val="00C27676"/>
    <w:rsid w:val="00C276C7"/>
    <w:rsid w:val="00C27927"/>
    <w:rsid w:val="00C279FB"/>
    <w:rsid w:val="00C27C93"/>
    <w:rsid w:val="00C27D73"/>
    <w:rsid w:val="00C27DD7"/>
    <w:rsid w:val="00C30038"/>
    <w:rsid w:val="00C3003E"/>
    <w:rsid w:val="00C30217"/>
    <w:rsid w:val="00C308A5"/>
    <w:rsid w:val="00C308EB"/>
    <w:rsid w:val="00C309BA"/>
    <w:rsid w:val="00C309E6"/>
    <w:rsid w:val="00C30C9F"/>
    <w:rsid w:val="00C30D31"/>
    <w:rsid w:val="00C30DA0"/>
    <w:rsid w:val="00C30F52"/>
    <w:rsid w:val="00C3116B"/>
    <w:rsid w:val="00C311BF"/>
    <w:rsid w:val="00C31235"/>
    <w:rsid w:val="00C3160D"/>
    <w:rsid w:val="00C3162A"/>
    <w:rsid w:val="00C316E4"/>
    <w:rsid w:val="00C318B1"/>
    <w:rsid w:val="00C31A9A"/>
    <w:rsid w:val="00C31B32"/>
    <w:rsid w:val="00C31B64"/>
    <w:rsid w:val="00C31CF7"/>
    <w:rsid w:val="00C3205F"/>
    <w:rsid w:val="00C3214B"/>
    <w:rsid w:val="00C322DC"/>
    <w:rsid w:val="00C32437"/>
    <w:rsid w:val="00C32670"/>
    <w:rsid w:val="00C32765"/>
    <w:rsid w:val="00C327E4"/>
    <w:rsid w:val="00C327F5"/>
    <w:rsid w:val="00C32996"/>
    <w:rsid w:val="00C32A5A"/>
    <w:rsid w:val="00C32F19"/>
    <w:rsid w:val="00C3307D"/>
    <w:rsid w:val="00C33090"/>
    <w:rsid w:val="00C3315D"/>
    <w:rsid w:val="00C331A4"/>
    <w:rsid w:val="00C333CF"/>
    <w:rsid w:val="00C333FE"/>
    <w:rsid w:val="00C3355D"/>
    <w:rsid w:val="00C335E6"/>
    <w:rsid w:val="00C3360E"/>
    <w:rsid w:val="00C33841"/>
    <w:rsid w:val="00C33C18"/>
    <w:rsid w:val="00C33EAF"/>
    <w:rsid w:val="00C33F87"/>
    <w:rsid w:val="00C34112"/>
    <w:rsid w:val="00C34380"/>
    <w:rsid w:val="00C3438E"/>
    <w:rsid w:val="00C343FF"/>
    <w:rsid w:val="00C34701"/>
    <w:rsid w:val="00C347E0"/>
    <w:rsid w:val="00C34A27"/>
    <w:rsid w:val="00C34B08"/>
    <w:rsid w:val="00C34BE5"/>
    <w:rsid w:val="00C34E16"/>
    <w:rsid w:val="00C34E17"/>
    <w:rsid w:val="00C34E4A"/>
    <w:rsid w:val="00C34EC2"/>
    <w:rsid w:val="00C34F18"/>
    <w:rsid w:val="00C34F40"/>
    <w:rsid w:val="00C350BB"/>
    <w:rsid w:val="00C352FD"/>
    <w:rsid w:val="00C3551E"/>
    <w:rsid w:val="00C356B3"/>
    <w:rsid w:val="00C35779"/>
    <w:rsid w:val="00C3593D"/>
    <w:rsid w:val="00C35945"/>
    <w:rsid w:val="00C359DA"/>
    <w:rsid w:val="00C35C7A"/>
    <w:rsid w:val="00C36021"/>
    <w:rsid w:val="00C36144"/>
    <w:rsid w:val="00C36263"/>
    <w:rsid w:val="00C362D6"/>
    <w:rsid w:val="00C363A7"/>
    <w:rsid w:val="00C364A9"/>
    <w:rsid w:val="00C36523"/>
    <w:rsid w:val="00C36816"/>
    <w:rsid w:val="00C36881"/>
    <w:rsid w:val="00C36C16"/>
    <w:rsid w:val="00C36D5E"/>
    <w:rsid w:val="00C36DEF"/>
    <w:rsid w:val="00C36E83"/>
    <w:rsid w:val="00C37045"/>
    <w:rsid w:val="00C3709B"/>
    <w:rsid w:val="00C37119"/>
    <w:rsid w:val="00C37227"/>
    <w:rsid w:val="00C37234"/>
    <w:rsid w:val="00C372AC"/>
    <w:rsid w:val="00C374AD"/>
    <w:rsid w:val="00C375D4"/>
    <w:rsid w:val="00C3769A"/>
    <w:rsid w:val="00C37783"/>
    <w:rsid w:val="00C37833"/>
    <w:rsid w:val="00C37A94"/>
    <w:rsid w:val="00C37BDD"/>
    <w:rsid w:val="00C40133"/>
    <w:rsid w:val="00C40266"/>
    <w:rsid w:val="00C40419"/>
    <w:rsid w:val="00C4043A"/>
    <w:rsid w:val="00C406EA"/>
    <w:rsid w:val="00C40758"/>
    <w:rsid w:val="00C40873"/>
    <w:rsid w:val="00C40901"/>
    <w:rsid w:val="00C40ACE"/>
    <w:rsid w:val="00C40B6A"/>
    <w:rsid w:val="00C40CED"/>
    <w:rsid w:val="00C40FED"/>
    <w:rsid w:val="00C41070"/>
    <w:rsid w:val="00C41098"/>
    <w:rsid w:val="00C412F0"/>
    <w:rsid w:val="00C4134E"/>
    <w:rsid w:val="00C414BB"/>
    <w:rsid w:val="00C41576"/>
    <w:rsid w:val="00C41621"/>
    <w:rsid w:val="00C41634"/>
    <w:rsid w:val="00C41799"/>
    <w:rsid w:val="00C418A2"/>
    <w:rsid w:val="00C41901"/>
    <w:rsid w:val="00C41A11"/>
    <w:rsid w:val="00C41A5A"/>
    <w:rsid w:val="00C41AA0"/>
    <w:rsid w:val="00C41AFE"/>
    <w:rsid w:val="00C41CAD"/>
    <w:rsid w:val="00C41CE1"/>
    <w:rsid w:val="00C41D1D"/>
    <w:rsid w:val="00C41E24"/>
    <w:rsid w:val="00C41E96"/>
    <w:rsid w:val="00C41F5E"/>
    <w:rsid w:val="00C41F64"/>
    <w:rsid w:val="00C42209"/>
    <w:rsid w:val="00C423BC"/>
    <w:rsid w:val="00C423D8"/>
    <w:rsid w:val="00C42710"/>
    <w:rsid w:val="00C4277B"/>
    <w:rsid w:val="00C427E2"/>
    <w:rsid w:val="00C42DE3"/>
    <w:rsid w:val="00C42FA2"/>
    <w:rsid w:val="00C43092"/>
    <w:rsid w:val="00C430C2"/>
    <w:rsid w:val="00C430C7"/>
    <w:rsid w:val="00C4312A"/>
    <w:rsid w:val="00C43347"/>
    <w:rsid w:val="00C435FC"/>
    <w:rsid w:val="00C43635"/>
    <w:rsid w:val="00C43648"/>
    <w:rsid w:val="00C43837"/>
    <w:rsid w:val="00C43A45"/>
    <w:rsid w:val="00C43AF7"/>
    <w:rsid w:val="00C43BB8"/>
    <w:rsid w:val="00C43C68"/>
    <w:rsid w:val="00C43D34"/>
    <w:rsid w:val="00C43E5A"/>
    <w:rsid w:val="00C43FD8"/>
    <w:rsid w:val="00C44061"/>
    <w:rsid w:val="00C444F8"/>
    <w:rsid w:val="00C44558"/>
    <w:rsid w:val="00C44586"/>
    <w:rsid w:val="00C445A3"/>
    <w:rsid w:val="00C445D8"/>
    <w:rsid w:val="00C445F7"/>
    <w:rsid w:val="00C449D4"/>
    <w:rsid w:val="00C44A59"/>
    <w:rsid w:val="00C44BAA"/>
    <w:rsid w:val="00C44BE2"/>
    <w:rsid w:val="00C44C99"/>
    <w:rsid w:val="00C44D6C"/>
    <w:rsid w:val="00C44F04"/>
    <w:rsid w:val="00C450D4"/>
    <w:rsid w:val="00C45595"/>
    <w:rsid w:val="00C455B4"/>
    <w:rsid w:val="00C455BA"/>
    <w:rsid w:val="00C4578C"/>
    <w:rsid w:val="00C45879"/>
    <w:rsid w:val="00C4591C"/>
    <w:rsid w:val="00C45A64"/>
    <w:rsid w:val="00C45A85"/>
    <w:rsid w:val="00C45BC6"/>
    <w:rsid w:val="00C45BCC"/>
    <w:rsid w:val="00C45D15"/>
    <w:rsid w:val="00C45E42"/>
    <w:rsid w:val="00C45E5B"/>
    <w:rsid w:val="00C46039"/>
    <w:rsid w:val="00C4604D"/>
    <w:rsid w:val="00C46060"/>
    <w:rsid w:val="00C4606E"/>
    <w:rsid w:val="00C462E2"/>
    <w:rsid w:val="00C4661C"/>
    <w:rsid w:val="00C466BC"/>
    <w:rsid w:val="00C4691F"/>
    <w:rsid w:val="00C46AFC"/>
    <w:rsid w:val="00C46EA9"/>
    <w:rsid w:val="00C46F9B"/>
    <w:rsid w:val="00C4710B"/>
    <w:rsid w:val="00C4713D"/>
    <w:rsid w:val="00C471C0"/>
    <w:rsid w:val="00C47304"/>
    <w:rsid w:val="00C474B6"/>
    <w:rsid w:val="00C47516"/>
    <w:rsid w:val="00C476C2"/>
    <w:rsid w:val="00C47801"/>
    <w:rsid w:val="00C47826"/>
    <w:rsid w:val="00C4794B"/>
    <w:rsid w:val="00C4795F"/>
    <w:rsid w:val="00C47D9A"/>
    <w:rsid w:val="00C47DBD"/>
    <w:rsid w:val="00C47DDD"/>
    <w:rsid w:val="00C47EB2"/>
    <w:rsid w:val="00C47F40"/>
    <w:rsid w:val="00C500F8"/>
    <w:rsid w:val="00C50164"/>
    <w:rsid w:val="00C504C1"/>
    <w:rsid w:val="00C50632"/>
    <w:rsid w:val="00C5063D"/>
    <w:rsid w:val="00C5077A"/>
    <w:rsid w:val="00C507E4"/>
    <w:rsid w:val="00C5083C"/>
    <w:rsid w:val="00C509A6"/>
    <w:rsid w:val="00C509B4"/>
    <w:rsid w:val="00C50AB1"/>
    <w:rsid w:val="00C50ADC"/>
    <w:rsid w:val="00C50C14"/>
    <w:rsid w:val="00C50E43"/>
    <w:rsid w:val="00C50E9A"/>
    <w:rsid w:val="00C510D9"/>
    <w:rsid w:val="00C51129"/>
    <w:rsid w:val="00C5140C"/>
    <w:rsid w:val="00C51570"/>
    <w:rsid w:val="00C51608"/>
    <w:rsid w:val="00C517B8"/>
    <w:rsid w:val="00C51850"/>
    <w:rsid w:val="00C518B1"/>
    <w:rsid w:val="00C51933"/>
    <w:rsid w:val="00C51ADB"/>
    <w:rsid w:val="00C51BF7"/>
    <w:rsid w:val="00C51C29"/>
    <w:rsid w:val="00C51CA1"/>
    <w:rsid w:val="00C51F1E"/>
    <w:rsid w:val="00C51F73"/>
    <w:rsid w:val="00C52232"/>
    <w:rsid w:val="00C524D5"/>
    <w:rsid w:val="00C5262E"/>
    <w:rsid w:val="00C5274E"/>
    <w:rsid w:val="00C52792"/>
    <w:rsid w:val="00C527A7"/>
    <w:rsid w:val="00C5281D"/>
    <w:rsid w:val="00C5286E"/>
    <w:rsid w:val="00C52A03"/>
    <w:rsid w:val="00C52A38"/>
    <w:rsid w:val="00C52AE1"/>
    <w:rsid w:val="00C52D4D"/>
    <w:rsid w:val="00C52E3D"/>
    <w:rsid w:val="00C52E47"/>
    <w:rsid w:val="00C52EC6"/>
    <w:rsid w:val="00C5305B"/>
    <w:rsid w:val="00C530A5"/>
    <w:rsid w:val="00C530A9"/>
    <w:rsid w:val="00C530F3"/>
    <w:rsid w:val="00C5321E"/>
    <w:rsid w:val="00C53344"/>
    <w:rsid w:val="00C5336C"/>
    <w:rsid w:val="00C53401"/>
    <w:rsid w:val="00C53571"/>
    <w:rsid w:val="00C53586"/>
    <w:rsid w:val="00C535E3"/>
    <w:rsid w:val="00C53779"/>
    <w:rsid w:val="00C5386E"/>
    <w:rsid w:val="00C539B6"/>
    <w:rsid w:val="00C5407A"/>
    <w:rsid w:val="00C54118"/>
    <w:rsid w:val="00C5414E"/>
    <w:rsid w:val="00C5432D"/>
    <w:rsid w:val="00C54332"/>
    <w:rsid w:val="00C5468A"/>
    <w:rsid w:val="00C546EA"/>
    <w:rsid w:val="00C54C22"/>
    <w:rsid w:val="00C54CE2"/>
    <w:rsid w:val="00C54D4A"/>
    <w:rsid w:val="00C54E36"/>
    <w:rsid w:val="00C54E77"/>
    <w:rsid w:val="00C54F1D"/>
    <w:rsid w:val="00C54FE9"/>
    <w:rsid w:val="00C55017"/>
    <w:rsid w:val="00C550CA"/>
    <w:rsid w:val="00C5531B"/>
    <w:rsid w:val="00C5541E"/>
    <w:rsid w:val="00C5548F"/>
    <w:rsid w:val="00C554F6"/>
    <w:rsid w:val="00C555A1"/>
    <w:rsid w:val="00C5560E"/>
    <w:rsid w:val="00C55B30"/>
    <w:rsid w:val="00C55CDB"/>
    <w:rsid w:val="00C55D2D"/>
    <w:rsid w:val="00C55D3F"/>
    <w:rsid w:val="00C55E1C"/>
    <w:rsid w:val="00C55E92"/>
    <w:rsid w:val="00C55EA1"/>
    <w:rsid w:val="00C55EDF"/>
    <w:rsid w:val="00C56108"/>
    <w:rsid w:val="00C56272"/>
    <w:rsid w:val="00C56457"/>
    <w:rsid w:val="00C56585"/>
    <w:rsid w:val="00C565DC"/>
    <w:rsid w:val="00C565F4"/>
    <w:rsid w:val="00C56633"/>
    <w:rsid w:val="00C566B7"/>
    <w:rsid w:val="00C5686C"/>
    <w:rsid w:val="00C5686D"/>
    <w:rsid w:val="00C56A28"/>
    <w:rsid w:val="00C56A37"/>
    <w:rsid w:val="00C56C54"/>
    <w:rsid w:val="00C57147"/>
    <w:rsid w:val="00C571A4"/>
    <w:rsid w:val="00C57210"/>
    <w:rsid w:val="00C57439"/>
    <w:rsid w:val="00C5752F"/>
    <w:rsid w:val="00C577B1"/>
    <w:rsid w:val="00C577CD"/>
    <w:rsid w:val="00C578C4"/>
    <w:rsid w:val="00C5790F"/>
    <w:rsid w:val="00C57953"/>
    <w:rsid w:val="00C57975"/>
    <w:rsid w:val="00C57B0C"/>
    <w:rsid w:val="00C57B63"/>
    <w:rsid w:val="00C57BE9"/>
    <w:rsid w:val="00C57C10"/>
    <w:rsid w:val="00C57E51"/>
    <w:rsid w:val="00C60031"/>
    <w:rsid w:val="00C60127"/>
    <w:rsid w:val="00C6018D"/>
    <w:rsid w:val="00C604C2"/>
    <w:rsid w:val="00C605D6"/>
    <w:rsid w:val="00C60626"/>
    <w:rsid w:val="00C6074D"/>
    <w:rsid w:val="00C607B2"/>
    <w:rsid w:val="00C607E4"/>
    <w:rsid w:val="00C6093F"/>
    <w:rsid w:val="00C609D9"/>
    <w:rsid w:val="00C60AD3"/>
    <w:rsid w:val="00C60DA2"/>
    <w:rsid w:val="00C60DDE"/>
    <w:rsid w:val="00C61084"/>
    <w:rsid w:val="00C61120"/>
    <w:rsid w:val="00C611B5"/>
    <w:rsid w:val="00C61291"/>
    <w:rsid w:val="00C61439"/>
    <w:rsid w:val="00C61456"/>
    <w:rsid w:val="00C61573"/>
    <w:rsid w:val="00C615B8"/>
    <w:rsid w:val="00C6170B"/>
    <w:rsid w:val="00C61714"/>
    <w:rsid w:val="00C61829"/>
    <w:rsid w:val="00C61A0A"/>
    <w:rsid w:val="00C61E88"/>
    <w:rsid w:val="00C61FE9"/>
    <w:rsid w:val="00C6207B"/>
    <w:rsid w:val="00C62143"/>
    <w:rsid w:val="00C621D6"/>
    <w:rsid w:val="00C623B6"/>
    <w:rsid w:val="00C623D7"/>
    <w:rsid w:val="00C62442"/>
    <w:rsid w:val="00C626B6"/>
    <w:rsid w:val="00C62AC9"/>
    <w:rsid w:val="00C62C14"/>
    <w:rsid w:val="00C62F0E"/>
    <w:rsid w:val="00C62FB3"/>
    <w:rsid w:val="00C631CE"/>
    <w:rsid w:val="00C6321F"/>
    <w:rsid w:val="00C6337F"/>
    <w:rsid w:val="00C6341A"/>
    <w:rsid w:val="00C63444"/>
    <w:rsid w:val="00C63526"/>
    <w:rsid w:val="00C6370E"/>
    <w:rsid w:val="00C63808"/>
    <w:rsid w:val="00C6388F"/>
    <w:rsid w:val="00C63924"/>
    <w:rsid w:val="00C63C5E"/>
    <w:rsid w:val="00C63DE6"/>
    <w:rsid w:val="00C63E35"/>
    <w:rsid w:val="00C63E76"/>
    <w:rsid w:val="00C63FB2"/>
    <w:rsid w:val="00C6409D"/>
    <w:rsid w:val="00C6412D"/>
    <w:rsid w:val="00C643D0"/>
    <w:rsid w:val="00C6444E"/>
    <w:rsid w:val="00C644DF"/>
    <w:rsid w:val="00C64516"/>
    <w:rsid w:val="00C647CA"/>
    <w:rsid w:val="00C64826"/>
    <w:rsid w:val="00C64990"/>
    <w:rsid w:val="00C64A12"/>
    <w:rsid w:val="00C64A74"/>
    <w:rsid w:val="00C64A7E"/>
    <w:rsid w:val="00C64EAF"/>
    <w:rsid w:val="00C64FCD"/>
    <w:rsid w:val="00C65016"/>
    <w:rsid w:val="00C650DD"/>
    <w:rsid w:val="00C651C6"/>
    <w:rsid w:val="00C652CB"/>
    <w:rsid w:val="00C65389"/>
    <w:rsid w:val="00C65478"/>
    <w:rsid w:val="00C6547C"/>
    <w:rsid w:val="00C654E4"/>
    <w:rsid w:val="00C654FB"/>
    <w:rsid w:val="00C65517"/>
    <w:rsid w:val="00C657B5"/>
    <w:rsid w:val="00C659E6"/>
    <w:rsid w:val="00C65A4F"/>
    <w:rsid w:val="00C65B76"/>
    <w:rsid w:val="00C65C8F"/>
    <w:rsid w:val="00C65CAF"/>
    <w:rsid w:val="00C65D3D"/>
    <w:rsid w:val="00C65D9C"/>
    <w:rsid w:val="00C65E49"/>
    <w:rsid w:val="00C65EA9"/>
    <w:rsid w:val="00C66088"/>
    <w:rsid w:val="00C6611C"/>
    <w:rsid w:val="00C6618E"/>
    <w:rsid w:val="00C661AD"/>
    <w:rsid w:val="00C6627C"/>
    <w:rsid w:val="00C66421"/>
    <w:rsid w:val="00C66513"/>
    <w:rsid w:val="00C6656B"/>
    <w:rsid w:val="00C665A2"/>
    <w:rsid w:val="00C665F7"/>
    <w:rsid w:val="00C66649"/>
    <w:rsid w:val="00C66697"/>
    <w:rsid w:val="00C66777"/>
    <w:rsid w:val="00C667EF"/>
    <w:rsid w:val="00C66867"/>
    <w:rsid w:val="00C66B55"/>
    <w:rsid w:val="00C66E6E"/>
    <w:rsid w:val="00C67094"/>
    <w:rsid w:val="00C6709A"/>
    <w:rsid w:val="00C671CF"/>
    <w:rsid w:val="00C6729A"/>
    <w:rsid w:val="00C672BC"/>
    <w:rsid w:val="00C6748A"/>
    <w:rsid w:val="00C674AC"/>
    <w:rsid w:val="00C6763E"/>
    <w:rsid w:val="00C67869"/>
    <w:rsid w:val="00C678D6"/>
    <w:rsid w:val="00C67E15"/>
    <w:rsid w:val="00C67E1E"/>
    <w:rsid w:val="00C67E2B"/>
    <w:rsid w:val="00C67E46"/>
    <w:rsid w:val="00C67ED3"/>
    <w:rsid w:val="00C70157"/>
    <w:rsid w:val="00C70182"/>
    <w:rsid w:val="00C701D5"/>
    <w:rsid w:val="00C7041C"/>
    <w:rsid w:val="00C704C0"/>
    <w:rsid w:val="00C70D19"/>
    <w:rsid w:val="00C70DB6"/>
    <w:rsid w:val="00C70F61"/>
    <w:rsid w:val="00C70FEA"/>
    <w:rsid w:val="00C7105F"/>
    <w:rsid w:val="00C7109B"/>
    <w:rsid w:val="00C71146"/>
    <w:rsid w:val="00C71166"/>
    <w:rsid w:val="00C713AE"/>
    <w:rsid w:val="00C71564"/>
    <w:rsid w:val="00C7171C"/>
    <w:rsid w:val="00C71804"/>
    <w:rsid w:val="00C718D9"/>
    <w:rsid w:val="00C7192F"/>
    <w:rsid w:val="00C71961"/>
    <w:rsid w:val="00C71CFD"/>
    <w:rsid w:val="00C71D9E"/>
    <w:rsid w:val="00C71DB8"/>
    <w:rsid w:val="00C71F99"/>
    <w:rsid w:val="00C7201D"/>
    <w:rsid w:val="00C72496"/>
    <w:rsid w:val="00C72765"/>
    <w:rsid w:val="00C72962"/>
    <w:rsid w:val="00C729FF"/>
    <w:rsid w:val="00C72A37"/>
    <w:rsid w:val="00C72AA6"/>
    <w:rsid w:val="00C72B54"/>
    <w:rsid w:val="00C72C8B"/>
    <w:rsid w:val="00C72CA8"/>
    <w:rsid w:val="00C72DA1"/>
    <w:rsid w:val="00C72EBC"/>
    <w:rsid w:val="00C73262"/>
    <w:rsid w:val="00C732AA"/>
    <w:rsid w:val="00C73398"/>
    <w:rsid w:val="00C73417"/>
    <w:rsid w:val="00C734C0"/>
    <w:rsid w:val="00C73574"/>
    <w:rsid w:val="00C736B5"/>
    <w:rsid w:val="00C736EC"/>
    <w:rsid w:val="00C737E7"/>
    <w:rsid w:val="00C7389D"/>
    <w:rsid w:val="00C738E9"/>
    <w:rsid w:val="00C73AB5"/>
    <w:rsid w:val="00C73C4E"/>
    <w:rsid w:val="00C73C80"/>
    <w:rsid w:val="00C74023"/>
    <w:rsid w:val="00C74197"/>
    <w:rsid w:val="00C7426F"/>
    <w:rsid w:val="00C742B3"/>
    <w:rsid w:val="00C742E1"/>
    <w:rsid w:val="00C7449D"/>
    <w:rsid w:val="00C744A9"/>
    <w:rsid w:val="00C74526"/>
    <w:rsid w:val="00C7456B"/>
    <w:rsid w:val="00C74599"/>
    <w:rsid w:val="00C745C5"/>
    <w:rsid w:val="00C74746"/>
    <w:rsid w:val="00C7475B"/>
    <w:rsid w:val="00C74825"/>
    <w:rsid w:val="00C74BD6"/>
    <w:rsid w:val="00C74C57"/>
    <w:rsid w:val="00C74C8D"/>
    <w:rsid w:val="00C74CA1"/>
    <w:rsid w:val="00C74D0E"/>
    <w:rsid w:val="00C74E35"/>
    <w:rsid w:val="00C74EB8"/>
    <w:rsid w:val="00C74ED2"/>
    <w:rsid w:val="00C74EE3"/>
    <w:rsid w:val="00C74FB7"/>
    <w:rsid w:val="00C75161"/>
    <w:rsid w:val="00C75200"/>
    <w:rsid w:val="00C75360"/>
    <w:rsid w:val="00C75565"/>
    <w:rsid w:val="00C75758"/>
    <w:rsid w:val="00C7581E"/>
    <w:rsid w:val="00C75837"/>
    <w:rsid w:val="00C7593B"/>
    <w:rsid w:val="00C75ADA"/>
    <w:rsid w:val="00C75BA4"/>
    <w:rsid w:val="00C75DE9"/>
    <w:rsid w:val="00C75E24"/>
    <w:rsid w:val="00C7627A"/>
    <w:rsid w:val="00C762DF"/>
    <w:rsid w:val="00C7646B"/>
    <w:rsid w:val="00C76539"/>
    <w:rsid w:val="00C76575"/>
    <w:rsid w:val="00C765BB"/>
    <w:rsid w:val="00C767FE"/>
    <w:rsid w:val="00C76808"/>
    <w:rsid w:val="00C76954"/>
    <w:rsid w:val="00C76AB2"/>
    <w:rsid w:val="00C76B89"/>
    <w:rsid w:val="00C76C11"/>
    <w:rsid w:val="00C76D43"/>
    <w:rsid w:val="00C76D9F"/>
    <w:rsid w:val="00C76DAD"/>
    <w:rsid w:val="00C76E84"/>
    <w:rsid w:val="00C76E99"/>
    <w:rsid w:val="00C76F63"/>
    <w:rsid w:val="00C76FE4"/>
    <w:rsid w:val="00C7707D"/>
    <w:rsid w:val="00C77463"/>
    <w:rsid w:val="00C775E3"/>
    <w:rsid w:val="00C77752"/>
    <w:rsid w:val="00C77776"/>
    <w:rsid w:val="00C77891"/>
    <w:rsid w:val="00C77AC6"/>
    <w:rsid w:val="00C77B59"/>
    <w:rsid w:val="00C77C97"/>
    <w:rsid w:val="00C77CF9"/>
    <w:rsid w:val="00C77E4B"/>
    <w:rsid w:val="00C77EE4"/>
    <w:rsid w:val="00C80020"/>
    <w:rsid w:val="00C800A2"/>
    <w:rsid w:val="00C801A8"/>
    <w:rsid w:val="00C8032B"/>
    <w:rsid w:val="00C80364"/>
    <w:rsid w:val="00C803E5"/>
    <w:rsid w:val="00C803F1"/>
    <w:rsid w:val="00C80429"/>
    <w:rsid w:val="00C80489"/>
    <w:rsid w:val="00C80490"/>
    <w:rsid w:val="00C8049F"/>
    <w:rsid w:val="00C8073C"/>
    <w:rsid w:val="00C80824"/>
    <w:rsid w:val="00C80B3A"/>
    <w:rsid w:val="00C80C04"/>
    <w:rsid w:val="00C80DA2"/>
    <w:rsid w:val="00C80E4F"/>
    <w:rsid w:val="00C81155"/>
    <w:rsid w:val="00C81329"/>
    <w:rsid w:val="00C8135C"/>
    <w:rsid w:val="00C81484"/>
    <w:rsid w:val="00C814B5"/>
    <w:rsid w:val="00C815CE"/>
    <w:rsid w:val="00C815EE"/>
    <w:rsid w:val="00C81921"/>
    <w:rsid w:val="00C81A1E"/>
    <w:rsid w:val="00C81C16"/>
    <w:rsid w:val="00C81DD3"/>
    <w:rsid w:val="00C81FA7"/>
    <w:rsid w:val="00C8219B"/>
    <w:rsid w:val="00C823FE"/>
    <w:rsid w:val="00C82429"/>
    <w:rsid w:val="00C829BA"/>
    <w:rsid w:val="00C829EC"/>
    <w:rsid w:val="00C82BF5"/>
    <w:rsid w:val="00C82C4C"/>
    <w:rsid w:val="00C82DD3"/>
    <w:rsid w:val="00C82DEC"/>
    <w:rsid w:val="00C82FA3"/>
    <w:rsid w:val="00C830C1"/>
    <w:rsid w:val="00C830CF"/>
    <w:rsid w:val="00C832B6"/>
    <w:rsid w:val="00C83335"/>
    <w:rsid w:val="00C83348"/>
    <w:rsid w:val="00C834C5"/>
    <w:rsid w:val="00C835D4"/>
    <w:rsid w:val="00C8373E"/>
    <w:rsid w:val="00C83907"/>
    <w:rsid w:val="00C83A7B"/>
    <w:rsid w:val="00C83A99"/>
    <w:rsid w:val="00C83AF0"/>
    <w:rsid w:val="00C83C1D"/>
    <w:rsid w:val="00C83C72"/>
    <w:rsid w:val="00C83F15"/>
    <w:rsid w:val="00C83F4E"/>
    <w:rsid w:val="00C84288"/>
    <w:rsid w:val="00C84358"/>
    <w:rsid w:val="00C844E5"/>
    <w:rsid w:val="00C8451A"/>
    <w:rsid w:val="00C84597"/>
    <w:rsid w:val="00C84B8F"/>
    <w:rsid w:val="00C84CE5"/>
    <w:rsid w:val="00C8524B"/>
    <w:rsid w:val="00C85480"/>
    <w:rsid w:val="00C856A8"/>
    <w:rsid w:val="00C85A00"/>
    <w:rsid w:val="00C85B9A"/>
    <w:rsid w:val="00C85C82"/>
    <w:rsid w:val="00C85D26"/>
    <w:rsid w:val="00C85DC9"/>
    <w:rsid w:val="00C85DDD"/>
    <w:rsid w:val="00C861AF"/>
    <w:rsid w:val="00C8634D"/>
    <w:rsid w:val="00C863EE"/>
    <w:rsid w:val="00C864BA"/>
    <w:rsid w:val="00C86555"/>
    <w:rsid w:val="00C866A2"/>
    <w:rsid w:val="00C866EC"/>
    <w:rsid w:val="00C86759"/>
    <w:rsid w:val="00C869D8"/>
    <w:rsid w:val="00C86A83"/>
    <w:rsid w:val="00C86C4C"/>
    <w:rsid w:val="00C86D22"/>
    <w:rsid w:val="00C86E77"/>
    <w:rsid w:val="00C86EAA"/>
    <w:rsid w:val="00C873C0"/>
    <w:rsid w:val="00C87602"/>
    <w:rsid w:val="00C87623"/>
    <w:rsid w:val="00C87898"/>
    <w:rsid w:val="00C87A61"/>
    <w:rsid w:val="00C87A65"/>
    <w:rsid w:val="00C87A6F"/>
    <w:rsid w:val="00C87C24"/>
    <w:rsid w:val="00C87C8E"/>
    <w:rsid w:val="00C9013C"/>
    <w:rsid w:val="00C9018A"/>
    <w:rsid w:val="00C9024B"/>
    <w:rsid w:val="00C902A6"/>
    <w:rsid w:val="00C90302"/>
    <w:rsid w:val="00C9043E"/>
    <w:rsid w:val="00C904CC"/>
    <w:rsid w:val="00C9052A"/>
    <w:rsid w:val="00C90611"/>
    <w:rsid w:val="00C9061E"/>
    <w:rsid w:val="00C909E8"/>
    <w:rsid w:val="00C90A7C"/>
    <w:rsid w:val="00C90E92"/>
    <w:rsid w:val="00C90EA9"/>
    <w:rsid w:val="00C911D6"/>
    <w:rsid w:val="00C9121B"/>
    <w:rsid w:val="00C9140E"/>
    <w:rsid w:val="00C91559"/>
    <w:rsid w:val="00C91704"/>
    <w:rsid w:val="00C9185B"/>
    <w:rsid w:val="00C918A0"/>
    <w:rsid w:val="00C919C2"/>
    <w:rsid w:val="00C91CC7"/>
    <w:rsid w:val="00C91D27"/>
    <w:rsid w:val="00C91E27"/>
    <w:rsid w:val="00C920D7"/>
    <w:rsid w:val="00C920DE"/>
    <w:rsid w:val="00C9221A"/>
    <w:rsid w:val="00C92417"/>
    <w:rsid w:val="00C92600"/>
    <w:rsid w:val="00C92858"/>
    <w:rsid w:val="00C928F0"/>
    <w:rsid w:val="00C9299E"/>
    <w:rsid w:val="00C92AF0"/>
    <w:rsid w:val="00C92DEC"/>
    <w:rsid w:val="00C92F1F"/>
    <w:rsid w:val="00C92FB3"/>
    <w:rsid w:val="00C93092"/>
    <w:rsid w:val="00C93094"/>
    <w:rsid w:val="00C930D2"/>
    <w:rsid w:val="00C930D6"/>
    <w:rsid w:val="00C9316D"/>
    <w:rsid w:val="00C93279"/>
    <w:rsid w:val="00C932D8"/>
    <w:rsid w:val="00C93399"/>
    <w:rsid w:val="00C93478"/>
    <w:rsid w:val="00C9348A"/>
    <w:rsid w:val="00C935B9"/>
    <w:rsid w:val="00C93632"/>
    <w:rsid w:val="00C936D1"/>
    <w:rsid w:val="00C937DC"/>
    <w:rsid w:val="00C93854"/>
    <w:rsid w:val="00C9385D"/>
    <w:rsid w:val="00C93984"/>
    <w:rsid w:val="00C93A1F"/>
    <w:rsid w:val="00C93BBB"/>
    <w:rsid w:val="00C93DB7"/>
    <w:rsid w:val="00C93E72"/>
    <w:rsid w:val="00C93ED9"/>
    <w:rsid w:val="00C940C3"/>
    <w:rsid w:val="00C9416E"/>
    <w:rsid w:val="00C94184"/>
    <w:rsid w:val="00C941D1"/>
    <w:rsid w:val="00C942B4"/>
    <w:rsid w:val="00C942F1"/>
    <w:rsid w:val="00C943D8"/>
    <w:rsid w:val="00C9450D"/>
    <w:rsid w:val="00C94533"/>
    <w:rsid w:val="00C94565"/>
    <w:rsid w:val="00C945B0"/>
    <w:rsid w:val="00C945B9"/>
    <w:rsid w:val="00C94616"/>
    <w:rsid w:val="00C94631"/>
    <w:rsid w:val="00C94753"/>
    <w:rsid w:val="00C94823"/>
    <w:rsid w:val="00C94AFA"/>
    <w:rsid w:val="00C94F16"/>
    <w:rsid w:val="00C9510F"/>
    <w:rsid w:val="00C95139"/>
    <w:rsid w:val="00C951A4"/>
    <w:rsid w:val="00C951AD"/>
    <w:rsid w:val="00C951F5"/>
    <w:rsid w:val="00C95297"/>
    <w:rsid w:val="00C953FB"/>
    <w:rsid w:val="00C95548"/>
    <w:rsid w:val="00C9571C"/>
    <w:rsid w:val="00C957DD"/>
    <w:rsid w:val="00C958C9"/>
    <w:rsid w:val="00C9597B"/>
    <w:rsid w:val="00C95988"/>
    <w:rsid w:val="00C959A0"/>
    <w:rsid w:val="00C95A74"/>
    <w:rsid w:val="00C95E05"/>
    <w:rsid w:val="00C95EB6"/>
    <w:rsid w:val="00C962D7"/>
    <w:rsid w:val="00C96580"/>
    <w:rsid w:val="00C96604"/>
    <w:rsid w:val="00C96639"/>
    <w:rsid w:val="00C967F5"/>
    <w:rsid w:val="00C96B2B"/>
    <w:rsid w:val="00C96C36"/>
    <w:rsid w:val="00C96C85"/>
    <w:rsid w:val="00C96C87"/>
    <w:rsid w:val="00C96E11"/>
    <w:rsid w:val="00C96E3F"/>
    <w:rsid w:val="00C970BE"/>
    <w:rsid w:val="00C970FB"/>
    <w:rsid w:val="00C97214"/>
    <w:rsid w:val="00C97363"/>
    <w:rsid w:val="00C974CD"/>
    <w:rsid w:val="00C97509"/>
    <w:rsid w:val="00C9760E"/>
    <w:rsid w:val="00C976A7"/>
    <w:rsid w:val="00C977C5"/>
    <w:rsid w:val="00C9789D"/>
    <w:rsid w:val="00C9790F"/>
    <w:rsid w:val="00C97A0B"/>
    <w:rsid w:val="00C97A16"/>
    <w:rsid w:val="00C97D0B"/>
    <w:rsid w:val="00C97D9E"/>
    <w:rsid w:val="00C97E83"/>
    <w:rsid w:val="00CA00BF"/>
    <w:rsid w:val="00CA00DF"/>
    <w:rsid w:val="00CA0151"/>
    <w:rsid w:val="00CA0187"/>
    <w:rsid w:val="00CA0319"/>
    <w:rsid w:val="00CA0384"/>
    <w:rsid w:val="00CA05A1"/>
    <w:rsid w:val="00CA084A"/>
    <w:rsid w:val="00CA08B0"/>
    <w:rsid w:val="00CA0925"/>
    <w:rsid w:val="00CA0AF1"/>
    <w:rsid w:val="00CA0AF6"/>
    <w:rsid w:val="00CA0B09"/>
    <w:rsid w:val="00CA0BB3"/>
    <w:rsid w:val="00CA0C2B"/>
    <w:rsid w:val="00CA0C62"/>
    <w:rsid w:val="00CA1051"/>
    <w:rsid w:val="00CA13A4"/>
    <w:rsid w:val="00CA13DC"/>
    <w:rsid w:val="00CA14E9"/>
    <w:rsid w:val="00CA1581"/>
    <w:rsid w:val="00CA17A0"/>
    <w:rsid w:val="00CA1891"/>
    <w:rsid w:val="00CA18BB"/>
    <w:rsid w:val="00CA19F4"/>
    <w:rsid w:val="00CA1DAE"/>
    <w:rsid w:val="00CA21C6"/>
    <w:rsid w:val="00CA2274"/>
    <w:rsid w:val="00CA2467"/>
    <w:rsid w:val="00CA24C4"/>
    <w:rsid w:val="00CA253A"/>
    <w:rsid w:val="00CA25CD"/>
    <w:rsid w:val="00CA2615"/>
    <w:rsid w:val="00CA2677"/>
    <w:rsid w:val="00CA26BC"/>
    <w:rsid w:val="00CA26F3"/>
    <w:rsid w:val="00CA2761"/>
    <w:rsid w:val="00CA2762"/>
    <w:rsid w:val="00CA27A6"/>
    <w:rsid w:val="00CA27E0"/>
    <w:rsid w:val="00CA286F"/>
    <w:rsid w:val="00CA2947"/>
    <w:rsid w:val="00CA2956"/>
    <w:rsid w:val="00CA2A2E"/>
    <w:rsid w:val="00CA2AA4"/>
    <w:rsid w:val="00CA2B14"/>
    <w:rsid w:val="00CA2C0C"/>
    <w:rsid w:val="00CA2DAC"/>
    <w:rsid w:val="00CA2E3D"/>
    <w:rsid w:val="00CA2F2E"/>
    <w:rsid w:val="00CA2F42"/>
    <w:rsid w:val="00CA3099"/>
    <w:rsid w:val="00CA30DB"/>
    <w:rsid w:val="00CA33EB"/>
    <w:rsid w:val="00CA34AF"/>
    <w:rsid w:val="00CA3535"/>
    <w:rsid w:val="00CA3573"/>
    <w:rsid w:val="00CA3582"/>
    <w:rsid w:val="00CA3B0B"/>
    <w:rsid w:val="00CA3C39"/>
    <w:rsid w:val="00CA3D44"/>
    <w:rsid w:val="00CA3E99"/>
    <w:rsid w:val="00CA3F50"/>
    <w:rsid w:val="00CA4070"/>
    <w:rsid w:val="00CA412D"/>
    <w:rsid w:val="00CA4131"/>
    <w:rsid w:val="00CA41B8"/>
    <w:rsid w:val="00CA425E"/>
    <w:rsid w:val="00CA42D7"/>
    <w:rsid w:val="00CA4468"/>
    <w:rsid w:val="00CA4586"/>
    <w:rsid w:val="00CA462E"/>
    <w:rsid w:val="00CA4700"/>
    <w:rsid w:val="00CA482B"/>
    <w:rsid w:val="00CA487F"/>
    <w:rsid w:val="00CA492B"/>
    <w:rsid w:val="00CA49F0"/>
    <w:rsid w:val="00CA4A79"/>
    <w:rsid w:val="00CA4AF0"/>
    <w:rsid w:val="00CA4AF8"/>
    <w:rsid w:val="00CA4BA0"/>
    <w:rsid w:val="00CA4BCE"/>
    <w:rsid w:val="00CA4CDD"/>
    <w:rsid w:val="00CA4D9A"/>
    <w:rsid w:val="00CA4DB1"/>
    <w:rsid w:val="00CA4EF3"/>
    <w:rsid w:val="00CA5092"/>
    <w:rsid w:val="00CA51EE"/>
    <w:rsid w:val="00CA52B3"/>
    <w:rsid w:val="00CA52D5"/>
    <w:rsid w:val="00CA54F6"/>
    <w:rsid w:val="00CA5609"/>
    <w:rsid w:val="00CA58A3"/>
    <w:rsid w:val="00CA59BC"/>
    <w:rsid w:val="00CA5B82"/>
    <w:rsid w:val="00CA5CCD"/>
    <w:rsid w:val="00CA5D52"/>
    <w:rsid w:val="00CA5DC4"/>
    <w:rsid w:val="00CA5E4F"/>
    <w:rsid w:val="00CA5ECF"/>
    <w:rsid w:val="00CA5F4E"/>
    <w:rsid w:val="00CA5F88"/>
    <w:rsid w:val="00CA6168"/>
    <w:rsid w:val="00CA617F"/>
    <w:rsid w:val="00CA61A1"/>
    <w:rsid w:val="00CA637D"/>
    <w:rsid w:val="00CA646F"/>
    <w:rsid w:val="00CA6573"/>
    <w:rsid w:val="00CA6810"/>
    <w:rsid w:val="00CA6A92"/>
    <w:rsid w:val="00CA6B5E"/>
    <w:rsid w:val="00CA6B7B"/>
    <w:rsid w:val="00CA6BD9"/>
    <w:rsid w:val="00CA6D89"/>
    <w:rsid w:val="00CA6DC2"/>
    <w:rsid w:val="00CA707D"/>
    <w:rsid w:val="00CA7132"/>
    <w:rsid w:val="00CA722D"/>
    <w:rsid w:val="00CA739C"/>
    <w:rsid w:val="00CA73B4"/>
    <w:rsid w:val="00CA73FF"/>
    <w:rsid w:val="00CA747D"/>
    <w:rsid w:val="00CA7498"/>
    <w:rsid w:val="00CA75BB"/>
    <w:rsid w:val="00CA7619"/>
    <w:rsid w:val="00CA7638"/>
    <w:rsid w:val="00CA7838"/>
    <w:rsid w:val="00CA7C9F"/>
    <w:rsid w:val="00CA7CAC"/>
    <w:rsid w:val="00CA7CDA"/>
    <w:rsid w:val="00CA7D15"/>
    <w:rsid w:val="00CA7D23"/>
    <w:rsid w:val="00CA7E15"/>
    <w:rsid w:val="00CA7F06"/>
    <w:rsid w:val="00CB0187"/>
    <w:rsid w:val="00CB01E9"/>
    <w:rsid w:val="00CB0242"/>
    <w:rsid w:val="00CB0416"/>
    <w:rsid w:val="00CB07CD"/>
    <w:rsid w:val="00CB0887"/>
    <w:rsid w:val="00CB0927"/>
    <w:rsid w:val="00CB0933"/>
    <w:rsid w:val="00CB0AE0"/>
    <w:rsid w:val="00CB0D18"/>
    <w:rsid w:val="00CB0E14"/>
    <w:rsid w:val="00CB0F1D"/>
    <w:rsid w:val="00CB116D"/>
    <w:rsid w:val="00CB11A6"/>
    <w:rsid w:val="00CB1201"/>
    <w:rsid w:val="00CB15E4"/>
    <w:rsid w:val="00CB176E"/>
    <w:rsid w:val="00CB1826"/>
    <w:rsid w:val="00CB1921"/>
    <w:rsid w:val="00CB19F3"/>
    <w:rsid w:val="00CB1AC1"/>
    <w:rsid w:val="00CB1B16"/>
    <w:rsid w:val="00CB1D84"/>
    <w:rsid w:val="00CB1DBD"/>
    <w:rsid w:val="00CB1DBE"/>
    <w:rsid w:val="00CB1DE4"/>
    <w:rsid w:val="00CB1F9F"/>
    <w:rsid w:val="00CB1FC0"/>
    <w:rsid w:val="00CB204C"/>
    <w:rsid w:val="00CB20C1"/>
    <w:rsid w:val="00CB20F1"/>
    <w:rsid w:val="00CB21D2"/>
    <w:rsid w:val="00CB21E7"/>
    <w:rsid w:val="00CB226C"/>
    <w:rsid w:val="00CB227A"/>
    <w:rsid w:val="00CB2390"/>
    <w:rsid w:val="00CB2485"/>
    <w:rsid w:val="00CB2577"/>
    <w:rsid w:val="00CB2582"/>
    <w:rsid w:val="00CB25A6"/>
    <w:rsid w:val="00CB263F"/>
    <w:rsid w:val="00CB2680"/>
    <w:rsid w:val="00CB273A"/>
    <w:rsid w:val="00CB27ED"/>
    <w:rsid w:val="00CB289F"/>
    <w:rsid w:val="00CB2ABA"/>
    <w:rsid w:val="00CB2BA9"/>
    <w:rsid w:val="00CB2BED"/>
    <w:rsid w:val="00CB2D0A"/>
    <w:rsid w:val="00CB2D57"/>
    <w:rsid w:val="00CB2F49"/>
    <w:rsid w:val="00CB2F65"/>
    <w:rsid w:val="00CB3266"/>
    <w:rsid w:val="00CB3271"/>
    <w:rsid w:val="00CB3280"/>
    <w:rsid w:val="00CB32CE"/>
    <w:rsid w:val="00CB331D"/>
    <w:rsid w:val="00CB33B2"/>
    <w:rsid w:val="00CB36D3"/>
    <w:rsid w:val="00CB37F1"/>
    <w:rsid w:val="00CB37FF"/>
    <w:rsid w:val="00CB3853"/>
    <w:rsid w:val="00CB3A41"/>
    <w:rsid w:val="00CB3AAD"/>
    <w:rsid w:val="00CB3DEF"/>
    <w:rsid w:val="00CB3E66"/>
    <w:rsid w:val="00CB4015"/>
    <w:rsid w:val="00CB410F"/>
    <w:rsid w:val="00CB4144"/>
    <w:rsid w:val="00CB4320"/>
    <w:rsid w:val="00CB44EC"/>
    <w:rsid w:val="00CB46C4"/>
    <w:rsid w:val="00CB476F"/>
    <w:rsid w:val="00CB47D6"/>
    <w:rsid w:val="00CB4ABF"/>
    <w:rsid w:val="00CB4CA0"/>
    <w:rsid w:val="00CB4E2B"/>
    <w:rsid w:val="00CB4F24"/>
    <w:rsid w:val="00CB501C"/>
    <w:rsid w:val="00CB5116"/>
    <w:rsid w:val="00CB5373"/>
    <w:rsid w:val="00CB5399"/>
    <w:rsid w:val="00CB54DD"/>
    <w:rsid w:val="00CB5520"/>
    <w:rsid w:val="00CB55BE"/>
    <w:rsid w:val="00CB5B2F"/>
    <w:rsid w:val="00CB5BEA"/>
    <w:rsid w:val="00CB5ED0"/>
    <w:rsid w:val="00CB5F52"/>
    <w:rsid w:val="00CB6045"/>
    <w:rsid w:val="00CB60AA"/>
    <w:rsid w:val="00CB60DF"/>
    <w:rsid w:val="00CB6163"/>
    <w:rsid w:val="00CB6579"/>
    <w:rsid w:val="00CB666F"/>
    <w:rsid w:val="00CB684C"/>
    <w:rsid w:val="00CB6BA3"/>
    <w:rsid w:val="00CB6BCA"/>
    <w:rsid w:val="00CB6D3B"/>
    <w:rsid w:val="00CB7079"/>
    <w:rsid w:val="00CB711D"/>
    <w:rsid w:val="00CB713C"/>
    <w:rsid w:val="00CB7373"/>
    <w:rsid w:val="00CB77D4"/>
    <w:rsid w:val="00CB7849"/>
    <w:rsid w:val="00CB78D7"/>
    <w:rsid w:val="00CB7992"/>
    <w:rsid w:val="00CB7B18"/>
    <w:rsid w:val="00CB7B4D"/>
    <w:rsid w:val="00CB7B6B"/>
    <w:rsid w:val="00CB7BFE"/>
    <w:rsid w:val="00CB7C68"/>
    <w:rsid w:val="00CB7D3B"/>
    <w:rsid w:val="00CB7E52"/>
    <w:rsid w:val="00CB7F84"/>
    <w:rsid w:val="00CC0162"/>
    <w:rsid w:val="00CC03FA"/>
    <w:rsid w:val="00CC03FD"/>
    <w:rsid w:val="00CC0463"/>
    <w:rsid w:val="00CC05F3"/>
    <w:rsid w:val="00CC08F2"/>
    <w:rsid w:val="00CC0A52"/>
    <w:rsid w:val="00CC0A90"/>
    <w:rsid w:val="00CC0AAE"/>
    <w:rsid w:val="00CC0C86"/>
    <w:rsid w:val="00CC0DBD"/>
    <w:rsid w:val="00CC0E5E"/>
    <w:rsid w:val="00CC0F39"/>
    <w:rsid w:val="00CC1053"/>
    <w:rsid w:val="00CC10EE"/>
    <w:rsid w:val="00CC1136"/>
    <w:rsid w:val="00CC12DD"/>
    <w:rsid w:val="00CC135C"/>
    <w:rsid w:val="00CC1518"/>
    <w:rsid w:val="00CC1539"/>
    <w:rsid w:val="00CC1553"/>
    <w:rsid w:val="00CC156C"/>
    <w:rsid w:val="00CC1682"/>
    <w:rsid w:val="00CC1696"/>
    <w:rsid w:val="00CC176F"/>
    <w:rsid w:val="00CC17C1"/>
    <w:rsid w:val="00CC1801"/>
    <w:rsid w:val="00CC1819"/>
    <w:rsid w:val="00CC1974"/>
    <w:rsid w:val="00CC1C20"/>
    <w:rsid w:val="00CC1CE0"/>
    <w:rsid w:val="00CC1CFB"/>
    <w:rsid w:val="00CC1D48"/>
    <w:rsid w:val="00CC1D69"/>
    <w:rsid w:val="00CC1F98"/>
    <w:rsid w:val="00CC2054"/>
    <w:rsid w:val="00CC20A0"/>
    <w:rsid w:val="00CC2180"/>
    <w:rsid w:val="00CC21C5"/>
    <w:rsid w:val="00CC22DD"/>
    <w:rsid w:val="00CC23B5"/>
    <w:rsid w:val="00CC2535"/>
    <w:rsid w:val="00CC25D2"/>
    <w:rsid w:val="00CC262D"/>
    <w:rsid w:val="00CC27B8"/>
    <w:rsid w:val="00CC2899"/>
    <w:rsid w:val="00CC2926"/>
    <w:rsid w:val="00CC2A84"/>
    <w:rsid w:val="00CC2AD8"/>
    <w:rsid w:val="00CC2CA8"/>
    <w:rsid w:val="00CC2D7A"/>
    <w:rsid w:val="00CC2D92"/>
    <w:rsid w:val="00CC2E4E"/>
    <w:rsid w:val="00CC2FDC"/>
    <w:rsid w:val="00CC3007"/>
    <w:rsid w:val="00CC3051"/>
    <w:rsid w:val="00CC30E6"/>
    <w:rsid w:val="00CC31F5"/>
    <w:rsid w:val="00CC3236"/>
    <w:rsid w:val="00CC325B"/>
    <w:rsid w:val="00CC3405"/>
    <w:rsid w:val="00CC3510"/>
    <w:rsid w:val="00CC362F"/>
    <w:rsid w:val="00CC3695"/>
    <w:rsid w:val="00CC375C"/>
    <w:rsid w:val="00CC3818"/>
    <w:rsid w:val="00CC38D5"/>
    <w:rsid w:val="00CC3981"/>
    <w:rsid w:val="00CC3A12"/>
    <w:rsid w:val="00CC3B1E"/>
    <w:rsid w:val="00CC3C2B"/>
    <w:rsid w:val="00CC409E"/>
    <w:rsid w:val="00CC41C2"/>
    <w:rsid w:val="00CC4243"/>
    <w:rsid w:val="00CC425F"/>
    <w:rsid w:val="00CC42C4"/>
    <w:rsid w:val="00CC44F2"/>
    <w:rsid w:val="00CC4610"/>
    <w:rsid w:val="00CC4691"/>
    <w:rsid w:val="00CC498A"/>
    <w:rsid w:val="00CC4AFB"/>
    <w:rsid w:val="00CC4C41"/>
    <w:rsid w:val="00CC4CC7"/>
    <w:rsid w:val="00CC4CEA"/>
    <w:rsid w:val="00CC4D52"/>
    <w:rsid w:val="00CC4D9A"/>
    <w:rsid w:val="00CC4E98"/>
    <w:rsid w:val="00CC4EE5"/>
    <w:rsid w:val="00CC51FA"/>
    <w:rsid w:val="00CC5566"/>
    <w:rsid w:val="00CC5691"/>
    <w:rsid w:val="00CC56DB"/>
    <w:rsid w:val="00CC57C2"/>
    <w:rsid w:val="00CC5842"/>
    <w:rsid w:val="00CC58D8"/>
    <w:rsid w:val="00CC58EC"/>
    <w:rsid w:val="00CC5A72"/>
    <w:rsid w:val="00CC5C18"/>
    <w:rsid w:val="00CC5CC5"/>
    <w:rsid w:val="00CC5CEF"/>
    <w:rsid w:val="00CC5DC4"/>
    <w:rsid w:val="00CC5DFB"/>
    <w:rsid w:val="00CC6068"/>
    <w:rsid w:val="00CC60A5"/>
    <w:rsid w:val="00CC6438"/>
    <w:rsid w:val="00CC64F1"/>
    <w:rsid w:val="00CC6567"/>
    <w:rsid w:val="00CC6617"/>
    <w:rsid w:val="00CC6647"/>
    <w:rsid w:val="00CC6745"/>
    <w:rsid w:val="00CC67D0"/>
    <w:rsid w:val="00CC691F"/>
    <w:rsid w:val="00CC6CEF"/>
    <w:rsid w:val="00CC6F54"/>
    <w:rsid w:val="00CC70EB"/>
    <w:rsid w:val="00CC722C"/>
    <w:rsid w:val="00CC7272"/>
    <w:rsid w:val="00CC730C"/>
    <w:rsid w:val="00CC73A6"/>
    <w:rsid w:val="00CC79F2"/>
    <w:rsid w:val="00CC7C48"/>
    <w:rsid w:val="00CC7F27"/>
    <w:rsid w:val="00CC7FAB"/>
    <w:rsid w:val="00CC7FC8"/>
    <w:rsid w:val="00CD004A"/>
    <w:rsid w:val="00CD0070"/>
    <w:rsid w:val="00CD043A"/>
    <w:rsid w:val="00CD0A93"/>
    <w:rsid w:val="00CD0AB0"/>
    <w:rsid w:val="00CD0B26"/>
    <w:rsid w:val="00CD0B36"/>
    <w:rsid w:val="00CD0B80"/>
    <w:rsid w:val="00CD0BCA"/>
    <w:rsid w:val="00CD0CC1"/>
    <w:rsid w:val="00CD0FD4"/>
    <w:rsid w:val="00CD0FEF"/>
    <w:rsid w:val="00CD10C2"/>
    <w:rsid w:val="00CD1138"/>
    <w:rsid w:val="00CD11D3"/>
    <w:rsid w:val="00CD12C8"/>
    <w:rsid w:val="00CD1623"/>
    <w:rsid w:val="00CD1690"/>
    <w:rsid w:val="00CD174D"/>
    <w:rsid w:val="00CD1804"/>
    <w:rsid w:val="00CD1810"/>
    <w:rsid w:val="00CD18BA"/>
    <w:rsid w:val="00CD1946"/>
    <w:rsid w:val="00CD1AD8"/>
    <w:rsid w:val="00CD1BB3"/>
    <w:rsid w:val="00CD1BC6"/>
    <w:rsid w:val="00CD1BCB"/>
    <w:rsid w:val="00CD1CDF"/>
    <w:rsid w:val="00CD1D4B"/>
    <w:rsid w:val="00CD1EAF"/>
    <w:rsid w:val="00CD1F3C"/>
    <w:rsid w:val="00CD1FE9"/>
    <w:rsid w:val="00CD20F9"/>
    <w:rsid w:val="00CD2380"/>
    <w:rsid w:val="00CD23F6"/>
    <w:rsid w:val="00CD2423"/>
    <w:rsid w:val="00CD24FD"/>
    <w:rsid w:val="00CD25AF"/>
    <w:rsid w:val="00CD26FA"/>
    <w:rsid w:val="00CD290F"/>
    <w:rsid w:val="00CD2B94"/>
    <w:rsid w:val="00CD2BA1"/>
    <w:rsid w:val="00CD2BEA"/>
    <w:rsid w:val="00CD2E37"/>
    <w:rsid w:val="00CD2FBC"/>
    <w:rsid w:val="00CD302E"/>
    <w:rsid w:val="00CD304F"/>
    <w:rsid w:val="00CD31F1"/>
    <w:rsid w:val="00CD32A8"/>
    <w:rsid w:val="00CD32E5"/>
    <w:rsid w:val="00CD3342"/>
    <w:rsid w:val="00CD342D"/>
    <w:rsid w:val="00CD346F"/>
    <w:rsid w:val="00CD34B1"/>
    <w:rsid w:val="00CD3501"/>
    <w:rsid w:val="00CD356A"/>
    <w:rsid w:val="00CD38BB"/>
    <w:rsid w:val="00CD3913"/>
    <w:rsid w:val="00CD3AB0"/>
    <w:rsid w:val="00CD3D27"/>
    <w:rsid w:val="00CD3D43"/>
    <w:rsid w:val="00CD3DE5"/>
    <w:rsid w:val="00CD3E3A"/>
    <w:rsid w:val="00CD3F2C"/>
    <w:rsid w:val="00CD3F30"/>
    <w:rsid w:val="00CD3F97"/>
    <w:rsid w:val="00CD44D4"/>
    <w:rsid w:val="00CD450E"/>
    <w:rsid w:val="00CD4668"/>
    <w:rsid w:val="00CD4698"/>
    <w:rsid w:val="00CD4745"/>
    <w:rsid w:val="00CD478C"/>
    <w:rsid w:val="00CD4897"/>
    <w:rsid w:val="00CD48B6"/>
    <w:rsid w:val="00CD4A30"/>
    <w:rsid w:val="00CD4BB0"/>
    <w:rsid w:val="00CD4CB2"/>
    <w:rsid w:val="00CD4CEB"/>
    <w:rsid w:val="00CD4E15"/>
    <w:rsid w:val="00CD4E1B"/>
    <w:rsid w:val="00CD511C"/>
    <w:rsid w:val="00CD52E0"/>
    <w:rsid w:val="00CD5381"/>
    <w:rsid w:val="00CD541D"/>
    <w:rsid w:val="00CD56F0"/>
    <w:rsid w:val="00CD5847"/>
    <w:rsid w:val="00CD5BE9"/>
    <w:rsid w:val="00CD5E9C"/>
    <w:rsid w:val="00CD5FCF"/>
    <w:rsid w:val="00CD6087"/>
    <w:rsid w:val="00CD65F9"/>
    <w:rsid w:val="00CD6B5B"/>
    <w:rsid w:val="00CD6B8C"/>
    <w:rsid w:val="00CD6C02"/>
    <w:rsid w:val="00CD6CA8"/>
    <w:rsid w:val="00CD6CF4"/>
    <w:rsid w:val="00CD6E47"/>
    <w:rsid w:val="00CD6EA9"/>
    <w:rsid w:val="00CD7073"/>
    <w:rsid w:val="00CD7120"/>
    <w:rsid w:val="00CD717B"/>
    <w:rsid w:val="00CD7462"/>
    <w:rsid w:val="00CD7463"/>
    <w:rsid w:val="00CD7472"/>
    <w:rsid w:val="00CD7536"/>
    <w:rsid w:val="00CD77F6"/>
    <w:rsid w:val="00CD7826"/>
    <w:rsid w:val="00CD789F"/>
    <w:rsid w:val="00CD7ACF"/>
    <w:rsid w:val="00CD7B10"/>
    <w:rsid w:val="00CD7DDA"/>
    <w:rsid w:val="00CD7FF9"/>
    <w:rsid w:val="00CE00E2"/>
    <w:rsid w:val="00CE00F6"/>
    <w:rsid w:val="00CE0107"/>
    <w:rsid w:val="00CE03F6"/>
    <w:rsid w:val="00CE0404"/>
    <w:rsid w:val="00CE04AB"/>
    <w:rsid w:val="00CE0551"/>
    <w:rsid w:val="00CE0557"/>
    <w:rsid w:val="00CE06B8"/>
    <w:rsid w:val="00CE072B"/>
    <w:rsid w:val="00CE07CB"/>
    <w:rsid w:val="00CE0A30"/>
    <w:rsid w:val="00CE0DD7"/>
    <w:rsid w:val="00CE0E85"/>
    <w:rsid w:val="00CE0EA5"/>
    <w:rsid w:val="00CE1028"/>
    <w:rsid w:val="00CE1197"/>
    <w:rsid w:val="00CE1198"/>
    <w:rsid w:val="00CE127F"/>
    <w:rsid w:val="00CE1360"/>
    <w:rsid w:val="00CE1386"/>
    <w:rsid w:val="00CE13D9"/>
    <w:rsid w:val="00CE140E"/>
    <w:rsid w:val="00CE1412"/>
    <w:rsid w:val="00CE1574"/>
    <w:rsid w:val="00CE1B34"/>
    <w:rsid w:val="00CE1BE7"/>
    <w:rsid w:val="00CE1C32"/>
    <w:rsid w:val="00CE1CB7"/>
    <w:rsid w:val="00CE1DA9"/>
    <w:rsid w:val="00CE1E79"/>
    <w:rsid w:val="00CE1EE9"/>
    <w:rsid w:val="00CE1F29"/>
    <w:rsid w:val="00CE1F49"/>
    <w:rsid w:val="00CE2113"/>
    <w:rsid w:val="00CE2181"/>
    <w:rsid w:val="00CE2314"/>
    <w:rsid w:val="00CE2350"/>
    <w:rsid w:val="00CE23C6"/>
    <w:rsid w:val="00CE23F8"/>
    <w:rsid w:val="00CE24B9"/>
    <w:rsid w:val="00CE25DA"/>
    <w:rsid w:val="00CE2687"/>
    <w:rsid w:val="00CE26F1"/>
    <w:rsid w:val="00CE29B0"/>
    <w:rsid w:val="00CE2A53"/>
    <w:rsid w:val="00CE2A85"/>
    <w:rsid w:val="00CE2AE6"/>
    <w:rsid w:val="00CE2AE8"/>
    <w:rsid w:val="00CE2CBE"/>
    <w:rsid w:val="00CE2DA8"/>
    <w:rsid w:val="00CE3099"/>
    <w:rsid w:val="00CE3106"/>
    <w:rsid w:val="00CE3124"/>
    <w:rsid w:val="00CE31DE"/>
    <w:rsid w:val="00CE31E4"/>
    <w:rsid w:val="00CE331B"/>
    <w:rsid w:val="00CE3345"/>
    <w:rsid w:val="00CE375D"/>
    <w:rsid w:val="00CE39FE"/>
    <w:rsid w:val="00CE404F"/>
    <w:rsid w:val="00CE417A"/>
    <w:rsid w:val="00CE43F0"/>
    <w:rsid w:val="00CE440A"/>
    <w:rsid w:val="00CE4478"/>
    <w:rsid w:val="00CE44DE"/>
    <w:rsid w:val="00CE452F"/>
    <w:rsid w:val="00CE45C3"/>
    <w:rsid w:val="00CE4657"/>
    <w:rsid w:val="00CE46F3"/>
    <w:rsid w:val="00CE48FF"/>
    <w:rsid w:val="00CE4932"/>
    <w:rsid w:val="00CE4AF2"/>
    <w:rsid w:val="00CE4C81"/>
    <w:rsid w:val="00CE4DE1"/>
    <w:rsid w:val="00CE4F43"/>
    <w:rsid w:val="00CE50E7"/>
    <w:rsid w:val="00CE512A"/>
    <w:rsid w:val="00CE516B"/>
    <w:rsid w:val="00CE51A8"/>
    <w:rsid w:val="00CE5416"/>
    <w:rsid w:val="00CE5831"/>
    <w:rsid w:val="00CE5835"/>
    <w:rsid w:val="00CE59F0"/>
    <w:rsid w:val="00CE5AFB"/>
    <w:rsid w:val="00CE5BB2"/>
    <w:rsid w:val="00CE5EDC"/>
    <w:rsid w:val="00CE5F76"/>
    <w:rsid w:val="00CE6371"/>
    <w:rsid w:val="00CE66B5"/>
    <w:rsid w:val="00CE68EB"/>
    <w:rsid w:val="00CE6A4E"/>
    <w:rsid w:val="00CE6D38"/>
    <w:rsid w:val="00CE6E86"/>
    <w:rsid w:val="00CE7066"/>
    <w:rsid w:val="00CE70B6"/>
    <w:rsid w:val="00CE70DD"/>
    <w:rsid w:val="00CE7729"/>
    <w:rsid w:val="00CE778B"/>
    <w:rsid w:val="00CE77CD"/>
    <w:rsid w:val="00CE7803"/>
    <w:rsid w:val="00CE7CA3"/>
    <w:rsid w:val="00CE7CCA"/>
    <w:rsid w:val="00CE7EA1"/>
    <w:rsid w:val="00CE7F29"/>
    <w:rsid w:val="00CF0287"/>
    <w:rsid w:val="00CF0288"/>
    <w:rsid w:val="00CF0497"/>
    <w:rsid w:val="00CF04B7"/>
    <w:rsid w:val="00CF04D1"/>
    <w:rsid w:val="00CF05D0"/>
    <w:rsid w:val="00CF0623"/>
    <w:rsid w:val="00CF0706"/>
    <w:rsid w:val="00CF07A6"/>
    <w:rsid w:val="00CF0882"/>
    <w:rsid w:val="00CF098E"/>
    <w:rsid w:val="00CF09A1"/>
    <w:rsid w:val="00CF09DE"/>
    <w:rsid w:val="00CF0AD3"/>
    <w:rsid w:val="00CF0DFD"/>
    <w:rsid w:val="00CF0E06"/>
    <w:rsid w:val="00CF0ECC"/>
    <w:rsid w:val="00CF1194"/>
    <w:rsid w:val="00CF11FB"/>
    <w:rsid w:val="00CF1468"/>
    <w:rsid w:val="00CF14BC"/>
    <w:rsid w:val="00CF1562"/>
    <w:rsid w:val="00CF177C"/>
    <w:rsid w:val="00CF179E"/>
    <w:rsid w:val="00CF1B9B"/>
    <w:rsid w:val="00CF1C7E"/>
    <w:rsid w:val="00CF1D3A"/>
    <w:rsid w:val="00CF1D4E"/>
    <w:rsid w:val="00CF1D5B"/>
    <w:rsid w:val="00CF1F89"/>
    <w:rsid w:val="00CF21D2"/>
    <w:rsid w:val="00CF2207"/>
    <w:rsid w:val="00CF22F7"/>
    <w:rsid w:val="00CF24DB"/>
    <w:rsid w:val="00CF2560"/>
    <w:rsid w:val="00CF26C5"/>
    <w:rsid w:val="00CF27F2"/>
    <w:rsid w:val="00CF2820"/>
    <w:rsid w:val="00CF2A2A"/>
    <w:rsid w:val="00CF2D98"/>
    <w:rsid w:val="00CF2E42"/>
    <w:rsid w:val="00CF2E93"/>
    <w:rsid w:val="00CF2FE8"/>
    <w:rsid w:val="00CF323A"/>
    <w:rsid w:val="00CF35FD"/>
    <w:rsid w:val="00CF3662"/>
    <w:rsid w:val="00CF3992"/>
    <w:rsid w:val="00CF3A72"/>
    <w:rsid w:val="00CF3BC3"/>
    <w:rsid w:val="00CF3D17"/>
    <w:rsid w:val="00CF3EB5"/>
    <w:rsid w:val="00CF3FAC"/>
    <w:rsid w:val="00CF40F3"/>
    <w:rsid w:val="00CF4129"/>
    <w:rsid w:val="00CF4133"/>
    <w:rsid w:val="00CF4353"/>
    <w:rsid w:val="00CF446C"/>
    <w:rsid w:val="00CF455D"/>
    <w:rsid w:val="00CF46B4"/>
    <w:rsid w:val="00CF49D2"/>
    <w:rsid w:val="00CF4B37"/>
    <w:rsid w:val="00CF4C72"/>
    <w:rsid w:val="00CF4DA3"/>
    <w:rsid w:val="00CF4F67"/>
    <w:rsid w:val="00CF5010"/>
    <w:rsid w:val="00CF5082"/>
    <w:rsid w:val="00CF51BC"/>
    <w:rsid w:val="00CF51E6"/>
    <w:rsid w:val="00CF5535"/>
    <w:rsid w:val="00CF55C3"/>
    <w:rsid w:val="00CF57EA"/>
    <w:rsid w:val="00CF5803"/>
    <w:rsid w:val="00CF5977"/>
    <w:rsid w:val="00CF5A5E"/>
    <w:rsid w:val="00CF5AAB"/>
    <w:rsid w:val="00CF5BD5"/>
    <w:rsid w:val="00CF5C42"/>
    <w:rsid w:val="00CF5D0B"/>
    <w:rsid w:val="00CF5D2C"/>
    <w:rsid w:val="00CF5E05"/>
    <w:rsid w:val="00CF5F8A"/>
    <w:rsid w:val="00CF5FA4"/>
    <w:rsid w:val="00CF5FCA"/>
    <w:rsid w:val="00CF62F9"/>
    <w:rsid w:val="00CF639F"/>
    <w:rsid w:val="00CF667D"/>
    <w:rsid w:val="00CF67AF"/>
    <w:rsid w:val="00CF6858"/>
    <w:rsid w:val="00CF6A24"/>
    <w:rsid w:val="00CF6ACF"/>
    <w:rsid w:val="00CF6AED"/>
    <w:rsid w:val="00CF6BA6"/>
    <w:rsid w:val="00CF6C0E"/>
    <w:rsid w:val="00CF6F05"/>
    <w:rsid w:val="00CF6F22"/>
    <w:rsid w:val="00CF6FF7"/>
    <w:rsid w:val="00CF7011"/>
    <w:rsid w:val="00CF7094"/>
    <w:rsid w:val="00CF70C6"/>
    <w:rsid w:val="00CF7112"/>
    <w:rsid w:val="00CF712E"/>
    <w:rsid w:val="00CF723B"/>
    <w:rsid w:val="00CF723E"/>
    <w:rsid w:val="00CF744F"/>
    <w:rsid w:val="00CF754A"/>
    <w:rsid w:val="00CF75CF"/>
    <w:rsid w:val="00CF7955"/>
    <w:rsid w:val="00CF7B66"/>
    <w:rsid w:val="00CF7B72"/>
    <w:rsid w:val="00CF7C65"/>
    <w:rsid w:val="00CF7CAB"/>
    <w:rsid w:val="00CF7D30"/>
    <w:rsid w:val="00CF7E20"/>
    <w:rsid w:val="00CF7F1F"/>
    <w:rsid w:val="00D00007"/>
    <w:rsid w:val="00D000B4"/>
    <w:rsid w:val="00D00193"/>
    <w:rsid w:val="00D0033D"/>
    <w:rsid w:val="00D00366"/>
    <w:rsid w:val="00D0046B"/>
    <w:rsid w:val="00D00575"/>
    <w:rsid w:val="00D006EE"/>
    <w:rsid w:val="00D0094A"/>
    <w:rsid w:val="00D00B0F"/>
    <w:rsid w:val="00D00C8E"/>
    <w:rsid w:val="00D00E2A"/>
    <w:rsid w:val="00D00E72"/>
    <w:rsid w:val="00D00F66"/>
    <w:rsid w:val="00D00F78"/>
    <w:rsid w:val="00D00FB9"/>
    <w:rsid w:val="00D00FC3"/>
    <w:rsid w:val="00D0115A"/>
    <w:rsid w:val="00D011E5"/>
    <w:rsid w:val="00D0124F"/>
    <w:rsid w:val="00D01319"/>
    <w:rsid w:val="00D01585"/>
    <w:rsid w:val="00D01606"/>
    <w:rsid w:val="00D016B2"/>
    <w:rsid w:val="00D01772"/>
    <w:rsid w:val="00D01A2D"/>
    <w:rsid w:val="00D01A65"/>
    <w:rsid w:val="00D01B68"/>
    <w:rsid w:val="00D01D15"/>
    <w:rsid w:val="00D022BE"/>
    <w:rsid w:val="00D023F8"/>
    <w:rsid w:val="00D0246E"/>
    <w:rsid w:val="00D02633"/>
    <w:rsid w:val="00D026F2"/>
    <w:rsid w:val="00D029DD"/>
    <w:rsid w:val="00D02C0F"/>
    <w:rsid w:val="00D02E19"/>
    <w:rsid w:val="00D02E6F"/>
    <w:rsid w:val="00D02E7D"/>
    <w:rsid w:val="00D02F4B"/>
    <w:rsid w:val="00D0306E"/>
    <w:rsid w:val="00D033E9"/>
    <w:rsid w:val="00D03845"/>
    <w:rsid w:val="00D0385F"/>
    <w:rsid w:val="00D03B4D"/>
    <w:rsid w:val="00D03BDD"/>
    <w:rsid w:val="00D03C81"/>
    <w:rsid w:val="00D03E9B"/>
    <w:rsid w:val="00D03EB0"/>
    <w:rsid w:val="00D03F01"/>
    <w:rsid w:val="00D03F26"/>
    <w:rsid w:val="00D03F91"/>
    <w:rsid w:val="00D03FA3"/>
    <w:rsid w:val="00D04135"/>
    <w:rsid w:val="00D0445A"/>
    <w:rsid w:val="00D044EC"/>
    <w:rsid w:val="00D045BF"/>
    <w:rsid w:val="00D0464E"/>
    <w:rsid w:val="00D047C1"/>
    <w:rsid w:val="00D049A2"/>
    <w:rsid w:val="00D04DA4"/>
    <w:rsid w:val="00D04E47"/>
    <w:rsid w:val="00D04F93"/>
    <w:rsid w:val="00D0509F"/>
    <w:rsid w:val="00D050F9"/>
    <w:rsid w:val="00D051EB"/>
    <w:rsid w:val="00D05201"/>
    <w:rsid w:val="00D05266"/>
    <w:rsid w:val="00D0526F"/>
    <w:rsid w:val="00D05283"/>
    <w:rsid w:val="00D05334"/>
    <w:rsid w:val="00D0535D"/>
    <w:rsid w:val="00D053EC"/>
    <w:rsid w:val="00D053F9"/>
    <w:rsid w:val="00D05416"/>
    <w:rsid w:val="00D05441"/>
    <w:rsid w:val="00D05564"/>
    <w:rsid w:val="00D05690"/>
    <w:rsid w:val="00D056A2"/>
    <w:rsid w:val="00D05812"/>
    <w:rsid w:val="00D0588F"/>
    <w:rsid w:val="00D05974"/>
    <w:rsid w:val="00D0599D"/>
    <w:rsid w:val="00D05A33"/>
    <w:rsid w:val="00D05B10"/>
    <w:rsid w:val="00D05BBD"/>
    <w:rsid w:val="00D05D5F"/>
    <w:rsid w:val="00D05D79"/>
    <w:rsid w:val="00D05E24"/>
    <w:rsid w:val="00D05F2F"/>
    <w:rsid w:val="00D05FA6"/>
    <w:rsid w:val="00D060F7"/>
    <w:rsid w:val="00D0612C"/>
    <w:rsid w:val="00D062C7"/>
    <w:rsid w:val="00D062DA"/>
    <w:rsid w:val="00D0635D"/>
    <w:rsid w:val="00D06361"/>
    <w:rsid w:val="00D065D5"/>
    <w:rsid w:val="00D066AA"/>
    <w:rsid w:val="00D067CB"/>
    <w:rsid w:val="00D068DA"/>
    <w:rsid w:val="00D06F34"/>
    <w:rsid w:val="00D07006"/>
    <w:rsid w:val="00D0713F"/>
    <w:rsid w:val="00D0715F"/>
    <w:rsid w:val="00D071F8"/>
    <w:rsid w:val="00D071FD"/>
    <w:rsid w:val="00D07379"/>
    <w:rsid w:val="00D0741F"/>
    <w:rsid w:val="00D0754F"/>
    <w:rsid w:val="00D100B7"/>
    <w:rsid w:val="00D101BC"/>
    <w:rsid w:val="00D101F1"/>
    <w:rsid w:val="00D10313"/>
    <w:rsid w:val="00D104E0"/>
    <w:rsid w:val="00D105A6"/>
    <w:rsid w:val="00D10663"/>
    <w:rsid w:val="00D106D1"/>
    <w:rsid w:val="00D10717"/>
    <w:rsid w:val="00D10996"/>
    <w:rsid w:val="00D109A3"/>
    <w:rsid w:val="00D10B15"/>
    <w:rsid w:val="00D10D40"/>
    <w:rsid w:val="00D10DB3"/>
    <w:rsid w:val="00D1108D"/>
    <w:rsid w:val="00D110BB"/>
    <w:rsid w:val="00D111F2"/>
    <w:rsid w:val="00D11208"/>
    <w:rsid w:val="00D11259"/>
    <w:rsid w:val="00D112E3"/>
    <w:rsid w:val="00D1136C"/>
    <w:rsid w:val="00D113A7"/>
    <w:rsid w:val="00D11878"/>
    <w:rsid w:val="00D11C88"/>
    <w:rsid w:val="00D11CBA"/>
    <w:rsid w:val="00D11CD6"/>
    <w:rsid w:val="00D11D2E"/>
    <w:rsid w:val="00D11D5B"/>
    <w:rsid w:val="00D11DDE"/>
    <w:rsid w:val="00D11DE5"/>
    <w:rsid w:val="00D11E1B"/>
    <w:rsid w:val="00D11E89"/>
    <w:rsid w:val="00D12015"/>
    <w:rsid w:val="00D123AF"/>
    <w:rsid w:val="00D1243A"/>
    <w:rsid w:val="00D12460"/>
    <w:rsid w:val="00D127DA"/>
    <w:rsid w:val="00D128FC"/>
    <w:rsid w:val="00D12AB1"/>
    <w:rsid w:val="00D12BF4"/>
    <w:rsid w:val="00D12E3D"/>
    <w:rsid w:val="00D12EA3"/>
    <w:rsid w:val="00D13036"/>
    <w:rsid w:val="00D130E1"/>
    <w:rsid w:val="00D130ED"/>
    <w:rsid w:val="00D1352E"/>
    <w:rsid w:val="00D13695"/>
    <w:rsid w:val="00D137CA"/>
    <w:rsid w:val="00D1384C"/>
    <w:rsid w:val="00D139D7"/>
    <w:rsid w:val="00D13A11"/>
    <w:rsid w:val="00D13A3C"/>
    <w:rsid w:val="00D13A53"/>
    <w:rsid w:val="00D13AAA"/>
    <w:rsid w:val="00D13B31"/>
    <w:rsid w:val="00D13D70"/>
    <w:rsid w:val="00D13DC6"/>
    <w:rsid w:val="00D13DEC"/>
    <w:rsid w:val="00D13DFE"/>
    <w:rsid w:val="00D1421D"/>
    <w:rsid w:val="00D144B1"/>
    <w:rsid w:val="00D14503"/>
    <w:rsid w:val="00D145DE"/>
    <w:rsid w:val="00D14724"/>
    <w:rsid w:val="00D149D0"/>
    <w:rsid w:val="00D149DA"/>
    <w:rsid w:val="00D14AFB"/>
    <w:rsid w:val="00D14BED"/>
    <w:rsid w:val="00D14E59"/>
    <w:rsid w:val="00D14F5A"/>
    <w:rsid w:val="00D1511E"/>
    <w:rsid w:val="00D15762"/>
    <w:rsid w:val="00D158B9"/>
    <w:rsid w:val="00D158F6"/>
    <w:rsid w:val="00D1592B"/>
    <w:rsid w:val="00D159DC"/>
    <w:rsid w:val="00D159F3"/>
    <w:rsid w:val="00D15B39"/>
    <w:rsid w:val="00D15BE1"/>
    <w:rsid w:val="00D15C5B"/>
    <w:rsid w:val="00D15CFA"/>
    <w:rsid w:val="00D15CFE"/>
    <w:rsid w:val="00D15D1A"/>
    <w:rsid w:val="00D15F55"/>
    <w:rsid w:val="00D15FD5"/>
    <w:rsid w:val="00D15FDF"/>
    <w:rsid w:val="00D160EC"/>
    <w:rsid w:val="00D16160"/>
    <w:rsid w:val="00D1618A"/>
    <w:rsid w:val="00D161C4"/>
    <w:rsid w:val="00D162AB"/>
    <w:rsid w:val="00D16453"/>
    <w:rsid w:val="00D164BF"/>
    <w:rsid w:val="00D164F8"/>
    <w:rsid w:val="00D166B6"/>
    <w:rsid w:val="00D16730"/>
    <w:rsid w:val="00D16B8E"/>
    <w:rsid w:val="00D16BE9"/>
    <w:rsid w:val="00D16D68"/>
    <w:rsid w:val="00D16E2D"/>
    <w:rsid w:val="00D170F5"/>
    <w:rsid w:val="00D1712E"/>
    <w:rsid w:val="00D171BF"/>
    <w:rsid w:val="00D1732A"/>
    <w:rsid w:val="00D17571"/>
    <w:rsid w:val="00D175F3"/>
    <w:rsid w:val="00D17619"/>
    <w:rsid w:val="00D17741"/>
    <w:rsid w:val="00D17895"/>
    <w:rsid w:val="00D17A7E"/>
    <w:rsid w:val="00D17B20"/>
    <w:rsid w:val="00D17BDD"/>
    <w:rsid w:val="00D17C45"/>
    <w:rsid w:val="00D17D94"/>
    <w:rsid w:val="00D17E94"/>
    <w:rsid w:val="00D17E95"/>
    <w:rsid w:val="00D17EAF"/>
    <w:rsid w:val="00D17F87"/>
    <w:rsid w:val="00D1E07E"/>
    <w:rsid w:val="00D200B5"/>
    <w:rsid w:val="00D200E6"/>
    <w:rsid w:val="00D200EF"/>
    <w:rsid w:val="00D2015B"/>
    <w:rsid w:val="00D201FC"/>
    <w:rsid w:val="00D20336"/>
    <w:rsid w:val="00D2053B"/>
    <w:rsid w:val="00D20553"/>
    <w:rsid w:val="00D205F4"/>
    <w:rsid w:val="00D206F9"/>
    <w:rsid w:val="00D207B8"/>
    <w:rsid w:val="00D207D4"/>
    <w:rsid w:val="00D20860"/>
    <w:rsid w:val="00D20ABE"/>
    <w:rsid w:val="00D20D64"/>
    <w:rsid w:val="00D20F06"/>
    <w:rsid w:val="00D210AF"/>
    <w:rsid w:val="00D210F9"/>
    <w:rsid w:val="00D21273"/>
    <w:rsid w:val="00D213B5"/>
    <w:rsid w:val="00D214F1"/>
    <w:rsid w:val="00D2155C"/>
    <w:rsid w:val="00D21765"/>
    <w:rsid w:val="00D21798"/>
    <w:rsid w:val="00D2186C"/>
    <w:rsid w:val="00D21972"/>
    <w:rsid w:val="00D21982"/>
    <w:rsid w:val="00D219C6"/>
    <w:rsid w:val="00D21A5F"/>
    <w:rsid w:val="00D21B9B"/>
    <w:rsid w:val="00D21C12"/>
    <w:rsid w:val="00D21D1A"/>
    <w:rsid w:val="00D21FDF"/>
    <w:rsid w:val="00D22208"/>
    <w:rsid w:val="00D223F3"/>
    <w:rsid w:val="00D22554"/>
    <w:rsid w:val="00D22655"/>
    <w:rsid w:val="00D226B6"/>
    <w:rsid w:val="00D226B7"/>
    <w:rsid w:val="00D2289F"/>
    <w:rsid w:val="00D228F5"/>
    <w:rsid w:val="00D22957"/>
    <w:rsid w:val="00D22B09"/>
    <w:rsid w:val="00D22B8B"/>
    <w:rsid w:val="00D22BE5"/>
    <w:rsid w:val="00D22C58"/>
    <w:rsid w:val="00D22C5D"/>
    <w:rsid w:val="00D22C9A"/>
    <w:rsid w:val="00D22DA6"/>
    <w:rsid w:val="00D2302E"/>
    <w:rsid w:val="00D232B9"/>
    <w:rsid w:val="00D232E7"/>
    <w:rsid w:val="00D2338C"/>
    <w:rsid w:val="00D233E1"/>
    <w:rsid w:val="00D23548"/>
    <w:rsid w:val="00D235CC"/>
    <w:rsid w:val="00D2374D"/>
    <w:rsid w:val="00D238F0"/>
    <w:rsid w:val="00D23984"/>
    <w:rsid w:val="00D23BCA"/>
    <w:rsid w:val="00D23BF3"/>
    <w:rsid w:val="00D23CE3"/>
    <w:rsid w:val="00D23CF9"/>
    <w:rsid w:val="00D23E42"/>
    <w:rsid w:val="00D23EA6"/>
    <w:rsid w:val="00D23EB2"/>
    <w:rsid w:val="00D23F30"/>
    <w:rsid w:val="00D23F71"/>
    <w:rsid w:val="00D23FB5"/>
    <w:rsid w:val="00D240F1"/>
    <w:rsid w:val="00D242CA"/>
    <w:rsid w:val="00D246B8"/>
    <w:rsid w:val="00D24729"/>
    <w:rsid w:val="00D24963"/>
    <w:rsid w:val="00D24A87"/>
    <w:rsid w:val="00D24BBC"/>
    <w:rsid w:val="00D24C3D"/>
    <w:rsid w:val="00D24C88"/>
    <w:rsid w:val="00D24E55"/>
    <w:rsid w:val="00D24F68"/>
    <w:rsid w:val="00D24FE4"/>
    <w:rsid w:val="00D250D0"/>
    <w:rsid w:val="00D2522B"/>
    <w:rsid w:val="00D252BE"/>
    <w:rsid w:val="00D2562B"/>
    <w:rsid w:val="00D2568D"/>
    <w:rsid w:val="00D25718"/>
    <w:rsid w:val="00D258BD"/>
    <w:rsid w:val="00D259E0"/>
    <w:rsid w:val="00D25B94"/>
    <w:rsid w:val="00D25E5C"/>
    <w:rsid w:val="00D26003"/>
    <w:rsid w:val="00D260E2"/>
    <w:rsid w:val="00D2631B"/>
    <w:rsid w:val="00D26449"/>
    <w:rsid w:val="00D268C0"/>
    <w:rsid w:val="00D268C3"/>
    <w:rsid w:val="00D268F0"/>
    <w:rsid w:val="00D26A69"/>
    <w:rsid w:val="00D26B3B"/>
    <w:rsid w:val="00D26BB9"/>
    <w:rsid w:val="00D26C8F"/>
    <w:rsid w:val="00D26CAE"/>
    <w:rsid w:val="00D26D6A"/>
    <w:rsid w:val="00D26EBD"/>
    <w:rsid w:val="00D26F7F"/>
    <w:rsid w:val="00D27223"/>
    <w:rsid w:val="00D27243"/>
    <w:rsid w:val="00D2725E"/>
    <w:rsid w:val="00D2730D"/>
    <w:rsid w:val="00D273F8"/>
    <w:rsid w:val="00D274E9"/>
    <w:rsid w:val="00D27533"/>
    <w:rsid w:val="00D2753A"/>
    <w:rsid w:val="00D2754A"/>
    <w:rsid w:val="00D275DE"/>
    <w:rsid w:val="00D27703"/>
    <w:rsid w:val="00D277C9"/>
    <w:rsid w:val="00D27843"/>
    <w:rsid w:val="00D27898"/>
    <w:rsid w:val="00D27926"/>
    <w:rsid w:val="00D2793D"/>
    <w:rsid w:val="00D27A43"/>
    <w:rsid w:val="00D27C09"/>
    <w:rsid w:val="00D27D43"/>
    <w:rsid w:val="00D27E0C"/>
    <w:rsid w:val="00D27F66"/>
    <w:rsid w:val="00D3014E"/>
    <w:rsid w:val="00D3033E"/>
    <w:rsid w:val="00D303FD"/>
    <w:rsid w:val="00D30464"/>
    <w:rsid w:val="00D306A2"/>
    <w:rsid w:val="00D3080C"/>
    <w:rsid w:val="00D30828"/>
    <w:rsid w:val="00D3086F"/>
    <w:rsid w:val="00D30899"/>
    <w:rsid w:val="00D308BC"/>
    <w:rsid w:val="00D3090D"/>
    <w:rsid w:val="00D30C78"/>
    <w:rsid w:val="00D30E2C"/>
    <w:rsid w:val="00D30F2D"/>
    <w:rsid w:val="00D30F80"/>
    <w:rsid w:val="00D31210"/>
    <w:rsid w:val="00D314DF"/>
    <w:rsid w:val="00D3155B"/>
    <w:rsid w:val="00D315A0"/>
    <w:rsid w:val="00D315D7"/>
    <w:rsid w:val="00D31674"/>
    <w:rsid w:val="00D31721"/>
    <w:rsid w:val="00D317C5"/>
    <w:rsid w:val="00D31880"/>
    <w:rsid w:val="00D318C4"/>
    <w:rsid w:val="00D31A02"/>
    <w:rsid w:val="00D31A0E"/>
    <w:rsid w:val="00D31B76"/>
    <w:rsid w:val="00D31C51"/>
    <w:rsid w:val="00D31C70"/>
    <w:rsid w:val="00D31C81"/>
    <w:rsid w:val="00D31D6C"/>
    <w:rsid w:val="00D31E19"/>
    <w:rsid w:val="00D31EF4"/>
    <w:rsid w:val="00D31F9A"/>
    <w:rsid w:val="00D32155"/>
    <w:rsid w:val="00D3220A"/>
    <w:rsid w:val="00D3236A"/>
    <w:rsid w:val="00D324C6"/>
    <w:rsid w:val="00D32514"/>
    <w:rsid w:val="00D328BC"/>
    <w:rsid w:val="00D32960"/>
    <w:rsid w:val="00D32C5C"/>
    <w:rsid w:val="00D32D97"/>
    <w:rsid w:val="00D32E9B"/>
    <w:rsid w:val="00D32EA7"/>
    <w:rsid w:val="00D32F77"/>
    <w:rsid w:val="00D33000"/>
    <w:rsid w:val="00D33065"/>
    <w:rsid w:val="00D3325D"/>
    <w:rsid w:val="00D3329D"/>
    <w:rsid w:val="00D3355E"/>
    <w:rsid w:val="00D33706"/>
    <w:rsid w:val="00D33894"/>
    <w:rsid w:val="00D33A11"/>
    <w:rsid w:val="00D33A35"/>
    <w:rsid w:val="00D33B38"/>
    <w:rsid w:val="00D33ED6"/>
    <w:rsid w:val="00D33F82"/>
    <w:rsid w:val="00D342BF"/>
    <w:rsid w:val="00D34412"/>
    <w:rsid w:val="00D34439"/>
    <w:rsid w:val="00D344F8"/>
    <w:rsid w:val="00D347A5"/>
    <w:rsid w:val="00D347FD"/>
    <w:rsid w:val="00D34827"/>
    <w:rsid w:val="00D34917"/>
    <w:rsid w:val="00D34996"/>
    <w:rsid w:val="00D34997"/>
    <w:rsid w:val="00D349C0"/>
    <w:rsid w:val="00D349D4"/>
    <w:rsid w:val="00D34ADF"/>
    <w:rsid w:val="00D34AE7"/>
    <w:rsid w:val="00D34BBC"/>
    <w:rsid w:val="00D34D82"/>
    <w:rsid w:val="00D34F4B"/>
    <w:rsid w:val="00D34F78"/>
    <w:rsid w:val="00D3507D"/>
    <w:rsid w:val="00D351BE"/>
    <w:rsid w:val="00D3520F"/>
    <w:rsid w:val="00D35454"/>
    <w:rsid w:val="00D3548D"/>
    <w:rsid w:val="00D354D4"/>
    <w:rsid w:val="00D354DA"/>
    <w:rsid w:val="00D35666"/>
    <w:rsid w:val="00D3573C"/>
    <w:rsid w:val="00D3580F"/>
    <w:rsid w:val="00D35A26"/>
    <w:rsid w:val="00D35A74"/>
    <w:rsid w:val="00D35BF6"/>
    <w:rsid w:val="00D35CA0"/>
    <w:rsid w:val="00D35D39"/>
    <w:rsid w:val="00D35D96"/>
    <w:rsid w:val="00D35DB6"/>
    <w:rsid w:val="00D35E93"/>
    <w:rsid w:val="00D35F5A"/>
    <w:rsid w:val="00D35F6B"/>
    <w:rsid w:val="00D36048"/>
    <w:rsid w:val="00D3606D"/>
    <w:rsid w:val="00D36184"/>
    <w:rsid w:val="00D36237"/>
    <w:rsid w:val="00D362DC"/>
    <w:rsid w:val="00D365A6"/>
    <w:rsid w:val="00D3673E"/>
    <w:rsid w:val="00D36870"/>
    <w:rsid w:val="00D36A58"/>
    <w:rsid w:val="00D36B88"/>
    <w:rsid w:val="00D36BA6"/>
    <w:rsid w:val="00D36BD0"/>
    <w:rsid w:val="00D36E07"/>
    <w:rsid w:val="00D36F11"/>
    <w:rsid w:val="00D37064"/>
    <w:rsid w:val="00D3708F"/>
    <w:rsid w:val="00D3725B"/>
    <w:rsid w:val="00D372E7"/>
    <w:rsid w:val="00D37396"/>
    <w:rsid w:val="00D374EB"/>
    <w:rsid w:val="00D375A5"/>
    <w:rsid w:val="00D376A8"/>
    <w:rsid w:val="00D37733"/>
    <w:rsid w:val="00D37888"/>
    <w:rsid w:val="00D3797B"/>
    <w:rsid w:val="00D37997"/>
    <w:rsid w:val="00D379CE"/>
    <w:rsid w:val="00D37C80"/>
    <w:rsid w:val="00D37D21"/>
    <w:rsid w:val="00D37EBB"/>
    <w:rsid w:val="00D37F71"/>
    <w:rsid w:val="00D37F8F"/>
    <w:rsid w:val="00D40117"/>
    <w:rsid w:val="00D401CA"/>
    <w:rsid w:val="00D4048E"/>
    <w:rsid w:val="00D40507"/>
    <w:rsid w:val="00D40585"/>
    <w:rsid w:val="00D405C4"/>
    <w:rsid w:val="00D40979"/>
    <w:rsid w:val="00D409AB"/>
    <w:rsid w:val="00D409C4"/>
    <w:rsid w:val="00D409C7"/>
    <w:rsid w:val="00D40AB1"/>
    <w:rsid w:val="00D40B87"/>
    <w:rsid w:val="00D40C4C"/>
    <w:rsid w:val="00D40E23"/>
    <w:rsid w:val="00D41017"/>
    <w:rsid w:val="00D4109F"/>
    <w:rsid w:val="00D410D9"/>
    <w:rsid w:val="00D41132"/>
    <w:rsid w:val="00D4116D"/>
    <w:rsid w:val="00D4118C"/>
    <w:rsid w:val="00D411FB"/>
    <w:rsid w:val="00D41256"/>
    <w:rsid w:val="00D41933"/>
    <w:rsid w:val="00D41DEF"/>
    <w:rsid w:val="00D41E72"/>
    <w:rsid w:val="00D421CB"/>
    <w:rsid w:val="00D42216"/>
    <w:rsid w:val="00D4226E"/>
    <w:rsid w:val="00D423DF"/>
    <w:rsid w:val="00D423EA"/>
    <w:rsid w:val="00D42439"/>
    <w:rsid w:val="00D42491"/>
    <w:rsid w:val="00D424D1"/>
    <w:rsid w:val="00D4253B"/>
    <w:rsid w:val="00D425DD"/>
    <w:rsid w:val="00D426D7"/>
    <w:rsid w:val="00D4284D"/>
    <w:rsid w:val="00D42A5A"/>
    <w:rsid w:val="00D42A81"/>
    <w:rsid w:val="00D42B10"/>
    <w:rsid w:val="00D42BB1"/>
    <w:rsid w:val="00D42BF5"/>
    <w:rsid w:val="00D42E66"/>
    <w:rsid w:val="00D42F1D"/>
    <w:rsid w:val="00D4332B"/>
    <w:rsid w:val="00D43737"/>
    <w:rsid w:val="00D437B8"/>
    <w:rsid w:val="00D439B7"/>
    <w:rsid w:val="00D43A34"/>
    <w:rsid w:val="00D43A5D"/>
    <w:rsid w:val="00D43A8D"/>
    <w:rsid w:val="00D43CA3"/>
    <w:rsid w:val="00D43CAF"/>
    <w:rsid w:val="00D43D10"/>
    <w:rsid w:val="00D43E18"/>
    <w:rsid w:val="00D440E6"/>
    <w:rsid w:val="00D44231"/>
    <w:rsid w:val="00D443EE"/>
    <w:rsid w:val="00D44487"/>
    <w:rsid w:val="00D4449D"/>
    <w:rsid w:val="00D4468F"/>
    <w:rsid w:val="00D44904"/>
    <w:rsid w:val="00D44962"/>
    <w:rsid w:val="00D44A3D"/>
    <w:rsid w:val="00D44C34"/>
    <w:rsid w:val="00D44E12"/>
    <w:rsid w:val="00D44F9E"/>
    <w:rsid w:val="00D45349"/>
    <w:rsid w:val="00D45533"/>
    <w:rsid w:val="00D456FC"/>
    <w:rsid w:val="00D457EE"/>
    <w:rsid w:val="00D4584E"/>
    <w:rsid w:val="00D45C41"/>
    <w:rsid w:val="00D45D8E"/>
    <w:rsid w:val="00D46031"/>
    <w:rsid w:val="00D460B2"/>
    <w:rsid w:val="00D4617D"/>
    <w:rsid w:val="00D461FC"/>
    <w:rsid w:val="00D463B8"/>
    <w:rsid w:val="00D4649E"/>
    <w:rsid w:val="00D46617"/>
    <w:rsid w:val="00D46952"/>
    <w:rsid w:val="00D46956"/>
    <w:rsid w:val="00D4698D"/>
    <w:rsid w:val="00D46A79"/>
    <w:rsid w:val="00D46B41"/>
    <w:rsid w:val="00D46B78"/>
    <w:rsid w:val="00D46C1C"/>
    <w:rsid w:val="00D46C33"/>
    <w:rsid w:val="00D46EC9"/>
    <w:rsid w:val="00D47075"/>
    <w:rsid w:val="00D47179"/>
    <w:rsid w:val="00D4735F"/>
    <w:rsid w:val="00D474E2"/>
    <w:rsid w:val="00D475AA"/>
    <w:rsid w:val="00D47645"/>
    <w:rsid w:val="00D47739"/>
    <w:rsid w:val="00D47786"/>
    <w:rsid w:val="00D47825"/>
    <w:rsid w:val="00D47832"/>
    <w:rsid w:val="00D47869"/>
    <w:rsid w:val="00D4790E"/>
    <w:rsid w:val="00D47951"/>
    <w:rsid w:val="00D47B7E"/>
    <w:rsid w:val="00D47E51"/>
    <w:rsid w:val="00D47F0B"/>
    <w:rsid w:val="00D47FD7"/>
    <w:rsid w:val="00D50136"/>
    <w:rsid w:val="00D502D3"/>
    <w:rsid w:val="00D50446"/>
    <w:rsid w:val="00D50491"/>
    <w:rsid w:val="00D50507"/>
    <w:rsid w:val="00D505BD"/>
    <w:rsid w:val="00D50847"/>
    <w:rsid w:val="00D5085D"/>
    <w:rsid w:val="00D50908"/>
    <w:rsid w:val="00D50987"/>
    <w:rsid w:val="00D509FC"/>
    <w:rsid w:val="00D50BC2"/>
    <w:rsid w:val="00D50D4E"/>
    <w:rsid w:val="00D50D6A"/>
    <w:rsid w:val="00D50DD6"/>
    <w:rsid w:val="00D50E4A"/>
    <w:rsid w:val="00D50E8F"/>
    <w:rsid w:val="00D510FD"/>
    <w:rsid w:val="00D512A5"/>
    <w:rsid w:val="00D512D2"/>
    <w:rsid w:val="00D5131D"/>
    <w:rsid w:val="00D51338"/>
    <w:rsid w:val="00D513EB"/>
    <w:rsid w:val="00D51401"/>
    <w:rsid w:val="00D51665"/>
    <w:rsid w:val="00D51948"/>
    <w:rsid w:val="00D51A10"/>
    <w:rsid w:val="00D51A54"/>
    <w:rsid w:val="00D51AA7"/>
    <w:rsid w:val="00D51DA3"/>
    <w:rsid w:val="00D51E24"/>
    <w:rsid w:val="00D51E42"/>
    <w:rsid w:val="00D51F5F"/>
    <w:rsid w:val="00D51FFD"/>
    <w:rsid w:val="00D5206D"/>
    <w:rsid w:val="00D5250A"/>
    <w:rsid w:val="00D52537"/>
    <w:rsid w:val="00D525A7"/>
    <w:rsid w:val="00D52785"/>
    <w:rsid w:val="00D52830"/>
    <w:rsid w:val="00D5285A"/>
    <w:rsid w:val="00D52ACC"/>
    <w:rsid w:val="00D52D72"/>
    <w:rsid w:val="00D52EC0"/>
    <w:rsid w:val="00D52F93"/>
    <w:rsid w:val="00D53135"/>
    <w:rsid w:val="00D53170"/>
    <w:rsid w:val="00D53183"/>
    <w:rsid w:val="00D5319F"/>
    <w:rsid w:val="00D53460"/>
    <w:rsid w:val="00D5359D"/>
    <w:rsid w:val="00D537CE"/>
    <w:rsid w:val="00D53874"/>
    <w:rsid w:val="00D53AA9"/>
    <w:rsid w:val="00D53BBC"/>
    <w:rsid w:val="00D53DF7"/>
    <w:rsid w:val="00D53E59"/>
    <w:rsid w:val="00D53FFD"/>
    <w:rsid w:val="00D54002"/>
    <w:rsid w:val="00D54150"/>
    <w:rsid w:val="00D54233"/>
    <w:rsid w:val="00D5423E"/>
    <w:rsid w:val="00D54244"/>
    <w:rsid w:val="00D5424C"/>
    <w:rsid w:val="00D542F9"/>
    <w:rsid w:val="00D54308"/>
    <w:rsid w:val="00D545A1"/>
    <w:rsid w:val="00D545D6"/>
    <w:rsid w:val="00D54633"/>
    <w:rsid w:val="00D54687"/>
    <w:rsid w:val="00D5483D"/>
    <w:rsid w:val="00D548CD"/>
    <w:rsid w:val="00D54A98"/>
    <w:rsid w:val="00D54ED0"/>
    <w:rsid w:val="00D54F3D"/>
    <w:rsid w:val="00D54FB7"/>
    <w:rsid w:val="00D5502F"/>
    <w:rsid w:val="00D555F7"/>
    <w:rsid w:val="00D55605"/>
    <w:rsid w:val="00D556E6"/>
    <w:rsid w:val="00D5576A"/>
    <w:rsid w:val="00D557F8"/>
    <w:rsid w:val="00D55811"/>
    <w:rsid w:val="00D558DC"/>
    <w:rsid w:val="00D55B01"/>
    <w:rsid w:val="00D55B7C"/>
    <w:rsid w:val="00D55BCC"/>
    <w:rsid w:val="00D55CFB"/>
    <w:rsid w:val="00D55D74"/>
    <w:rsid w:val="00D55FBF"/>
    <w:rsid w:val="00D561C8"/>
    <w:rsid w:val="00D562CE"/>
    <w:rsid w:val="00D563AD"/>
    <w:rsid w:val="00D56428"/>
    <w:rsid w:val="00D5645B"/>
    <w:rsid w:val="00D5662D"/>
    <w:rsid w:val="00D5670D"/>
    <w:rsid w:val="00D56867"/>
    <w:rsid w:val="00D5690D"/>
    <w:rsid w:val="00D56B44"/>
    <w:rsid w:val="00D56B48"/>
    <w:rsid w:val="00D56BB8"/>
    <w:rsid w:val="00D56CA6"/>
    <w:rsid w:val="00D56CD1"/>
    <w:rsid w:val="00D56D0F"/>
    <w:rsid w:val="00D56DB3"/>
    <w:rsid w:val="00D56DCC"/>
    <w:rsid w:val="00D56F49"/>
    <w:rsid w:val="00D56F7C"/>
    <w:rsid w:val="00D5708D"/>
    <w:rsid w:val="00D572BE"/>
    <w:rsid w:val="00D5730B"/>
    <w:rsid w:val="00D57407"/>
    <w:rsid w:val="00D57510"/>
    <w:rsid w:val="00D57653"/>
    <w:rsid w:val="00D5768E"/>
    <w:rsid w:val="00D577E5"/>
    <w:rsid w:val="00D57A4A"/>
    <w:rsid w:val="00D57A71"/>
    <w:rsid w:val="00D57CAC"/>
    <w:rsid w:val="00D57D57"/>
    <w:rsid w:val="00D57D9B"/>
    <w:rsid w:val="00D57E26"/>
    <w:rsid w:val="00D57E9C"/>
    <w:rsid w:val="00D57EBF"/>
    <w:rsid w:val="00D57F80"/>
    <w:rsid w:val="00D57F9C"/>
    <w:rsid w:val="00D57FF2"/>
    <w:rsid w:val="00D60049"/>
    <w:rsid w:val="00D60106"/>
    <w:rsid w:val="00D603CB"/>
    <w:rsid w:val="00D60607"/>
    <w:rsid w:val="00D60749"/>
    <w:rsid w:val="00D60779"/>
    <w:rsid w:val="00D607EE"/>
    <w:rsid w:val="00D608E2"/>
    <w:rsid w:val="00D60ABB"/>
    <w:rsid w:val="00D60ADF"/>
    <w:rsid w:val="00D60B00"/>
    <w:rsid w:val="00D60BDA"/>
    <w:rsid w:val="00D60C81"/>
    <w:rsid w:val="00D60D13"/>
    <w:rsid w:val="00D60D3D"/>
    <w:rsid w:val="00D60DBC"/>
    <w:rsid w:val="00D60F4C"/>
    <w:rsid w:val="00D60FEB"/>
    <w:rsid w:val="00D6106D"/>
    <w:rsid w:val="00D61155"/>
    <w:rsid w:val="00D61196"/>
    <w:rsid w:val="00D61284"/>
    <w:rsid w:val="00D6156D"/>
    <w:rsid w:val="00D6161F"/>
    <w:rsid w:val="00D6194E"/>
    <w:rsid w:val="00D61AB7"/>
    <w:rsid w:val="00D61B38"/>
    <w:rsid w:val="00D61C83"/>
    <w:rsid w:val="00D61D79"/>
    <w:rsid w:val="00D620E5"/>
    <w:rsid w:val="00D6229B"/>
    <w:rsid w:val="00D62313"/>
    <w:rsid w:val="00D62463"/>
    <w:rsid w:val="00D624A4"/>
    <w:rsid w:val="00D6266E"/>
    <w:rsid w:val="00D62672"/>
    <w:rsid w:val="00D626E6"/>
    <w:rsid w:val="00D627A7"/>
    <w:rsid w:val="00D62CA4"/>
    <w:rsid w:val="00D62E79"/>
    <w:rsid w:val="00D62FF0"/>
    <w:rsid w:val="00D630B2"/>
    <w:rsid w:val="00D63107"/>
    <w:rsid w:val="00D63357"/>
    <w:rsid w:val="00D633B2"/>
    <w:rsid w:val="00D63403"/>
    <w:rsid w:val="00D63497"/>
    <w:rsid w:val="00D634BF"/>
    <w:rsid w:val="00D639CE"/>
    <w:rsid w:val="00D63B73"/>
    <w:rsid w:val="00D63C8F"/>
    <w:rsid w:val="00D63D31"/>
    <w:rsid w:val="00D63EFC"/>
    <w:rsid w:val="00D63F10"/>
    <w:rsid w:val="00D6416E"/>
    <w:rsid w:val="00D641EC"/>
    <w:rsid w:val="00D641F9"/>
    <w:rsid w:val="00D64275"/>
    <w:rsid w:val="00D6438C"/>
    <w:rsid w:val="00D643A6"/>
    <w:rsid w:val="00D64668"/>
    <w:rsid w:val="00D646AE"/>
    <w:rsid w:val="00D646C0"/>
    <w:rsid w:val="00D647C4"/>
    <w:rsid w:val="00D64861"/>
    <w:rsid w:val="00D648A2"/>
    <w:rsid w:val="00D649D0"/>
    <w:rsid w:val="00D64A40"/>
    <w:rsid w:val="00D64AFC"/>
    <w:rsid w:val="00D64CF2"/>
    <w:rsid w:val="00D64D31"/>
    <w:rsid w:val="00D64D38"/>
    <w:rsid w:val="00D64F4C"/>
    <w:rsid w:val="00D6520E"/>
    <w:rsid w:val="00D65235"/>
    <w:rsid w:val="00D65313"/>
    <w:rsid w:val="00D65378"/>
    <w:rsid w:val="00D6559B"/>
    <w:rsid w:val="00D655A6"/>
    <w:rsid w:val="00D65625"/>
    <w:rsid w:val="00D65711"/>
    <w:rsid w:val="00D6574A"/>
    <w:rsid w:val="00D659C4"/>
    <w:rsid w:val="00D65A25"/>
    <w:rsid w:val="00D65CAA"/>
    <w:rsid w:val="00D66080"/>
    <w:rsid w:val="00D6609F"/>
    <w:rsid w:val="00D66180"/>
    <w:rsid w:val="00D662F8"/>
    <w:rsid w:val="00D66347"/>
    <w:rsid w:val="00D66358"/>
    <w:rsid w:val="00D6654C"/>
    <w:rsid w:val="00D6670D"/>
    <w:rsid w:val="00D6682E"/>
    <w:rsid w:val="00D66880"/>
    <w:rsid w:val="00D66887"/>
    <w:rsid w:val="00D66AE4"/>
    <w:rsid w:val="00D66CF0"/>
    <w:rsid w:val="00D66DE7"/>
    <w:rsid w:val="00D66EEB"/>
    <w:rsid w:val="00D66F18"/>
    <w:rsid w:val="00D66F72"/>
    <w:rsid w:val="00D670D1"/>
    <w:rsid w:val="00D67240"/>
    <w:rsid w:val="00D67531"/>
    <w:rsid w:val="00D676BC"/>
    <w:rsid w:val="00D677DE"/>
    <w:rsid w:val="00D678BF"/>
    <w:rsid w:val="00D67924"/>
    <w:rsid w:val="00D67A1C"/>
    <w:rsid w:val="00D67A38"/>
    <w:rsid w:val="00D67A69"/>
    <w:rsid w:val="00D67CA7"/>
    <w:rsid w:val="00D67D70"/>
    <w:rsid w:val="00D67D99"/>
    <w:rsid w:val="00D67DC9"/>
    <w:rsid w:val="00D67F9F"/>
    <w:rsid w:val="00D70239"/>
    <w:rsid w:val="00D70266"/>
    <w:rsid w:val="00D702BC"/>
    <w:rsid w:val="00D7040F"/>
    <w:rsid w:val="00D704A0"/>
    <w:rsid w:val="00D704E2"/>
    <w:rsid w:val="00D70A2B"/>
    <w:rsid w:val="00D70A2F"/>
    <w:rsid w:val="00D70A9F"/>
    <w:rsid w:val="00D70B1E"/>
    <w:rsid w:val="00D70B43"/>
    <w:rsid w:val="00D70B6D"/>
    <w:rsid w:val="00D70BA9"/>
    <w:rsid w:val="00D70CE4"/>
    <w:rsid w:val="00D70EAB"/>
    <w:rsid w:val="00D70FA5"/>
    <w:rsid w:val="00D71070"/>
    <w:rsid w:val="00D710A6"/>
    <w:rsid w:val="00D710BB"/>
    <w:rsid w:val="00D71259"/>
    <w:rsid w:val="00D712BB"/>
    <w:rsid w:val="00D7147D"/>
    <w:rsid w:val="00D714C0"/>
    <w:rsid w:val="00D714C9"/>
    <w:rsid w:val="00D71589"/>
    <w:rsid w:val="00D71937"/>
    <w:rsid w:val="00D71A3A"/>
    <w:rsid w:val="00D71A54"/>
    <w:rsid w:val="00D71B1C"/>
    <w:rsid w:val="00D71B92"/>
    <w:rsid w:val="00D71D43"/>
    <w:rsid w:val="00D71D67"/>
    <w:rsid w:val="00D71DEC"/>
    <w:rsid w:val="00D71E0B"/>
    <w:rsid w:val="00D71EE6"/>
    <w:rsid w:val="00D71FE4"/>
    <w:rsid w:val="00D7202E"/>
    <w:rsid w:val="00D72047"/>
    <w:rsid w:val="00D72185"/>
    <w:rsid w:val="00D7226B"/>
    <w:rsid w:val="00D723BE"/>
    <w:rsid w:val="00D72660"/>
    <w:rsid w:val="00D7272C"/>
    <w:rsid w:val="00D727A1"/>
    <w:rsid w:val="00D72828"/>
    <w:rsid w:val="00D72870"/>
    <w:rsid w:val="00D729DC"/>
    <w:rsid w:val="00D72BD0"/>
    <w:rsid w:val="00D72C9D"/>
    <w:rsid w:val="00D72E84"/>
    <w:rsid w:val="00D72ECB"/>
    <w:rsid w:val="00D73094"/>
    <w:rsid w:val="00D7338C"/>
    <w:rsid w:val="00D737D7"/>
    <w:rsid w:val="00D73A5A"/>
    <w:rsid w:val="00D73AA1"/>
    <w:rsid w:val="00D73D02"/>
    <w:rsid w:val="00D73D22"/>
    <w:rsid w:val="00D73D6C"/>
    <w:rsid w:val="00D740B5"/>
    <w:rsid w:val="00D74120"/>
    <w:rsid w:val="00D74133"/>
    <w:rsid w:val="00D74250"/>
    <w:rsid w:val="00D74260"/>
    <w:rsid w:val="00D74311"/>
    <w:rsid w:val="00D7442F"/>
    <w:rsid w:val="00D74596"/>
    <w:rsid w:val="00D746DC"/>
    <w:rsid w:val="00D7477D"/>
    <w:rsid w:val="00D748B6"/>
    <w:rsid w:val="00D748C5"/>
    <w:rsid w:val="00D74914"/>
    <w:rsid w:val="00D74941"/>
    <w:rsid w:val="00D749F1"/>
    <w:rsid w:val="00D74CA6"/>
    <w:rsid w:val="00D74FB3"/>
    <w:rsid w:val="00D75008"/>
    <w:rsid w:val="00D75143"/>
    <w:rsid w:val="00D7516C"/>
    <w:rsid w:val="00D75242"/>
    <w:rsid w:val="00D75255"/>
    <w:rsid w:val="00D752D8"/>
    <w:rsid w:val="00D75638"/>
    <w:rsid w:val="00D756C5"/>
    <w:rsid w:val="00D7572D"/>
    <w:rsid w:val="00D75834"/>
    <w:rsid w:val="00D75A58"/>
    <w:rsid w:val="00D75CA7"/>
    <w:rsid w:val="00D75D9F"/>
    <w:rsid w:val="00D75E26"/>
    <w:rsid w:val="00D75FE1"/>
    <w:rsid w:val="00D76110"/>
    <w:rsid w:val="00D76629"/>
    <w:rsid w:val="00D7670D"/>
    <w:rsid w:val="00D768FA"/>
    <w:rsid w:val="00D76988"/>
    <w:rsid w:val="00D76994"/>
    <w:rsid w:val="00D76B7A"/>
    <w:rsid w:val="00D76BC7"/>
    <w:rsid w:val="00D76E94"/>
    <w:rsid w:val="00D77069"/>
    <w:rsid w:val="00D770ED"/>
    <w:rsid w:val="00D772E4"/>
    <w:rsid w:val="00D773BA"/>
    <w:rsid w:val="00D77533"/>
    <w:rsid w:val="00D77655"/>
    <w:rsid w:val="00D77B6E"/>
    <w:rsid w:val="00D77BC0"/>
    <w:rsid w:val="00D77BF1"/>
    <w:rsid w:val="00D77C30"/>
    <w:rsid w:val="00D77D54"/>
    <w:rsid w:val="00D77D5C"/>
    <w:rsid w:val="00D77DE2"/>
    <w:rsid w:val="00D77E48"/>
    <w:rsid w:val="00D77EFB"/>
    <w:rsid w:val="00D77F29"/>
    <w:rsid w:val="00D80068"/>
    <w:rsid w:val="00D800F0"/>
    <w:rsid w:val="00D8021E"/>
    <w:rsid w:val="00D8048F"/>
    <w:rsid w:val="00D806D4"/>
    <w:rsid w:val="00D80937"/>
    <w:rsid w:val="00D80B78"/>
    <w:rsid w:val="00D80C30"/>
    <w:rsid w:val="00D80CE3"/>
    <w:rsid w:val="00D80D90"/>
    <w:rsid w:val="00D8117C"/>
    <w:rsid w:val="00D813CA"/>
    <w:rsid w:val="00D813F1"/>
    <w:rsid w:val="00D814C1"/>
    <w:rsid w:val="00D81806"/>
    <w:rsid w:val="00D81920"/>
    <w:rsid w:val="00D8192A"/>
    <w:rsid w:val="00D81AAC"/>
    <w:rsid w:val="00D81B1C"/>
    <w:rsid w:val="00D81C1C"/>
    <w:rsid w:val="00D81C4F"/>
    <w:rsid w:val="00D81D9D"/>
    <w:rsid w:val="00D81ECE"/>
    <w:rsid w:val="00D81F0F"/>
    <w:rsid w:val="00D81F4C"/>
    <w:rsid w:val="00D82028"/>
    <w:rsid w:val="00D822E6"/>
    <w:rsid w:val="00D823EA"/>
    <w:rsid w:val="00D825CA"/>
    <w:rsid w:val="00D8263D"/>
    <w:rsid w:val="00D82674"/>
    <w:rsid w:val="00D826D9"/>
    <w:rsid w:val="00D826F4"/>
    <w:rsid w:val="00D8270F"/>
    <w:rsid w:val="00D82782"/>
    <w:rsid w:val="00D8297D"/>
    <w:rsid w:val="00D82A1E"/>
    <w:rsid w:val="00D82BE5"/>
    <w:rsid w:val="00D82C2B"/>
    <w:rsid w:val="00D82C66"/>
    <w:rsid w:val="00D831C4"/>
    <w:rsid w:val="00D83346"/>
    <w:rsid w:val="00D833F7"/>
    <w:rsid w:val="00D8351B"/>
    <w:rsid w:val="00D837EA"/>
    <w:rsid w:val="00D83812"/>
    <w:rsid w:val="00D83844"/>
    <w:rsid w:val="00D838A5"/>
    <w:rsid w:val="00D8391C"/>
    <w:rsid w:val="00D83B21"/>
    <w:rsid w:val="00D83C73"/>
    <w:rsid w:val="00D83D77"/>
    <w:rsid w:val="00D83DE8"/>
    <w:rsid w:val="00D83E18"/>
    <w:rsid w:val="00D83E97"/>
    <w:rsid w:val="00D83FAF"/>
    <w:rsid w:val="00D842B5"/>
    <w:rsid w:val="00D84363"/>
    <w:rsid w:val="00D8461B"/>
    <w:rsid w:val="00D848C5"/>
    <w:rsid w:val="00D84926"/>
    <w:rsid w:val="00D84A98"/>
    <w:rsid w:val="00D84B19"/>
    <w:rsid w:val="00D84C00"/>
    <w:rsid w:val="00D84CB0"/>
    <w:rsid w:val="00D84FB4"/>
    <w:rsid w:val="00D85113"/>
    <w:rsid w:val="00D852EC"/>
    <w:rsid w:val="00D855F6"/>
    <w:rsid w:val="00D857DC"/>
    <w:rsid w:val="00D8585F"/>
    <w:rsid w:val="00D859A5"/>
    <w:rsid w:val="00D85B50"/>
    <w:rsid w:val="00D85B6C"/>
    <w:rsid w:val="00D85B70"/>
    <w:rsid w:val="00D85B89"/>
    <w:rsid w:val="00D85BAD"/>
    <w:rsid w:val="00D85BCF"/>
    <w:rsid w:val="00D85CDE"/>
    <w:rsid w:val="00D85F65"/>
    <w:rsid w:val="00D86031"/>
    <w:rsid w:val="00D86239"/>
    <w:rsid w:val="00D865F7"/>
    <w:rsid w:val="00D8664E"/>
    <w:rsid w:val="00D8684A"/>
    <w:rsid w:val="00D86869"/>
    <w:rsid w:val="00D8688A"/>
    <w:rsid w:val="00D868B9"/>
    <w:rsid w:val="00D868DF"/>
    <w:rsid w:val="00D86A9D"/>
    <w:rsid w:val="00D86ADF"/>
    <w:rsid w:val="00D86B7E"/>
    <w:rsid w:val="00D86D6B"/>
    <w:rsid w:val="00D86DA2"/>
    <w:rsid w:val="00D86F4E"/>
    <w:rsid w:val="00D86F67"/>
    <w:rsid w:val="00D87131"/>
    <w:rsid w:val="00D87171"/>
    <w:rsid w:val="00D8723E"/>
    <w:rsid w:val="00D87486"/>
    <w:rsid w:val="00D875BC"/>
    <w:rsid w:val="00D87681"/>
    <w:rsid w:val="00D878F2"/>
    <w:rsid w:val="00D8793E"/>
    <w:rsid w:val="00D879AC"/>
    <w:rsid w:val="00D87AA9"/>
    <w:rsid w:val="00D87B10"/>
    <w:rsid w:val="00D87B83"/>
    <w:rsid w:val="00D87C09"/>
    <w:rsid w:val="00D87C0B"/>
    <w:rsid w:val="00D87CC5"/>
    <w:rsid w:val="00D87DA8"/>
    <w:rsid w:val="00D87DBA"/>
    <w:rsid w:val="00D87DF4"/>
    <w:rsid w:val="00D87F17"/>
    <w:rsid w:val="00D9009D"/>
    <w:rsid w:val="00D90302"/>
    <w:rsid w:val="00D90324"/>
    <w:rsid w:val="00D90602"/>
    <w:rsid w:val="00D90875"/>
    <w:rsid w:val="00D909DE"/>
    <w:rsid w:val="00D90A17"/>
    <w:rsid w:val="00D90B61"/>
    <w:rsid w:val="00D90B70"/>
    <w:rsid w:val="00D90C48"/>
    <w:rsid w:val="00D90C7C"/>
    <w:rsid w:val="00D90E70"/>
    <w:rsid w:val="00D90EEF"/>
    <w:rsid w:val="00D91056"/>
    <w:rsid w:val="00D91090"/>
    <w:rsid w:val="00D912B4"/>
    <w:rsid w:val="00D912B9"/>
    <w:rsid w:val="00D91463"/>
    <w:rsid w:val="00D914B8"/>
    <w:rsid w:val="00D9156A"/>
    <w:rsid w:val="00D9159B"/>
    <w:rsid w:val="00D916AE"/>
    <w:rsid w:val="00D916ED"/>
    <w:rsid w:val="00D91769"/>
    <w:rsid w:val="00D91861"/>
    <w:rsid w:val="00D918E5"/>
    <w:rsid w:val="00D91914"/>
    <w:rsid w:val="00D91A76"/>
    <w:rsid w:val="00D91AB8"/>
    <w:rsid w:val="00D91E87"/>
    <w:rsid w:val="00D91F36"/>
    <w:rsid w:val="00D92248"/>
    <w:rsid w:val="00D923CC"/>
    <w:rsid w:val="00D92415"/>
    <w:rsid w:val="00D924CF"/>
    <w:rsid w:val="00D924F7"/>
    <w:rsid w:val="00D927F2"/>
    <w:rsid w:val="00D92811"/>
    <w:rsid w:val="00D92981"/>
    <w:rsid w:val="00D92A5E"/>
    <w:rsid w:val="00D92A6C"/>
    <w:rsid w:val="00D92B6D"/>
    <w:rsid w:val="00D92E85"/>
    <w:rsid w:val="00D930A7"/>
    <w:rsid w:val="00D9323E"/>
    <w:rsid w:val="00D9337A"/>
    <w:rsid w:val="00D934C1"/>
    <w:rsid w:val="00D93585"/>
    <w:rsid w:val="00D93591"/>
    <w:rsid w:val="00D936E2"/>
    <w:rsid w:val="00D93777"/>
    <w:rsid w:val="00D93810"/>
    <w:rsid w:val="00D93960"/>
    <w:rsid w:val="00D93B1D"/>
    <w:rsid w:val="00D93B70"/>
    <w:rsid w:val="00D93C27"/>
    <w:rsid w:val="00D93D18"/>
    <w:rsid w:val="00D93EEA"/>
    <w:rsid w:val="00D93F41"/>
    <w:rsid w:val="00D93F6D"/>
    <w:rsid w:val="00D94108"/>
    <w:rsid w:val="00D9452C"/>
    <w:rsid w:val="00D945CD"/>
    <w:rsid w:val="00D948A3"/>
    <w:rsid w:val="00D949CD"/>
    <w:rsid w:val="00D94A2E"/>
    <w:rsid w:val="00D94B07"/>
    <w:rsid w:val="00D94D07"/>
    <w:rsid w:val="00D94F05"/>
    <w:rsid w:val="00D94FBC"/>
    <w:rsid w:val="00D9502D"/>
    <w:rsid w:val="00D95217"/>
    <w:rsid w:val="00D9525B"/>
    <w:rsid w:val="00D95517"/>
    <w:rsid w:val="00D95575"/>
    <w:rsid w:val="00D956D8"/>
    <w:rsid w:val="00D9570C"/>
    <w:rsid w:val="00D9576F"/>
    <w:rsid w:val="00D957D8"/>
    <w:rsid w:val="00D95D41"/>
    <w:rsid w:val="00D95EA5"/>
    <w:rsid w:val="00D95FC6"/>
    <w:rsid w:val="00D9605F"/>
    <w:rsid w:val="00D960A4"/>
    <w:rsid w:val="00D961CB"/>
    <w:rsid w:val="00D96372"/>
    <w:rsid w:val="00D965B9"/>
    <w:rsid w:val="00D96857"/>
    <w:rsid w:val="00D968E5"/>
    <w:rsid w:val="00D96B5B"/>
    <w:rsid w:val="00D96D7A"/>
    <w:rsid w:val="00D96D7F"/>
    <w:rsid w:val="00D96ED2"/>
    <w:rsid w:val="00D96F33"/>
    <w:rsid w:val="00D9713E"/>
    <w:rsid w:val="00D972DE"/>
    <w:rsid w:val="00D97397"/>
    <w:rsid w:val="00D973F7"/>
    <w:rsid w:val="00D9750B"/>
    <w:rsid w:val="00D97543"/>
    <w:rsid w:val="00D9754C"/>
    <w:rsid w:val="00D976EF"/>
    <w:rsid w:val="00D978B5"/>
    <w:rsid w:val="00D979B1"/>
    <w:rsid w:val="00D97ABC"/>
    <w:rsid w:val="00D97DE7"/>
    <w:rsid w:val="00DA004A"/>
    <w:rsid w:val="00DA0113"/>
    <w:rsid w:val="00DA0246"/>
    <w:rsid w:val="00DA02E6"/>
    <w:rsid w:val="00DA04AD"/>
    <w:rsid w:val="00DA062B"/>
    <w:rsid w:val="00DA069C"/>
    <w:rsid w:val="00DA07E4"/>
    <w:rsid w:val="00DA08E2"/>
    <w:rsid w:val="00DA09DD"/>
    <w:rsid w:val="00DA09E3"/>
    <w:rsid w:val="00DA0D1D"/>
    <w:rsid w:val="00DA0D39"/>
    <w:rsid w:val="00DA0D73"/>
    <w:rsid w:val="00DA0DCC"/>
    <w:rsid w:val="00DA10C9"/>
    <w:rsid w:val="00DA1140"/>
    <w:rsid w:val="00DA1314"/>
    <w:rsid w:val="00DA131E"/>
    <w:rsid w:val="00DA1336"/>
    <w:rsid w:val="00DA13AB"/>
    <w:rsid w:val="00DA14DF"/>
    <w:rsid w:val="00DA1653"/>
    <w:rsid w:val="00DA1775"/>
    <w:rsid w:val="00DA1999"/>
    <w:rsid w:val="00DA1A67"/>
    <w:rsid w:val="00DA1B28"/>
    <w:rsid w:val="00DA1B5D"/>
    <w:rsid w:val="00DA1B96"/>
    <w:rsid w:val="00DA1B9A"/>
    <w:rsid w:val="00DA1EDB"/>
    <w:rsid w:val="00DA1F0D"/>
    <w:rsid w:val="00DA1F99"/>
    <w:rsid w:val="00DA2134"/>
    <w:rsid w:val="00DA2530"/>
    <w:rsid w:val="00DA2691"/>
    <w:rsid w:val="00DA284A"/>
    <w:rsid w:val="00DA28B7"/>
    <w:rsid w:val="00DA2B00"/>
    <w:rsid w:val="00DA2B16"/>
    <w:rsid w:val="00DA2B3C"/>
    <w:rsid w:val="00DA2D49"/>
    <w:rsid w:val="00DA2E30"/>
    <w:rsid w:val="00DA2F4B"/>
    <w:rsid w:val="00DA30A6"/>
    <w:rsid w:val="00DA30F2"/>
    <w:rsid w:val="00DA3168"/>
    <w:rsid w:val="00DA3171"/>
    <w:rsid w:val="00DA3191"/>
    <w:rsid w:val="00DA31AC"/>
    <w:rsid w:val="00DA336E"/>
    <w:rsid w:val="00DA3454"/>
    <w:rsid w:val="00DA3487"/>
    <w:rsid w:val="00DA356C"/>
    <w:rsid w:val="00DA4258"/>
    <w:rsid w:val="00DA436F"/>
    <w:rsid w:val="00DA4403"/>
    <w:rsid w:val="00DA44D4"/>
    <w:rsid w:val="00DA4680"/>
    <w:rsid w:val="00DA4723"/>
    <w:rsid w:val="00DA4859"/>
    <w:rsid w:val="00DA49F6"/>
    <w:rsid w:val="00DA4A5B"/>
    <w:rsid w:val="00DA4AB5"/>
    <w:rsid w:val="00DA4B3E"/>
    <w:rsid w:val="00DA4D0B"/>
    <w:rsid w:val="00DA4DF9"/>
    <w:rsid w:val="00DA4F71"/>
    <w:rsid w:val="00DA5091"/>
    <w:rsid w:val="00DA55E0"/>
    <w:rsid w:val="00DA5BFC"/>
    <w:rsid w:val="00DA5C16"/>
    <w:rsid w:val="00DA5C2F"/>
    <w:rsid w:val="00DA5DF0"/>
    <w:rsid w:val="00DA5E11"/>
    <w:rsid w:val="00DA5E49"/>
    <w:rsid w:val="00DA5F23"/>
    <w:rsid w:val="00DA5F4E"/>
    <w:rsid w:val="00DA5F5A"/>
    <w:rsid w:val="00DA621A"/>
    <w:rsid w:val="00DA6245"/>
    <w:rsid w:val="00DA63D4"/>
    <w:rsid w:val="00DA6475"/>
    <w:rsid w:val="00DA6908"/>
    <w:rsid w:val="00DA6914"/>
    <w:rsid w:val="00DA6ACD"/>
    <w:rsid w:val="00DA6B1A"/>
    <w:rsid w:val="00DA6B5E"/>
    <w:rsid w:val="00DA6C77"/>
    <w:rsid w:val="00DA6CC0"/>
    <w:rsid w:val="00DA6E61"/>
    <w:rsid w:val="00DA6E82"/>
    <w:rsid w:val="00DA6F63"/>
    <w:rsid w:val="00DA7109"/>
    <w:rsid w:val="00DA7315"/>
    <w:rsid w:val="00DA74AC"/>
    <w:rsid w:val="00DA74B7"/>
    <w:rsid w:val="00DA76DB"/>
    <w:rsid w:val="00DA7772"/>
    <w:rsid w:val="00DA782D"/>
    <w:rsid w:val="00DA78BB"/>
    <w:rsid w:val="00DA7BDF"/>
    <w:rsid w:val="00DA7DF5"/>
    <w:rsid w:val="00DB0003"/>
    <w:rsid w:val="00DB0077"/>
    <w:rsid w:val="00DB00FE"/>
    <w:rsid w:val="00DB017E"/>
    <w:rsid w:val="00DB0212"/>
    <w:rsid w:val="00DB02CF"/>
    <w:rsid w:val="00DB0363"/>
    <w:rsid w:val="00DB04E1"/>
    <w:rsid w:val="00DB055D"/>
    <w:rsid w:val="00DB06FC"/>
    <w:rsid w:val="00DB077E"/>
    <w:rsid w:val="00DB0797"/>
    <w:rsid w:val="00DB0824"/>
    <w:rsid w:val="00DB0A19"/>
    <w:rsid w:val="00DB0BC2"/>
    <w:rsid w:val="00DB0CFE"/>
    <w:rsid w:val="00DB0D94"/>
    <w:rsid w:val="00DB0E12"/>
    <w:rsid w:val="00DB0FB6"/>
    <w:rsid w:val="00DB0FD9"/>
    <w:rsid w:val="00DB107E"/>
    <w:rsid w:val="00DB10C4"/>
    <w:rsid w:val="00DB1177"/>
    <w:rsid w:val="00DB11D9"/>
    <w:rsid w:val="00DB11E0"/>
    <w:rsid w:val="00DB129C"/>
    <w:rsid w:val="00DB12A5"/>
    <w:rsid w:val="00DB136C"/>
    <w:rsid w:val="00DB13B6"/>
    <w:rsid w:val="00DB1715"/>
    <w:rsid w:val="00DB1758"/>
    <w:rsid w:val="00DB17CC"/>
    <w:rsid w:val="00DB18C0"/>
    <w:rsid w:val="00DB19EF"/>
    <w:rsid w:val="00DB1A35"/>
    <w:rsid w:val="00DB1C25"/>
    <w:rsid w:val="00DB1CA2"/>
    <w:rsid w:val="00DB1E3D"/>
    <w:rsid w:val="00DB1F7F"/>
    <w:rsid w:val="00DB1FF0"/>
    <w:rsid w:val="00DB2016"/>
    <w:rsid w:val="00DB2097"/>
    <w:rsid w:val="00DB2404"/>
    <w:rsid w:val="00DB244A"/>
    <w:rsid w:val="00DB2625"/>
    <w:rsid w:val="00DB2775"/>
    <w:rsid w:val="00DB2780"/>
    <w:rsid w:val="00DB27BF"/>
    <w:rsid w:val="00DB2870"/>
    <w:rsid w:val="00DB29FB"/>
    <w:rsid w:val="00DB2A09"/>
    <w:rsid w:val="00DB2A0D"/>
    <w:rsid w:val="00DB2B3E"/>
    <w:rsid w:val="00DB2C7C"/>
    <w:rsid w:val="00DB2CA8"/>
    <w:rsid w:val="00DB2FD6"/>
    <w:rsid w:val="00DB30A7"/>
    <w:rsid w:val="00DB3173"/>
    <w:rsid w:val="00DB345C"/>
    <w:rsid w:val="00DB3634"/>
    <w:rsid w:val="00DB3683"/>
    <w:rsid w:val="00DB36CD"/>
    <w:rsid w:val="00DB3776"/>
    <w:rsid w:val="00DB37AC"/>
    <w:rsid w:val="00DB382E"/>
    <w:rsid w:val="00DB3950"/>
    <w:rsid w:val="00DB39A0"/>
    <w:rsid w:val="00DB3A06"/>
    <w:rsid w:val="00DB3B91"/>
    <w:rsid w:val="00DB3D77"/>
    <w:rsid w:val="00DB3F22"/>
    <w:rsid w:val="00DB406C"/>
    <w:rsid w:val="00DB40EF"/>
    <w:rsid w:val="00DB4176"/>
    <w:rsid w:val="00DB41E6"/>
    <w:rsid w:val="00DB4460"/>
    <w:rsid w:val="00DB44B1"/>
    <w:rsid w:val="00DB4520"/>
    <w:rsid w:val="00DB4548"/>
    <w:rsid w:val="00DB462C"/>
    <w:rsid w:val="00DB469E"/>
    <w:rsid w:val="00DB47B8"/>
    <w:rsid w:val="00DB4839"/>
    <w:rsid w:val="00DB4A2D"/>
    <w:rsid w:val="00DB4AF2"/>
    <w:rsid w:val="00DB4B16"/>
    <w:rsid w:val="00DB4C11"/>
    <w:rsid w:val="00DB4C62"/>
    <w:rsid w:val="00DB4E0A"/>
    <w:rsid w:val="00DB4F70"/>
    <w:rsid w:val="00DB5183"/>
    <w:rsid w:val="00DB5190"/>
    <w:rsid w:val="00DB5194"/>
    <w:rsid w:val="00DB526C"/>
    <w:rsid w:val="00DB52DA"/>
    <w:rsid w:val="00DB549A"/>
    <w:rsid w:val="00DB54DB"/>
    <w:rsid w:val="00DB5503"/>
    <w:rsid w:val="00DB5521"/>
    <w:rsid w:val="00DB56C5"/>
    <w:rsid w:val="00DB56DD"/>
    <w:rsid w:val="00DB58A5"/>
    <w:rsid w:val="00DB590B"/>
    <w:rsid w:val="00DB5CC5"/>
    <w:rsid w:val="00DB5E1A"/>
    <w:rsid w:val="00DB5EC7"/>
    <w:rsid w:val="00DB62AF"/>
    <w:rsid w:val="00DB63AE"/>
    <w:rsid w:val="00DB63C2"/>
    <w:rsid w:val="00DB648D"/>
    <w:rsid w:val="00DB657E"/>
    <w:rsid w:val="00DB658D"/>
    <w:rsid w:val="00DB6951"/>
    <w:rsid w:val="00DB6B90"/>
    <w:rsid w:val="00DB6BC7"/>
    <w:rsid w:val="00DB6C07"/>
    <w:rsid w:val="00DB6E02"/>
    <w:rsid w:val="00DB6FCA"/>
    <w:rsid w:val="00DB72AD"/>
    <w:rsid w:val="00DB7499"/>
    <w:rsid w:val="00DB74C7"/>
    <w:rsid w:val="00DB74E0"/>
    <w:rsid w:val="00DB7798"/>
    <w:rsid w:val="00DB7950"/>
    <w:rsid w:val="00DB79A3"/>
    <w:rsid w:val="00DB7B15"/>
    <w:rsid w:val="00DC017A"/>
    <w:rsid w:val="00DC02AE"/>
    <w:rsid w:val="00DC03E4"/>
    <w:rsid w:val="00DC04FC"/>
    <w:rsid w:val="00DC055C"/>
    <w:rsid w:val="00DC05CE"/>
    <w:rsid w:val="00DC05E7"/>
    <w:rsid w:val="00DC0687"/>
    <w:rsid w:val="00DC0746"/>
    <w:rsid w:val="00DC07C1"/>
    <w:rsid w:val="00DC09FF"/>
    <w:rsid w:val="00DC0B52"/>
    <w:rsid w:val="00DC0C87"/>
    <w:rsid w:val="00DC1285"/>
    <w:rsid w:val="00DC1354"/>
    <w:rsid w:val="00DC1375"/>
    <w:rsid w:val="00DC140F"/>
    <w:rsid w:val="00DC1574"/>
    <w:rsid w:val="00DC163A"/>
    <w:rsid w:val="00DC1954"/>
    <w:rsid w:val="00DC19CC"/>
    <w:rsid w:val="00DC1A31"/>
    <w:rsid w:val="00DC1B48"/>
    <w:rsid w:val="00DC1BC6"/>
    <w:rsid w:val="00DC1D7E"/>
    <w:rsid w:val="00DC1DA8"/>
    <w:rsid w:val="00DC1F22"/>
    <w:rsid w:val="00DC1F71"/>
    <w:rsid w:val="00DC2289"/>
    <w:rsid w:val="00DC2541"/>
    <w:rsid w:val="00DC2585"/>
    <w:rsid w:val="00DC2732"/>
    <w:rsid w:val="00DC277A"/>
    <w:rsid w:val="00DC2782"/>
    <w:rsid w:val="00DC27D2"/>
    <w:rsid w:val="00DC2A90"/>
    <w:rsid w:val="00DC2C42"/>
    <w:rsid w:val="00DC2DF5"/>
    <w:rsid w:val="00DC2EB4"/>
    <w:rsid w:val="00DC2FD2"/>
    <w:rsid w:val="00DC302A"/>
    <w:rsid w:val="00DC3101"/>
    <w:rsid w:val="00DC32E5"/>
    <w:rsid w:val="00DC32EA"/>
    <w:rsid w:val="00DC3381"/>
    <w:rsid w:val="00DC33AC"/>
    <w:rsid w:val="00DC34FB"/>
    <w:rsid w:val="00DC35CD"/>
    <w:rsid w:val="00DC3768"/>
    <w:rsid w:val="00DC385D"/>
    <w:rsid w:val="00DC387A"/>
    <w:rsid w:val="00DC391C"/>
    <w:rsid w:val="00DC3AB9"/>
    <w:rsid w:val="00DC3AC4"/>
    <w:rsid w:val="00DC3DEC"/>
    <w:rsid w:val="00DC3E57"/>
    <w:rsid w:val="00DC3ED4"/>
    <w:rsid w:val="00DC41B7"/>
    <w:rsid w:val="00DC4231"/>
    <w:rsid w:val="00DC42E6"/>
    <w:rsid w:val="00DC43D9"/>
    <w:rsid w:val="00DC43DB"/>
    <w:rsid w:val="00DC43E4"/>
    <w:rsid w:val="00DC45D1"/>
    <w:rsid w:val="00DC4612"/>
    <w:rsid w:val="00DC46B3"/>
    <w:rsid w:val="00DC481E"/>
    <w:rsid w:val="00DC489C"/>
    <w:rsid w:val="00DC4964"/>
    <w:rsid w:val="00DC496D"/>
    <w:rsid w:val="00DC499B"/>
    <w:rsid w:val="00DC49BF"/>
    <w:rsid w:val="00DC49FA"/>
    <w:rsid w:val="00DC4A1D"/>
    <w:rsid w:val="00DC4BD9"/>
    <w:rsid w:val="00DC4E1B"/>
    <w:rsid w:val="00DC4FCC"/>
    <w:rsid w:val="00DC5088"/>
    <w:rsid w:val="00DC50CE"/>
    <w:rsid w:val="00DC530B"/>
    <w:rsid w:val="00DC535A"/>
    <w:rsid w:val="00DC53BE"/>
    <w:rsid w:val="00DC55E7"/>
    <w:rsid w:val="00DC567C"/>
    <w:rsid w:val="00DC5771"/>
    <w:rsid w:val="00DC59A5"/>
    <w:rsid w:val="00DC5A2E"/>
    <w:rsid w:val="00DC5A8F"/>
    <w:rsid w:val="00DC5DAF"/>
    <w:rsid w:val="00DC5E09"/>
    <w:rsid w:val="00DC5F3C"/>
    <w:rsid w:val="00DC624C"/>
    <w:rsid w:val="00DC65CB"/>
    <w:rsid w:val="00DC65F0"/>
    <w:rsid w:val="00DC66FD"/>
    <w:rsid w:val="00DC6851"/>
    <w:rsid w:val="00DC6860"/>
    <w:rsid w:val="00DC6884"/>
    <w:rsid w:val="00DC69AB"/>
    <w:rsid w:val="00DC69BF"/>
    <w:rsid w:val="00DC69D8"/>
    <w:rsid w:val="00DC6AF0"/>
    <w:rsid w:val="00DC6BE9"/>
    <w:rsid w:val="00DC6C7A"/>
    <w:rsid w:val="00DC6CA0"/>
    <w:rsid w:val="00DC6D48"/>
    <w:rsid w:val="00DC6E27"/>
    <w:rsid w:val="00DC7075"/>
    <w:rsid w:val="00DC727F"/>
    <w:rsid w:val="00DC73E0"/>
    <w:rsid w:val="00DC742C"/>
    <w:rsid w:val="00DC747F"/>
    <w:rsid w:val="00DC7551"/>
    <w:rsid w:val="00DC7649"/>
    <w:rsid w:val="00DC76BB"/>
    <w:rsid w:val="00DC7723"/>
    <w:rsid w:val="00DC774C"/>
    <w:rsid w:val="00DC7756"/>
    <w:rsid w:val="00DC77D9"/>
    <w:rsid w:val="00DC7890"/>
    <w:rsid w:val="00DC7BE8"/>
    <w:rsid w:val="00DC7CBA"/>
    <w:rsid w:val="00DC7DB3"/>
    <w:rsid w:val="00DC7EA5"/>
    <w:rsid w:val="00DD0094"/>
    <w:rsid w:val="00DD0173"/>
    <w:rsid w:val="00DD04BE"/>
    <w:rsid w:val="00DD062E"/>
    <w:rsid w:val="00DD070A"/>
    <w:rsid w:val="00DD08CF"/>
    <w:rsid w:val="00DD0BD2"/>
    <w:rsid w:val="00DD0D9D"/>
    <w:rsid w:val="00DD0DAF"/>
    <w:rsid w:val="00DD0DF1"/>
    <w:rsid w:val="00DD0E3C"/>
    <w:rsid w:val="00DD10FC"/>
    <w:rsid w:val="00DD1415"/>
    <w:rsid w:val="00DD152D"/>
    <w:rsid w:val="00DD169B"/>
    <w:rsid w:val="00DD1813"/>
    <w:rsid w:val="00DD185D"/>
    <w:rsid w:val="00DD18E4"/>
    <w:rsid w:val="00DD1A23"/>
    <w:rsid w:val="00DD1A9B"/>
    <w:rsid w:val="00DD1B05"/>
    <w:rsid w:val="00DD1C8F"/>
    <w:rsid w:val="00DD1D56"/>
    <w:rsid w:val="00DD1D96"/>
    <w:rsid w:val="00DD1FA4"/>
    <w:rsid w:val="00DD20B9"/>
    <w:rsid w:val="00DD22B5"/>
    <w:rsid w:val="00DD22CB"/>
    <w:rsid w:val="00DD238D"/>
    <w:rsid w:val="00DD2679"/>
    <w:rsid w:val="00DD26DA"/>
    <w:rsid w:val="00DD2A15"/>
    <w:rsid w:val="00DD2ADD"/>
    <w:rsid w:val="00DD2FB8"/>
    <w:rsid w:val="00DD30EB"/>
    <w:rsid w:val="00DD314B"/>
    <w:rsid w:val="00DD31C0"/>
    <w:rsid w:val="00DD3247"/>
    <w:rsid w:val="00DD32F8"/>
    <w:rsid w:val="00DD3491"/>
    <w:rsid w:val="00DD34CE"/>
    <w:rsid w:val="00DD3688"/>
    <w:rsid w:val="00DD3807"/>
    <w:rsid w:val="00DD3B7B"/>
    <w:rsid w:val="00DD3B93"/>
    <w:rsid w:val="00DD3C81"/>
    <w:rsid w:val="00DD3D5A"/>
    <w:rsid w:val="00DD3DEC"/>
    <w:rsid w:val="00DD3E61"/>
    <w:rsid w:val="00DD3F0D"/>
    <w:rsid w:val="00DD3FAB"/>
    <w:rsid w:val="00DD402D"/>
    <w:rsid w:val="00DD40FB"/>
    <w:rsid w:val="00DD4114"/>
    <w:rsid w:val="00DD4222"/>
    <w:rsid w:val="00DD422B"/>
    <w:rsid w:val="00DD430A"/>
    <w:rsid w:val="00DD456C"/>
    <w:rsid w:val="00DD45C4"/>
    <w:rsid w:val="00DD468D"/>
    <w:rsid w:val="00DD4A70"/>
    <w:rsid w:val="00DD4CCD"/>
    <w:rsid w:val="00DD4E88"/>
    <w:rsid w:val="00DD4E9C"/>
    <w:rsid w:val="00DD4F2C"/>
    <w:rsid w:val="00DD4FF8"/>
    <w:rsid w:val="00DD5089"/>
    <w:rsid w:val="00DD50C7"/>
    <w:rsid w:val="00DD518D"/>
    <w:rsid w:val="00DD545E"/>
    <w:rsid w:val="00DD5488"/>
    <w:rsid w:val="00DD54DE"/>
    <w:rsid w:val="00DD550B"/>
    <w:rsid w:val="00DD5540"/>
    <w:rsid w:val="00DD55C8"/>
    <w:rsid w:val="00DD55E4"/>
    <w:rsid w:val="00DD5612"/>
    <w:rsid w:val="00DD56C3"/>
    <w:rsid w:val="00DD5705"/>
    <w:rsid w:val="00DD5731"/>
    <w:rsid w:val="00DD57C8"/>
    <w:rsid w:val="00DD58A2"/>
    <w:rsid w:val="00DD5995"/>
    <w:rsid w:val="00DD5A4F"/>
    <w:rsid w:val="00DD5A57"/>
    <w:rsid w:val="00DD5B7C"/>
    <w:rsid w:val="00DD5F44"/>
    <w:rsid w:val="00DD5F50"/>
    <w:rsid w:val="00DD5F79"/>
    <w:rsid w:val="00DD609E"/>
    <w:rsid w:val="00DD60D3"/>
    <w:rsid w:val="00DD6151"/>
    <w:rsid w:val="00DD64C8"/>
    <w:rsid w:val="00DD6567"/>
    <w:rsid w:val="00DD65BF"/>
    <w:rsid w:val="00DD660E"/>
    <w:rsid w:val="00DD6792"/>
    <w:rsid w:val="00DD6865"/>
    <w:rsid w:val="00DD6BCC"/>
    <w:rsid w:val="00DD6C8E"/>
    <w:rsid w:val="00DD6CE6"/>
    <w:rsid w:val="00DD6F1B"/>
    <w:rsid w:val="00DD6FA4"/>
    <w:rsid w:val="00DD72D7"/>
    <w:rsid w:val="00DD7355"/>
    <w:rsid w:val="00DD7426"/>
    <w:rsid w:val="00DD74B9"/>
    <w:rsid w:val="00DD74C4"/>
    <w:rsid w:val="00DD7553"/>
    <w:rsid w:val="00DD75C1"/>
    <w:rsid w:val="00DD7769"/>
    <w:rsid w:val="00DD7AE2"/>
    <w:rsid w:val="00DD7AF0"/>
    <w:rsid w:val="00DD7CAF"/>
    <w:rsid w:val="00DD7DEE"/>
    <w:rsid w:val="00DD7DFC"/>
    <w:rsid w:val="00DE009A"/>
    <w:rsid w:val="00DE01E1"/>
    <w:rsid w:val="00DE0231"/>
    <w:rsid w:val="00DE0629"/>
    <w:rsid w:val="00DE063D"/>
    <w:rsid w:val="00DE0825"/>
    <w:rsid w:val="00DE0954"/>
    <w:rsid w:val="00DE0A2B"/>
    <w:rsid w:val="00DE0A9B"/>
    <w:rsid w:val="00DE0B82"/>
    <w:rsid w:val="00DE0D4C"/>
    <w:rsid w:val="00DE0E48"/>
    <w:rsid w:val="00DE0EB1"/>
    <w:rsid w:val="00DE0F76"/>
    <w:rsid w:val="00DE0F95"/>
    <w:rsid w:val="00DE10D3"/>
    <w:rsid w:val="00DE113B"/>
    <w:rsid w:val="00DE120A"/>
    <w:rsid w:val="00DE1214"/>
    <w:rsid w:val="00DE12FE"/>
    <w:rsid w:val="00DE133B"/>
    <w:rsid w:val="00DE1360"/>
    <w:rsid w:val="00DE15C7"/>
    <w:rsid w:val="00DE15EC"/>
    <w:rsid w:val="00DE1614"/>
    <w:rsid w:val="00DE1883"/>
    <w:rsid w:val="00DE1934"/>
    <w:rsid w:val="00DE1ACF"/>
    <w:rsid w:val="00DE1BDA"/>
    <w:rsid w:val="00DE1CC7"/>
    <w:rsid w:val="00DE1F6B"/>
    <w:rsid w:val="00DE20A6"/>
    <w:rsid w:val="00DE2159"/>
    <w:rsid w:val="00DE2218"/>
    <w:rsid w:val="00DE2557"/>
    <w:rsid w:val="00DE26BD"/>
    <w:rsid w:val="00DE2745"/>
    <w:rsid w:val="00DE2787"/>
    <w:rsid w:val="00DE286F"/>
    <w:rsid w:val="00DE2881"/>
    <w:rsid w:val="00DE2A0F"/>
    <w:rsid w:val="00DE2A75"/>
    <w:rsid w:val="00DE2ACC"/>
    <w:rsid w:val="00DE2C0E"/>
    <w:rsid w:val="00DE2C32"/>
    <w:rsid w:val="00DE2D45"/>
    <w:rsid w:val="00DE2D89"/>
    <w:rsid w:val="00DE2DA2"/>
    <w:rsid w:val="00DE2DEB"/>
    <w:rsid w:val="00DE2ED9"/>
    <w:rsid w:val="00DE2F81"/>
    <w:rsid w:val="00DE30D3"/>
    <w:rsid w:val="00DE3194"/>
    <w:rsid w:val="00DE34A1"/>
    <w:rsid w:val="00DE34F6"/>
    <w:rsid w:val="00DE353E"/>
    <w:rsid w:val="00DE35A3"/>
    <w:rsid w:val="00DE3700"/>
    <w:rsid w:val="00DE37E8"/>
    <w:rsid w:val="00DE3940"/>
    <w:rsid w:val="00DE3C1C"/>
    <w:rsid w:val="00DE3F58"/>
    <w:rsid w:val="00DE3F99"/>
    <w:rsid w:val="00DE4095"/>
    <w:rsid w:val="00DE40B9"/>
    <w:rsid w:val="00DE41EB"/>
    <w:rsid w:val="00DE42D1"/>
    <w:rsid w:val="00DE4317"/>
    <w:rsid w:val="00DE4378"/>
    <w:rsid w:val="00DE4462"/>
    <w:rsid w:val="00DE4526"/>
    <w:rsid w:val="00DE45A2"/>
    <w:rsid w:val="00DE468B"/>
    <w:rsid w:val="00DE473A"/>
    <w:rsid w:val="00DE4767"/>
    <w:rsid w:val="00DE47C6"/>
    <w:rsid w:val="00DE488C"/>
    <w:rsid w:val="00DE490E"/>
    <w:rsid w:val="00DE4A4B"/>
    <w:rsid w:val="00DE4A4C"/>
    <w:rsid w:val="00DE4BC9"/>
    <w:rsid w:val="00DE4C59"/>
    <w:rsid w:val="00DE4D26"/>
    <w:rsid w:val="00DE519E"/>
    <w:rsid w:val="00DE51AF"/>
    <w:rsid w:val="00DE5383"/>
    <w:rsid w:val="00DE53E4"/>
    <w:rsid w:val="00DE54C0"/>
    <w:rsid w:val="00DE5580"/>
    <w:rsid w:val="00DE55BD"/>
    <w:rsid w:val="00DE5624"/>
    <w:rsid w:val="00DE5630"/>
    <w:rsid w:val="00DE5793"/>
    <w:rsid w:val="00DE587A"/>
    <w:rsid w:val="00DE58CC"/>
    <w:rsid w:val="00DE5D26"/>
    <w:rsid w:val="00DE5DE7"/>
    <w:rsid w:val="00DE5E47"/>
    <w:rsid w:val="00DE5FB0"/>
    <w:rsid w:val="00DE5FC3"/>
    <w:rsid w:val="00DE61B5"/>
    <w:rsid w:val="00DE6270"/>
    <w:rsid w:val="00DE6350"/>
    <w:rsid w:val="00DE636D"/>
    <w:rsid w:val="00DE6431"/>
    <w:rsid w:val="00DE65C5"/>
    <w:rsid w:val="00DE6638"/>
    <w:rsid w:val="00DE690B"/>
    <w:rsid w:val="00DE6C40"/>
    <w:rsid w:val="00DE6DF2"/>
    <w:rsid w:val="00DE6FC2"/>
    <w:rsid w:val="00DE71E6"/>
    <w:rsid w:val="00DE72F5"/>
    <w:rsid w:val="00DE74A4"/>
    <w:rsid w:val="00DE759B"/>
    <w:rsid w:val="00DE75FA"/>
    <w:rsid w:val="00DE7641"/>
    <w:rsid w:val="00DE76BF"/>
    <w:rsid w:val="00DE7B09"/>
    <w:rsid w:val="00DE7B10"/>
    <w:rsid w:val="00DE7B21"/>
    <w:rsid w:val="00DE7B5A"/>
    <w:rsid w:val="00DE7B7C"/>
    <w:rsid w:val="00DE7E86"/>
    <w:rsid w:val="00DE7F3E"/>
    <w:rsid w:val="00DF0048"/>
    <w:rsid w:val="00DF0103"/>
    <w:rsid w:val="00DF01EE"/>
    <w:rsid w:val="00DF035B"/>
    <w:rsid w:val="00DF03C4"/>
    <w:rsid w:val="00DF0543"/>
    <w:rsid w:val="00DF0603"/>
    <w:rsid w:val="00DF0678"/>
    <w:rsid w:val="00DF0734"/>
    <w:rsid w:val="00DF090E"/>
    <w:rsid w:val="00DF0A5D"/>
    <w:rsid w:val="00DF0B90"/>
    <w:rsid w:val="00DF0C17"/>
    <w:rsid w:val="00DF0D45"/>
    <w:rsid w:val="00DF0D4F"/>
    <w:rsid w:val="00DF0D66"/>
    <w:rsid w:val="00DF0E85"/>
    <w:rsid w:val="00DF0E88"/>
    <w:rsid w:val="00DF1192"/>
    <w:rsid w:val="00DF14D1"/>
    <w:rsid w:val="00DF14D6"/>
    <w:rsid w:val="00DF15AE"/>
    <w:rsid w:val="00DF1A2A"/>
    <w:rsid w:val="00DF1AD0"/>
    <w:rsid w:val="00DF1ADC"/>
    <w:rsid w:val="00DF1BB2"/>
    <w:rsid w:val="00DF1C30"/>
    <w:rsid w:val="00DF1C7D"/>
    <w:rsid w:val="00DF1DB1"/>
    <w:rsid w:val="00DF1EFD"/>
    <w:rsid w:val="00DF2033"/>
    <w:rsid w:val="00DF2250"/>
    <w:rsid w:val="00DF22AA"/>
    <w:rsid w:val="00DF2304"/>
    <w:rsid w:val="00DF2346"/>
    <w:rsid w:val="00DF23A9"/>
    <w:rsid w:val="00DF256B"/>
    <w:rsid w:val="00DF2663"/>
    <w:rsid w:val="00DF271F"/>
    <w:rsid w:val="00DF2783"/>
    <w:rsid w:val="00DF284E"/>
    <w:rsid w:val="00DF29E5"/>
    <w:rsid w:val="00DF2A51"/>
    <w:rsid w:val="00DF2AD8"/>
    <w:rsid w:val="00DF2E74"/>
    <w:rsid w:val="00DF2EC9"/>
    <w:rsid w:val="00DF2FF0"/>
    <w:rsid w:val="00DF317E"/>
    <w:rsid w:val="00DF321F"/>
    <w:rsid w:val="00DF331D"/>
    <w:rsid w:val="00DF3454"/>
    <w:rsid w:val="00DF349C"/>
    <w:rsid w:val="00DF356B"/>
    <w:rsid w:val="00DF3688"/>
    <w:rsid w:val="00DF3694"/>
    <w:rsid w:val="00DF3812"/>
    <w:rsid w:val="00DF396A"/>
    <w:rsid w:val="00DF3B3B"/>
    <w:rsid w:val="00DF3BD4"/>
    <w:rsid w:val="00DF3C30"/>
    <w:rsid w:val="00DF3E8E"/>
    <w:rsid w:val="00DF3F4F"/>
    <w:rsid w:val="00DF401E"/>
    <w:rsid w:val="00DF4053"/>
    <w:rsid w:val="00DF4777"/>
    <w:rsid w:val="00DF4910"/>
    <w:rsid w:val="00DF497F"/>
    <w:rsid w:val="00DF49E7"/>
    <w:rsid w:val="00DF4B5D"/>
    <w:rsid w:val="00DF4C3F"/>
    <w:rsid w:val="00DF4FA4"/>
    <w:rsid w:val="00DF504E"/>
    <w:rsid w:val="00DF5234"/>
    <w:rsid w:val="00DF5266"/>
    <w:rsid w:val="00DF52E5"/>
    <w:rsid w:val="00DF5332"/>
    <w:rsid w:val="00DF5366"/>
    <w:rsid w:val="00DF5703"/>
    <w:rsid w:val="00DF596F"/>
    <w:rsid w:val="00DF5A87"/>
    <w:rsid w:val="00DF5B29"/>
    <w:rsid w:val="00DF5B8E"/>
    <w:rsid w:val="00DF5EB1"/>
    <w:rsid w:val="00DF5FE5"/>
    <w:rsid w:val="00DF606D"/>
    <w:rsid w:val="00DF6082"/>
    <w:rsid w:val="00DF62D1"/>
    <w:rsid w:val="00DF62FA"/>
    <w:rsid w:val="00DF65E5"/>
    <w:rsid w:val="00DF6881"/>
    <w:rsid w:val="00DF6931"/>
    <w:rsid w:val="00DF6C97"/>
    <w:rsid w:val="00DF6E64"/>
    <w:rsid w:val="00DF709A"/>
    <w:rsid w:val="00DF7118"/>
    <w:rsid w:val="00DF711D"/>
    <w:rsid w:val="00DF71AF"/>
    <w:rsid w:val="00DF7418"/>
    <w:rsid w:val="00DF7436"/>
    <w:rsid w:val="00DF7570"/>
    <w:rsid w:val="00DF7A42"/>
    <w:rsid w:val="00DF7A45"/>
    <w:rsid w:val="00DF7EB4"/>
    <w:rsid w:val="00DF7F92"/>
    <w:rsid w:val="00DF7FE7"/>
    <w:rsid w:val="00E001BB"/>
    <w:rsid w:val="00E0038B"/>
    <w:rsid w:val="00E004BF"/>
    <w:rsid w:val="00E004F7"/>
    <w:rsid w:val="00E00537"/>
    <w:rsid w:val="00E00639"/>
    <w:rsid w:val="00E006D2"/>
    <w:rsid w:val="00E009DA"/>
    <w:rsid w:val="00E00AF7"/>
    <w:rsid w:val="00E00B5F"/>
    <w:rsid w:val="00E00E0F"/>
    <w:rsid w:val="00E00F7C"/>
    <w:rsid w:val="00E00F95"/>
    <w:rsid w:val="00E01052"/>
    <w:rsid w:val="00E016F8"/>
    <w:rsid w:val="00E01856"/>
    <w:rsid w:val="00E01874"/>
    <w:rsid w:val="00E01890"/>
    <w:rsid w:val="00E01917"/>
    <w:rsid w:val="00E01940"/>
    <w:rsid w:val="00E01C40"/>
    <w:rsid w:val="00E01E2C"/>
    <w:rsid w:val="00E01E56"/>
    <w:rsid w:val="00E021E0"/>
    <w:rsid w:val="00E0221C"/>
    <w:rsid w:val="00E0223A"/>
    <w:rsid w:val="00E02397"/>
    <w:rsid w:val="00E023B1"/>
    <w:rsid w:val="00E02636"/>
    <w:rsid w:val="00E028FA"/>
    <w:rsid w:val="00E02A25"/>
    <w:rsid w:val="00E02ADE"/>
    <w:rsid w:val="00E02C5D"/>
    <w:rsid w:val="00E03134"/>
    <w:rsid w:val="00E032ED"/>
    <w:rsid w:val="00E036C1"/>
    <w:rsid w:val="00E036D3"/>
    <w:rsid w:val="00E03753"/>
    <w:rsid w:val="00E03804"/>
    <w:rsid w:val="00E03805"/>
    <w:rsid w:val="00E039E4"/>
    <w:rsid w:val="00E03C26"/>
    <w:rsid w:val="00E03C56"/>
    <w:rsid w:val="00E03CDB"/>
    <w:rsid w:val="00E03F9B"/>
    <w:rsid w:val="00E04162"/>
    <w:rsid w:val="00E0440C"/>
    <w:rsid w:val="00E04521"/>
    <w:rsid w:val="00E0454A"/>
    <w:rsid w:val="00E04681"/>
    <w:rsid w:val="00E047B5"/>
    <w:rsid w:val="00E04879"/>
    <w:rsid w:val="00E04B41"/>
    <w:rsid w:val="00E05384"/>
    <w:rsid w:val="00E053B0"/>
    <w:rsid w:val="00E054BE"/>
    <w:rsid w:val="00E0555A"/>
    <w:rsid w:val="00E0560E"/>
    <w:rsid w:val="00E0581E"/>
    <w:rsid w:val="00E05829"/>
    <w:rsid w:val="00E05951"/>
    <w:rsid w:val="00E05A73"/>
    <w:rsid w:val="00E05CC2"/>
    <w:rsid w:val="00E05DA7"/>
    <w:rsid w:val="00E05E00"/>
    <w:rsid w:val="00E06139"/>
    <w:rsid w:val="00E06268"/>
    <w:rsid w:val="00E06295"/>
    <w:rsid w:val="00E06499"/>
    <w:rsid w:val="00E064C2"/>
    <w:rsid w:val="00E064CC"/>
    <w:rsid w:val="00E064DE"/>
    <w:rsid w:val="00E06603"/>
    <w:rsid w:val="00E0667B"/>
    <w:rsid w:val="00E066EA"/>
    <w:rsid w:val="00E066FB"/>
    <w:rsid w:val="00E06744"/>
    <w:rsid w:val="00E06745"/>
    <w:rsid w:val="00E068CA"/>
    <w:rsid w:val="00E06B01"/>
    <w:rsid w:val="00E06B7F"/>
    <w:rsid w:val="00E06D5B"/>
    <w:rsid w:val="00E06E02"/>
    <w:rsid w:val="00E06FC8"/>
    <w:rsid w:val="00E07141"/>
    <w:rsid w:val="00E071E6"/>
    <w:rsid w:val="00E0726B"/>
    <w:rsid w:val="00E07278"/>
    <w:rsid w:val="00E0736B"/>
    <w:rsid w:val="00E0743A"/>
    <w:rsid w:val="00E0770F"/>
    <w:rsid w:val="00E07768"/>
    <w:rsid w:val="00E077BA"/>
    <w:rsid w:val="00E07A0E"/>
    <w:rsid w:val="00E07A17"/>
    <w:rsid w:val="00E07AE4"/>
    <w:rsid w:val="00E07D87"/>
    <w:rsid w:val="00E07EA1"/>
    <w:rsid w:val="00E07F6E"/>
    <w:rsid w:val="00E1000D"/>
    <w:rsid w:val="00E100FB"/>
    <w:rsid w:val="00E1019C"/>
    <w:rsid w:val="00E1026C"/>
    <w:rsid w:val="00E104B7"/>
    <w:rsid w:val="00E104D8"/>
    <w:rsid w:val="00E10589"/>
    <w:rsid w:val="00E105B8"/>
    <w:rsid w:val="00E1060D"/>
    <w:rsid w:val="00E1064D"/>
    <w:rsid w:val="00E1068B"/>
    <w:rsid w:val="00E108C5"/>
    <w:rsid w:val="00E10937"/>
    <w:rsid w:val="00E109F2"/>
    <w:rsid w:val="00E10A1C"/>
    <w:rsid w:val="00E10AFB"/>
    <w:rsid w:val="00E10E63"/>
    <w:rsid w:val="00E10F1D"/>
    <w:rsid w:val="00E112EE"/>
    <w:rsid w:val="00E11321"/>
    <w:rsid w:val="00E11431"/>
    <w:rsid w:val="00E11826"/>
    <w:rsid w:val="00E1184A"/>
    <w:rsid w:val="00E11B25"/>
    <w:rsid w:val="00E11B6C"/>
    <w:rsid w:val="00E11E27"/>
    <w:rsid w:val="00E11FA2"/>
    <w:rsid w:val="00E120BE"/>
    <w:rsid w:val="00E12229"/>
    <w:rsid w:val="00E123BF"/>
    <w:rsid w:val="00E12582"/>
    <w:rsid w:val="00E12868"/>
    <w:rsid w:val="00E128AF"/>
    <w:rsid w:val="00E128D4"/>
    <w:rsid w:val="00E129F2"/>
    <w:rsid w:val="00E12BFA"/>
    <w:rsid w:val="00E12CEB"/>
    <w:rsid w:val="00E12F37"/>
    <w:rsid w:val="00E13175"/>
    <w:rsid w:val="00E131F3"/>
    <w:rsid w:val="00E1332C"/>
    <w:rsid w:val="00E134E3"/>
    <w:rsid w:val="00E13598"/>
    <w:rsid w:val="00E1361B"/>
    <w:rsid w:val="00E13A11"/>
    <w:rsid w:val="00E13B71"/>
    <w:rsid w:val="00E13BCA"/>
    <w:rsid w:val="00E13BCD"/>
    <w:rsid w:val="00E13BF8"/>
    <w:rsid w:val="00E13D86"/>
    <w:rsid w:val="00E13D8E"/>
    <w:rsid w:val="00E13FA3"/>
    <w:rsid w:val="00E13FF6"/>
    <w:rsid w:val="00E140C0"/>
    <w:rsid w:val="00E14125"/>
    <w:rsid w:val="00E142EF"/>
    <w:rsid w:val="00E144C3"/>
    <w:rsid w:val="00E145BC"/>
    <w:rsid w:val="00E14A59"/>
    <w:rsid w:val="00E14C21"/>
    <w:rsid w:val="00E14CBF"/>
    <w:rsid w:val="00E14E25"/>
    <w:rsid w:val="00E14EEC"/>
    <w:rsid w:val="00E14F62"/>
    <w:rsid w:val="00E15021"/>
    <w:rsid w:val="00E15071"/>
    <w:rsid w:val="00E153BC"/>
    <w:rsid w:val="00E1545F"/>
    <w:rsid w:val="00E15684"/>
    <w:rsid w:val="00E157A8"/>
    <w:rsid w:val="00E15A1C"/>
    <w:rsid w:val="00E15B44"/>
    <w:rsid w:val="00E15B97"/>
    <w:rsid w:val="00E15C3A"/>
    <w:rsid w:val="00E15CAC"/>
    <w:rsid w:val="00E15E1E"/>
    <w:rsid w:val="00E1615E"/>
    <w:rsid w:val="00E1655E"/>
    <w:rsid w:val="00E16565"/>
    <w:rsid w:val="00E167CE"/>
    <w:rsid w:val="00E168EC"/>
    <w:rsid w:val="00E169B2"/>
    <w:rsid w:val="00E16A52"/>
    <w:rsid w:val="00E16B80"/>
    <w:rsid w:val="00E16C07"/>
    <w:rsid w:val="00E16C6D"/>
    <w:rsid w:val="00E16DD8"/>
    <w:rsid w:val="00E16ED5"/>
    <w:rsid w:val="00E16F31"/>
    <w:rsid w:val="00E16F5C"/>
    <w:rsid w:val="00E16F84"/>
    <w:rsid w:val="00E16F9B"/>
    <w:rsid w:val="00E16FC2"/>
    <w:rsid w:val="00E17280"/>
    <w:rsid w:val="00E172DC"/>
    <w:rsid w:val="00E1784B"/>
    <w:rsid w:val="00E17DFB"/>
    <w:rsid w:val="00E17E41"/>
    <w:rsid w:val="00E17F2F"/>
    <w:rsid w:val="00E20156"/>
    <w:rsid w:val="00E2024A"/>
    <w:rsid w:val="00E2051B"/>
    <w:rsid w:val="00E20AE9"/>
    <w:rsid w:val="00E20B65"/>
    <w:rsid w:val="00E20BD6"/>
    <w:rsid w:val="00E20E35"/>
    <w:rsid w:val="00E20E7C"/>
    <w:rsid w:val="00E20E8F"/>
    <w:rsid w:val="00E20EC9"/>
    <w:rsid w:val="00E21062"/>
    <w:rsid w:val="00E2122A"/>
    <w:rsid w:val="00E21254"/>
    <w:rsid w:val="00E21359"/>
    <w:rsid w:val="00E214F2"/>
    <w:rsid w:val="00E21706"/>
    <w:rsid w:val="00E21778"/>
    <w:rsid w:val="00E2178F"/>
    <w:rsid w:val="00E21C58"/>
    <w:rsid w:val="00E21D24"/>
    <w:rsid w:val="00E21D26"/>
    <w:rsid w:val="00E21DB4"/>
    <w:rsid w:val="00E21F04"/>
    <w:rsid w:val="00E22107"/>
    <w:rsid w:val="00E222D5"/>
    <w:rsid w:val="00E22451"/>
    <w:rsid w:val="00E22478"/>
    <w:rsid w:val="00E224E2"/>
    <w:rsid w:val="00E225C6"/>
    <w:rsid w:val="00E22735"/>
    <w:rsid w:val="00E2285A"/>
    <w:rsid w:val="00E22A4E"/>
    <w:rsid w:val="00E22A56"/>
    <w:rsid w:val="00E22D6B"/>
    <w:rsid w:val="00E22DAC"/>
    <w:rsid w:val="00E22E41"/>
    <w:rsid w:val="00E22F81"/>
    <w:rsid w:val="00E22FB4"/>
    <w:rsid w:val="00E22FD0"/>
    <w:rsid w:val="00E2306F"/>
    <w:rsid w:val="00E230B7"/>
    <w:rsid w:val="00E231C7"/>
    <w:rsid w:val="00E23340"/>
    <w:rsid w:val="00E23399"/>
    <w:rsid w:val="00E234D6"/>
    <w:rsid w:val="00E234DE"/>
    <w:rsid w:val="00E2352E"/>
    <w:rsid w:val="00E23686"/>
    <w:rsid w:val="00E236B8"/>
    <w:rsid w:val="00E236C3"/>
    <w:rsid w:val="00E23718"/>
    <w:rsid w:val="00E237A9"/>
    <w:rsid w:val="00E2386D"/>
    <w:rsid w:val="00E2398E"/>
    <w:rsid w:val="00E23A4F"/>
    <w:rsid w:val="00E23CDF"/>
    <w:rsid w:val="00E23D61"/>
    <w:rsid w:val="00E23DC0"/>
    <w:rsid w:val="00E23DEB"/>
    <w:rsid w:val="00E24042"/>
    <w:rsid w:val="00E240C3"/>
    <w:rsid w:val="00E241B2"/>
    <w:rsid w:val="00E241B6"/>
    <w:rsid w:val="00E24382"/>
    <w:rsid w:val="00E244A0"/>
    <w:rsid w:val="00E24598"/>
    <w:rsid w:val="00E24890"/>
    <w:rsid w:val="00E248BC"/>
    <w:rsid w:val="00E2495E"/>
    <w:rsid w:val="00E24BBF"/>
    <w:rsid w:val="00E24BDD"/>
    <w:rsid w:val="00E24CD0"/>
    <w:rsid w:val="00E24CE0"/>
    <w:rsid w:val="00E24FD9"/>
    <w:rsid w:val="00E2510C"/>
    <w:rsid w:val="00E251EF"/>
    <w:rsid w:val="00E252B2"/>
    <w:rsid w:val="00E25384"/>
    <w:rsid w:val="00E25528"/>
    <w:rsid w:val="00E25729"/>
    <w:rsid w:val="00E25900"/>
    <w:rsid w:val="00E259A3"/>
    <w:rsid w:val="00E25AB7"/>
    <w:rsid w:val="00E25B3E"/>
    <w:rsid w:val="00E25BCC"/>
    <w:rsid w:val="00E25C09"/>
    <w:rsid w:val="00E25C5E"/>
    <w:rsid w:val="00E25CA7"/>
    <w:rsid w:val="00E25D54"/>
    <w:rsid w:val="00E25E32"/>
    <w:rsid w:val="00E26033"/>
    <w:rsid w:val="00E26218"/>
    <w:rsid w:val="00E26279"/>
    <w:rsid w:val="00E2634F"/>
    <w:rsid w:val="00E26375"/>
    <w:rsid w:val="00E26394"/>
    <w:rsid w:val="00E26612"/>
    <w:rsid w:val="00E267AF"/>
    <w:rsid w:val="00E268B8"/>
    <w:rsid w:val="00E268BC"/>
    <w:rsid w:val="00E268F1"/>
    <w:rsid w:val="00E26CB4"/>
    <w:rsid w:val="00E26DE4"/>
    <w:rsid w:val="00E26DE8"/>
    <w:rsid w:val="00E26E36"/>
    <w:rsid w:val="00E26EFE"/>
    <w:rsid w:val="00E26F27"/>
    <w:rsid w:val="00E26F57"/>
    <w:rsid w:val="00E26FEB"/>
    <w:rsid w:val="00E27076"/>
    <w:rsid w:val="00E2709D"/>
    <w:rsid w:val="00E270FF"/>
    <w:rsid w:val="00E2728A"/>
    <w:rsid w:val="00E272DF"/>
    <w:rsid w:val="00E27367"/>
    <w:rsid w:val="00E2739E"/>
    <w:rsid w:val="00E2746D"/>
    <w:rsid w:val="00E27483"/>
    <w:rsid w:val="00E27487"/>
    <w:rsid w:val="00E27492"/>
    <w:rsid w:val="00E27632"/>
    <w:rsid w:val="00E276F7"/>
    <w:rsid w:val="00E2771F"/>
    <w:rsid w:val="00E277C7"/>
    <w:rsid w:val="00E277D5"/>
    <w:rsid w:val="00E277E3"/>
    <w:rsid w:val="00E277FB"/>
    <w:rsid w:val="00E27802"/>
    <w:rsid w:val="00E27925"/>
    <w:rsid w:val="00E27A4B"/>
    <w:rsid w:val="00E27BB8"/>
    <w:rsid w:val="00E27D7A"/>
    <w:rsid w:val="00E30089"/>
    <w:rsid w:val="00E301AB"/>
    <w:rsid w:val="00E301DF"/>
    <w:rsid w:val="00E306E0"/>
    <w:rsid w:val="00E3095C"/>
    <w:rsid w:val="00E30A4B"/>
    <w:rsid w:val="00E30A63"/>
    <w:rsid w:val="00E30B80"/>
    <w:rsid w:val="00E30C80"/>
    <w:rsid w:val="00E30DED"/>
    <w:rsid w:val="00E30E73"/>
    <w:rsid w:val="00E31010"/>
    <w:rsid w:val="00E3109D"/>
    <w:rsid w:val="00E3111B"/>
    <w:rsid w:val="00E312F7"/>
    <w:rsid w:val="00E315CB"/>
    <w:rsid w:val="00E316B8"/>
    <w:rsid w:val="00E3185D"/>
    <w:rsid w:val="00E318EA"/>
    <w:rsid w:val="00E31953"/>
    <w:rsid w:val="00E31AFD"/>
    <w:rsid w:val="00E31B54"/>
    <w:rsid w:val="00E31B5B"/>
    <w:rsid w:val="00E3206D"/>
    <w:rsid w:val="00E3211C"/>
    <w:rsid w:val="00E32200"/>
    <w:rsid w:val="00E3225A"/>
    <w:rsid w:val="00E322E8"/>
    <w:rsid w:val="00E32619"/>
    <w:rsid w:val="00E327F5"/>
    <w:rsid w:val="00E32B90"/>
    <w:rsid w:val="00E33098"/>
    <w:rsid w:val="00E33102"/>
    <w:rsid w:val="00E3315D"/>
    <w:rsid w:val="00E3320D"/>
    <w:rsid w:val="00E332B7"/>
    <w:rsid w:val="00E333FB"/>
    <w:rsid w:val="00E334E0"/>
    <w:rsid w:val="00E335DD"/>
    <w:rsid w:val="00E336A2"/>
    <w:rsid w:val="00E3379E"/>
    <w:rsid w:val="00E337BA"/>
    <w:rsid w:val="00E337F9"/>
    <w:rsid w:val="00E33860"/>
    <w:rsid w:val="00E338F4"/>
    <w:rsid w:val="00E3394A"/>
    <w:rsid w:val="00E339C7"/>
    <w:rsid w:val="00E339CD"/>
    <w:rsid w:val="00E339E0"/>
    <w:rsid w:val="00E33AC7"/>
    <w:rsid w:val="00E33C46"/>
    <w:rsid w:val="00E33CA2"/>
    <w:rsid w:val="00E33D4E"/>
    <w:rsid w:val="00E33D91"/>
    <w:rsid w:val="00E3425A"/>
    <w:rsid w:val="00E342C1"/>
    <w:rsid w:val="00E34324"/>
    <w:rsid w:val="00E34342"/>
    <w:rsid w:val="00E343B5"/>
    <w:rsid w:val="00E34470"/>
    <w:rsid w:val="00E344DC"/>
    <w:rsid w:val="00E34507"/>
    <w:rsid w:val="00E34517"/>
    <w:rsid w:val="00E34621"/>
    <w:rsid w:val="00E3475A"/>
    <w:rsid w:val="00E34CF2"/>
    <w:rsid w:val="00E34D5A"/>
    <w:rsid w:val="00E34DD5"/>
    <w:rsid w:val="00E34E6B"/>
    <w:rsid w:val="00E34E85"/>
    <w:rsid w:val="00E34EBF"/>
    <w:rsid w:val="00E34F92"/>
    <w:rsid w:val="00E34FEA"/>
    <w:rsid w:val="00E35045"/>
    <w:rsid w:val="00E35104"/>
    <w:rsid w:val="00E35396"/>
    <w:rsid w:val="00E3549A"/>
    <w:rsid w:val="00E357BE"/>
    <w:rsid w:val="00E35996"/>
    <w:rsid w:val="00E35CBF"/>
    <w:rsid w:val="00E35FB2"/>
    <w:rsid w:val="00E360AD"/>
    <w:rsid w:val="00E361B1"/>
    <w:rsid w:val="00E36361"/>
    <w:rsid w:val="00E36500"/>
    <w:rsid w:val="00E3671D"/>
    <w:rsid w:val="00E36799"/>
    <w:rsid w:val="00E3688A"/>
    <w:rsid w:val="00E36AD6"/>
    <w:rsid w:val="00E36D36"/>
    <w:rsid w:val="00E36D65"/>
    <w:rsid w:val="00E36DD4"/>
    <w:rsid w:val="00E36E72"/>
    <w:rsid w:val="00E36FC9"/>
    <w:rsid w:val="00E37198"/>
    <w:rsid w:val="00E371B2"/>
    <w:rsid w:val="00E37226"/>
    <w:rsid w:val="00E3728A"/>
    <w:rsid w:val="00E37446"/>
    <w:rsid w:val="00E3757D"/>
    <w:rsid w:val="00E375B0"/>
    <w:rsid w:val="00E378FA"/>
    <w:rsid w:val="00E37A94"/>
    <w:rsid w:val="00E37B61"/>
    <w:rsid w:val="00E37BA2"/>
    <w:rsid w:val="00E37E85"/>
    <w:rsid w:val="00E37F0F"/>
    <w:rsid w:val="00E37F1C"/>
    <w:rsid w:val="00E4021A"/>
    <w:rsid w:val="00E40355"/>
    <w:rsid w:val="00E4038F"/>
    <w:rsid w:val="00E40572"/>
    <w:rsid w:val="00E405F1"/>
    <w:rsid w:val="00E40697"/>
    <w:rsid w:val="00E4074C"/>
    <w:rsid w:val="00E40A50"/>
    <w:rsid w:val="00E40C60"/>
    <w:rsid w:val="00E40CB6"/>
    <w:rsid w:val="00E40F31"/>
    <w:rsid w:val="00E40FED"/>
    <w:rsid w:val="00E4101D"/>
    <w:rsid w:val="00E4105B"/>
    <w:rsid w:val="00E411FB"/>
    <w:rsid w:val="00E4129D"/>
    <w:rsid w:val="00E413D8"/>
    <w:rsid w:val="00E414DC"/>
    <w:rsid w:val="00E41568"/>
    <w:rsid w:val="00E416FD"/>
    <w:rsid w:val="00E4174A"/>
    <w:rsid w:val="00E418B3"/>
    <w:rsid w:val="00E41A1D"/>
    <w:rsid w:val="00E41AF1"/>
    <w:rsid w:val="00E41B30"/>
    <w:rsid w:val="00E41BEA"/>
    <w:rsid w:val="00E41C78"/>
    <w:rsid w:val="00E41CA3"/>
    <w:rsid w:val="00E41F43"/>
    <w:rsid w:val="00E41F7E"/>
    <w:rsid w:val="00E42228"/>
    <w:rsid w:val="00E42290"/>
    <w:rsid w:val="00E422C6"/>
    <w:rsid w:val="00E4241C"/>
    <w:rsid w:val="00E42445"/>
    <w:rsid w:val="00E42667"/>
    <w:rsid w:val="00E42722"/>
    <w:rsid w:val="00E42741"/>
    <w:rsid w:val="00E427A1"/>
    <w:rsid w:val="00E42819"/>
    <w:rsid w:val="00E42944"/>
    <w:rsid w:val="00E42995"/>
    <w:rsid w:val="00E4328A"/>
    <w:rsid w:val="00E432C9"/>
    <w:rsid w:val="00E43318"/>
    <w:rsid w:val="00E43367"/>
    <w:rsid w:val="00E4362D"/>
    <w:rsid w:val="00E43644"/>
    <w:rsid w:val="00E43B1E"/>
    <w:rsid w:val="00E43D2C"/>
    <w:rsid w:val="00E43D92"/>
    <w:rsid w:val="00E43D93"/>
    <w:rsid w:val="00E43F02"/>
    <w:rsid w:val="00E43F8A"/>
    <w:rsid w:val="00E4402F"/>
    <w:rsid w:val="00E44118"/>
    <w:rsid w:val="00E44270"/>
    <w:rsid w:val="00E4428A"/>
    <w:rsid w:val="00E442BC"/>
    <w:rsid w:val="00E442C3"/>
    <w:rsid w:val="00E44330"/>
    <w:rsid w:val="00E44367"/>
    <w:rsid w:val="00E4441F"/>
    <w:rsid w:val="00E4449F"/>
    <w:rsid w:val="00E446A8"/>
    <w:rsid w:val="00E4488B"/>
    <w:rsid w:val="00E448C2"/>
    <w:rsid w:val="00E449F6"/>
    <w:rsid w:val="00E44A56"/>
    <w:rsid w:val="00E44AD9"/>
    <w:rsid w:val="00E44B25"/>
    <w:rsid w:val="00E44CBD"/>
    <w:rsid w:val="00E44DB4"/>
    <w:rsid w:val="00E44F44"/>
    <w:rsid w:val="00E450D5"/>
    <w:rsid w:val="00E4529D"/>
    <w:rsid w:val="00E453F2"/>
    <w:rsid w:val="00E4550A"/>
    <w:rsid w:val="00E45976"/>
    <w:rsid w:val="00E45A31"/>
    <w:rsid w:val="00E45BDD"/>
    <w:rsid w:val="00E45C55"/>
    <w:rsid w:val="00E45EE2"/>
    <w:rsid w:val="00E45EE7"/>
    <w:rsid w:val="00E45F30"/>
    <w:rsid w:val="00E46093"/>
    <w:rsid w:val="00E461AC"/>
    <w:rsid w:val="00E464A1"/>
    <w:rsid w:val="00E469EC"/>
    <w:rsid w:val="00E46B49"/>
    <w:rsid w:val="00E46CDA"/>
    <w:rsid w:val="00E46DEB"/>
    <w:rsid w:val="00E46E53"/>
    <w:rsid w:val="00E46F95"/>
    <w:rsid w:val="00E473A0"/>
    <w:rsid w:val="00E474A7"/>
    <w:rsid w:val="00E476B6"/>
    <w:rsid w:val="00E4785E"/>
    <w:rsid w:val="00E4791D"/>
    <w:rsid w:val="00E47D32"/>
    <w:rsid w:val="00E47DF6"/>
    <w:rsid w:val="00E500AC"/>
    <w:rsid w:val="00E50103"/>
    <w:rsid w:val="00E502E1"/>
    <w:rsid w:val="00E50331"/>
    <w:rsid w:val="00E50560"/>
    <w:rsid w:val="00E505CA"/>
    <w:rsid w:val="00E50609"/>
    <w:rsid w:val="00E5078E"/>
    <w:rsid w:val="00E50837"/>
    <w:rsid w:val="00E508FC"/>
    <w:rsid w:val="00E5090D"/>
    <w:rsid w:val="00E50A04"/>
    <w:rsid w:val="00E50C65"/>
    <w:rsid w:val="00E50D5F"/>
    <w:rsid w:val="00E50EEF"/>
    <w:rsid w:val="00E5110E"/>
    <w:rsid w:val="00E5117F"/>
    <w:rsid w:val="00E51442"/>
    <w:rsid w:val="00E514C1"/>
    <w:rsid w:val="00E51528"/>
    <w:rsid w:val="00E51575"/>
    <w:rsid w:val="00E51746"/>
    <w:rsid w:val="00E517E5"/>
    <w:rsid w:val="00E5191A"/>
    <w:rsid w:val="00E51BBA"/>
    <w:rsid w:val="00E51BDD"/>
    <w:rsid w:val="00E51C11"/>
    <w:rsid w:val="00E51D26"/>
    <w:rsid w:val="00E51EF5"/>
    <w:rsid w:val="00E520FB"/>
    <w:rsid w:val="00E5211B"/>
    <w:rsid w:val="00E521A2"/>
    <w:rsid w:val="00E521D3"/>
    <w:rsid w:val="00E521DC"/>
    <w:rsid w:val="00E524B7"/>
    <w:rsid w:val="00E525F8"/>
    <w:rsid w:val="00E5290A"/>
    <w:rsid w:val="00E52968"/>
    <w:rsid w:val="00E52ABF"/>
    <w:rsid w:val="00E52EED"/>
    <w:rsid w:val="00E53053"/>
    <w:rsid w:val="00E53257"/>
    <w:rsid w:val="00E5329B"/>
    <w:rsid w:val="00E5336A"/>
    <w:rsid w:val="00E533A2"/>
    <w:rsid w:val="00E536D3"/>
    <w:rsid w:val="00E53738"/>
    <w:rsid w:val="00E5379F"/>
    <w:rsid w:val="00E539BC"/>
    <w:rsid w:val="00E53A51"/>
    <w:rsid w:val="00E53AB2"/>
    <w:rsid w:val="00E53B68"/>
    <w:rsid w:val="00E53C77"/>
    <w:rsid w:val="00E53D16"/>
    <w:rsid w:val="00E53EBD"/>
    <w:rsid w:val="00E540BB"/>
    <w:rsid w:val="00E5436E"/>
    <w:rsid w:val="00E54379"/>
    <w:rsid w:val="00E54463"/>
    <w:rsid w:val="00E544CA"/>
    <w:rsid w:val="00E545B7"/>
    <w:rsid w:val="00E545B9"/>
    <w:rsid w:val="00E545F6"/>
    <w:rsid w:val="00E5462F"/>
    <w:rsid w:val="00E54955"/>
    <w:rsid w:val="00E54BCF"/>
    <w:rsid w:val="00E54D7C"/>
    <w:rsid w:val="00E54D85"/>
    <w:rsid w:val="00E54F21"/>
    <w:rsid w:val="00E54FAD"/>
    <w:rsid w:val="00E55116"/>
    <w:rsid w:val="00E55311"/>
    <w:rsid w:val="00E55343"/>
    <w:rsid w:val="00E55610"/>
    <w:rsid w:val="00E556F8"/>
    <w:rsid w:val="00E5598B"/>
    <w:rsid w:val="00E55CD2"/>
    <w:rsid w:val="00E55D99"/>
    <w:rsid w:val="00E55E53"/>
    <w:rsid w:val="00E55E85"/>
    <w:rsid w:val="00E55FF3"/>
    <w:rsid w:val="00E561CA"/>
    <w:rsid w:val="00E561E7"/>
    <w:rsid w:val="00E562FD"/>
    <w:rsid w:val="00E56389"/>
    <w:rsid w:val="00E564BD"/>
    <w:rsid w:val="00E567FB"/>
    <w:rsid w:val="00E56805"/>
    <w:rsid w:val="00E56828"/>
    <w:rsid w:val="00E5693E"/>
    <w:rsid w:val="00E569E7"/>
    <w:rsid w:val="00E56AC4"/>
    <w:rsid w:val="00E56ACD"/>
    <w:rsid w:val="00E56C91"/>
    <w:rsid w:val="00E56CB5"/>
    <w:rsid w:val="00E56CE0"/>
    <w:rsid w:val="00E56E71"/>
    <w:rsid w:val="00E56EA5"/>
    <w:rsid w:val="00E57033"/>
    <w:rsid w:val="00E570FC"/>
    <w:rsid w:val="00E577A9"/>
    <w:rsid w:val="00E579A6"/>
    <w:rsid w:val="00E57A81"/>
    <w:rsid w:val="00E57BC4"/>
    <w:rsid w:val="00E57BD9"/>
    <w:rsid w:val="00E57C50"/>
    <w:rsid w:val="00E57CDB"/>
    <w:rsid w:val="00E57D5A"/>
    <w:rsid w:val="00E57DB0"/>
    <w:rsid w:val="00E57DD1"/>
    <w:rsid w:val="00E57E2D"/>
    <w:rsid w:val="00E57F5D"/>
    <w:rsid w:val="00E57F65"/>
    <w:rsid w:val="00E601BF"/>
    <w:rsid w:val="00E6044B"/>
    <w:rsid w:val="00E6077E"/>
    <w:rsid w:val="00E608CC"/>
    <w:rsid w:val="00E608EB"/>
    <w:rsid w:val="00E609D7"/>
    <w:rsid w:val="00E60B08"/>
    <w:rsid w:val="00E60EA0"/>
    <w:rsid w:val="00E60EF9"/>
    <w:rsid w:val="00E60F8D"/>
    <w:rsid w:val="00E61008"/>
    <w:rsid w:val="00E6109A"/>
    <w:rsid w:val="00E6121A"/>
    <w:rsid w:val="00E61291"/>
    <w:rsid w:val="00E613C8"/>
    <w:rsid w:val="00E6186B"/>
    <w:rsid w:val="00E618DB"/>
    <w:rsid w:val="00E61934"/>
    <w:rsid w:val="00E61AB5"/>
    <w:rsid w:val="00E61B5B"/>
    <w:rsid w:val="00E61B77"/>
    <w:rsid w:val="00E61B86"/>
    <w:rsid w:val="00E61C0D"/>
    <w:rsid w:val="00E61C64"/>
    <w:rsid w:val="00E61C98"/>
    <w:rsid w:val="00E61CBB"/>
    <w:rsid w:val="00E61CBC"/>
    <w:rsid w:val="00E61E14"/>
    <w:rsid w:val="00E61F1C"/>
    <w:rsid w:val="00E61F46"/>
    <w:rsid w:val="00E62097"/>
    <w:rsid w:val="00E620C9"/>
    <w:rsid w:val="00E62187"/>
    <w:rsid w:val="00E62263"/>
    <w:rsid w:val="00E6240F"/>
    <w:rsid w:val="00E62614"/>
    <w:rsid w:val="00E626CA"/>
    <w:rsid w:val="00E627E8"/>
    <w:rsid w:val="00E62887"/>
    <w:rsid w:val="00E628B3"/>
    <w:rsid w:val="00E62986"/>
    <w:rsid w:val="00E62A1C"/>
    <w:rsid w:val="00E62B15"/>
    <w:rsid w:val="00E62BF9"/>
    <w:rsid w:val="00E62F1D"/>
    <w:rsid w:val="00E62F1E"/>
    <w:rsid w:val="00E63035"/>
    <w:rsid w:val="00E633D2"/>
    <w:rsid w:val="00E6341F"/>
    <w:rsid w:val="00E63560"/>
    <w:rsid w:val="00E6369F"/>
    <w:rsid w:val="00E6393A"/>
    <w:rsid w:val="00E63942"/>
    <w:rsid w:val="00E63BCD"/>
    <w:rsid w:val="00E63D5E"/>
    <w:rsid w:val="00E63EB3"/>
    <w:rsid w:val="00E63EFE"/>
    <w:rsid w:val="00E63F43"/>
    <w:rsid w:val="00E6407F"/>
    <w:rsid w:val="00E64107"/>
    <w:rsid w:val="00E6430B"/>
    <w:rsid w:val="00E64388"/>
    <w:rsid w:val="00E644AA"/>
    <w:rsid w:val="00E64554"/>
    <w:rsid w:val="00E64649"/>
    <w:rsid w:val="00E64756"/>
    <w:rsid w:val="00E647FB"/>
    <w:rsid w:val="00E64858"/>
    <w:rsid w:val="00E64A8F"/>
    <w:rsid w:val="00E64B30"/>
    <w:rsid w:val="00E64C67"/>
    <w:rsid w:val="00E64CC6"/>
    <w:rsid w:val="00E64D4F"/>
    <w:rsid w:val="00E64DF8"/>
    <w:rsid w:val="00E64F2D"/>
    <w:rsid w:val="00E65057"/>
    <w:rsid w:val="00E6512D"/>
    <w:rsid w:val="00E65200"/>
    <w:rsid w:val="00E652AB"/>
    <w:rsid w:val="00E65323"/>
    <w:rsid w:val="00E65464"/>
    <w:rsid w:val="00E65524"/>
    <w:rsid w:val="00E65529"/>
    <w:rsid w:val="00E655D2"/>
    <w:rsid w:val="00E657D8"/>
    <w:rsid w:val="00E6583E"/>
    <w:rsid w:val="00E65B03"/>
    <w:rsid w:val="00E65C48"/>
    <w:rsid w:val="00E65D51"/>
    <w:rsid w:val="00E65E42"/>
    <w:rsid w:val="00E65E89"/>
    <w:rsid w:val="00E66134"/>
    <w:rsid w:val="00E662AB"/>
    <w:rsid w:val="00E662DD"/>
    <w:rsid w:val="00E66487"/>
    <w:rsid w:val="00E66587"/>
    <w:rsid w:val="00E667B2"/>
    <w:rsid w:val="00E66888"/>
    <w:rsid w:val="00E668AE"/>
    <w:rsid w:val="00E668EB"/>
    <w:rsid w:val="00E66A4D"/>
    <w:rsid w:val="00E66B39"/>
    <w:rsid w:val="00E66BB9"/>
    <w:rsid w:val="00E66C02"/>
    <w:rsid w:val="00E66C16"/>
    <w:rsid w:val="00E66CE1"/>
    <w:rsid w:val="00E66FBA"/>
    <w:rsid w:val="00E671D6"/>
    <w:rsid w:val="00E6740F"/>
    <w:rsid w:val="00E67601"/>
    <w:rsid w:val="00E677A3"/>
    <w:rsid w:val="00E677D1"/>
    <w:rsid w:val="00E678D1"/>
    <w:rsid w:val="00E679A5"/>
    <w:rsid w:val="00E67AE9"/>
    <w:rsid w:val="00E67BD3"/>
    <w:rsid w:val="00E67E20"/>
    <w:rsid w:val="00E67E9D"/>
    <w:rsid w:val="00E67F14"/>
    <w:rsid w:val="00E700B9"/>
    <w:rsid w:val="00E7014E"/>
    <w:rsid w:val="00E701AA"/>
    <w:rsid w:val="00E701C4"/>
    <w:rsid w:val="00E7025A"/>
    <w:rsid w:val="00E702D8"/>
    <w:rsid w:val="00E702E5"/>
    <w:rsid w:val="00E704F3"/>
    <w:rsid w:val="00E705C2"/>
    <w:rsid w:val="00E70618"/>
    <w:rsid w:val="00E70888"/>
    <w:rsid w:val="00E708B6"/>
    <w:rsid w:val="00E70A82"/>
    <w:rsid w:val="00E70AEC"/>
    <w:rsid w:val="00E70D89"/>
    <w:rsid w:val="00E70E02"/>
    <w:rsid w:val="00E71163"/>
    <w:rsid w:val="00E71365"/>
    <w:rsid w:val="00E7141A"/>
    <w:rsid w:val="00E71430"/>
    <w:rsid w:val="00E71500"/>
    <w:rsid w:val="00E71545"/>
    <w:rsid w:val="00E7172A"/>
    <w:rsid w:val="00E717F0"/>
    <w:rsid w:val="00E71942"/>
    <w:rsid w:val="00E71971"/>
    <w:rsid w:val="00E71B8C"/>
    <w:rsid w:val="00E71C57"/>
    <w:rsid w:val="00E71CAD"/>
    <w:rsid w:val="00E71CBE"/>
    <w:rsid w:val="00E71CCE"/>
    <w:rsid w:val="00E71F04"/>
    <w:rsid w:val="00E7226A"/>
    <w:rsid w:val="00E7259E"/>
    <w:rsid w:val="00E726B1"/>
    <w:rsid w:val="00E72751"/>
    <w:rsid w:val="00E727E8"/>
    <w:rsid w:val="00E728E1"/>
    <w:rsid w:val="00E72B44"/>
    <w:rsid w:val="00E72B6D"/>
    <w:rsid w:val="00E72BBE"/>
    <w:rsid w:val="00E72BD7"/>
    <w:rsid w:val="00E72D21"/>
    <w:rsid w:val="00E72D6B"/>
    <w:rsid w:val="00E72F11"/>
    <w:rsid w:val="00E73037"/>
    <w:rsid w:val="00E7305D"/>
    <w:rsid w:val="00E732C3"/>
    <w:rsid w:val="00E733BE"/>
    <w:rsid w:val="00E734BC"/>
    <w:rsid w:val="00E73581"/>
    <w:rsid w:val="00E7359E"/>
    <w:rsid w:val="00E7360F"/>
    <w:rsid w:val="00E736F8"/>
    <w:rsid w:val="00E737B9"/>
    <w:rsid w:val="00E737CD"/>
    <w:rsid w:val="00E73876"/>
    <w:rsid w:val="00E73A9C"/>
    <w:rsid w:val="00E73B03"/>
    <w:rsid w:val="00E73C25"/>
    <w:rsid w:val="00E73CE7"/>
    <w:rsid w:val="00E73D44"/>
    <w:rsid w:val="00E73E86"/>
    <w:rsid w:val="00E743FD"/>
    <w:rsid w:val="00E744EC"/>
    <w:rsid w:val="00E7465C"/>
    <w:rsid w:val="00E74766"/>
    <w:rsid w:val="00E747E1"/>
    <w:rsid w:val="00E748C8"/>
    <w:rsid w:val="00E74B6C"/>
    <w:rsid w:val="00E74DDD"/>
    <w:rsid w:val="00E74F48"/>
    <w:rsid w:val="00E75032"/>
    <w:rsid w:val="00E7534D"/>
    <w:rsid w:val="00E7544F"/>
    <w:rsid w:val="00E754CF"/>
    <w:rsid w:val="00E75941"/>
    <w:rsid w:val="00E75CB6"/>
    <w:rsid w:val="00E75E1D"/>
    <w:rsid w:val="00E75F1D"/>
    <w:rsid w:val="00E76063"/>
    <w:rsid w:val="00E7606A"/>
    <w:rsid w:val="00E76314"/>
    <w:rsid w:val="00E7643B"/>
    <w:rsid w:val="00E7647B"/>
    <w:rsid w:val="00E764C9"/>
    <w:rsid w:val="00E764DF"/>
    <w:rsid w:val="00E766D9"/>
    <w:rsid w:val="00E766EF"/>
    <w:rsid w:val="00E76876"/>
    <w:rsid w:val="00E768AF"/>
    <w:rsid w:val="00E76902"/>
    <w:rsid w:val="00E76999"/>
    <w:rsid w:val="00E769C5"/>
    <w:rsid w:val="00E76A89"/>
    <w:rsid w:val="00E76CDC"/>
    <w:rsid w:val="00E76F6F"/>
    <w:rsid w:val="00E772F2"/>
    <w:rsid w:val="00E773C8"/>
    <w:rsid w:val="00E77488"/>
    <w:rsid w:val="00E7775D"/>
    <w:rsid w:val="00E77766"/>
    <w:rsid w:val="00E778AA"/>
    <w:rsid w:val="00E778F4"/>
    <w:rsid w:val="00E77937"/>
    <w:rsid w:val="00E77AB8"/>
    <w:rsid w:val="00E77B31"/>
    <w:rsid w:val="00E77BFD"/>
    <w:rsid w:val="00E77F0F"/>
    <w:rsid w:val="00E80186"/>
    <w:rsid w:val="00E801E9"/>
    <w:rsid w:val="00E80307"/>
    <w:rsid w:val="00E80490"/>
    <w:rsid w:val="00E8063C"/>
    <w:rsid w:val="00E80667"/>
    <w:rsid w:val="00E807D8"/>
    <w:rsid w:val="00E80814"/>
    <w:rsid w:val="00E808C8"/>
    <w:rsid w:val="00E80A69"/>
    <w:rsid w:val="00E80F20"/>
    <w:rsid w:val="00E80F37"/>
    <w:rsid w:val="00E81271"/>
    <w:rsid w:val="00E81287"/>
    <w:rsid w:val="00E812B5"/>
    <w:rsid w:val="00E81418"/>
    <w:rsid w:val="00E81447"/>
    <w:rsid w:val="00E81475"/>
    <w:rsid w:val="00E81537"/>
    <w:rsid w:val="00E816EE"/>
    <w:rsid w:val="00E8193E"/>
    <w:rsid w:val="00E81AC0"/>
    <w:rsid w:val="00E81B87"/>
    <w:rsid w:val="00E81CAA"/>
    <w:rsid w:val="00E81CED"/>
    <w:rsid w:val="00E81D73"/>
    <w:rsid w:val="00E81DFD"/>
    <w:rsid w:val="00E81E9A"/>
    <w:rsid w:val="00E81FF2"/>
    <w:rsid w:val="00E820CC"/>
    <w:rsid w:val="00E8210F"/>
    <w:rsid w:val="00E8223C"/>
    <w:rsid w:val="00E8233A"/>
    <w:rsid w:val="00E823D8"/>
    <w:rsid w:val="00E82473"/>
    <w:rsid w:val="00E824F1"/>
    <w:rsid w:val="00E82B7D"/>
    <w:rsid w:val="00E82CAF"/>
    <w:rsid w:val="00E82CB1"/>
    <w:rsid w:val="00E82E45"/>
    <w:rsid w:val="00E82E54"/>
    <w:rsid w:val="00E82F9C"/>
    <w:rsid w:val="00E8302D"/>
    <w:rsid w:val="00E831A7"/>
    <w:rsid w:val="00E83277"/>
    <w:rsid w:val="00E834D9"/>
    <w:rsid w:val="00E834F7"/>
    <w:rsid w:val="00E835AD"/>
    <w:rsid w:val="00E83739"/>
    <w:rsid w:val="00E838A1"/>
    <w:rsid w:val="00E8397C"/>
    <w:rsid w:val="00E83A42"/>
    <w:rsid w:val="00E83A6D"/>
    <w:rsid w:val="00E83B63"/>
    <w:rsid w:val="00E83C16"/>
    <w:rsid w:val="00E83EEE"/>
    <w:rsid w:val="00E843DF"/>
    <w:rsid w:val="00E84666"/>
    <w:rsid w:val="00E84675"/>
    <w:rsid w:val="00E84689"/>
    <w:rsid w:val="00E84846"/>
    <w:rsid w:val="00E848E9"/>
    <w:rsid w:val="00E84A4C"/>
    <w:rsid w:val="00E84B40"/>
    <w:rsid w:val="00E84BE6"/>
    <w:rsid w:val="00E84C7A"/>
    <w:rsid w:val="00E84D09"/>
    <w:rsid w:val="00E84DEA"/>
    <w:rsid w:val="00E84F1E"/>
    <w:rsid w:val="00E853BD"/>
    <w:rsid w:val="00E856B7"/>
    <w:rsid w:val="00E85875"/>
    <w:rsid w:val="00E859EC"/>
    <w:rsid w:val="00E85A09"/>
    <w:rsid w:val="00E85A67"/>
    <w:rsid w:val="00E85C41"/>
    <w:rsid w:val="00E85C68"/>
    <w:rsid w:val="00E85DDB"/>
    <w:rsid w:val="00E85E1C"/>
    <w:rsid w:val="00E85E74"/>
    <w:rsid w:val="00E85F88"/>
    <w:rsid w:val="00E8609F"/>
    <w:rsid w:val="00E86146"/>
    <w:rsid w:val="00E86323"/>
    <w:rsid w:val="00E86331"/>
    <w:rsid w:val="00E86332"/>
    <w:rsid w:val="00E86346"/>
    <w:rsid w:val="00E865A9"/>
    <w:rsid w:val="00E8674B"/>
    <w:rsid w:val="00E86759"/>
    <w:rsid w:val="00E86773"/>
    <w:rsid w:val="00E86845"/>
    <w:rsid w:val="00E8699E"/>
    <w:rsid w:val="00E86B44"/>
    <w:rsid w:val="00E86C8E"/>
    <w:rsid w:val="00E86E4C"/>
    <w:rsid w:val="00E86EE1"/>
    <w:rsid w:val="00E86F98"/>
    <w:rsid w:val="00E8700E"/>
    <w:rsid w:val="00E871DF"/>
    <w:rsid w:val="00E871E4"/>
    <w:rsid w:val="00E87230"/>
    <w:rsid w:val="00E8734A"/>
    <w:rsid w:val="00E873F3"/>
    <w:rsid w:val="00E874AF"/>
    <w:rsid w:val="00E8766D"/>
    <w:rsid w:val="00E877B0"/>
    <w:rsid w:val="00E878E6"/>
    <w:rsid w:val="00E87911"/>
    <w:rsid w:val="00E8791F"/>
    <w:rsid w:val="00E87A95"/>
    <w:rsid w:val="00E87AD5"/>
    <w:rsid w:val="00E87AE1"/>
    <w:rsid w:val="00E87C20"/>
    <w:rsid w:val="00E87C52"/>
    <w:rsid w:val="00E87C8C"/>
    <w:rsid w:val="00E87CB6"/>
    <w:rsid w:val="00E87D61"/>
    <w:rsid w:val="00E87F4F"/>
    <w:rsid w:val="00E9005B"/>
    <w:rsid w:val="00E90085"/>
    <w:rsid w:val="00E9025A"/>
    <w:rsid w:val="00E90267"/>
    <w:rsid w:val="00E90326"/>
    <w:rsid w:val="00E9033B"/>
    <w:rsid w:val="00E90345"/>
    <w:rsid w:val="00E90387"/>
    <w:rsid w:val="00E903A0"/>
    <w:rsid w:val="00E9045B"/>
    <w:rsid w:val="00E90471"/>
    <w:rsid w:val="00E90496"/>
    <w:rsid w:val="00E9073A"/>
    <w:rsid w:val="00E908BC"/>
    <w:rsid w:val="00E90A40"/>
    <w:rsid w:val="00E90A85"/>
    <w:rsid w:val="00E90B21"/>
    <w:rsid w:val="00E90B26"/>
    <w:rsid w:val="00E90CD8"/>
    <w:rsid w:val="00E90DF8"/>
    <w:rsid w:val="00E91422"/>
    <w:rsid w:val="00E91516"/>
    <w:rsid w:val="00E916AE"/>
    <w:rsid w:val="00E91CEB"/>
    <w:rsid w:val="00E91E1E"/>
    <w:rsid w:val="00E91F69"/>
    <w:rsid w:val="00E922F6"/>
    <w:rsid w:val="00E92307"/>
    <w:rsid w:val="00E92390"/>
    <w:rsid w:val="00E924A1"/>
    <w:rsid w:val="00E92585"/>
    <w:rsid w:val="00E92878"/>
    <w:rsid w:val="00E9288E"/>
    <w:rsid w:val="00E928B8"/>
    <w:rsid w:val="00E929CF"/>
    <w:rsid w:val="00E929D9"/>
    <w:rsid w:val="00E92AAC"/>
    <w:rsid w:val="00E92CA0"/>
    <w:rsid w:val="00E934C2"/>
    <w:rsid w:val="00E93562"/>
    <w:rsid w:val="00E93597"/>
    <w:rsid w:val="00E935A0"/>
    <w:rsid w:val="00E93684"/>
    <w:rsid w:val="00E93750"/>
    <w:rsid w:val="00E93823"/>
    <w:rsid w:val="00E93C37"/>
    <w:rsid w:val="00E93C95"/>
    <w:rsid w:val="00E93CDA"/>
    <w:rsid w:val="00E93F10"/>
    <w:rsid w:val="00E94064"/>
    <w:rsid w:val="00E9412B"/>
    <w:rsid w:val="00E941A4"/>
    <w:rsid w:val="00E94207"/>
    <w:rsid w:val="00E94315"/>
    <w:rsid w:val="00E945C5"/>
    <w:rsid w:val="00E9468F"/>
    <w:rsid w:val="00E94724"/>
    <w:rsid w:val="00E947A8"/>
    <w:rsid w:val="00E94BA4"/>
    <w:rsid w:val="00E94DE5"/>
    <w:rsid w:val="00E94ED2"/>
    <w:rsid w:val="00E94F70"/>
    <w:rsid w:val="00E94FDE"/>
    <w:rsid w:val="00E950FD"/>
    <w:rsid w:val="00E955F1"/>
    <w:rsid w:val="00E95676"/>
    <w:rsid w:val="00E956FA"/>
    <w:rsid w:val="00E9579F"/>
    <w:rsid w:val="00E95BBA"/>
    <w:rsid w:val="00E95D31"/>
    <w:rsid w:val="00E95D6D"/>
    <w:rsid w:val="00E9640D"/>
    <w:rsid w:val="00E9645B"/>
    <w:rsid w:val="00E96624"/>
    <w:rsid w:val="00E966F2"/>
    <w:rsid w:val="00E9680D"/>
    <w:rsid w:val="00E9685B"/>
    <w:rsid w:val="00E969AF"/>
    <w:rsid w:val="00E96A2D"/>
    <w:rsid w:val="00E96BE0"/>
    <w:rsid w:val="00E96D83"/>
    <w:rsid w:val="00E96E1C"/>
    <w:rsid w:val="00E96F73"/>
    <w:rsid w:val="00E9718D"/>
    <w:rsid w:val="00E97258"/>
    <w:rsid w:val="00E97310"/>
    <w:rsid w:val="00E97493"/>
    <w:rsid w:val="00E9749F"/>
    <w:rsid w:val="00E9750A"/>
    <w:rsid w:val="00E976B0"/>
    <w:rsid w:val="00E977D2"/>
    <w:rsid w:val="00E97822"/>
    <w:rsid w:val="00E97C75"/>
    <w:rsid w:val="00E97E6E"/>
    <w:rsid w:val="00EA003D"/>
    <w:rsid w:val="00EA03CE"/>
    <w:rsid w:val="00EA04A0"/>
    <w:rsid w:val="00EA04F0"/>
    <w:rsid w:val="00EA057A"/>
    <w:rsid w:val="00EA059E"/>
    <w:rsid w:val="00EA0918"/>
    <w:rsid w:val="00EA09E2"/>
    <w:rsid w:val="00EA0CEA"/>
    <w:rsid w:val="00EA0D56"/>
    <w:rsid w:val="00EA0F37"/>
    <w:rsid w:val="00EA0F50"/>
    <w:rsid w:val="00EA131F"/>
    <w:rsid w:val="00EA1668"/>
    <w:rsid w:val="00EA1897"/>
    <w:rsid w:val="00EA1A09"/>
    <w:rsid w:val="00EA1A5E"/>
    <w:rsid w:val="00EA1C26"/>
    <w:rsid w:val="00EA1D14"/>
    <w:rsid w:val="00EA1DDF"/>
    <w:rsid w:val="00EA1E4A"/>
    <w:rsid w:val="00EA1E4B"/>
    <w:rsid w:val="00EA1F43"/>
    <w:rsid w:val="00EA1FDA"/>
    <w:rsid w:val="00EA2253"/>
    <w:rsid w:val="00EA22B1"/>
    <w:rsid w:val="00EA23DC"/>
    <w:rsid w:val="00EA2642"/>
    <w:rsid w:val="00EA26DA"/>
    <w:rsid w:val="00EA2993"/>
    <w:rsid w:val="00EA2AF4"/>
    <w:rsid w:val="00EA2C53"/>
    <w:rsid w:val="00EA2E68"/>
    <w:rsid w:val="00EA2F2E"/>
    <w:rsid w:val="00EA317D"/>
    <w:rsid w:val="00EA343C"/>
    <w:rsid w:val="00EA3553"/>
    <w:rsid w:val="00EA3576"/>
    <w:rsid w:val="00EA35ED"/>
    <w:rsid w:val="00EA3904"/>
    <w:rsid w:val="00EA3A98"/>
    <w:rsid w:val="00EA3AC6"/>
    <w:rsid w:val="00EA3E29"/>
    <w:rsid w:val="00EA3EF4"/>
    <w:rsid w:val="00EA4115"/>
    <w:rsid w:val="00EA4568"/>
    <w:rsid w:val="00EA4610"/>
    <w:rsid w:val="00EA4628"/>
    <w:rsid w:val="00EA46AC"/>
    <w:rsid w:val="00EA4797"/>
    <w:rsid w:val="00EA4BD7"/>
    <w:rsid w:val="00EA4C09"/>
    <w:rsid w:val="00EA4CD3"/>
    <w:rsid w:val="00EA505D"/>
    <w:rsid w:val="00EA50A0"/>
    <w:rsid w:val="00EA53A5"/>
    <w:rsid w:val="00EA545B"/>
    <w:rsid w:val="00EA56BE"/>
    <w:rsid w:val="00EA5715"/>
    <w:rsid w:val="00EA5878"/>
    <w:rsid w:val="00EA58C7"/>
    <w:rsid w:val="00EA59E1"/>
    <w:rsid w:val="00EA5E44"/>
    <w:rsid w:val="00EA5E51"/>
    <w:rsid w:val="00EA5ED1"/>
    <w:rsid w:val="00EA5F0B"/>
    <w:rsid w:val="00EA5F9C"/>
    <w:rsid w:val="00EA5F9E"/>
    <w:rsid w:val="00EA627F"/>
    <w:rsid w:val="00EA6288"/>
    <w:rsid w:val="00EA635B"/>
    <w:rsid w:val="00EA6387"/>
    <w:rsid w:val="00EA642E"/>
    <w:rsid w:val="00EA66F2"/>
    <w:rsid w:val="00EA6824"/>
    <w:rsid w:val="00EA6970"/>
    <w:rsid w:val="00EA69F2"/>
    <w:rsid w:val="00EA6C05"/>
    <w:rsid w:val="00EA6D6B"/>
    <w:rsid w:val="00EA6DB5"/>
    <w:rsid w:val="00EA6E70"/>
    <w:rsid w:val="00EA704A"/>
    <w:rsid w:val="00EA709A"/>
    <w:rsid w:val="00EA70C3"/>
    <w:rsid w:val="00EA72E6"/>
    <w:rsid w:val="00EA7347"/>
    <w:rsid w:val="00EA738C"/>
    <w:rsid w:val="00EA7447"/>
    <w:rsid w:val="00EA762A"/>
    <w:rsid w:val="00EA7760"/>
    <w:rsid w:val="00EA776B"/>
    <w:rsid w:val="00EA7789"/>
    <w:rsid w:val="00EA780B"/>
    <w:rsid w:val="00EA7C27"/>
    <w:rsid w:val="00EA7C9C"/>
    <w:rsid w:val="00EA7D6C"/>
    <w:rsid w:val="00EA7DDE"/>
    <w:rsid w:val="00EA7E3A"/>
    <w:rsid w:val="00EA7E48"/>
    <w:rsid w:val="00EA7F42"/>
    <w:rsid w:val="00EB0122"/>
    <w:rsid w:val="00EB0325"/>
    <w:rsid w:val="00EB036F"/>
    <w:rsid w:val="00EB03D0"/>
    <w:rsid w:val="00EB0469"/>
    <w:rsid w:val="00EB0470"/>
    <w:rsid w:val="00EB04A5"/>
    <w:rsid w:val="00EB04CB"/>
    <w:rsid w:val="00EB0546"/>
    <w:rsid w:val="00EB0558"/>
    <w:rsid w:val="00EB0621"/>
    <w:rsid w:val="00EB0887"/>
    <w:rsid w:val="00EB0A55"/>
    <w:rsid w:val="00EB0AF1"/>
    <w:rsid w:val="00EB0BB2"/>
    <w:rsid w:val="00EB0DFD"/>
    <w:rsid w:val="00EB0E0F"/>
    <w:rsid w:val="00EB0EAB"/>
    <w:rsid w:val="00EB0EFF"/>
    <w:rsid w:val="00EB0FD3"/>
    <w:rsid w:val="00EB1137"/>
    <w:rsid w:val="00EB11C0"/>
    <w:rsid w:val="00EB13CB"/>
    <w:rsid w:val="00EB1469"/>
    <w:rsid w:val="00EB146F"/>
    <w:rsid w:val="00EB1482"/>
    <w:rsid w:val="00EB1616"/>
    <w:rsid w:val="00EB16EE"/>
    <w:rsid w:val="00EB16F6"/>
    <w:rsid w:val="00EB18F1"/>
    <w:rsid w:val="00EB19BD"/>
    <w:rsid w:val="00EB1AB2"/>
    <w:rsid w:val="00EB1B12"/>
    <w:rsid w:val="00EB1F76"/>
    <w:rsid w:val="00EB1FD4"/>
    <w:rsid w:val="00EB2015"/>
    <w:rsid w:val="00EB204E"/>
    <w:rsid w:val="00EB209C"/>
    <w:rsid w:val="00EB20AB"/>
    <w:rsid w:val="00EB212D"/>
    <w:rsid w:val="00EB2181"/>
    <w:rsid w:val="00EB21D6"/>
    <w:rsid w:val="00EB2240"/>
    <w:rsid w:val="00EB22AE"/>
    <w:rsid w:val="00EB2392"/>
    <w:rsid w:val="00EB2516"/>
    <w:rsid w:val="00EB28C5"/>
    <w:rsid w:val="00EB2941"/>
    <w:rsid w:val="00EB2971"/>
    <w:rsid w:val="00EB29EB"/>
    <w:rsid w:val="00EB2A3E"/>
    <w:rsid w:val="00EB2B23"/>
    <w:rsid w:val="00EB2BB1"/>
    <w:rsid w:val="00EB2CD6"/>
    <w:rsid w:val="00EB2D2A"/>
    <w:rsid w:val="00EB2E27"/>
    <w:rsid w:val="00EB30E6"/>
    <w:rsid w:val="00EB318B"/>
    <w:rsid w:val="00EB320F"/>
    <w:rsid w:val="00EB328E"/>
    <w:rsid w:val="00EB334B"/>
    <w:rsid w:val="00EB33C3"/>
    <w:rsid w:val="00EB36F4"/>
    <w:rsid w:val="00EB37FA"/>
    <w:rsid w:val="00EB3927"/>
    <w:rsid w:val="00EB3957"/>
    <w:rsid w:val="00EB3BDF"/>
    <w:rsid w:val="00EB3F3B"/>
    <w:rsid w:val="00EB4009"/>
    <w:rsid w:val="00EB4040"/>
    <w:rsid w:val="00EB40E8"/>
    <w:rsid w:val="00EB4144"/>
    <w:rsid w:val="00EB4157"/>
    <w:rsid w:val="00EB4163"/>
    <w:rsid w:val="00EB44DE"/>
    <w:rsid w:val="00EB474A"/>
    <w:rsid w:val="00EB4841"/>
    <w:rsid w:val="00EB49DF"/>
    <w:rsid w:val="00EB4BE8"/>
    <w:rsid w:val="00EB4C12"/>
    <w:rsid w:val="00EB4C42"/>
    <w:rsid w:val="00EB4D64"/>
    <w:rsid w:val="00EB5001"/>
    <w:rsid w:val="00EB5195"/>
    <w:rsid w:val="00EB51D6"/>
    <w:rsid w:val="00EB5517"/>
    <w:rsid w:val="00EB55E5"/>
    <w:rsid w:val="00EB564F"/>
    <w:rsid w:val="00EB56E3"/>
    <w:rsid w:val="00EB59D7"/>
    <w:rsid w:val="00EB5ABD"/>
    <w:rsid w:val="00EB5ADA"/>
    <w:rsid w:val="00EB5BB3"/>
    <w:rsid w:val="00EB5D21"/>
    <w:rsid w:val="00EB5D3D"/>
    <w:rsid w:val="00EB5FD9"/>
    <w:rsid w:val="00EB6002"/>
    <w:rsid w:val="00EB605C"/>
    <w:rsid w:val="00EB60CA"/>
    <w:rsid w:val="00EB61A8"/>
    <w:rsid w:val="00EB62E2"/>
    <w:rsid w:val="00EB638C"/>
    <w:rsid w:val="00EB63A2"/>
    <w:rsid w:val="00EB6517"/>
    <w:rsid w:val="00EB6628"/>
    <w:rsid w:val="00EB67E6"/>
    <w:rsid w:val="00EB6963"/>
    <w:rsid w:val="00EB6BAC"/>
    <w:rsid w:val="00EB6F7B"/>
    <w:rsid w:val="00EB7134"/>
    <w:rsid w:val="00EB720E"/>
    <w:rsid w:val="00EB727F"/>
    <w:rsid w:val="00EB74BC"/>
    <w:rsid w:val="00EB756D"/>
    <w:rsid w:val="00EB7CEA"/>
    <w:rsid w:val="00EB7D8D"/>
    <w:rsid w:val="00EB7ED4"/>
    <w:rsid w:val="00EB7FBB"/>
    <w:rsid w:val="00EC0189"/>
    <w:rsid w:val="00EC018C"/>
    <w:rsid w:val="00EC022F"/>
    <w:rsid w:val="00EC02B3"/>
    <w:rsid w:val="00EC030F"/>
    <w:rsid w:val="00EC05C2"/>
    <w:rsid w:val="00EC0600"/>
    <w:rsid w:val="00EC06A3"/>
    <w:rsid w:val="00EC0B64"/>
    <w:rsid w:val="00EC0B7E"/>
    <w:rsid w:val="00EC0E10"/>
    <w:rsid w:val="00EC0FB2"/>
    <w:rsid w:val="00EC118D"/>
    <w:rsid w:val="00EC11A4"/>
    <w:rsid w:val="00EC11D5"/>
    <w:rsid w:val="00EC123B"/>
    <w:rsid w:val="00EC1416"/>
    <w:rsid w:val="00EC15FE"/>
    <w:rsid w:val="00EC1657"/>
    <w:rsid w:val="00EC1800"/>
    <w:rsid w:val="00EC18B4"/>
    <w:rsid w:val="00EC1976"/>
    <w:rsid w:val="00EC1ABE"/>
    <w:rsid w:val="00EC1B04"/>
    <w:rsid w:val="00EC1B1E"/>
    <w:rsid w:val="00EC1BB8"/>
    <w:rsid w:val="00EC1C91"/>
    <w:rsid w:val="00EC1DA4"/>
    <w:rsid w:val="00EC1EDC"/>
    <w:rsid w:val="00EC20EF"/>
    <w:rsid w:val="00EC213E"/>
    <w:rsid w:val="00EC2216"/>
    <w:rsid w:val="00EC2235"/>
    <w:rsid w:val="00EC22D3"/>
    <w:rsid w:val="00EC2506"/>
    <w:rsid w:val="00EC25CE"/>
    <w:rsid w:val="00EC2828"/>
    <w:rsid w:val="00EC2AC1"/>
    <w:rsid w:val="00EC2B3F"/>
    <w:rsid w:val="00EC2B93"/>
    <w:rsid w:val="00EC2BA5"/>
    <w:rsid w:val="00EC2E23"/>
    <w:rsid w:val="00EC3073"/>
    <w:rsid w:val="00EC3105"/>
    <w:rsid w:val="00EC33FB"/>
    <w:rsid w:val="00EC3554"/>
    <w:rsid w:val="00EC3583"/>
    <w:rsid w:val="00EC35B8"/>
    <w:rsid w:val="00EC35E5"/>
    <w:rsid w:val="00EC37E6"/>
    <w:rsid w:val="00EC393F"/>
    <w:rsid w:val="00EC3DBD"/>
    <w:rsid w:val="00EC4113"/>
    <w:rsid w:val="00EC417C"/>
    <w:rsid w:val="00EC428C"/>
    <w:rsid w:val="00EC4364"/>
    <w:rsid w:val="00EC4415"/>
    <w:rsid w:val="00EC449B"/>
    <w:rsid w:val="00EC4542"/>
    <w:rsid w:val="00EC45A6"/>
    <w:rsid w:val="00EC4681"/>
    <w:rsid w:val="00EC4858"/>
    <w:rsid w:val="00EC48C6"/>
    <w:rsid w:val="00EC4A21"/>
    <w:rsid w:val="00EC4BC3"/>
    <w:rsid w:val="00EC4DA5"/>
    <w:rsid w:val="00EC4F9E"/>
    <w:rsid w:val="00EC4FA8"/>
    <w:rsid w:val="00EC5132"/>
    <w:rsid w:val="00EC537A"/>
    <w:rsid w:val="00EC53B1"/>
    <w:rsid w:val="00EC5A14"/>
    <w:rsid w:val="00EC5AC4"/>
    <w:rsid w:val="00EC5AF3"/>
    <w:rsid w:val="00EC5B54"/>
    <w:rsid w:val="00EC5B5B"/>
    <w:rsid w:val="00EC5DDE"/>
    <w:rsid w:val="00EC5E4C"/>
    <w:rsid w:val="00EC5F57"/>
    <w:rsid w:val="00EC5F7E"/>
    <w:rsid w:val="00EC5FC5"/>
    <w:rsid w:val="00EC6055"/>
    <w:rsid w:val="00EC61BE"/>
    <w:rsid w:val="00EC62A3"/>
    <w:rsid w:val="00EC6529"/>
    <w:rsid w:val="00EC65B7"/>
    <w:rsid w:val="00EC65EF"/>
    <w:rsid w:val="00EC663C"/>
    <w:rsid w:val="00EC6782"/>
    <w:rsid w:val="00EC689A"/>
    <w:rsid w:val="00EC6BCE"/>
    <w:rsid w:val="00EC6C4D"/>
    <w:rsid w:val="00EC6D80"/>
    <w:rsid w:val="00EC6F13"/>
    <w:rsid w:val="00EC6F2E"/>
    <w:rsid w:val="00EC700E"/>
    <w:rsid w:val="00EC70E0"/>
    <w:rsid w:val="00EC71D5"/>
    <w:rsid w:val="00EC720D"/>
    <w:rsid w:val="00EC754F"/>
    <w:rsid w:val="00EC76EA"/>
    <w:rsid w:val="00EC77CC"/>
    <w:rsid w:val="00EC7857"/>
    <w:rsid w:val="00EC78B8"/>
    <w:rsid w:val="00EC79DA"/>
    <w:rsid w:val="00EC7D17"/>
    <w:rsid w:val="00EC7DE3"/>
    <w:rsid w:val="00EC7E3B"/>
    <w:rsid w:val="00EC7E8B"/>
    <w:rsid w:val="00EC7E97"/>
    <w:rsid w:val="00EC7F1A"/>
    <w:rsid w:val="00EC7F64"/>
    <w:rsid w:val="00ED0014"/>
    <w:rsid w:val="00ED0409"/>
    <w:rsid w:val="00ED0501"/>
    <w:rsid w:val="00ED0568"/>
    <w:rsid w:val="00ED05B8"/>
    <w:rsid w:val="00ED0721"/>
    <w:rsid w:val="00ED0816"/>
    <w:rsid w:val="00ED09D2"/>
    <w:rsid w:val="00ED0BE7"/>
    <w:rsid w:val="00ED0C98"/>
    <w:rsid w:val="00ED0E9F"/>
    <w:rsid w:val="00ED0F7B"/>
    <w:rsid w:val="00ED0F7C"/>
    <w:rsid w:val="00ED0FF9"/>
    <w:rsid w:val="00ED1058"/>
    <w:rsid w:val="00ED10C3"/>
    <w:rsid w:val="00ED1197"/>
    <w:rsid w:val="00ED1449"/>
    <w:rsid w:val="00ED150B"/>
    <w:rsid w:val="00ED15CF"/>
    <w:rsid w:val="00ED15EA"/>
    <w:rsid w:val="00ED162B"/>
    <w:rsid w:val="00ED16B0"/>
    <w:rsid w:val="00ED182F"/>
    <w:rsid w:val="00ED1AC7"/>
    <w:rsid w:val="00ED1CC6"/>
    <w:rsid w:val="00ED1D2E"/>
    <w:rsid w:val="00ED1D34"/>
    <w:rsid w:val="00ED1E21"/>
    <w:rsid w:val="00ED1E4C"/>
    <w:rsid w:val="00ED1F35"/>
    <w:rsid w:val="00ED1F58"/>
    <w:rsid w:val="00ED1F93"/>
    <w:rsid w:val="00ED2017"/>
    <w:rsid w:val="00ED211E"/>
    <w:rsid w:val="00ED222C"/>
    <w:rsid w:val="00ED23B3"/>
    <w:rsid w:val="00ED2490"/>
    <w:rsid w:val="00ED2821"/>
    <w:rsid w:val="00ED28BD"/>
    <w:rsid w:val="00ED2AB6"/>
    <w:rsid w:val="00ED2DCD"/>
    <w:rsid w:val="00ED2E4B"/>
    <w:rsid w:val="00ED319F"/>
    <w:rsid w:val="00ED31A7"/>
    <w:rsid w:val="00ED31D9"/>
    <w:rsid w:val="00ED32BE"/>
    <w:rsid w:val="00ED32C3"/>
    <w:rsid w:val="00ED34EF"/>
    <w:rsid w:val="00ED370F"/>
    <w:rsid w:val="00ED374C"/>
    <w:rsid w:val="00ED37CE"/>
    <w:rsid w:val="00ED386B"/>
    <w:rsid w:val="00ED38A8"/>
    <w:rsid w:val="00ED3B26"/>
    <w:rsid w:val="00ED3C80"/>
    <w:rsid w:val="00ED3DA7"/>
    <w:rsid w:val="00ED4060"/>
    <w:rsid w:val="00ED414C"/>
    <w:rsid w:val="00ED422D"/>
    <w:rsid w:val="00ED428C"/>
    <w:rsid w:val="00ED4AE6"/>
    <w:rsid w:val="00ED4BDF"/>
    <w:rsid w:val="00ED4C77"/>
    <w:rsid w:val="00ED4CAD"/>
    <w:rsid w:val="00ED4D20"/>
    <w:rsid w:val="00ED4D56"/>
    <w:rsid w:val="00ED4ED8"/>
    <w:rsid w:val="00ED4F64"/>
    <w:rsid w:val="00ED4F65"/>
    <w:rsid w:val="00ED514E"/>
    <w:rsid w:val="00ED5261"/>
    <w:rsid w:val="00ED532E"/>
    <w:rsid w:val="00ED5488"/>
    <w:rsid w:val="00ED58A7"/>
    <w:rsid w:val="00ED5960"/>
    <w:rsid w:val="00ED5998"/>
    <w:rsid w:val="00ED59D3"/>
    <w:rsid w:val="00ED5C6A"/>
    <w:rsid w:val="00ED5CBF"/>
    <w:rsid w:val="00ED5F07"/>
    <w:rsid w:val="00ED6302"/>
    <w:rsid w:val="00ED63B7"/>
    <w:rsid w:val="00ED6494"/>
    <w:rsid w:val="00ED64D6"/>
    <w:rsid w:val="00ED657C"/>
    <w:rsid w:val="00ED65F4"/>
    <w:rsid w:val="00ED6878"/>
    <w:rsid w:val="00ED6A84"/>
    <w:rsid w:val="00ED6C3F"/>
    <w:rsid w:val="00ED6D69"/>
    <w:rsid w:val="00ED6D83"/>
    <w:rsid w:val="00ED6DFD"/>
    <w:rsid w:val="00ED6EDD"/>
    <w:rsid w:val="00ED6F64"/>
    <w:rsid w:val="00ED71E6"/>
    <w:rsid w:val="00ED72BD"/>
    <w:rsid w:val="00ED7456"/>
    <w:rsid w:val="00ED757C"/>
    <w:rsid w:val="00ED75A0"/>
    <w:rsid w:val="00ED75F4"/>
    <w:rsid w:val="00ED75FC"/>
    <w:rsid w:val="00ED7632"/>
    <w:rsid w:val="00ED767A"/>
    <w:rsid w:val="00ED775F"/>
    <w:rsid w:val="00ED77B3"/>
    <w:rsid w:val="00ED781A"/>
    <w:rsid w:val="00ED7828"/>
    <w:rsid w:val="00ED7929"/>
    <w:rsid w:val="00ED7944"/>
    <w:rsid w:val="00ED79FC"/>
    <w:rsid w:val="00ED7C2D"/>
    <w:rsid w:val="00ED7CE1"/>
    <w:rsid w:val="00ED7D70"/>
    <w:rsid w:val="00ED7E04"/>
    <w:rsid w:val="00ED7EAB"/>
    <w:rsid w:val="00ED7F0B"/>
    <w:rsid w:val="00EE013F"/>
    <w:rsid w:val="00EE0271"/>
    <w:rsid w:val="00EE0303"/>
    <w:rsid w:val="00EE0315"/>
    <w:rsid w:val="00EE0462"/>
    <w:rsid w:val="00EE0516"/>
    <w:rsid w:val="00EE0611"/>
    <w:rsid w:val="00EE078B"/>
    <w:rsid w:val="00EE0800"/>
    <w:rsid w:val="00EE085A"/>
    <w:rsid w:val="00EE0B3B"/>
    <w:rsid w:val="00EE0D66"/>
    <w:rsid w:val="00EE0E50"/>
    <w:rsid w:val="00EE0EE4"/>
    <w:rsid w:val="00EE0F30"/>
    <w:rsid w:val="00EE14E3"/>
    <w:rsid w:val="00EE1809"/>
    <w:rsid w:val="00EE1AEC"/>
    <w:rsid w:val="00EE1C79"/>
    <w:rsid w:val="00EE1C9F"/>
    <w:rsid w:val="00EE1CAF"/>
    <w:rsid w:val="00EE1E05"/>
    <w:rsid w:val="00EE23CB"/>
    <w:rsid w:val="00EE243D"/>
    <w:rsid w:val="00EE2478"/>
    <w:rsid w:val="00EE24CA"/>
    <w:rsid w:val="00EE261C"/>
    <w:rsid w:val="00EE26BF"/>
    <w:rsid w:val="00EE27CA"/>
    <w:rsid w:val="00EE27E3"/>
    <w:rsid w:val="00EE2822"/>
    <w:rsid w:val="00EE28DA"/>
    <w:rsid w:val="00EE2AE7"/>
    <w:rsid w:val="00EE2B63"/>
    <w:rsid w:val="00EE2D7F"/>
    <w:rsid w:val="00EE2DE3"/>
    <w:rsid w:val="00EE2EF3"/>
    <w:rsid w:val="00EE2FD7"/>
    <w:rsid w:val="00EE319C"/>
    <w:rsid w:val="00EE32B8"/>
    <w:rsid w:val="00EE340C"/>
    <w:rsid w:val="00EE3577"/>
    <w:rsid w:val="00EE3624"/>
    <w:rsid w:val="00EE3712"/>
    <w:rsid w:val="00EE3730"/>
    <w:rsid w:val="00EE394C"/>
    <w:rsid w:val="00EE3AED"/>
    <w:rsid w:val="00EE3B6E"/>
    <w:rsid w:val="00EE3C36"/>
    <w:rsid w:val="00EE3C96"/>
    <w:rsid w:val="00EE3CF5"/>
    <w:rsid w:val="00EE3CFF"/>
    <w:rsid w:val="00EE3E0D"/>
    <w:rsid w:val="00EE3FC1"/>
    <w:rsid w:val="00EE446D"/>
    <w:rsid w:val="00EE4569"/>
    <w:rsid w:val="00EE45AD"/>
    <w:rsid w:val="00EE4652"/>
    <w:rsid w:val="00EE46F4"/>
    <w:rsid w:val="00EE4707"/>
    <w:rsid w:val="00EE47DB"/>
    <w:rsid w:val="00EE47F7"/>
    <w:rsid w:val="00EE48D5"/>
    <w:rsid w:val="00EE48FD"/>
    <w:rsid w:val="00EE4973"/>
    <w:rsid w:val="00EE49CE"/>
    <w:rsid w:val="00EE4A68"/>
    <w:rsid w:val="00EE4AA4"/>
    <w:rsid w:val="00EE4BE0"/>
    <w:rsid w:val="00EE4EE0"/>
    <w:rsid w:val="00EE4F65"/>
    <w:rsid w:val="00EE5152"/>
    <w:rsid w:val="00EE5178"/>
    <w:rsid w:val="00EE5224"/>
    <w:rsid w:val="00EE531B"/>
    <w:rsid w:val="00EE552A"/>
    <w:rsid w:val="00EE5573"/>
    <w:rsid w:val="00EE55B1"/>
    <w:rsid w:val="00EE567E"/>
    <w:rsid w:val="00EE581F"/>
    <w:rsid w:val="00EE5939"/>
    <w:rsid w:val="00EE5990"/>
    <w:rsid w:val="00EE5A94"/>
    <w:rsid w:val="00EE5AE3"/>
    <w:rsid w:val="00EE5B3D"/>
    <w:rsid w:val="00EE5D6A"/>
    <w:rsid w:val="00EE5D9A"/>
    <w:rsid w:val="00EE5FBF"/>
    <w:rsid w:val="00EE614C"/>
    <w:rsid w:val="00EE61C2"/>
    <w:rsid w:val="00EE66AE"/>
    <w:rsid w:val="00EE67F8"/>
    <w:rsid w:val="00EE6B99"/>
    <w:rsid w:val="00EE6C40"/>
    <w:rsid w:val="00EE6CF4"/>
    <w:rsid w:val="00EE6D0F"/>
    <w:rsid w:val="00EE6D52"/>
    <w:rsid w:val="00EE6D5E"/>
    <w:rsid w:val="00EE6F58"/>
    <w:rsid w:val="00EE7025"/>
    <w:rsid w:val="00EE7293"/>
    <w:rsid w:val="00EE7614"/>
    <w:rsid w:val="00EE7862"/>
    <w:rsid w:val="00EE796B"/>
    <w:rsid w:val="00EE7978"/>
    <w:rsid w:val="00EE7C16"/>
    <w:rsid w:val="00EE7CC0"/>
    <w:rsid w:val="00EE7E5B"/>
    <w:rsid w:val="00EE7FB9"/>
    <w:rsid w:val="00EF0011"/>
    <w:rsid w:val="00EF00AD"/>
    <w:rsid w:val="00EF00EF"/>
    <w:rsid w:val="00EF03E3"/>
    <w:rsid w:val="00EF0444"/>
    <w:rsid w:val="00EF04A5"/>
    <w:rsid w:val="00EF07A5"/>
    <w:rsid w:val="00EF07A7"/>
    <w:rsid w:val="00EF09BC"/>
    <w:rsid w:val="00EF0A10"/>
    <w:rsid w:val="00EF0A3F"/>
    <w:rsid w:val="00EF0BA2"/>
    <w:rsid w:val="00EF0D73"/>
    <w:rsid w:val="00EF0DD1"/>
    <w:rsid w:val="00EF0DE3"/>
    <w:rsid w:val="00EF0F46"/>
    <w:rsid w:val="00EF10B3"/>
    <w:rsid w:val="00EF1103"/>
    <w:rsid w:val="00EF1145"/>
    <w:rsid w:val="00EF1161"/>
    <w:rsid w:val="00EF11D2"/>
    <w:rsid w:val="00EF11DB"/>
    <w:rsid w:val="00EF1231"/>
    <w:rsid w:val="00EF12E9"/>
    <w:rsid w:val="00EF1373"/>
    <w:rsid w:val="00EF167E"/>
    <w:rsid w:val="00EF195C"/>
    <w:rsid w:val="00EF1B81"/>
    <w:rsid w:val="00EF1C3E"/>
    <w:rsid w:val="00EF1CA1"/>
    <w:rsid w:val="00EF1CED"/>
    <w:rsid w:val="00EF1CF7"/>
    <w:rsid w:val="00EF1E3D"/>
    <w:rsid w:val="00EF1E4F"/>
    <w:rsid w:val="00EF1E81"/>
    <w:rsid w:val="00EF1FD0"/>
    <w:rsid w:val="00EF2084"/>
    <w:rsid w:val="00EF2244"/>
    <w:rsid w:val="00EF2302"/>
    <w:rsid w:val="00EF2446"/>
    <w:rsid w:val="00EF2502"/>
    <w:rsid w:val="00EF2784"/>
    <w:rsid w:val="00EF279C"/>
    <w:rsid w:val="00EF2AA0"/>
    <w:rsid w:val="00EF2AAD"/>
    <w:rsid w:val="00EF2B6F"/>
    <w:rsid w:val="00EF2C5C"/>
    <w:rsid w:val="00EF2E53"/>
    <w:rsid w:val="00EF2FE3"/>
    <w:rsid w:val="00EF3075"/>
    <w:rsid w:val="00EF328D"/>
    <w:rsid w:val="00EF32B2"/>
    <w:rsid w:val="00EF3340"/>
    <w:rsid w:val="00EF3425"/>
    <w:rsid w:val="00EF351E"/>
    <w:rsid w:val="00EF3790"/>
    <w:rsid w:val="00EF3813"/>
    <w:rsid w:val="00EF3868"/>
    <w:rsid w:val="00EF38BD"/>
    <w:rsid w:val="00EF39F8"/>
    <w:rsid w:val="00EF39FF"/>
    <w:rsid w:val="00EF3A36"/>
    <w:rsid w:val="00EF3AA9"/>
    <w:rsid w:val="00EF3EE0"/>
    <w:rsid w:val="00EF3F1F"/>
    <w:rsid w:val="00EF3FCA"/>
    <w:rsid w:val="00EF3FE0"/>
    <w:rsid w:val="00EF403F"/>
    <w:rsid w:val="00EF4104"/>
    <w:rsid w:val="00EF4325"/>
    <w:rsid w:val="00EF4387"/>
    <w:rsid w:val="00EF44F1"/>
    <w:rsid w:val="00EF4656"/>
    <w:rsid w:val="00EF47AF"/>
    <w:rsid w:val="00EF494B"/>
    <w:rsid w:val="00EF49FB"/>
    <w:rsid w:val="00EF4A36"/>
    <w:rsid w:val="00EF4A57"/>
    <w:rsid w:val="00EF4B2F"/>
    <w:rsid w:val="00EF4B7B"/>
    <w:rsid w:val="00EF4E46"/>
    <w:rsid w:val="00EF4FAF"/>
    <w:rsid w:val="00EF539F"/>
    <w:rsid w:val="00EF53B7"/>
    <w:rsid w:val="00EF541F"/>
    <w:rsid w:val="00EF54D2"/>
    <w:rsid w:val="00EF560C"/>
    <w:rsid w:val="00EF579B"/>
    <w:rsid w:val="00EF592D"/>
    <w:rsid w:val="00EF5970"/>
    <w:rsid w:val="00EF5A6C"/>
    <w:rsid w:val="00EF5A94"/>
    <w:rsid w:val="00EF5ADF"/>
    <w:rsid w:val="00EF5B51"/>
    <w:rsid w:val="00EF5B93"/>
    <w:rsid w:val="00EF5E31"/>
    <w:rsid w:val="00EF61A1"/>
    <w:rsid w:val="00EF65B9"/>
    <w:rsid w:val="00EF6794"/>
    <w:rsid w:val="00EF692B"/>
    <w:rsid w:val="00EF69AF"/>
    <w:rsid w:val="00EF6A82"/>
    <w:rsid w:val="00EF6F90"/>
    <w:rsid w:val="00EF701B"/>
    <w:rsid w:val="00EF7123"/>
    <w:rsid w:val="00EF7176"/>
    <w:rsid w:val="00EF71EA"/>
    <w:rsid w:val="00EF720A"/>
    <w:rsid w:val="00EF745B"/>
    <w:rsid w:val="00EF7867"/>
    <w:rsid w:val="00EF7919"/>
    <w:rsid w:val="00EF7949"/>
    <w:rsid w:val="00EF7965"/>
    <w:rsid w:val="00EF7A1B"/>
    <w:rsid w:val="00EF7B01"/>
    <w:rsid w:val="00EF7B7D"/>
    <w:rsid w:val="00EF7DC1"/>
    <w:rsid w:val="00F000B8"/>
    <w:rsid w:val="00F000C2"/>
    <w:rsid w:val="00F000EC"/>
    <w:rsid w:val="00F00189"/>
    <w:rsid w:val="00F002F3"/>
    <w:rsid w:val="00F003CD"/>
    <w:rsid w:val="00F00494"/>
    <w:rsid w:val="00F004D4"/>
    <w:rsid w:val="00F0070F"/>
    <w:rsid w:val="00F00718"/>
    <w:rsid w:val="00F0086C"/>
    <w:rsid w:val="00F00890"/>
    <w:rsid w:val="00F008A3"/>
    <w:rsid w:val="00F009B1"/>
    <w:rsid w:val="00F00ABB"/>
    <w:rsid w:val="00F00BF3"/>
    <w:rsid w:val="00F00D2D"/>
    <w:rsid w:val="00F00DD9"/>
    <w:rsid w:val="00F00EED"/>
    <w:rsid w:val="00F00F54"/>
    <w:rsid w:val="00F01088"/>
    <w:rsid w:val="00F010B1"/>
    <w:rsid w:val="00F0126F"/>
    <w:rsid w:val="00F0164B"/>
    <w:rsid w:val="00F017C6"/>
    <w:rsid w:val="00F019C1"/>
    <w:rsid w:val="00F01A77"/>
    <w:rsid w:val="00F01AD2"/>
    <w:rsid w:val="00F01C8E"/>
    <w:rsid w:val="00F01DDD"/>
    <w:rsid w:val="00F01E71"/>
    <w:rsid w:val="00F01EB3"/>
    <w:rsid w:val="00F01EE7"/>
    <w:rsid w:val="00F02069"/>
    <w:rsid w:val="00F021C2"/>
    <w:rsid w:val="00F02443"/>
    <w:rsid w:val="00F02607"/>
    <w:rsid w:val="00F0284C"/>
    <w:rsid w:val="00F028E5"/>
    <w:rsid w:val="00F02930"/>
    <w:rsid w:val="00F02AA8"/>
    <w:rsid w:val="00F02B05"/>
    <w:rsid w:val="00F02B7A"/>
    <w:rsid w:val="00F02D06"/>
    <w:rsid w:val="00F03165"/>
    <w:rsid w:val="00F0339A"/>
    <w:rsid w:val="00F03599"/>
    <w:rsid w:val="00F035CB"/>
    <w:rsid w:val="00F0389D"/>
    <w:rsid w:val="00F0393C"/>
    <w:rsid w:val="00F03AF8"/>
    <w:rsid w:val="00F03CD1"/>
    <w:rsid w:val="00F03D61"/>
    <w:rsid w:val="00F03EC6"/>
    <w:rsid w:val="00F03F82"/>
    <w:rsid w:val="00F04058"/>
    <w:rsid w:val="00F0425E"/>
    <w:rsid w:val="00F042AF"/>
    <w:rsid w:val="00F0437F"/>
    <w:rsid w:val="00F0456D"/>
    <w:rsid w:val="00F0468E"/>
    <w:rsid w:val="00F04716"/>
    <w:rsid w:val="00F048E7"/>
    <w:rsid w:val="00F0495F"/>
    <w:rsid w:val="00F04B58"/>
    <w:rsid w:val="00F04EF5"/>
    <w:rsid w:val="00F04FD3"/>
    <w:rsid w:val="00F0508C"/>
    <w:rsid w:val="00F05112"/>
    <w:rsid w:val="00F05169"/>
    <w:rsid w:val="00F05171"/>
    <w:rsid w:val="00F05270"/>
    <w:rsid w:val="00F052E6"/>
    <w:rsid w:val="00F0556D"/>
    <w:rsid w:val="00F05581"/>
    <w:rsid w:val="00F0562E"/>
    <w:rsid w:val="00F05695"/>
    <w:rsid w:val="00F0595D"/>
    <w:rsid w:val="00F05975"/>
    <w:rsid w:val="00F059CB"/>
    <w:rsid w:val="00F059E6"/>
    <w:rsid w:val="00F059EF"/>
    <w:rsid w:val="00F05A4A"/>
    <w:rsid w:val="00F05BF6"/>
    <w:rsid w:val="00F05CFE"/>
    <w:rsid w:val="00F05DBC"/>
    <w:rsid w:val="00F05E81"/>
    <w:rsid w:val="00F05EAE"/>
    <w:rsid w:val="00F05FA3"/>
    <w:rsid w:val="00F05FCD"/>
    <w:rsid w:val="00F06070"/>
    <w:rsid w:val="00F060E7"/>
    <w:rsid w:val="00F060F0"/>
    <w:rsid w:val="00F060FC"/>
    <w:rsid w:val="00F062EB"/>
    <w:rsid w:val="00F06388"/>
    <w:rsid w:val="00F0659C"/>
    <w:rsid w:val="00F06658"/>
    <w:rsid w:val="00F06662"/>
    <w:rsid w:val="00F066AD"/>
    <w:rsid w:val="00F068A9"/>
    <w:rsid w:val="00F06948"/>
    <w:rsid w:val="00F0698D"/>
    <w:rsid w:val="00F06A20"/>
    <w:rsid w:val="00F06AFB"/>
    <w:rsid w:val="00F06BA8"/>
    <w:rsid w:val="00F06E4B"/>
    <w:rsid w:val="00F06EE8"/>
    <w:rsid w:val="00F07140"/>
    <w:rsid w:val="00F07159"/>
    <w:rsid w:val="00F0716B"/>
    <w:rsid w:val="00F07187"/>
    <w:rsid w:val="00F07227"/>
    <w:rsid w:val="00F0739E"/>
    <w:rsid w:val="00F07419"/>
    <w:rsid w:val="00F07436"/>
    <w:rsid w:val="00F074AC"/>
    <w:rsid w:val="00F0750B"/>
    <w:rsid w:val="00F076C3"/>
    <w:rsid w:val="00F076DA"/>
    <w:rsid w:val="00F077C4"/>
    <w:rsid w:val="00F0788A"/>
    <w:rsid w:val="00F07962"/>
    <w:rsid w:val="00F07C90"/>
    <w:rsid w:val="00F07CB6"/>
    <w:rsid w:val="00F07D05"/>
    <w:rsid w:val="00F07F9C"/>
    <w:rsid w:val="00F10021"/>
    <w:rsid w:val="00F10092"/>
    <w:rsid w:val="00F100FC"/>
    <w:rsid w:val="00F1010F"/>
    <w:rsid w:val="00F101EF"/>
    <w:rsid w:val="00F104A5"/>
    <w:rsid w:val="00F10531"/>
    <w:rsid w:val="00F10532"/>
    <w:rsid w:val="00F1083F"/>
    <w:rsid w:val="00F10887"/>
    <w:rsid w:val="00F10BF3"/>
    <w:rsid w:val="00F11039"/>
    <w:rsid w:val="00F110AE"/>
    <w:rsid w:val="00F110E4"/>
    <w:rsid w:val="00F11421"/>
    <w:rsid w:val="00F11442"/>
    <w:rsid w:val="00F116B2"/>
    <w:rsid w:val="00F1181C"/>
    <w:rsid w:val="00F1189F"/>
    <w:rsid w:val="00F11975"/>
    <w:rsid w:val="00F11B70"/>
    <w:rsid w:val="00F11C6F"/>
    <w:rsid w:val="00F11C9B"/>
    <w:rsid w:val="00F11D4C"/>
    <w:rsid w:val="00F11E67"/>
    <w:rsid w:val="00F11F1B"/>
    <w:rsid w:val="00F120B6"/>
    <w:rsid w:val="00F12106"/>
    <w:rsid w:val="00F121AA"/>
    <w:rsid w:val="00F123B1"/>
    <w:rsid w:val="00F124C4"/>
    <w:rsid w:val="00F124C6"/>
    <w:rsid w:val="00F124FE"/>
    <w:rsid w:val="00F12549"/>
    <w:rsid w:val="00F1264B"/>
    <w:rsid w:val="00F12785"/>
    <w:rsid w:val="00F127ED"/>
    <w:rsid w:val="00F129B4"/>
    <w:rsid w:val="00F12BF0"/>
    <w:rsid w:val="00F12C90"/>
    <w:rsid w:val="00F12D06"/>
    <w:rsid w:val="00F12E1E"/>
    <w:rsid w:val="00F12E2B"/>
    <w:rsid w:val="00F12F15"/>
    <w:rsid w:val="00F12F38"/>
    <w:rsid w:val="00F12FB9"/>
    <w:rsid w:val="00F1312D"/>
    <w:rsid w:val="00F133B3"/>
    <w:rsid w:val="00F133E9"/>
    <w:rsid w:val="00F13490"/>
    <w:rsid w:val="00F134B3"/>
    <w:rsid w:val="00F134CA"/>
    <w:rsid w:val="00F13753"/>
    <w:rsid w:val="00F138B6"/>
    <w:rsid w:val="00F138C3"/>
    <w:rsid w:val="00F139C5"/>
    <w:rsid w:val="00F13B07"/>
    <w:rsid w:val="00F13CF9"/>
    <w:rsid w:val="00F13D19"/>
    <w:rsid w:val="00F13DB7"/>
    <w:rsid w:val="00F13E04"/>
    <w:rsid w:val="00F13F4D"/>
    <w:rsid w:val="00F13F51"/>
    <w:rsid w:val="00F14095"/>
    <w:rsid w:val="00F1423E"/>
    <w:rsid w:val="00F14511"/>
    <w:rsid w:val="00F1475A"/>
    <w:rsid w:val="00F14946"/>
    <w:rsid w:val="00F1494F"/>
    <w:rsid w:val="00F149CE"/>
    <w:rsid w:val="00F14A52"/>
    <w:rsid w:val="00F14E01"/>
    <w:rsid w:val="00F15048"/>
    <w:rsid w:val="00F15195"/>
    <w:rsid w:val="00F152A1"/>
    <w:rsid w:val="00F1540C"/>
    <w:rsid w:val="00F1544E"/>
    <w:rsid w:val="00F1593C"/>
    <w:rsid w:val="00F159F8"/>
    <w:rsid w:val="00F15AB1"/>
    <w:rsid w:val="00F15B6B"/>
    <w:rsid w:val="00F15BD5"/>
    <w:rsid w:val="00F15C4F"/>
    <w:rsid w:val="00F16353"/>
    <w:rsid w:val="00F1658B"/>
    <w:rsid w:val="00F165C3"/>
    <w:rsid w:val="00F167B8"/>
    <w:rsid w:val="00F16946"/>
    <w:rsid w:val="00F1696A"/>
    <w:rsid w:val="00F169BD"/>
    <w:rsid w:val="00F169C3"/>
    <w:rsid w:val="00F16B0D"/>
    <w:rsid w:val="00F16B33"/>
    <w:rsid w:val="00F16C41"/>
    <w:rsid w:val="00F16C42"/>
    <w:rsid w:val="00F16D91"/>
    <w:rsid w:val="00F16E34"/>
    <w:rsid w:val="00F16ED8"/>
    <w:rsid w:val="00F1703B"/>
    <w:rsid w:val="00F171F6"/>
    <w:rsid w:val="00F17476"/>
    <w:rsid w:val="00F178BC"/>
    <w:rsid w:val="00F178EE"/>
    <w:rsid w:val="00F179A5"/>
    <w:rsid w:val="00F17ADA"/>
    <w:rsid w:val="00F17C3D"/>
    <w:rsid w:val="00F17C55"/>
    <w:rsid w:val="00F17E6D"/>
    <w:rsid w:val="00F17EEA"/>
    <w:rsid w:val="00F17F1A"/>
    <w:rsid w:val="00F17F3B"/>
    <w:rsid w:val="00F17FE8"/>
    <w:rsid w:val="00F200D6"/>
    <w:rsid w:val="00F2010C"/>
    <w:rsid w:val="00F20155"/>
    <w:rsid w:val="00F2027D"/>
    <w:rsid w:val="00F20431"/>
    <w:rsid w:val="00F20456"/>
    <w:rsid w:val="00F20487"/>
    <w:rsid w:val="00F20518"/>
    <w:rsid w:val="00F205BE"/>
    <w:rsid w:val="00F2067D"/>
    <w:rsid w:val="00F20770"/>
    <w:rsid w:val="00F207A1"/>
    <w:rsid w:val="00F20C1E"/>
    <w:rsid w:val="00F20C2D"/>
    <w:rsid w:val="00F20CA8"/>
    <w:rsid w:val="00F20CCF"/>
    <w:rsid w:val="00F20DAC"/>
    <w:rsid w:val="00F20E77"/>
    <w:rsid w:val="00F20EFF"/>
    <w:rsid w:val="00F20F8E"/>
    <w:rsid w:val="00F210FC"/>
    <w:rsid w:val="00F214F5"/>
    <w:rsid w:val="00F21563"/>
    <w:rsid w:val="00F216E4"/>
    <w:rsid w:val="00F216F5"/>
    <w:rsid w:val="00F21998"/>
    <w:rsid w:val="00F21A58"/>
    <w:rsid w:val="00F21B40"/>
    <w:rsid w:val="00F21C09"/>
    <w:rsid w:val="00F21CE1"/>
    <w:rsid w:val="00F21CED"/>
    <w:rsid w:val="00F21D35"/>
    <w:rsid w:val="00F21D75"/>
    <w:rsid w:val="00F21FDC"/>
    <w:rsid w:val="00F21FE2"/>
    <w:rsid w:val="00F22029"/>
    <w:rsid w:val="00F220E4"/>
    <w:rsid w:val="00F2228C"/>
    <w:rsid w:val="00F225B6"/>
    <w:rsid w:val="00F2265D"/>
    <w:rsid w:val="00F227A1"/>
    <w:rsid w:val="00F22864"/>
    <w:rsid w:val="00F22909"/>
    <w:rsid w:val="00F22973"/>
    <w:rsid w:val="00F22AC6"/>
    <w:rsid w:val="00F22C2D"/>
    <w:rsid w:val="00F2303B"/>
    <w:rsid w:val="00F2309B"/>
    <w:rsid w:val="00F230CA"/>
    <w:rsid w:val="00F231D1"/>
    <w:rsid w:val="00F23208"/>
    <w:rsid w:val="00F233DF"/>
    <w:rsid w:val="00F2352C"/>
    <w:rsid w:val="00F236D5"/>
    <w:rsid w:val="00F2375B"/>
    <w:rsid w:val="00F237B1"/>
    <w:rsid w:val="00F237F1"/>
    <w:rsid w:val="00F239E8"/>
    <w:rsid w:val="00F23B1C"/>
    <w:rsid w:val="00F23B86"/>
    <w:rsid w:val="00F23BAC"/>
    <w:rsid w:val="00F23C6E"/>
    <w:rsid w:val="00F23C9E"/>
    <w:rsid w:val="00F23CDC"/>
    <w:rsid w:val="00F23D83"/>
    <w:rsid w:val="00F23E4C"/>
    <w:rsid w:val="00F240B3"/>
    <w:rsid w:val="00F24247"/>
    <w:rsid w:val="00F24343"/>
    <w:rsid w:val="00F245E2"/>
    <w:rsid w:val="00F246B8"/>
    <w:rsid w:val="00F248A8"/>
    <w:rsid w:val="00F24C01"/>
    <w:rsid w:val="00F24C1A"/>
    <w:rsid w:val="00F24C57"/>
    <w:rsid w:val="00F24EDB"/>
    <w:rsid w:val="00F25290"/>
    <w:rsid w:val="00F253A4"/>
    <w:rsid w:val="00F2547A"/>
    <w:rsid w:val="00F25625"/>
    <w:rsid w:val="00F2573A"/>
    <w:rsid w:val="00F25773"/>
    <w:rsid w:val="00F25A41"/>
    <w:rsid w:val="00F25A4C"/>
    <w:rsid w:val="00F25CFB"/>
    <w:rsid w:val="00F25F28"/>
    <w:rsid w:val="00F25FE0"/>
    <w:rsid w:val="00F2614C"/>
    <w:rsid w:val="00F2621D"/>
    <w:rsid w:val="00F26225"/>
    <w:rsid w:val="00F2662C"/>
    <w:rsid w:val="00F26637"/>
    <w:rsid w:val="00F2684B"/>
    <w:rsid w:val="00F26A20"/>
    <w:rsid w:val="00F26AA0"/>
    <w:rsid w:val="00F26B46"/>
    <w:rsid w:val="00F26B7F"/>
    <w:rsid w:val="00F26C59"/>
    <w:rsid w:val="00F26E58"/>
    <w:rsid w:val="00F27094"/>
    <w:rsid w:val="00F270ED"/>
    <w:rsid w:val="00F27120"/>
    <w:rsid w:val="00F27155"/>
    <w:rsid w:val="00F272CE"/>
    <w:rsid w:val="00F2769F"/>
    <w:rsid w:val="00F27724"/>
    <w:rsid w:val="00F27740"/>
    <w:rsid w:val="00F27775"/>
    <w:rsid w:val="00F2783E"/>
    <w:rsid w:val="00F278C5"/>
    <w:rsid w:val="00F27A44"/>
    <w:rsid w:val="00F27B52"/>
    <w:rsid w:val="00F27B84"/>
    <w:rsid w:val="00F27BA9"/>
    <w:rsid w:val="00F27C85"/>
    <w:rsid w:val="00F27EB8"/>
    <w:rsid w:val="00F27F0F"/>
    <w:rsid w:val="00F30149"/>
    <w:rsid w:val="00F30237"/>
    <w:rsid w:val="00F3026D"/>
    <w:rsid w:val="00F304BF"/>
    <w:rsid w:val="00F305AC"/>
    <w:rsid w:val="00F30733"/>
    <w:rsid w:val="00F3094A"/>
    <w:rsid w:val="00F3097E"/>
    <w:rsid w:val="00F309FB"/>
    <w:rsid w:val="00F30A34"/>
    <w:rsid w:val="00F30BD6"/>
    <w:rsid w:val="00F30C18"/>
    <w:rsid w:val="00F30CDD"/>
    <w:rsid w:val="00F30ECF"/>
    <w:rsid w:val="00F30F79"/>
    <w:rsid w:val="00F310ED"/>
    <w:rsid w:val="00F31499"/>
    <w:rsid w:val="00F314E2"/>
    <w:rsid w:val="00F31525"/>
    <w:rsid w:val="00F31A18"/>
    <w:rsid w:val="00F31ADD"/>
    <w:rsid w:val="00F31BD3"/>
    <w:rsid w:val="00F31BED"/>
    <w:rsid w:val="00F31D1B"/>
    <w:rsid w:val="00F31E06"/>
    <w:rsid w:val="00F32056"/>
    <w:rsid w:val="00F320F8"/>
    <w:rsid w:val="00F32135"/>
    <w:rsid w:val="00F3217C"/>
    <w:rsid w:val="00F32225"/>
    <w:rsid w:val="00F3226A"/>
    <w:rsid w:val="00F322BD"/>
    <w:rsid w:val="00F32337"/>
    <w:rsid w:val="00F32396"/>
    <w:rsid w:val="00F323D2"/>
    <w:rsid w:val="00F323ED"/>
    <w:rsid w:val="00F3243B"/>
    <w:rsid w:val="00F326CD"/>
    <w:rsid w:val="00F3289C"/>
    <w:rsid w:val="00F3295C"/>
    <w:rsid w:val="00F32EAE"/>
    <w:rsid w:val="00F32EBE"/>
    <w:rsid w:val="00F32F09"/>
    <w:rsid w:val="00F32F13"/>
    <w:rsid w:val="00F32FF0"/>
    <w:rsid w:val="00F3303E"/>
    <w:rsid w:val="00F3325D"/>
    <w:rsid w:val="00F332A6"/>
    <w:rsid w:val="00F333CC"/>
    <w:rsid w:val="00F33447"/>
    <w:rsid w:val="00F3386B"/>
    <w:rsid w:val="00F338D0"/>
    <w:rsid w:val="00F33ADF"/>
    <w:rsid w:val="00F33B87"/>
    <w:rsid w:val="00F33D16"/>
    <w:rsid w:val="00F33D98"/>
    <w:rsid w:val="00F33DF6"/>
    <w:rsid w:val="00F33E0C"/>
    <w:rsid w:val="00F33EAF"/>
    <w:rsid w:val="00F33EB8"/>
    <w:rsid w:val="00F33F6A"/>
    <w:rsid w:val="00F34023"/>
    <w:rsid w:val="00F340A5"/>
    <w:rsid w:val="00F3429B"/>
    <w:rsid w:val="00F34443"/>
    <w:rsid w:val="00F34526"/>
    <w:rsid w:val="00F3463B"/>
    <w:rsid w:val="00F346ED"/>
    <w:rsid w:val="00F34729"/>
    <w:rsid w:val="00F34A63"/>
    <w:rsid w:val="00F34BFF"/>
    <w:rsid w:val="00F34CC4"/>
    <w:rsid w:val="00F34E03"/>
    <w:rsid w:val="00F3500B"/>
    <w:rsid w:val="00F3506F"/>
    <w:rsid w:val="00F3518D"/>
    <w:rsid w:val="00F35281"/>
    <w:rsid w:val="00F3531E"/>
    <w:rsid w:val="00F35331"/>
    <w:rsid w:val="00F35389"/>
    <w:rsid w:val="00F3578A"/>
    <w:rsid w:val="00F357FB"/>
    <w:rsid w:val="00F3582A"/>
    <w:rsid w:val="00F3589C"/>
    <w:rsid w:val="00F35DCD"/>
    <w:rsid w:val="00F35DD5"/>
    <w:rsid w:val="00F35E25"/>
    <w:rsid w:val="00F3605F"/>
    <w:rsid w:val="00F36115"/>
    <w:rsid w:val="00F36358"/>
    <w:rsid w:val="00F36524"/>
    <w:rsid w:val="00F3652B"/>
    <w:rsid w:val="00F36759"/>
    <w:rsid w:val="00F36AAD"/>
    <w:rsid w:val="00F36C41"/>
    <w:rsid w:val="00F36C84"/>
    <w:rsid w:val="00F36CB2"/>
    <w:rsid w:val="00F36F4C"/>
    <w:rsid w:val="00F3701B"/>
    <w:rsid w:val="00F37163"/>
    <w:rsid w:val="00F372E4"/>
    <w:rsid w:val="00F3747D"/>
    <w:rsid w:val="00F37514"/>
    <w:rsid w:val="00F3771D"/>
    <w:rsid w:val="00F37941"/>
    <w:rsid w:val="00F37A01"/>
    <w:rsid w:val="00F37A9C"/>
    <w:rsid w:val="00F37AFD"/>
    <w:rsid w:val="00F37B17"/>
    <w:rsid w:val="00F37D26"/>
    <w:rsid w:val="00F37DD6"/>
    <w:rsid w:val="00F37E7E"/>
    <w:rsid w:val="00F37EBB"/>
    <w:rsid w:val="00F400C7"/>
    <w:rsid w:val="00F40135"/>
    <w:rsid w:val="00F40214"/>
    <w:rsid w:val="00F402EA"/>
    <w:rsid w:val="00F403F3"/>
    <w:rsid w:val="00F40552"/>
    <w:rsid w:val="00F40574"/>
    <w:rsid w:val="00F405BE"/>
    <w:rsid w:val="00F405D8"/>
    <w:rsid w:val="00F405FF"/>
    <w:rsid w:val="00F40608"/>
    <w:rsid w:val="00F40696"/>
    <w:rsid w:val="00F407AC"/>
    <w:rsid w:val="00F407E5"/>
    <w:rsid w:val="00F408BA"/>
    <w:rsid w:val="00F408F8"/>
    <w:rsid w:val="00F409AA"/>
    <w:rsid w:val="00F40B98"/>
    <w:rsid w:val="00F40BBE"/>
    <w:rsid w:val="00F40CC0"/>
    <w:rsid w:val="00F40DE0"/>
    <w:rsid w:val="00F40E75"/>
    <w:rsid w:val="00F40E84"/>
    <w:rsid w:val="00F40E8B"/>
    <w:rsid w:val="00F40E8F"/>
    <w:rsid w:val="00F410C8"/>
    <w:rsid w:val="00F411E1"/>
    <w:rsid w:val="00F412CF"/>
    <w:rsid w:val="00F414C5"/>
    <w:rsid w:val="00F41692"/>
    <w:rsid w:val="00F417FF"/>
    <w:rsid w:val="00F4182B"/>
    <w:rsid w:val="00F41883"/>
    <w:rsid w:val="00F418B6"/>
    <w:rsid w:val="00F419AB"/>
    <w:rsid w:val="00F41AC9"/>
    <w:rsid w:val="00F41CEF"/>
    <w:rsid w:val="00F41D32"/>
    <w:rsid w:val="00F41DB7"/>
    <w:rsid w:val="00F41E72"/>
    <w:rsid w:val="00F41F0A"/>
    <w:rsid w:val="00F41F35"/>
    <w:rsid w:val="00F41F8D"/>
    <w:rsid w:val="00F4214A"/>
    <w:rsid w:val="00F42190"/>
    <w:rsid w:val="00F421EB"/>
    <w:rsid w:val="00F42340"/>
    <w:rsid w:val="00F42350"/>
    <w:rsid w:val="00F4250E"/>
    <w:rsid w:val="00F42550"/>
    <w:rsid w:val="00F42958"/>
    <w:rsid w:val="00F429F8"/>
    <w:rsid w:val="00F42A03"/>
    <w:rsid w:val="00F42A04"/>
    <w:rsid w:val="00F42A0B"/>
    <w:rsid w:val="00F42A17"/>
    <w:rsid w:val="00F42B24"/>
    <w:rsid w:val="00F42C40"/>
    <w:rsid w:val="00F42DA3"/>
    <w:rsid w:val="00F42F24"/>
    <w:rsid w:val="00F42FC0"/>
    <w:rsid w:val="00F4304A"/>
    <w:rsid w:val="00F430AC"/>
    <w:rsid w:val="00F4310D"/>
    <w:rsid w:val="00F431FE"/>
    <w:rsid w:val="00F43751"/>
    <w:rsid w:val="00F43786"/>
    <w:rsid w:val="00F437F2"/>
    <w:rsid w:val="00F43972"/>
    <w:rsid w:val="00F4399C"/>
    <w:rsid w:val="00F439AD"/>
    <w:rsid w:val="00F43A5D"/>
    <w:rsid w:val="00F43A79"/>
    <w:rsid w:val="00F43B66"/>
    <w:rsid w:val="00F43BCF"/>
    <w:rsid w:val="00F43C64"/>
    <w:rsid w:val="00F43C8B"/>
    <w:rsid w:val="00F43CC4"/>
    <w:rsid w:val="00F43CC7"/>
    <w:rsid w:val="00F43D1F"/>
    <w:rsid w:val="00F43E5C"/>
    <w:rsid w:val="00F43E91"/>
    <w:rsid w:val="00F43EC2"/>
    <w:rsid w:val="00F43F2C"/>
    <w:rsid w:val="00F43F6C"/>
    <w:rsid w:val="00F4402A"/>
    <w:rsid w:val="00F44234"/>
    <w:rsid w:val="00F44253"/>
    <w:rsid w:val="00F44283"/>
    <w:rsid w:val="00F44348"/>
    <w:rsid w:val="00F443BD"/>
    <w:rsid w:val="00F4450E"/>
    <w:rsid w:val="00F4456B"/>
    <w:rsid w:val="00F447BE"/>
    <w:rsid w:val="00F447D6"/>
    <w:rsid w:val="00F4482B"/>
    <w:rsid w:val="00F44BA7"/>
    <w:rsid w:val="00F44BE4"/>
    <w:rsid w:val="00F44C98"/>
    <w:rsid w:val="00F44D37"/>
    <w:rsid w:val="00F44E26"/>
    <w:rsid w:val="00F44E75"/>
    <w:rsid w:val="00F44E87"/>
    <w:rsid w:val="00F44ED6"/>
    <w:rsid w:val="00F45061"/>
    <w:rsid w:val="00F45177"/>
    <w:rsid w:val="00F45180"/>
    <w:rsid w:val="00F4551F"/>
    <w:rsid w:val="00F455FA"/>
    <w:rsid w:val="00F45751"/>
    <w:rsid w:val="00F45757"/>
    <w:rsid w:val="00F457F1"/>
    <w:rsid w:val="00F457FB"/>
    <w:rsid w:val="00F4591C"/>
    <w:rsid w:val="00F459C7"/>
    <w:rsid w:val="00F45B4D"/>
    <w:rsid w:val="00F45C5F"/>
    <w:rsid w:val="00F45FFA"/>
    <w:rsid w:val="00F4602B"/>
    <w:rsid w:val="00F4611E"/>
    <w:rsid w:val="00F461C2"/>
    <w:rsid w:val="00F461F9"/>
    <w:rsid w:val="00F462C0"/>
    <w:rsid w:val="00F467D8"/>
    <w:rsid w:val="00F4682C"/>
    <w:rsid w:val="00F46A1C"/>
    <w:rsid w:val="00F46DFD"/>
    <w:rsid w:val="00F46EFC"/>
    <w:rsid w:val="00F46F5B"/>
    <w:rsid w:val="00F46FA6"/>
    <w:rsid w:val="00F46FE4"/>
    <w:rsid w:val="00F46FFA"/>
    <w:rsid w:val="00F470E3"/>
    <w:rsid w:val="00F4710A"/>
    <w:rsid w:val="00F473F4"/>
    <w:rsid w:val="00F47424"/>
    <w:rsid w:val="00F474B1"/>
    <w:rsid w:val="00F47603"/>
    <w:rsid w:val="00F477E3"/>
    <w:rsid w:val="00F4786B"/>
    <w:rsid w:val="00F47BD9"/>
    <w:rsid w:val="00F47CE6"/>
    <w:rsid w:val="00F47D8A"/>
    <w:rsid w:val="00F47D98"/>
    <w:rsid w:val="00F47E53"/>
    <w:rsid w:val="00F47F49"/>
    <w:rsid w:val="00F50011"/>
    <w:rsid w:val="00F500E8"/>
    <w:rsid w:val="00F50516"/>
    <w:rsid w:val="00F50578"/>
    <w:rsid w:val="00F50967"/>
    <w:rsid w:val="00F50ABE"/>
    <w:rsid w:val="00F50AFA"/>
    <w:rsid w:val="00F50C2F"/>
    <w:rsid w:val="00F50D3B"/>
    <w:rsid w:val="00F50EDD"/>
    <w:rsid w:val="00F50FE8"/>
    <w:rsid w:val="00F5118E"/>
    <w:rsid w:val="00F51316"/>
    <w:rsid w:val="00F515F6"/>
    <w:rsid w:val="00F51625"/>
    <w:rsid w:val="00F518D8"/>
    <w:rsid w:val="00F518DC"/>
    <w:rsid w:val="00F51905"/>
    <w:rsid w:val="00F51B08"/>
    <w:rsid w:val="00F51B50"/>
    <w:rsid w:val="00F51BE5"/>
    <w:rsid w:val="00F51D6D"/>
    <w:rsid w:val="00F51DA2"/>
    <w:rsid w:val="00F51F32"/>
    <w:rsid w:val="00F51FC5"/>
    <w:rsid w:val="00F52012"/>
    <w:rsid w:val="00F52061"/>
    <w:rsid w:val="00F520EB"/>
    <w:rsid w:val="00F52342"/>
    <w:rsid w:val="00F52391"/>
    <w:rsid w:val="00F524A4"/>
    <w:rsid w:val="00F524D2"/>
    <w:rsid w:val="00F52503"/>
    <w:rsid w:val="00F528B5"/>
    <w:rsid w:val="00F528C6"/>
    <w:rsid w:val="00F529A7"/>
    <w:rsid w:val="00F52A2F"/>
    <w:rsid w:val="00F53090"/>
    <w:rsid w:val="00F53139"/>
    <w:rsid w:val="00F53338"/>
    <w:rsid w:val="00F534B1"/>
    <w:rsid w:val="00F53755"/>
    <w:rsid w:val="00F53D58"/>
    <w:rsid w:val="00F53D72"/>
    <w:rsid w:val="00F53DF5"/>
    <w:rsid w:val="00F53EB4"/>
    <w:rsid w:val="00F54017"/>
    <w:rsid w:val="00F540E2"/>
    <w:rsid w:val="00F540F0"/>
    <w:rsid w:val="00F5415F"/>
    <w:rsid w:val="00F54430"/>
    <w:rsid w:val="00F544F0"/>
    <w:rsid w:val="00F547CB"/>
    <w:rsid w:val="00F54A39"/>
    <w:rsid w:val="00F54A6E"/>
    <w:rsid w:val="00F54C3E"/>
    <w:rsid w:val="00F54CA2"/>
    <w:rsid w:val="00F5501A"/>
    <w:rsid w:val="00F5512E"/>
    <w:rsid w:val="00F55151"/>
    <w:rsid w:val="00F551AE"/>
    <w:rsid w:val="00F551E5"/>
    <w:rsid w:val="00F551FE"/>
    <w:rsid w:val="00F55427"/>
    <w:rsid w:val="00F554D2"/>
    <w:rsid w:val="00F55846"/>
    <w:rsid w:val="00F55AC6"/>
    <w:rsid w:val="00F55C8B"/>
    <w:rsid w:val="00F55D4F"/>
    <w:rsid w:val="00F55E06"/>
    <w:rsid w:val="00F55E59"/>
    <w:rsid w:val="00F5608E"/>
    <w:rsid w:val="00F56328"/>
    <w:rsid w:val="00F56332"/>
    <w:rsid w:val="00F563BB"/>
    <w:rsid w:val="00F56482"/>
    <w:rsid w:val="00F5655F"/>
    <w:rsid w:val="00F56863"/>
    <w:rsid w:val="00F5691F"/>
    <w:rsid w:val="00F56AD9"/>
    <w:rsid w:val="00F56B07"/>
    <w:rsid w:val="00F56B1F"/>
    <w:rsid w:val="00F56DCF"/>
    <w:rsid w:val="00F56E14"/>
    <w:rsid w:val="00F56F25"/>
    <w:rsid w:val="00F56FA0"/>
    <w:rsid w:val="00F57002"/>
    <w:rsid w:val="00F570CE"/>
    <w:rsid w:val="00F57150"/>
    <w:rsid w:val="00F57377"/>
    <w:rsid w:val="00F574E4"/>
    <w:rsid w:val="00F57648"/>
    <w:rsid w:val="00F57888"/>
    <w:rsid w:val="00F578F0"/>
    <w:rsid w:val="00F57944"/>
    <w:rsid w:val="00F57A51"/>
    <w:rsid w:val="00F57F4B"/>
    <w:rsid w:val="00F60000"/>
    <w:rsid w:val="00F6003F"/>
    <w:rsid w:val="00F60104"/>
    <w:rsid w:val="00F60191"/>
    <w:rsid w:val="00F60303"/>
    <w:rsid w:val="00F60319"/>
    <w:rsid w:val="00F603A8"/>
    <w:rsid w:val="00F603B5"/>
    <w:rsid w:val="00F604C9"/>
    <w:rsid w:val="00F606ED"/>
    <w:rsid w:val="00F6085E"/>
    <w:rsid w:val="00F6095A"/>
    <w:rsid w:val="00F60B4B"/>
    <w:rsid w:val="00F60D26"/>
    <w:rsid w:val="00F60DB6"/>
    <w:rsid w:val="00F60EFF"/>
    <w:rsid w:val="00F60FAB"/>
    <w:rsid w:val="00F610C9"/>
    <w:rsid w:val="00F6119D"/>
    <w:rsid w:val="00F61446"/>
    <w:rsid w:val="00F615C1"/>
    <w:rsid w:val="00F6167F"/>
    <w:rsid w:val="00F61754"/>
    <w:rsid w:val="00F617E1"/>
    <w:rsid w:val="00F6195A"/>
    <w:rsid w:val="00F61B62"/>
    <w:rsid w:val="00F61CDE"/>
    <w:rsid w:val="00F61D67"/>
    <w:rsid w:val="00F61E51"/>
    <w:rsid w:val="00F61E95"/>
    <w:rsid w:val="00F62009"/>
    <w:rsid w:val="00F62113"/>
    <w:rsid w:val="00F621A3"/>
    <w:rsid w:val="00F62280"/>
    <w:rsid w:val="00F624E9"/>
    <w:rsid w:val="00F6253D"/>
    <w:rsid w:val="00F625A2"/>
    <w:rsid w:val="00F625C4"/>
    <w:rsid w:val="00F629D4"/>
    <w:rsid w:val="00F62D74"/>
    <w:rsid w:val="00F62D7C"/>
    <w:rsid w:val="00F63194"/>
    <w:rsid w:val="00F631B1"/>
    <w:rsid w:val="00F6328F"/>
    <w:rsid w:val="00F63418"/>
    <w:rsid w:val="00F63554"/>
    <w:rsid w:val="00F636AE"/>
    <w:rsid w:val="00F636D9"/>
    <w:rsid w:val="00F63738"/>
    <w:rsid w:val="00F6376A"/>
    <w:rsid w:val="00F63A4D"/>
    <w:rsid w:val="00F63A83"/>
    <w:rsid w:val="00F63C8A"/>
    <w:rsid w:val="00F63CE1"/>
    <w:rsid w:val="00F63CED"/>
    <w:rsid w:val="00F63D5B"/>
    <w:rsid w:val="00F63FC5"/>
    <w:rsid w:val="00F64374"/>
    <w:rsid w:val="00F643C9"/>
    <w:rsid w:val="00F644D8"/>
    <w:rsid w:val="00F64512"/>
    <w:rsid w:val="00F64755"/>
    <w:rsid w:val="00F64757"/>
    <w:rsid w:val="00F64767"/>
    <w:rsid w:val="00F6477D"/>
    <w:rsid w:val="00F647D7"/>
    <w:rsid w:val="00F64808"/>
    <w:rsid w:val="00F6481A"/>
    <w:rsid w:val="00F64979"/>
    <w:rsid w:val="00F64A62"/>
    <w:rsid w:val="00F64BC1"/>
    <w:rsid w:val="00F64ED6"/>
    <w:rsid w:val="00F64F3A"/>
    <w:rsid w:val="00F64F9C"/>
    <w:rsid w:val="00F64FBC"/>
    <w:rsid w:val="00F64FD3"/>
    <w:rsid w:val="00F654DC"/>
    <w:rsid w:val="00F654DD"/>
    <w:rsid w:val="00F655A4"/>
    <w:rsid w:val="00F65628"/>
    <w:rsid w:val="00F65C4D"/>
    <w:rsid w:val="00F65D40"/>
    <w:rsid w:val="00F65ECE"/>
    <w:rsid w:val="00F65FAD"/>
    <w:rsid w:val="00F660F4"/>
    <w:rsid w:val="00F6615A"/>
    <w:rsid w:val="00F66227"/>
    <w:rsid w:val="00F6622A"/>
    <w:rsid w:val="00F66279"/>
    <w:rsid w:val="00F66371"/>
    <w:rsid w:val="00F66478"/>
    <w:rsid w:val="00F66500"/>
    <w:rsid w:val="00F6652D"/>
    <w:rsid w:val="00F66588"/>
    <w:rsid w:val="00F66659"/>
    <w:rsid w:val="00F66660"/>
    <w:rsid w:val="00F666D5"/>
    <w:rsid w:val="00F667B2"/>
    <w:rsid w:val="00F667EE"/>
    <w:rsid w:val="00F66820"/>
    <w:rsid w:val="00F668AC"/>
    <w:rsid w:val="00F668DA"/>
    <w:rsid w:val="00F66B35"/>
    <w:rsid w:val="00F66B4A"/>
    <w:rsid w:val="00F66D4C"/>
    <w:rsid w:val="00F66D8E"/>
    <w:rsid w:val="00F66EC1"/>
    <w:rsid w:val="00F67130"/>
    <w:rsid w:val="00F67194"/>
    <w:rsid w:val="00F672F7"/>
    <w:rsid w:val="00F673BC"/>
    <w:rsid w:val="00F6746C"/>
    <w:rsid w:val="00F674FF"/>
    <w:rsid w:val="00F675CA"/>
    <w:rsid w:val="00F67695"/>
    <w:rsid w:val="00F67849"/>
    <w:rsid w:val="00F678D3"/>
    <w:rsid w:val="00F679CB"/>
    <w:rsid w:val="00F67BA2"/>
    <w:rsid w:val="00F67BF0"/>
    <w:rsid w:val="00F67F05"/>
    <w:rsid w:val="00F67FBD"/>
    <w:rsid w:val="00F700CC"/>
    <w:rsid w:val="00F70125"/>
    <w:rsid w:val="00F702DD"/>
    <w:rsid w:val="00F703A2"/>
    <w:rsid w:val="00F7042F"/>
    <w:rsid w:val="00F70501"/>
    <w:rsid w:val="00F705FE"/>
    <w:rsid w:val="00F70639"/>
    <w:rsid w:val="00F7068C"/>
    <w:rsid w:val="00F706FB"/>
    <w:rsid w:val="00F707EC"/>
    <w:rsid w:val="00F708D0"/>
    <w:rsid w:val="00F7094F"/>
    <w:rsid w:val="00F70C05"/>
    <w:rsid w:val="00F70D7D"/>
    <w:rsid w:val="00F70F33"/>
    <w:rsid w:val="00F70F6C"/>
    <w:rsid w:val="00F70FC7"/>
    <w:rsid w:val="00F70FDD"/>
    <w:rsid w:val="00F71089"/>
    <w:rsid w:val="00F7125D"/>
    <w:rsid w:val="00F71306"/>
    <w:rsid w:val="00F71557"/>
    <w:rsid w:val="00F71615"/>
    <w:rsid w:val="00F716BF"/>
    <w:rsid w:val="00F71776"/>
    <w:rsid w:val="00F71883"/>
    <w:rsid w:val="00F718CD"/>
    <w:rsid w:val="00F718D2"/>
    <w:rsid w:val="00F71A47"/>
    <w:rsid w:val="00F71B05"/>
    <w:rsid w:val="00F71B22"/>
    <w:rsid w:val="00F71C8F"/>
    <w:rsid w:val="00F71D27"/>
    <w:rsid w:val="00F71DA3"/>
    <w:rsid w:val="00F7200B"/>
    <w:rsid w:val="00F7209A"/>
    <w:rsid w:val="00F7218F"/>
    <w:rsid w:val="00F721F8"/>
    <w:rsid w:val="00F72257"/>
    <w:rsid w:val="00F7262B"/>
    <w:rsid w:val="00F7265A"/>
    <w:rsid w:val="00F72740"/>
    <w:rsid w:val="00F7289E"/>
    <w:rsid w:val="00F72912"/>
    <w:rsid w:val="00F72B85"/>
    <w:rsid w:val="00F72D5B"/>
    <w:rsid w:val="00F72DD9"/>
    <w:rsid w:val="00F72E84"/>
    <w:rsid w:val="00F72EB1"/>
    <w:rsid w:val="00F72FB4"/>
    <w:rsid w:val="00F72FF6"/>
    <w:rsid w:val="00F73066"/>
    <w:rsid w:val="00F73353"/>
    <w:rsid w:val="00F7348B"/>
    <w:rsid w:val="00F734DA"/>
    <w:rsid w:val="00F73643"/>
    <w:rsid w:val="00F73781"/>
    <w:rsid w:val="00F737D1"/>
    <w:rsid w:val="00F738F4"/>
    <w:rsid w:val="00F73923"/>
    <w:rsid w:val="00F739F4"/>
    <w:rsid w:val="00F73BF5"/>
    <w:rsid w:val="00F73C65"/>
    <w:rsid w:val="00F73C97"/>
    <w:rsid w:val="00F73E24"/>
    <w:rsid w:val="00F73E69"/>
    <w:rsid w:val="00F73F8E"/>
    <w:rsid w:val="00F7408C"/>
    <w:rsid w:val="00F7416D"/>
    <w:rsid w:val="00F741A5"/>
    <w:rsid w:val="00F741E2"/>
    <w:rsid w:val="00F743D3"/>
    <w:rsid w:val="00F74443"/>
    <w:rsid w:val="00F74491"/>
    <w:rsid w:val="00F74594"/>
    <w:rsid w:val="00F7467F"/>
    <w:rsid w:val="00F74788"/>
    <w:rsid w:val="00F747F0"/>
    <w:rsid w:val="00F748E7"/>
    <w:rsid w:val="00F7490A"/>
    <w:rsid w:val="00F74A04"/>
    <w:rsid w:val="00F74B41"/>
    <w:rsid w:val="00F74B43"/>
    <w:rsid w:val="00F74BAC"/>
    <w:rsid w:val="00F74D8F"/>
    <w:rsid w:val="00F7514B"/>
    <w:rsid w:val="00F7533C"/>
    <w:rsid w:val="00F75400"/>
    <w:rsid w:val="00F75467"/>
    <w:rsid w:val="00F75541"/>
    <w:rsid w:val="00F75553"/>
    <w:rsid w:val="00F755AE"/>
    <w:rsid w:val="00F758D2"/>
    <w:rsid w:val="00F7590D"/>
    <w:rsid w:val="00F75943"/>
    <w:rsid w:val="00F75A91"/>
    <w:rsid w:val="00F75BB1"/>
    <w:rsid w:val="00F75CA7"/>
    <w:rsid w:val="00F75DA2"/>
    <w:rsid w:val="00F75E87"/>
    <w:rsid w:val="00F75EA3"/>
    <w:rsid w:val="00F75F60"/>
    <w:rsid w:val="00F7602A"/>
    <w:rsid w:val="00F7618F"/>
    <w:rsid w:val="00F761E3"/>
    <w:rsid w:val="00F76391"/>
    <w:rsid w:val="00F76519"/>
    <w:rsid w:val="00F765EE"/>
    <w:rsid w:val="00F7662A"/>
    <w:rsid w:val="00F76662"/>
    <w:rsid w:val="00F76746"/>
    <w:rsid w:val="00F76768"/>
    <w:rsid w:val="00F768AA"/>
    <w:rsid w:val="00F76A03"/>
    <w:rsid w:val="00F76D25"/>
    <w:rsid w:val="00F76DCE"/>
    <w:rsid w:val="00F76EE2"/>
    <w:rsid w:val="00F76F88"/>
    <w:rsid w:val="00F76FBE"/>
    <w:rsid w:val="00F7719C"/>
    <w:rsid w:val="00F772A5"/>
    <w:rsid w:val="00F772DB"/>
    <w:rsid w:val="00F774BD"/>
    <w:rsid w:val="00F77611"/>
    <w:rsid w:val="00F77753"/>
    <w:rsid w:val="00F779D7"/>
    <w:rsid w:val="00F77D4D"/>
    <w:rsid w:val="00F77DAB"/>
    <w:rsid w:val="00F77DB3"/>
    <w:rsid w:val="00F77ED1"/>
    <w:rsid w:val="00F77F79"/>
    <w:rsid w:val="00F77FAD"/>
    <w:rsid w:val="00F800BC"/>
    <w:rsid w:val="00F8011E"/>
    <w:rsid w:val="00F8017C"/>
    <w:rsid w:val="00F802B6"/>
    <w:rsid w:val="00F803D9"/>
    <w:rsid w:val="00F8040A"/>
    <w:rsid w:val="00F807FD"/>
    <w:rsid w:val="00F80C90"/>
    <w:rsid w:val="00F80E14"/>
    <w:rsid w:val="00F80EB9"/>
    <w:rsid w:val="00F80F50"/>
    <w:rsid w:val="00F811DF"/>
    <w:rsid w:val="00F8121D"/>
    <w:rsid w:val="00F812C7"/>
    <w:rsid w:val="00F8158E"/>
    <w:rsid w:val="00F816D5"/>
    <w:rsid w:val="00F81B8D"/>
    <w:rsid w:val="00F81BE5"/>
    <w:rsid w:val="00F81D84"/>
    <w:rsid w:val="00F81D92"/>
    <w:rsid w:val="00F81F91"/>
    <w:rsid w:val="00F81FAA"/>
    <w:rsid w:val="00F82013"/>
    <w:rsid w:val="00F82061"/>
    <w:rsid w:val="00F821EC"/>
    <w:rsid w:val="00F822DB"/>
    <w:rsid w:val="00F8230B"/>
    <w:rsid w:val="00F82509"/>
    <w:rsid w:val="00F826A5"/>
    <w:rsid w:val="00F826FC"/>
    <w:rsid w:val="00F827D7"/>
    <w:rsid w:val="00F829E9"/>
    <w:rsid w:val="00F82B00"/>
    <w:rsid w:val="00F82DD9"/>
    <w:rsid w:val="00F82E2C"/>
    <w:rsid w:val="00F82F97"/>
    <w:rsid w:val="00F82FEC"/>
    <w:rsid w:val="00F8309D"/>
    <w:rsid w:val="00F830CF"/>
    <w:rsid w:val="00F8326E"/>
    <w:rsid w:val="00F833A1"/>
    <w:rsid w:val="00F83513"/>
    <w:rsid w:val="00F8370E"/>
    <w:rsid w:val="00F8372A"/>
    <w:rsid w:val="00F83841"/>
    <w:rsid w:val="00F83850"/>
    <w:rsid w:val="00F83995"/>
    <w:rsid w:val="00F83B08"/>
    <w:rsid w:val="00F83B68"/>
    <w:rsid w:val="00F83EA6"/>
    <w:rsid w:val="00F842CE"/>
    <w:rsid w:val="00F84625"/>
    <w:rsid w:val="00F846CA"/>
    <w:rsid w:val="00F846F4"/>
    <w:rsid w:val="00F847DB"/>
    <w:rsid w:val="00F848FC"/>
    <w:rsid w:val="00F84ECB"/>
    <w:rsid w:val="00F850FF"/>
    <w:rsid w:val="00F85208"/>
    <w:rsid w:val="00F85255"/>
    <w:rsid w:val="00F85329"/>
    <w:rsid w:val="00F85A0C"/>
    <w:rsid w:val="00F85ADE"/>
    <w:rsid w:val="00F85B53"/>
    <w:rsid w:val="00F85D3F"/>
    <w:rsid w:val="00F85D84"/>
    <w:rsid w:val="00F85E7D"/>
    <w:rsid w:val="00F85F48"/>
    <w:rsid w:val="00F860DC"/>
    <w:rsid w:val="00F861B7"/>
    <w:rsid w:val="00F86250"/>
    <w:rsid w:val="00F86319"/>
    <w:rsid w:val="00F86352"/>
    <w:rsid w:val="00F8650C"/>
    <w:rsid w:val="00F86535"/>
    <w:rsid w:val="00F86AD8"/>
    <w:rsid w:val="00F86C1B"/>
    <w:rsid w:val="00F86DE5"/>
    <w:rsid w:val="00F86E4B"/>
    <w:rsid w:val="00F86F4D"/>
    <w:rsid w:val="00F87126"/>
    <w:rsid w:val="00F87294"/>
    <w:rsid w:val="00F8731A"/>
    <w:rsid w:val="00F87369"/>
    <w:rsid w:val="00F873CA"/>
    <w:rsid w:val="00F8781E"/>
    <w:rsid w:val="00F8793F"/>
    <w:rsid w:val="00F87B0E"/>
    <w:rsid w:val="00F87B98"/>
    <w:rsid w:val="00F87CB4"/>
    <w:rsid w:val="00F87DD7"/>
    <w:rsid w:val="00F87EA9"/>
    <w:rsid w:val="00F87FA8"/>
    <w:rsid w:val="00F9019D"/>
    <w:rsid w:val="00F903C9"/>
    <w:rsid w:val="00F90563"/>
    <w:rsid w:val="00F905A0"/>
    <w:rsid w:val="00F9066E"/>
    <w:rsid w:val="00F90907"/>
    <w:rsid w:val="00F90AC9"/>
    <w:rsid w:val="00F90B33"/>
    <w:rsid w:val="00F90BB6"/>
    <w:rsid w:val="00F90D19"/>
    <w:rsid w:val="00F90DE6"/>
    <w:rsid w:val="00F91058"/>
    <w:rsid w:val="00F91080"/>
    <w:rsid w:val="00F911E7"/>
    <w:rsid w:val="00F912E9"/>
    <w:rsid w:val="00F9131D"/>
    <w:rsid w:val="00F9146A"/>
    <w:rsid w:val="00F914DC"/>
    <w:rsid w:val="00F9158F"/>
    <w:rsid w:val="00F91597"/>
    <w:rsid w:val="00F91CB1"/>
    <w:rsid w:val="00F91D54"/>
    <w:rsid w:val="00F91DF6"/>
    <w:rsid w:val="00F91EC6"/>
    <w:rsid w:val="00F91F23"/>
    <w:rsid w:val="00F91F57"/>
    <w:rsid w:val="00F91FFC"/>
    <w:rsid w:val="00F921E8"/>
    <w:rsid w:val="00F922BA"/>
    <w:rsid w:val="00F9234A"/>
    <w:rsid w:val="00F92443"/>
    <w:rsid w:val="00F924C5"/>
    <w:rsid w:val="00F92623"/>
    <w:rsid w:val="00F92628"/>
    <w:rsid w:val="00F9262B"/>
    <w:rsid w:val="00F9262F"/>
    <w:rsid w:val="00F92877"/>
    <w:rsid w:val="00F92955"/>
    <w:rsid w:val="00F92B51"/>
    <w:rsid w:val="00F92BF6"/>
    <w:rsid w:val="00F92CAA"/>
    <w:rsid w:val="00F92CE7"/>
    <w:rsid w:val="00F92E2A"/>
    <w:rsid w:val="00F92E65"/>
    <w:rsid w:val="00F92EE0"/>
    <w:rsid w:val="00F930CF"/>
    <w:rsid w:val="00F93162"/>
    <w:rsid w:val="00F9325A"/>
    <w:rsid w:val="00F932F6"/>
    <w:rsid w:val="00F93342"/>
    <w:rsid w:val="00F93517"/>
    <w:rsid w:val="00F937B2"/>
    <w:rsid w:val="00F93A97"/>
    <w:rsid w:val="00F93AC2"/>
    <w:rsid w:val="00F93AF3"/>
    <w:rsid w:val="00F93C5E"/>
    <w:rsid w:val="00F93D44"/>
    <w:rsid w:val="00F93D87"/>
    <w:rsid w:val="00F9411A"/>
    <w:rsid w:val="00F9418B"/>
    <w:rsid w:val="00F942BD"/>
    <w:rsid w:val="00F94628"/>
    <w:rsid w:val="00F948E6"/>
    <w:rsid w:val="00F94CC5"/>
    <w:rsid w:val="00F95082"/>
    <w:rsid w:val="00F950BC"/>
    <w:rsid w:val="00F9526C"/>
    <w:rsid w:val="00F95340"/>
    <w:rsid w:val="00F953A6"/>
    <w:rsid w:val="00F9541A"/>
    <w:rsid w:val="00F955F3"/>
    <w:rsid w:val="00F957CA"/>
    <w:rsid w:val="00F957E9"/>
    <w:rsid w:val="00F959B0"/>
    <w:rsid w:val="00F959FB"/>
    <w:rsid w:val="00F95AAA"/>
    <w:rsid w:val="00F95BF3"/>
    <w:rsid w:val="00F95F23"/>
    <w:rsid w:val="00F9607C"/>
    <w:rsid w:val="00F960C1"/>
    <w:rsid w:val="00F96136"/>
    <w:rsid w:val="00F961C7"/>
    <w:rsid w:val="00F962D2"/>
    <w:rsid w:val="00F963CF"/>
    <w:rsid w:val="00F964F8"/>
    <w:rsid w:val="00F967EC"/>
    <w:rsid w:val="00F968F0"/>
    <w:rsid w:val="00F9690D"/>
    <w:rsid w:val="00F969B4"/>
    <w:rsid w:val="00F96DAD"/>
    <w:rsid w:val="00F9702C"/>
    <w:rsid w:val="00F97038"/>
    <w:rsid w:val="00F9757B"/>
    <w:rsid w:val="00F975AE"/>
    <w:rsid w:val="00F978D6"/>
    <w:rsid w:val="00F97963"/>
    <w:rsid w:val="00F97A1D"/>
    <w:rsid w:val="00F97A80"/>
    <w:rsid w:val="00F97B0E"/>
    <w:rsid w:val="00F97CB2"/>
    <w:rsid w:val="00F97CE1"/>
    <w:rsid w:val="00F97D90"/>
    <w:rsid w:val="00F97DFC"/>
    <w:rsid w:val="00F97FBC"/>
    <w:rsid w:val="00FA0066"/>
    <w:rsid w:val="00FA0107"/>
    <w:rsid w:val="00FA018C"/>
    <w:rsid w:val="00FA0205"/>
    <w:rsid w:val="00FA02FA"/>
    <w:rsid w:val="00FA0406"/>
    <w:rsid w:val="00FA04EE"/>
    <w:rsid w:val="00FA05A6"/>
    <w:rsid w:val="00FA05D6"/>
    <w:rsid w:val="00FA06AC"/>
    <w:rsid w:val="00FA089B"/>
    <w:rsid w:val="00FA0AC1"/>
    <w:rsid w:val="00FA0BE5"/>
    <w:rsid w:val="00FA0C4D"/>
    <w:rsid w:val="00FA0C9C"/>
    <w:rsid w:val="00FA0CDA"/>
    <w:rsid w:val="00FA0D99"/>
    <w:rsid w:val="00FA101A"/>
    <w:rsid w:val="00FA1023"/>
    <w:rsid w:val="00FA1151"/>
    <w:rsid w:val="00FA1289"/>
    <w:rsid w:val="00FA1334"/>
    <w:rsid w:val="00FA13F2"/>
    <w:rsid w:val="00FA14DF"/>
    <w:rsid w:val="00FA1683"/>
    <w:rsid w:val="00FA16F8"/>
    <w:rsid w:val="00FA1797"/>
    <w:rsid w:val="00FA191E"/>
    <w:rsid w:val="00FA1990"/>
    <w:rsid w:val="00FA1A59"/>
    <w:rsid w:val="00FA1C12"/>
    <w:rsid w:val="00FA1C66"/>
    <w:rsid w:val="00FA1CC4"/>
    <w:rsid w:val="00FA1D0C"/>
    <w:rsid w:val="00FA1D4D"/>
    <w:rsid w:val="00FA1E91"/>
    <w:rsid w:val="00FA20B4"/>
    <w:rsid w:val="00FA220D"/>
    <w:rsid w:val="00FA221B"/>
    <w:rsid w:val="00FA2493"/>
    <w:rsid w:val="00FA27AD"/>
    <w:rsid w:val="00FA28D1"/>
    <w:rsid w:val="00FA29BE"/>
    <w:rsid w:val="00FA2B92"/>
    <w:rsid w:val="00FA2BBB"/>
    <w:rsid w:val="00FA2BBE"/>
    <w:rsid w:val="00FA2C38"/>
    <w:rsid w:val="00FA2C9D"/>
    <w:rsid w:val="00FA2D17"/>
    <w:rsid w:val="00FA2D46"/>
    <w:rsid w:val="00FA31F0"/>
    <w:rsid w:val="00FA33C7"/>
    <w:rsid w:val="00FA348D"/>
    <w:rsid w:val="00FA3718"/>
    <w:rsid w:val="00FA3B80"/>
    <w:rsid w:val="00FA3CF5"/>
    <w:rsid w:val="00FA3DBE"/>
    <w:rsid w:val="00FA3F26"/>
    <w:rsid w:val="00FA3FA2"/>
    <w:rsid w:val="00FA423E"/>
    <w:rsid w:val="00FA427F"/>
    <w:rsid w:val="00FA429C"/>
    <w:rsid w:val="00FA441B"/>
    <w:rsid w:val="00FA46F9"/>
    <w:rsid w:val="00FA4718"/>
    <w:rsid w:val="00FA47C7"/>
    <w:rsid w:val="00FA4A1E"/>
    <w:rsid w:val="00FA4AFE"/>
    <w:rsid w:val="00FA4CEF"/>
    <w:rsid w:val="00FA4D7D"/>
    <w:rsid w:val="00FA4D89"/>
    <w:rsid w:val="00FA50BD"/>
    <w:rsid w:val="00FA5350"/>
    <w:rsid w:val="00FA575C"/>
    <w:rsid w:val="00FA5775"/>
    <w:rsid w:val="00FA584E"/>
    <w:rsid w:val="00FA598B"/>
    <w:rsid w:val="00FA5C03"/>
    <w:rsid w:val="00FA5C2C"/>
    <w:rsid w:val="00FA5CA0"/>
    <w:rsid w:val="00FA5F87"/>
    <w:rsid w:val="00FA60F4"/>
    <w:rsid w:val="00FA6261"/>
    <w:rsid w:val="00FA634C"/>
    <w:rsid w:val="00FA6387"/>
    <w:rsid w:val="00FA63D9"/>
    <w:rsid w:val="00FA643D"/>
    <w:rsid w:val="00FA6478"/>
    <w:rsid w:val="00FA648D"/>
    <w:rsid w:val="00FA665E"/>
    <w:rsid w:val="00FA66C7"/>
    <w:rsid w:val="00FA68EF"/>
    <w:rsid w:val="00FA6909"/>
    <w:rsid w:val="00FA6C5D"/>
    <w:rsid w:val="00FA6CC1"/>
    <w:rsid w:val="00FA6D46"/>
    <w:rsid w:val="00FA6D6D"/>
    <w:rsid w:val="00FA6DD8"/>
    <w:rsid w:val="00FA6E0F"/>
    <w:rsid w:val="00FA6F85"/>
    <w:rsid w:val="00FA6FAC"/>
    <w:rsid w:val="00FA7042"/>
    <w:rsid w:val="00FA70DD"/>
    <w:rsid w:val="00FA71B9"/>
    <w:rsid w:val="00FA7682"/>
    <w:rsid w:val="00FA7892"/>
    <w:rsid w:val="00FA7AC1"/>
    <w:rsid w:val="00FA7B83"/>
    <w:rsid w:val="00FA7C1B"/>
    <w:rsid w:val="00FA7D52"/>
    <w:rsid w:val="00FA7DBC"/>
    <w:rsid w:val="00FA7E92"/>
    <w:rsid w:val="00FA7EB5"/>
    <w:rsid w:val="00FA7ECF"/>
    <w:rsid w:val="00FB025B"/>
    <w:rsid w:val="00FB05EC"/>
    <w:rsid w:val="00FB07AB"/>
    <w:rsid w:val="00FB0805"/>
    <w:rsid w:val="00FB0821"/>
    <w:rsid w:val="00FB0861"/>
    <w:rsid w:val="00FB09BC"/>
    <w:rsid w:val="00FB0A4C"/>
    <w:rsid w:val="00FB0E2F"/>
    <w:rsid w:val="00FB0E7B"/>
    <w:rsid w:val="00FB11F0"/>
    <w:rsid w:val="00FB1248"/>
    <w:rsid w:val="00FB144D"/>
    <w:rsid w:val="00FB1553"/>
    <w:rsid w:val="00FB15B7"/>
    <w:rsid w:val="00FB15CC"/>
    <w:rsid w:val="00FB17E2"/>
    <w:rsid w:val="00FB194C"/>
    <w:rsid w:val="00FB1957"/>
    <w:rsid w:val="00FB1C61"/>
    <w:rsid w:val="00FB1C8E"/>
    <w:rsid w:val="00FB1E58"/>
    <w:rsid w:val="00FB20C1"/>
    <w:rsid w:val="00FB211F"/>
    <w:rsid w:val="00FB24D9"/>
    <w:rsid w:val="00FB25B8"/>
    <w:rsid w:val="00FB264E"/>
    <w:rsid w:val="00FB272F"/>
    <w:rsid w:val="00FB27D8"/>
    <w:rsid w:val="00FB2955"/>
    <w:rsid w:val="00FB296E"/>
    <w:rsid w:val="00FB2B9C"/>
    <w:rsid w:val="00FB2C5E"/>
    <w:rsid w:val="00FB2CEB"/>
    <w:rsid w:val="00FB2D0F"/>
    <w:rsid w:val="00FB305C"/>
    <w:rsid w:val="00FB30E9"/>
    <w:rsid w:val="00FB310C"/>
    <w:rsid w:val="00FB375D"/>
    <w:rsid w:val="00FB3C3A"/>
    <w:rsid w:val="00FB3D15"/>
    <w:rsid w:val="00FB4123"/>
    <w:rsid w:val="00FB4144"/>
    <w:rsid w:val="00FB4434"/>
    <w:rsid w:val="00FB460F"/>
    <w:rsid w:val="00FB4656"/>
    <w:rsid w:val="00FB46D1"/>
    <w:rsid w:val="00FB47C9"/>
    <w:rsid w:val="00FB4A9D"/>
    <w:rsid w:val="00FB4AC5"/>
    <w:rsid w:val="00FB4B0E"/>
    <w:rsid w:val="00FB4B26"/>
    <w:rsid w:val="00FB4E4F"/>
    <w:rsid w:val="00FB4EB7"/>
    <w:rsid w:val="00FB4EBB"/>
    <w:rsid w:val="00FB4FB8"/>
    <w:rsid w:val="00FB4FDB"/>
    <w:rsid w:val="00FB51AA"/>
    <w:rsid w:val="00FB529D"/>
    <w:rsid w:val="00FB53C9"/>
    <w:rsid w:val="00FB553D"/>
    <w:rsid w:val="00FB553F"/>
    <w:rsid w:val="00FB56F4"/>
    <w:rsid w:val="00FB5864"/>
    <w:rsid w:val="00FB5918"/>
    <w:rsid w:val="00FB594F"/>
    <w:rsid w:val="00FB5AEE"/>
    <w:rsid w:val="00FB5C42"/>
    <w:rsid w:val="00FB5D89"/>
    <w:rsid w:val="00FB5DAD"/>
    <w:rsid w:val="00FB5DEC"/>
    <w:rsid w:val="00FB5F62"/>
    <w:rsid w:val="00FB6038"/>
    <w:rsid w:val="00FB62C1"/>
    <w:rsid w:val="00FB6620"/>
    <w:rsid w:val="00FB662F"/>
    <w:rsid w:val="00FB66DA"/>
    <w:rsid w:val="00FB67C0"/>
    <w:rsid w:val="00FB6C07"/>
    <w:rsid w:val="00FB6D9C"/>
    <w:rsid w:val="00FB7150"/>
    <w:rsid w:val="00FB71A4"/>
    <w:rsid w:val="00FB7360"/>
    <w:rsid w:val="00FB739A"/>
    <w:rsid w:val="00FB7804"/>
    <w:rsid w:val="00FB78DA"/>
    <w:rsid w:val="00FB7AFA"/>
    <w:rsid w:val="00FB7D55"/>
    <w:rsid w:val="00FC01D2"/>
    <w:rsid w:val="00FC0209"/>
    <w:rsid w:val="00FC0534"/>
    <w:rsid w:val="00FC076E"/>
    <w:rsid w:val="00FC0794"/>
    <w:rsid w:val="00FC083D"/>
    <w:rsid w:val="00FC0AE6"/>
    <w:rsid w:val="00FC0BE5"/>
    <w:rsid w:val="00FC0BF8"/>
    <w:rsid w:val="00FC1189"/>
    <w:rsid w:val="00FC1256"/>
    <w:rsid w:val="00FC1267"/>
    <w:rsid w:val="00FC1283"/>
    <w:rsid w:val="00FC12AB"/>
    <w:rsid w:val="00FC1528"/>
    <w:rsid w:val="00FC16DF"/>
    <w:rsid w:val="00FC1719"/>
    <w:rsid w:val="00FC1770"/>
    <w:rsid w:val="00FC1905"/>
    <w:rsid w:val="00FC1B73"/>
    <w:rsid w:val="00FC1D8C"/>
    <w:rsid w:val="00FC1DAA"/>
    <w:rsid w:val="00FC1E71"/>
    <w:rsid w:val="00FC2016"/>
    <w:rsid w:val="00FC2183"/>
    <w:rsid w:val="00FC2270"/>
    <w:rsid w:val="00FC2525"/>
    <w:rsid w:val="00FC2555"/>
    <w:rsid w:val="00FC256E"/>
    <w:rsid w:val="00FC2599"/>
    <w:rsid w:val="00FC26A7"/>
    <w:rsid w:val="00FC27EB"/>
    <w:rsid w:val="00FC2A34"/>
    <w:rsid w:val="00FC2AA6"/>
    <w:rsid w:val="00FC2BF5"/>
    <w:rsid w:val="00FC2D61"/>
    <w:rsid w:val="00FC2D86"/>
    <w:rsid w:val="00FC2DE6"/>
    <w:rsid w:val="00FC2ECD"/>
    <w:rsid w:val="00FC2F60"/>
    <w:rsid w:val="00FC300B"/>
    <w:rsid w:val="00FC3094"/>
    <w:rsid w:val="00FC31C5"/>
    <w:rsid w:val="00FC3224"/>
    <w:rsid w:val="00FC323A"/>
    <w:rsid w:val="00FC33E2"/>
    <w:rsid w:val="00FC3438"/>
    <w:rsid w:val="00FC389D"/>
    <w:rsid w:val="00FC3A48"/>
    <w:rsid w:val="00FC3F65"/>
    <w:rsid w:val="00FC40D2"/>
    <w:rsid w:val="00FC40DC"/>
    <w:rsid w:val="00FC4101"/>
    <w:rsid w:val="00FC4256"/>
    <w:rsid w:val="00FC4328"/>
    <w:rsid w:val="00FC43D2"/>
    <w:rsid w:val="00FC440F"/>
    <w:rsid w:val="00FC4541"/>
    <w:rsid w:val="00FC469B"/>
    <w:rsid w:val="00FC46D0"/>
    <w:rsid w:val="00FC4948"/>
    <w:rsid w:val="00FC49BC"/>
    <w:rsid w:val="00FC4A2F"/>
    <w:rsid w:val="00FC4AF2"/>
    <w:rsid w:val="00FC4C72"/>
    <w:rsid w:val="00FC4ECB"/>
    <w:rsid w:val="00FC4EF2"/>
    <w:rsid w:val="00FC5578"/>
    <w:rsid w:val="00FC55BC"/>
    <w:rsid w:val="00FC5639"/>
    <w:rsid w:val="00FC5649"/>
    <w:rsid w:val="00FC57C2"/>
    <w:rsid w:val="00FC5845"/>
    <w:rsid w:val="00FC58C7"/>
    <w:rsid w:val="00FC58EA"/>
    <w:rsid w:val="00FC5A97"/>
    <w:rsid w:val="00FC5B22"/>
    <w:rsid w:val="00FC5C94"/>
    <w:rsid w:val="00FC5DA6"/>
    <w:rsid w:val="00FC5DFB"/>
    <w:rsid w:val="00FC5E18"/>
    <w:rsid w:val="00FC5EA7"/>
    <w:rsid w:val="00FC5EBC"/>
    <w:rsid w:val="00FC5F7C"/>
    <w:rsid w:val="00FC6010"/>
    <w:rsid w:val="00FC609D"/>
    <w:rsid w:val="00FC63C3"/>
    <w:rsid w:val="00FC6580"/>
    <w:rsid w:val="00FC6928"/>
    <w:rsid w:val="00FC6A5F"/>
    <w:rsid w:val="00FC6D2F"/>
    <w:rsid w:val="00FC6DFF"/>
    <w:rsid w:val="00FC70FB"/>
    <w:rsid w:val="00FC7449"/>
    <w:rsid w:val="00FC7719"/>
    <w:rsid w:val="00FC775D"/>
    <w:rsid w:val="00FC77BD"/>
    <w:rsid w:val="00FC791A"/>
    <w:rsid w:val="00FC7DDA"/>
    <w:rsid w:val="00FD0008"/>
    <w:rsid w:val="00FD00A2"/>
    <w:rsid w:val="00FD0145"/>
    <w:rsid w:val="00FD01A6"/>
    <w:rsid w:val="00FD0278"/>
    <w:rsid w:val="00FD02F9"/>
    <w:rsid w:val="00FD0383"/>
    <w:rsid w:val="00FD03F9"/>
    <w:rsid w:val="00FD0502"/>
    <w:rsid w:val="00FD0685"/>
    <w:rsid w:val="00FD09CD"/>
    <w:rsid w:val="00FD0AC3"/>
    <w:rsid w:val="00FD0E37"/>
    <w:rsid w:val="00FD1124"/>
    <w:rsid w:val="00FD127B"/>
    <w:rsid w:val="00FD1337"/>
    <w:rsid w:val="00FD1438"/>
    <w:rsid w:val="00FD144C"/>
    <w:rsid w:val="00FD1550"/>
    <w:rsid w:val="00FD1564"/>
    <w:rsid w:val="00FD1933"/>
    <w:rsid w:val="00FD1939"/>
    <w:rsid w:val="00FD19C7"/>
    <w:rsid w:val="00FD1B2E"/>
    <w:rsid w:val="00FD1DAA"/>
    <w:rsid w:val="00FD1E7A"/>
    <w:rsid w:val="00FD1E94"/>
    <w:rsid w:val="00FD2028"/>
    <w:rsid w:val="00FD204E"/>
    <w:rsid w:val="00FD214A"/>
    <w:rsid w:val="00FD2200"/>
    <w:rsid w:val="00FD22BD"/>
    <w:rsid w:val="00FD2447"/>
    <w:rsid w:val="00FD256D"/>
    <w:rsid w:val="00FD26FF"/>
    <w:rsid w:val="00FD28D0"/>
    <w:rsid w:val="00FD2995"/>
    <w:rsid w:val="00FD29BA"/>
    <w:rsid w:val="00FD2B73"/>
    <w:rsid w:val="00FD2D3D"/>
    <w:rsid w:val="00FD2DCC"/>
    <w:rsid w:val="00FD30CF"/>
    <w:rsid w:val="00FD3429"/>
    <w:rsid w:val="00FD345B"/>
    <w:rsid w:val="00FD34EC"/>
    <w:rsid w:val="00FD368C"/>
    <w:rsid w:val="00FD38C0"/>
    <w:rsid w:val="00FD39B7"/>
    <w:rsid w:val="00FD3BCC"/>
    <w:rsid w:val="00FD3BD1"/>
    <w:rsid w:val="00FD3C8F"/>
    <w:rsid w:val="00FD3DCA"/>
    <w:rsid w:val="00FD3EAE"/>
    <w:rsid w:val="00FD4223"/>
    <w:rsid w:val="00FD4238"/>
    <w:rsid w:val="00FD4247"/>
    <w:rsid w:val="00FD4258"/>
    <w:rsid w:val="00FD439D"/>
    <w:rsid w:val="00FD4602"/>
    <w:rsid w:val="00FD471E"/>
    <w:rsid w:val="00FD4829"/>
    <w:rsid w:val="00FD4956"/>
    <w:rsid w:val="00FD49E5"/>
    <w:rsid w:val="00FD4AF0"/>
    <w:rsid w:val="00FD4D6B"/>
    <w:rsid w:val="00FD4D81"/>
    <w:rsid w:val="00FD4E40"/>
    <w:rsid w:val="00FD51E3"/>
    <w:rsid w:val="00FD52BF"/>
    <w:rsid w:val="00FD536C"/>
    <w:rsid w:val="00FD5402"/>
    <w:rsid w:val="00FD5420"/>
    <w:rsid w:val="00FD558D"/>
    <w:rsid w:val="00FD55AD"/>
    <w:rsid w:val="00FD5891"/>
    <w:rsid w:val="00FD58A2"/>
    <w:rsid w:val="00FD5A6C"/>
    <w:rsid w:val="00FD5B99"/>
    <w:rsid w:val="00FD5BE3"/>
    <w:rsid w:val="00FD5D4B"/>
    <w:rsid w:val="00FD5E1F"/>
    <w:rsid w:val="00FD5E49"/>
    <w:rsid w:val="00FD5FEC"/>
    <w:rsid w:val="00FD608B"/>
    <w:rsid w:val="00FD60C8"/>
    <w:rsid w:val="00FD60D5"/>
    <w:rsid w:val="00FD6355"/>
    <w:rsid w:val="00FD6408"/>
    <w:rsid w:val="00FD6577"/>
    <w:rsid w:val="00FD6596"/>
    <w:rsid w:val="00FD6658"/>
    <w:rsid w:val="00FD66D5"/>
    <w:rsid w:val="00FD6706"/>
    <w:rsid w:val="00FD6707"/>
    <w:rsid w:val="00FD67A5"/>
    <w:rsid w:val="00FD6A05"/>
    <w:rsid w:val="00FD6A6A"/>
    <w:rsid w:val="00FD6AA6"/>
    <w:rsid w:val="00FD6B66"/>
    <w:rsid w:val="00FD6DEC"/>
    <w:rsid w:val="00FD6F5F"/>
    <w:rsid w:val="00FD6FE3"/>
    <w:rsid w:val="00FD6FF1"/>
    <w:rsid w:val="00FD709E"/>
    <w:rsid w:val="00FD70C5"/>
    <w:rsid w:val="00FD7101"/>
    <w:rsid w:val="00FD720C"/>
    <w:rsid w:val="00FD7247"/>
    <w:rsid w:val="00FD72EA"/>
    <w:rsid w:val="00FD7532"/>
    <w:rsid w:val="00FD7602"/>
    <w:rsid w:val="00FD76C9"/>
    <w:rsid w:val="00FD775B"/>
    <w:rsid w:val="00FD7853"/>
    <w:rsid w:val="00FD79AF"/>
    <w:rsid w:val="00FD7C46"/>
    <w:rsid w:val="00FD7DAF"/>
    <w:rsid w:val="00FD7DC2"/>
    <w:rsid w:val="00FD7E4E"/>
    <w:rsid w:val="00FD7E7F"/>
    <w:rsid w:val="00FD7E91"/>
    <w:rsid w:val="00FE0009"/>
    <w:rsid w:val="00FE00D0"/>
    <w:rsid w:val="00FE02B2"/>
    <w:rsid w:val="00FE0342"/>
    <w:rsid w:val="00FE0496"/>
    <w:rsid w:val="00FE04A2"/>
    <w:rsid w:val="00FE0642"/>
    <w:rsid w:val="00FE072E"/>
    <w:rsid w:val="00FE0807"/>
    <w:rsid w:val="00FE0901"/>
    <w:rsid w:val="00FE09CB"/>
    <w:rsid w:val="00FE0C7E"/>
    <w:rsid w:val="00FE0DA9"/>
    <w:rsid w:val="00FE0E1A"/>
    <w:rsid w:val="00FE0E48"/>
    <w:rsid w:val="00FE0EB4"/>
    <w:rsid w:val="00FE1160"/>
    <w:rsid w:val="00FE11C4"/>
    <w:rsid w:val="00FE1262"/>
    <w:rsid w:val="00FE12AB"/>
    <w:rsid w:val="00FE141E"/>
    <w:rsid w:val="00FE15EC"/>
    <w:rsid w:val="00FE15FA"/>
    <w:rsid w:val="00FE1694"/>
    <w:rsid w:val="00FE169F"/>
    <w:rsid w:val="00FE16B0"/>
    <w:rsid w:val="00FE16E2"/>
    <w:rsid w:val="00FE185C"/>
    <w:rsid w:val="00FE1935"/>
    <w:rsid w:val="00FE1995"/>
    <w:rsid w:val="00FE19E5"/>
    <w:rsid w:val="00FE1A36"/>
    <w:rsid w:val="00FE1B2A"/>
    <w:rsid w:val="00FE1B40"/>
    <w:rsid w:val="00FE205F"/>
    <w:rsid w:val="00FE2088"/>
    <w:rsid w:val="00FE261D"/>
    <w:rsid w:val="00FE2792"/>
    <w:rsid w:val="00FE2794"/>
    <w:rsid w:val="00FE2833"/>
    <w:rsid w:val="00FE2872"/>
    <w:rsid w:val="00FE2A7C"/>
    <w:rsid w:val="00FE2B3B"/>
    <w:rsid w:val="00FE2E70"/>
    <w:rsid w:val="00FE2F70"/>
    <w:rsid w:val="00FE2F75"/>
    <w:rsid w:val="00FE306E"/>
    <w:rsid w:val="00FE345A"/>
    <w:rsid w:val="00FE36AA"/>
    <w:rsid w:val="00FE3801"/>
    <w:rsid w:val="00FE3855"/>
    <w:rsid w:val="00FE3877"/>
    <w:rsid w:val="00FE3A48"/>
    <w:rsid w:val="00FE3C3A"/>
    <w:rsid w:val="00FE3E4B"/>
    <w:rsid w:val="00FE3F13"/>
    <w:rsid w:val="00FE3F78"/>
    <w:rsid w:val="00FE3F7D"/>
    <w:rsid w:val="00FE40C5"/>
    <w:rsid w:val="00FE40CF"/>
    <w:rsid w:val="00FE4216"/>
    <w:rsid w:val="00FE4334"/>
    <w:rsid w:val="00FE4351"/>
    <w:rsid w:val="00FE4430"/>
    <w:rsid w:val="00FE44DE"/>
    <w:rsid w:val="00FE4501"/>
    <w:rsid w:val="00FE474F"/>
    <w:rsid w:val="00FE4A80"/>
    <w:rsid w:val="00FE4B87"/>
    <w:rsid w:val="00FE4D30"/>
    <w:rsid w:val="00FE4FBB"/>
    <w:rsid w:val="00FE503B"/>
    <w:rsid w:val="00FE50B1"/>
    <w:rsid w:val="00FE5128"/>
    <w:rsid w:val="00FE5238"/>
    <w:rsid w:val="00FE55E3"/>
    <w:rsid w:val="00FE570B"/>
    <w:rsid w:val="00FE58F3"/>
    <w:rsid w:val="00FE5918"/>
    <w:rsid w:val="00FE592A"/>
    <w:rsid w:val="00FE5A2E"/>
    <w:rsid w:val="00FE5A8A"/>
    <w:rsid w:val="00FE5CA0"/>
    <w:rsid w:val="00FE5DAE"/>
    <w:rsid w:val="00FE5DF0"/>
    <w:rsid w:val="00FE5EBA"/>
    <w:rsid w:val="00FE60B1"/>
    <w:rsid w:val="00FE60E2"/>
    <w:rsid w:val="00FE614C"/>
    <w:rsid w:val="00FE6228"/>
    <w:rsid w:val="00FE622C"/>
    <w:rsid w:val="00FE6358"/>
    <w:rsid w:val="00FE6417"/>
    <w:rsid w:val="00FE66F8"/>
    <w:rsid w:val="00FE6949"/>
    <w:rsid w:val="00FE6AC4"/>
    <w:rsid w:val="00FE6C7F"/>
    <w:rsid w:val="00FE6DDB"/>
    <w:rsid w:val="00FE6ED9"/>
    <w:rsid w:val="00FE70A8"/>
    <w:rsid w:val="00FE71D6"/>
    <w:rsid w:val="00FE7244"/>
    <w:rsid w:val="00FE72A1"/>
    <w:rsid w:val="00FE72A4"/>
    <w:rsid w:val="00FE72B2"/>
    <w:rsid w:val="00FE7472"/>
    <w:rsid w:val="00FE74CE"/>
    <w:rsid w:val="00FE75AD"/>
    <w:rsid w:val="00FE76E8"/>
    <w:rsid w:val="00FE7752"/>
    <w:rsid w:val="00FE77A0"/>
    <w:rsid w:val="00FE7811"/>
    <w:rsid w:val="00FE78B5"/>
    <w:rsid w:val="00FE7998"/>
    <w:rsid w:val="00FE7A0B"/>
    <w:rsid w:val="00FE7CC0"/>
    <w:rsid w:val="00FE7CFC"/>
    <w:rsid w:val="00FE7DF4"/>
    <w:rsid w:val="00FE7EBC"/>
    <w:rsid w:val="00FE7ECE"/>
    <w:rsid w:val="00FE7EF6"/>
    <w:rsid w:val="00FF031D"/>
    <w:rsid w:val="00FF0382"/>
    <w:rsid w:val="00FF0475"/>
    <w:rsid w:val="00FF059E"/>
    <w:rsid w:val="00FF06C6"/>
    <w:rsid w:val="00FF0733"/>
    <w:rsid w:val="00FF0782"/>
    <w:rsid w:val="00FF085F"/>
    <w:rsid w:val="00FF08D6"/>
    <w:rsid w:val="00FF0BE1"/>
    <w:rsid w:val="00FF0C1D"/>
    <w:rsid w:val="00FF0C86"/>
    <w:rsid w:val="00FF0D51"/>
    <w:rsid w:val="00FF0DE5"/>
    <w:rsid w:val="00FF0DF9"/>
    <w:rsid w:val="00FF11CB"/>
    <w:rsid w:val="00FF1293"/>
    <w:rsid w:val="00FF14A9"/>
    <w:rsid w:val="00FF14E4"/>
    <w:rsid w:val="00FF162C"/>
    <w:rsid w:val="00FF1680"/>
    <w:rsid w:val="00FF16DF"/>
    <w:rsid w:val="00FF17A3"/>
    <w:rsid w:val="00FF1805"/>
    <w:rsid w:val="00FF1863"/>
    <w:rsid w:val="00FF1C4B"/>
    <w:rsid w:val="00FF1C90"/>
    <w:rsid w:val="00FF1DBD"/>
    <w:rsid w:val="00FF1EF1"/>
    <w:rsid w:val="00FF1F6D"/>
    <w:rsid w:val="00FF20DC"/>
    <w:rsid w:val="00FF21FD"/>
    <w:rsid w:val="00FF2236"/>
    <w:rsid w:val="00FF2412"/>
    <w:rsid w:val="00FF2524"/>
    <w:rsid w:val="00FF252E"/>
    <w:rsid w:val="00FF29E1"/>
    <w:rsid w:val="00FF2D2A"/>
    <w:rsid w:val="00FF2E60"/>
    <w:rsid w:val="00FF2EF4"/>
    <w:rsid w:val="00FF3246"/>
    <w:rsid w:val="00FF3414"/>
    <w:rsid w:val="00FF346C"/>
    <w:rsid w:val="00FF35BB"/>
    <w:rsid w:val="00FF35CE"/>
    <w:rsid w:val="00FF371D"/>
    <w:rsid w:val="00FF384B"/>
    <w:rsid w:val="00FF3D7C"/>
    <w:rsid w:val="00FF3EC9"/>
    <w:rsid w:val="00FF3FEC"/>
    <w:rsid w:val="00FF40FF"/>
    <w:rsid w:val="00FF4271"/>
    <w:rsid w:val="00FF44D5"/>
    <w:rsid w:val="00FF46CC"/>
    <w:rsid w:val="00FF483A"/>
    <w:rsid w:val="00FF4954"/>
    <w:rsid w:val="00FF4A37"/>
    <w:rsid w:val="00FF4B72"/>
    <w:rsid w:val="00FF4C9D"/>
    <w:rsid w:val="00FF4DDB"/>
    <w:rsid w:val="00FF4DE6"/>
    <w:rsid w:val="00FF4FAF"/>
    <w:rsid w:val="00FF4FE7"/>
    <w:rsid w:val="00FF505C"/>
    <w:rsid w:val="00FF50D9"/>
    <w:rsid w:val="00FF51A7"/>
    <w:rsid w:val="00FF53D7"/>
    <w:rsid w:val="00FF5532"/>
    <w:rsid w:val="00FF55ED"/>
    <w:rsid w:val="00FF5632"/>
    <w:rsid w:val="00FF5670"/>
    <w:rsid w:val="00FF58E0"/>
    <w:rsid w:val="00FF5955"/>
    <w:rsid w:val="00FF59F8"/>
    <w:rsid w:val="00FF5AEC"/>
    <w:rsid w:val="00FF5B8C"/>
    <w:rsid w:val="00FF5C99"/>
    <w:rsid w:val="00FF603D"/>
    <w:rsid w:val="00FF6126"/>
    <w:rsid w:val="00FF61F7"/>
    <w:rsid w:val="00FF6652"/>
    <w:rsid w:val="00FF667E"/>
    <w:rsid w:val="00FF66F0"/>
    <w:rsid w:val="00FF6849"/>
    <w:rsid w:val="00FF6BB3"/>
    <w:rsid w:val="00FF6D85"/>
    <w:rsid w:val="00FF6E3D"/>
    <w:rsid w:val="00FF6E8D"/>
    <w:rsid w:val="00FF6F4E"/>
    <w:rsid w:val="00FF6FA4"/>
    <w:rsid w:val="00FF6FAB"/>
    <w:rsid w:val="00FF70E9"/>
    <w:rsid w:val="00FF7102"/>
    <w:rsid w:val="00FF735C"/>
    <w:rsid w:val="00FF7557"/>
    <w:rsid w:val="00FF7625"/>
    <w:rsid w:val="00FF7638"/>
    <w:rsid w:val="00FF7782"/>
    <w:rsid w:val="00FF781F"/>
    <w:rsid w:val="00FF7826"/>
    <w:rsid w:val="00FF7897"/>
    <w:rsid w:val="00FF789E"/>
    <w:rsid w:val="00FF78CB"/>
    <w:rsid w:val="00FF7925"/>
    <w:rsid w:val="00FF794A"/>
    <w:rsid w:val="00FF7BE7"/>
    <w:rsid w:val="00FF7C2B"/>
    <w:rsid w:val="00FF7C9F"/>
    <w:rsid w:val="00FF7ECB"/>
    <w:rsid w:val="05991FCF"/>
    <w:rsid w:val="083FFF50"/>
    <w:rsid w:val="0B5C2368"/>
    <w:rsid w:val="0D1B71FA"/>
    <w:rsid w:val="0E39FA08"/>
    <w:rsid w:val="11623384"/>
    <w:rsid w:val="11A92674"/>
    <w:rsid w:val="186943BE"/>
    <w:rsid w:val="1984A75E"/>
    <w:rsid w:val="1987E68C"/>
    <w:rsid w:val="1A905990"/>
    <w:rsid w:val="1E1EDCB3"/>
    <w:rsid w:val="23CA7B97"/>
    <w:rsid w:val="23D16C03"/>
    <w:rsid w:val="245A2271"/>
    <w:rsid w:val="24A083A1"/>
    <w:rsid w:val="261B70F0"/>
    <w:rsid w:val="26DB1324"/>
    <w:rsid w:val="277A9C8F"/>
    <w:rsid w:val="2B34A34B"/>
    <w:rsid w:val="2B57D9C7"/>
    <w:rsid w:val="2BF1B4CE"/>
    <w:rsid w:val="2D171537"/>
    <w:rsid w:val="2F0B6101"/>
    <w:rsid w:val="31345837"/>
    <w:rsid w:val="31B7413A"/>
    <w:rsid w:val="35637A36"/>
    <w:rsid w:val="37A5CC3B"/>
    <w:rsid w:val="3BB9CDE4"/>
    <w:rsid w:val="3D2AF6ED"/>
    <w:rsid w:val="3E5A9459"/>
    <w:rsid w:val="3EF88DF0"/>
    <w:rsid w:val="404876F6"/>
    <w:rsid w:val="4580922F"/>
    <w:rsid w:val="4FCC4774"/>
    <w:rsid w:val="5154A408"/>
    <w:rsid w:val="54A81856"/>
    <w:rsid w:val="571A5754"/>
    <w:rsid w:val="59A9EAA8"/>
    <w:rsid w:val="59CA390C"/>
    <w:rsid w:val="5A33410E"/>
    <w:rsid w:val="5B01F30A"/>
    <w:rsid w:val="5B549FCD"/>
    <w:rsid w:val="5EAD229A"/>
    <w:rsid w:val="5F5879C6"/>
    <w:rsid w:val="655DFA48"/>
    <w:rsid w:val="694C5399"/>
    <w:rsid w:val="6ABE589A"/>
    <w:rsid w:val="6AC2E12D"/>
    <w:rsid w:val="6D412597"/>
    <w:rsid w:val="6FDA1A4F"/>
    <w:rsid w:val="715CC253"/>
    <w:rsid w:val="71864A2B"/>
    <w:rsid w:val="71B52708"/>
    <w:rsid w:val="72F8FB73"/>
    <w:rsid w:val="739FC2C1"/>
    <w:rsid w:val="7780B3F4"/>
    <w:rsid w:val="7DD4645F"/>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0DEA742"/>
  <w15:docId w15:val="{A7A5DBF7-1B8B-42DB-9251-4A696D576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lang w:val="fr-CA" w:eastAsia="en-US" w:bidi="ar-SA"/>
      </w:rPr>
    </w:rPrDefault>
    <w:pPrDefault>
      <w:pPr>
        <w:spacing w:line="288"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9" w:unhideWhenUsed="1"/>
    <w:lsdException w:name="footnote text" w:semiHidden="1" w:unhideWhenUsed="1"/>
    <w:lsdException w:name="annotation text" w:semiHidden="1" w:uiPriority="3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D7704"/>
    <w:rPr>
      <w:lang w:val="en-AU"/>
    </w:rPr>
  </w:style>
  <w:style w:type="paragraph" w:styleId="Heading1">
    <w:name w:val="heading 1"/>
    <w:basedOn w:val="Normal"/>
    <w:next w:val="BodyText"/>
    <w:link w:val="Heading1Char"/>
    <w:uiPriority w:val="9"/>
    <w:qFormat/>
    <w:rsid w:val="007079C8"/>
    <w:pPr>
      <w:keepNext/>
      <w:keepLines/>
      <w:pageBreakBefore/>
      <w:numPr>
        <w:numId w:val="13"/>
      </w:numPr>
      <w:spacing w:before="120" w:after="120"/>
      <w:outlineLvl w:val="0"/>
    </w:pPr>
    <w:rPr>
      <w:rFonts w:asciiTheme="majorHAnsi" w:hAnsiTheme="majorHAnsi"/>
      <w:b/>
      <w:bCs/>
      <w:caps/>
      <w:color w:val="F9423A" w:themeColor="text2"/>
      <w:kern w:val="32"/>
      <w:sz w:val="48"/>
      <w:szCs w:val="48"/>
      <w:lang w:eastAsia="fr-CA"/>
    </w:rPr>
  </w:style>
  <w:style w:type="paragraph" w:styleId="Heading2">
    <w:name w:val="heading 2"/>
    <w:basedOn w:val="Normal"/>
    <w:next w:val="BodyText"/>
    <w:link w:val="Heading2Char"/>
    <w:qFormat/>
    <w:rsid w:val="00931113"/>
    <w:pPr>
      <w:keepNext/>
      <w:keepLines/>
      <w:numPr>
        <w:ilvl w:val="1"/>
        <w:numId w:val="13"/>
      </w:numPr>
      <w:pBdr>
        <w:top w:val="single" w:sz="4" w:space="9" w:color="F9423A" w:themeColor="accent1"/>
        <w:between w:val="single" w:sz="4" w:space="9" w:color="F9423A" w:themeColor="accent1"/>
      </w:pBdr>
      <w:spacing w:before="200" w:after="120"/>
      <w:outlineLvl w:val="1"/>
    </w:pPr>
    <w:rPr>
      <w:rFonts w:asciiTheme="majorHAnsi" w:hAnsiTheme="majorHAnsi"/>
      <w:caps/>
      <w:color w:val="F9423A" w:themeColor="text2"/>
      <w:sz w:val="32"/>
      <w:szCs w:val="24"/>
      <w:lang w:eastAsia="fr-CA"/>
    </w:rPr>
  </w:style>
  <w:style w:type="paragraph" w:styleId="Heading3">
    <w:name w:val="heading 3"/>
    <w:basedOn w:val="Normal"/>
    <w:next w:val="BodyText"/>
    <w:link w:val="Heading3Char"/>
    <w:qFormat/>
    <w:rsid w:val="00A07B0C"/>
    <w:pPr>
      <w:keepNext/>
      <w:keepLines/>
      <w:numPr>
        <w:ilvl w:val="2"/>
        <w:numId w:val="13"/>
      </w:numPr>
      <w:pBdr>
        <w:between w:val="single" w:sz="4" w:space="9" w:color="F9423A" w:themeColor="accent1"/>
      </w:pBdr>
      <w:spacing w:before="200" w:after="120"/>
      <w:outlineLvl w:val="2"/>
    </w:pPr>
    <w:rPr>
      <w:rFonts w:asciiTheme="majorHAnsi" w:eastAsiaTheme="majorEastAsia" w:hAnsiTheme="majorHAnsi" w:cstheme="majorBidi"/>
      <w:i/>
      <w:caps/>
      <w:color w:val="F9423A" w:themeColor="text2"/>
      <w:sz w:val="24"/>
      <w:szCs w:val="24"/>
    </w:rPr>
  </w:style>
  <w:style w:type="paragraph" w:styleId="Heading4">
    <w:name w:val="heading 4"/>
    <w:basedOn w:val="Normal"/>
    <w:next w:val="BodyText"/>
    <w:link w:val="Heading4Char"/>
    <w:qFormat/>
    <w:rsid w:val="00C33F87"/>
    <w:pPr>
      <w:keepNext/>
      <w:keepLines/>
      <w:numPr>
        <w:ilvl w:val="3"/>
        <w:numId w:val="13"/>
      </w:numPr>
      <w:spacing w:before="240" w:after="120"/>
      <w:outlineLvl w:val="3"/>
    </w:pPr>
    <w:rPr>
      <w:rFonts w:asciiTheme="majorHAnsi" w:eastAsiaTheme="minorEastAsia" w:hAnsiTheme="majorHAnsi" w:cs="Arial"/>
      <w:bCs/>
      <w:caps/>
      <w:color w:val="F9423A" w:themeColor="text2"/>
      <w:sz w:val="22"/>
    </w:rPr>
  </w:style>
  <w:style w:type="paragraph" w:styleId="Heading5">
    <w:name w:val="heading 5"/>
    <w:basedOn w:val="Normal"/>
    <w:next w:val="BodyText"/>
    <w:link w:val="Heading5Char"/>
    <w:qFormat/>
    <w:rsid w:val="007079C8"/>
    <w:pPr>
      <w:keepNext/>
      <w:keepLines/>
      <w:spacing w:after="40" w:line="240" w:lineRule="exact"/>
      <w:ind w:right="896"/>
      <w:outlineLvl w:val="4"/>
    </w:pPr>
    <w:rPr>
      <w:rFonts w:asciiTheme="majorHAnsi" w:hAnsiTheme="majorHAnsi"/>
      <w:i/>
      <w:caps/>
      <w:color w:val="F9423A" w:themeColor="text2"/>
      <w:szCs w:val="24"/>
      <w:lang w:eastAsia="fr-CA"/>
    </w:rPr>
  </w:style>
  <w:style w:type="paragraph" w:styleId="Heading6">
    <w:name w:val="heading 6"/>
    <w:basedOn w:val="Normal"/>
    <w:next w:val="BodyText"/>
    <w:link w:val="Heading6Char"/>
    <w:qFormat/>
    <w:rsid w:val="007079C8"/>
    <w:pPr>
      <w:keepNext/>
      <w:keepLines/>
      <w:pBdr>
        <w:between w:val="single" w:sz="4" w:space="9" w:color="F9423A" w:themeColor="accent1"/>
      </w:pBdr>
      <w:spacing w:before="240" w:after="120" w:line="240" w:lineRule="auto"/>
      <w:ind w:right="896"/>
      <w:outlineLvl w:val="5"/>
    </w:pPr>
    <w:rPr>
      <w:rFonts w:asciiTheme="majorHAnsi" w:hAnsiTheme="majorHAnsi" w:cs="Arial"/>
      <w:i/>
      <w:caps/>
      <w:color w:val="000000" w:themeColor="text1"/>
      <w:sz w:val="18"/>
      <w:szCs w:val="56"/>
      <w:lang w:eastAsia="fr-CA"/>
    </w:rPr>
  </w:style>
  <w:style w:type="paragraph" w:styleId="Heading7">
    <w:name w:val="heading 7"/>
    <w:basedOn w:val="Normal"/>
    <w:next w:val="BodyText"/>
    <w:link w:val="Heading7Char"/>
    <w:qFormat/>
    <w:rsid w:val="007079C8"/>
    <w:pPr>
      <w:keepNext/>
      <w:keepLines/>
      <w:spacing w:before="120" w:after="120"/>
      <w:outlineLvl w:val="6"/>
    </w:pPr>
    <w:rPr>
      <w:rFonts w:asciiTheme="majorHAnsi" w:hAnsiTheme="majorHAnsi"/>
      <w:b/>
      <w:caps/>
      <w:color w:val="F9423A" w:themeColor="text2"/>
      <w:sz w:val="24"/>
      <w:szCs w:val="24"/>
      <w:lang w:eastAsia="fr-CA"/>
    </w:rPr>
  </w:style>
  <w:style w:type="paragraph" w:styleId="Heading8">
    <w:name w:val="heading 8"/>
    <w:aliases w:val="Appendix Title"/>
    <w:basedOn w:val="Normal"/>
    <w:next w:val="BodyText"/>
    <w:link w:val="Heading8Char"/>
    <w:uiPriority w:val="3"/>
    <w:rsid w:val="007079C8"/>
    <w:pPr>
      <w:keepNext/>
      <w:keepLines/>
      <w:numPr>
        <w:numId w:val="4"/>
      </w:numPr>
      <w:spacing w:before="600" w:after="120"/>
      <w:outlineLvl w:val="7"/>
    </w:pPr>
    <w:rPr>
      <w:rFonts w:asciiTheme="majorHAnsi" w:eastAsiaTheme="majorEastAsia" w:hAnsiTheme="majorHAnsi" w:cstheme="majorBidi"/>
      <w:b/>
      <w:caps/>
      <w:color w:val="FFFFFF"/>
      <w:sz w:val="48"/>
    </w:rPr>
  </w:style>
  <w:style w:type="paragraph" w:styleId="Heading9">
    <w:name w:val="heading 9"/>
    <w:aliases w:val="Appendix Heading 1"/>
    <w:basedOn w:val="Normal"/>
    <w:next w:val="BodyText"/>
    <w:link w:val="Heading9Char"/>
    <w:uiPriority w:val="3"/>
    <w:rsid w:val="007079C8"/>
    <w:pPr>
      <w:keepNext/>
      <w:keepLines/>
      <w:numPr>
        <w:ilvl w:val="1"/>
        <w:numId w:val="4"/>
      </w:numPr>
      <w:pBdr>
        <w:top w:val="single" w:sz="4" w:space="9" w:color="F9423A" w:themeColor="accent1"/>
      </w:pBdr>
      <w:tabs>
        <w:tab w:val="left" w:pos="1559"/>
        <w:tab w:val="left" w:pos="1843"/>
        <w:tab w:val="left" w:pos="2126"/>
        <w:tab w:val="left" w:pos="2410"/>
        <w:tab w:val="right" w:pos="9639"/>
      </w:tabs>
      <w:spacing w:before="5040" w:after="120" w:line="240" w:lineRule="auto"/>
      <w:jc w:val="right"/>
      <w:outlineLvl w:val="8"/>
    </w:pPr>
    <w:rPr>
      <w:rFonts w:asciiTheme="majorHAnsi" w:hAnsiTheme="majorHAnsi" w:cs="Arial"/>
      <w:b/>
      <w:caps/>
      <w:color w:val="F9423A" w:themeColor="text2"/>
      <w:sz w:val="4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uiPriority w:val="34"/>
    <w:qFormat/>
    <w:rsid w:val="007079C8"/>
    <w:pPr>
      <w:ind w:left="360"/>
      <w:contextualSpacing/>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A345CA"/>
    <w:pPr>
      <w:tabs>
        <w:tab w:val="left" w:pos="2268"/>
        <w:tab w:val="left" w:pos="4536"/>
        <w:tab w:val="left" w:pos="6804"/>
        <w:tab w:val="right" w:pos="9638"/>
      </w:tabs>
      <w:spacing w:before="120" w:after="120"/>
    </w:p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A345CA"/>
    <w:rPr>
      <w:lang w:val="en-AU"/>
    </w:rPr>
  </w:style>
  <w:style w:type="paragraph" w:styleId="BodyText2">
    <w:name w:val="Body Text 2"/>
    <w:basedOn w:val="BodyText"/>
    <w:link w:val="BodyText2Char"/>
    <w:semiHidden/>
    <w:qFormat/>
    <w:rsid w:val="007079C8"/>
    <w:pPr>
      <w:ind w:left="360"/>
    </w:pPr>
  </w:style>
  <w:style w:type="character" w:customStyle="1" w:styleId="BodyText2Char">
    <w:name w:val="Body Text 2 Char"/>
    <w:basedOn w:val="DefaultParagraphFont"/>
    <w:link w:val="BodyText2"/>
    <w:semiHidden/>
    <w:rsid w:val="007079C8"/>
    <w:rPr>
      <w:lang w:val="en-AU"/>
    </w:rPr>
  </w:style>
  <w:style w:type="character" w:styleId="Emphasis">
    <w:name w:val="Emphasis"/>
    <w:basedOn w:val="DefaultParagraphFont"/>
    <w:qFormat/>
    <w:rsid w:val="007079C8"/>
    <w:rPr>
      <w:b/>
      <w:i w:val="0"/>
      <w:iCs/>
      <w:color w:val="000000" w:themeColor="text1"/>
    </w:rPr>
  </w:style>
  <w:style w:type="paragraph" w:styleId="Subtitle">
    <w:name w:val="Subtitle"/>
    <w:basedOn w:val="Normal"/>
    <w:next w:val="Normal"/>
    <w:link w:val="SubtitleChar"/>
    <w:rsid w:val="007079C8"/>
    <w:pPr>
      <w:numPr>
        <w:ilvl w:val="1"/>
      </w:numPr>
      <w:spacing w:after="240" w:line="240" w:lineRule="auto"/>
    </w:pPr>
    <w:rPr>
      <w:rFonts w:asciiTheme="majorHAnsi" w:eastAsiaTheme="majorEastAsia" w:hAnsiTheme="majorHAnsi" w:cstheme="majorBidi"/>
      <w:iCs/>
      <w:caps/>
      <w:color w:val="F9423A" w:themeColor="text2"/>
      <w:spacing w:val="15"/>
      <w:sz w:val="40"/>
      <w:szCs w:val="24"/>
      <w:lang w:eastAsia="fr-CA"/>
    </w:rPr>
  </w:style>
  <w:style w:type="character" w:customStyle="1" w:styleId="SubtitleChar">
    <w:name w:val="Subtitle Char"/>
    <w:basedOn w:val="DefaultParagraphFont"/>
    <w:link w:val="Subtitle"/>
    <w:rsid w:val="007079C8"/>
    <w:rPr>
      <w:rFonts w:asciiTheme="majorHAnsi" w:eastAsiaTheme="majorEastAsia" w:hAnsiTheme="majorHAnsi" w:cstheme="majorBidi"/>
      <w:iCs/>
      <w:caps/>
      <w:color w:val="F9423A" w:themeColor="text2"/>
      <w:spacing w:val="15"/>
      <w:sz w:val="40"/>
      <w:szCs w:val="24"/>
      <w:lang w:val="en-AU" w:eastAsia="fr-CA"/>
    </w:rPr>
  </w:style>
  <w:style w:type="paragraph" w:styleId="NormalWeb">
    <w:name w:val="Normal (Web)"/>
    <w:basedOn w:val="Normal"/>
    <w:uiPriority w:val="99"/>
    <w:semiHidden/>
    <w:rsid w:val="007079C8"/>
    <w:rPr>
      <w:szCs w:val="24"/>
    </w:rPr>
  </w:style>
  <w:style w:type="paragraph" w:styleId="ListNumber">
    <w:name w:val="List Number"/>
    <w:basedOn w:val="BodyText"/>
    <w:qFormat/>
    <w:rsid w:val="00FE11C4"/>
    <w:pPr>
      <w:numPr>
        <w:numId w:val="21"/>
      </w:numPr>
      <w:tabs>
        <w:tab w:val="clear" w:pos="2268"/>
        <w:tab w:val="clear" w:pos="4536"/>
        <w:tab w:val="clear" w:pos="6804"/>
        <w:tab w:val="clear" w:pos="9638"/>
      </w:tabs>
    </w:pPr>
  </w:style>
  <w:style w:type="paragraph" w:styleId="ListBullet">
    <w:name w:val="List Bullet"/>
    <w:basedOn w:val="BodyText"/>
    <w:qFormat/>
    <w:rsid w:val="001B3F93"/>
    <w:pPr>
      <w:numPr>
        <w:numId w:val="11"/>
      </w:numPr>
      <w:tabs>
        <w:tab w:val="clear" w:pos="2268"/>
        <w:tab w:val="clear" w:pos="4536"/>
        <w:tab w:val="clear" w:pos="6804"/>
        <w:tab w:val="clear" w:pos="9638"/>
      </w:tabs>
    </w:pPr>
    <w:rPr>
      <w:lang w:eastAsia="en-AU"/>
    </w:rPr>
  </w:style>
  <w:style w:type="numbering" w:customStyle="1" w:styleId="Style1">
    <w:name w:val="Style1"/>
    <w:uiPriority w:val="99"/>
    <w:rsid w:val="007079C8"/>
    <w:pPr>
      <w:numPr>
        <w:numId w:val="1"/>
      </w:numPr>
    </w:pPr>
  </w:style>
  <w:style w:type="paragraph" w:styleId="Header">
    <w:name w:val="header"/>
    <w:basedOn w:val="Normal"/>
    <w:link w:val="HeaderChar"/>
    <w:uiPriority w:val="99"/>
    <w:rsid w:val="007079C8"/>
    <w:pPr>
      <w:tabs>
        <w:tab w:val="left" w:pos="7796"/>
      </w:tabs>
    </w:pPr>
    <w:rPr>
      <w:rFonts w:eastAsiaTheme="minorHAnsi" w:cstheme="minorBidi"/>
      <w:lang w:eastAsia="fr-CA"/>
    </w:rPr>
  </w:style>
  <w:style w:type="character" w:customStyle="1" w:styleId="HeaderChar">
    <w:name w:val="Header Char"/>
    <w:basedOn w:val="DefaultParagraphFont"/>
    <w:link w:val="Header"/>
    <w:uiPriority w:val="99"/>
    <w:rsid w:val="007079C8"/>
    <w:rPr>
      <w:rFonts w:eastAsiaTheme="minorHAnsi" w:cstheme="minorBidi"/>
      <w:lang w:val="en-AU" w:eastAsia="fr-CA"/>
    </w:rPr>
  </w:style>
  <w:style w:type="character" w:customStyle="1" w:styleId="Heading6Char">
    <w:name w:val="Heading 6 Char"/>
    <w:basedOn w:val="DefaultParagraphFont"/>
    <w:link w:val="Heading6"/>
    <w:rsid w:val="007079C8"/>
    <w:rPr>
      <w:rFonts w:asciiTheme="majorHAnsi" w:hAnsiTheme="majorHAnsi" w:cs="Arial"/>
      <w:i/>
      <w:caps/>
      <w:color w:val="000000" w:themeColor="text1"/>
      <w:sz w:val="18"/>
      <w:szCs w:val="56"/>
      <w:lang w:val="en-AU" w:eastAsia="fr-CA"/>
    </w:rPr>
  </w:style>
  <w:style w:type="paragraph" w:styleId="Title">
    <w:name w:val="Title"/>
    <w:basedOn w:val="Normal"/>
    <w:next w:val="Normal"/>
    <w:link w:val="TitleChar"/>
    <w:rsid w:val="00FF2EF4"/>
    <w:pPr>
      <w:spacing w:before="220" w:after="120" w:line="240" w:lineRule="auto"/>
    </w:pPr>
    <w:rPr>
      <w:rFonts w:asciiTheme="majorHAnsi" w:eastAsiaTheme="majorEastAsia" w:hAnsiTheme="majorHAnsi" w:cs="Arial"/>
      <w:b/>
      <w:bCs/>
      <w:caps/>
      <w:color w:val="F9423A" w:themeColor="text2"/>
      <w:kern w:val="28"/>
      <w:sz w:val="72"/>
      <w:szCs w:val="48"/>
      <w:lang w:eastAsia="fr-CA"/>
    </w:rPr>
  </w:style>
  <w:style w:type="character" w:customStyle="1" w:styleId="TitleChar">
    <w:name w:val="Title Char"/>
    <w:basedOn w:val="DefaultParagraphFont"/>
    <w:link w:val="Title"/>
    <w:rsid w:val="007079C8"/>
    <w:rPr>
      <w:rFonts w:asciiTheme="majorHAnsi" w:eastAsiaTheme="majorEastAsia" w:hAnsiTheme="majorHAnsi" w:cs="Arial"/>
      <w:b/>
      <w:bCs/>
      <w:caps/>
      <w:color w:val="F9423A" w:themeColor="text2"/>
      <w:kern w:val="28"/>
      <w:sz w:val="72"/>
      <w:szCs w:val="48"/>
      <w:lang w:val="en-AU" w:eastAsia="fr-CA"/>
    </w:rPr>
  </w:style>
  <w:style w:type="character" w:customStyle="1" w:styleId="Heading1Char">
    <w:name w:val="Heading 1 Char"/>
    <w:basedOn w:val="DefaultParagraphFont"/>
    <w:link w:val="Heading1"/>
    <w:uiPriority w:val="9"/>
    <w:rsid w:val="007079C8"/>
    <w:rPr>
      <w:rFonts w:asciiTheme="majorHAnsi" w:hAnsiTheme="majorHAnsi"/>
      <w:b/>
      <w:bCs/>
      <w:caps/>
      <w:color w:val="F9423A" w:themeColor="text2"/>
      <w:kern w:val="32"/>
      <w:sz w:val="48"/>
      <w:szCs w:val="48"/>
      <w:lang w:val="en-AU" w:eastAsia="fr-CA"/>
    </w:rPr>
  </w:style>
  <w:style w:type="character" w:customStyle="1" w:styleId="Heading2Char">
    <w:name w:val="Heading 2 Char"/>
    <w:basedOn w:val="DefaultParagraphFont"/>
    <w:link w:val="Heading2"/>
    <w:rsid w:val="007079C8"/>
    <w:rPr>
      <w:rFonts w:asciiTheme="majorHAnsi" w:hAnsiTheme="majorHAnsi"/>
      <w:caps/>
      <w:color w:val="F9423A" w:themeColor="text2"/>
      <w:sz w:val="32"/>
      <w:szCs w:val="24"/>
      <w:lang w:val="en-AU" w:eastAsia="fr-CA"/>
    </w:rPr>
  </w:style>
  <w:style w:type="character" w:customStyle="1" w:styleId="Heading3Char">
    <w:name w:val="Heading 3 Char"/>
    <w:link w:val="Heading3"/>
    <w:rsid w:val="007079C8"/>
    <w:rPr>
      <w:rFonts w:asciiTheme="majorHAnsi" w:eastAsiaTheme="majorEastAsia" w:hAnsiTheme="majorHAnsi" w:cstheme="majorBidi"/>
      <w:i/>
      <w:caps/>
      <w:color w:val="F9423A" w:themeColor="text2"/>
      <w:sz w:val="24"/>
      <w:szCs w:val="24"/>
      <w:lang w:val="en-AU"/>
    </w:rPr>
  </w:style>
  <w:style w:type="character" w:customStyle="1" w:styleId="Heading4Char">
    <w:name w:val="Heading 4 Char"/>
    <w:basedOn w:val="DefaultParagraphFont"/>
    <w:link w:val="Heading4"/>
    <w:rsid w:val="007079C8"/>
    <w:rPr>
      <w:rFonts w:asciiTheme="majorHAnsi" w:eastAsiaTheme="minorEastAsia" w:hAnsiTheme="majorHAnsi" w:cs="Arial"/>
      <w:bCs/>
      <w:caps/>
      <w:color w:val="F9423A" w:themeColor="text2"/>
      <w:sz w:val="22"/>
      <w:lang w:val="en-AU"/>
    </w:rPr>
  </w:style>
  <w:style w:type="character" w:customStyle="1" w:styleId="Heading5Char">
    <w:name w:val="Heading 5 Char"/>
    <w:basedOn w:val="DefaultParagraphFont"/>
    <w:link w:val="Heading5"/>
    <w:rsid w:val="007079C8"/>
    <w:rPr>
      <w:rFonts w:asciiTheme="majorHAnsi" w:hAnsiTheme="majorHAnsi"/>
      <w:i/>
      <w:caps/>
      <w:color w:val="F9423A" w:themeColor="text2"/>
      <w:szCs w:val="24"/>
      <w:lang w:val="en-AU" w:eastAsia="fr-CA"/>
    </w:rPr>
  </w:style>
  <w:style w:type="paragraph" w:styleId="TOC1">
    <w:name w:val="toc 1"/>
    <w:basedOn w:val="Normal"/>
    <w:next w:val="Normal"/>
    <w:uiPriority w:val="39"/>
    <w:unhideWhenUsed/>
    <w:rsid w:val="007079C8"/>
    <w:pPr>
      <w:keepNext/>
      <w:tabs>
        <w:tab w:val="left" w:pos="720"/>
        <w:tab w:val="right" w:leader="dot" w:pos="6464"/>
      </w:tabs>
      <w:spacing w:before="240" w:after="60"/>
      <w:ind w:left="720" w:right="851" w:hanging="720"/>
    </w:pPr>
    <w:rPr>
      <w:rFonts w:asciiTheme="majorHAnsi" w:hAnsiTheme="majorHAnsi"/>
      <w:b/>
      <w:caps/>
      <w:noProof/>
      <w:color w:val="F9423A" w:themeColor="text2"/>
      <w:spacing w:val="-10"/>
      <w:sz w:val="24"/>
      <w:szCs w:val="24"/>
      <w:lang w:eastAsia="fr-CA"/>
    </w:rPr>
  </w:style>
  <w:style w:type="paragraph" w:styleId="TOC2">
    <w:name w:val="toc 2"/>
    <w:basedOn w:val="Normal"/>
    <w:next w:val="Normal"/>
    <w:uiPriority w:val="39"/>
    <w:unhideWhenUsed/>
    <w:rsid w:val="007079C8"/>
    <w:pPr>
      <w:tabs>
        <w:tab w:val="left" w:pos="720"/>
        <w:tab w:val="right" w:leader="dot" w:pos="6464"/>
        <w:tab w:val="right" w:leader="dot" w:pos="7031"/>
      </w:tabs>
      <w:spacing w:before="120" w:after="60"/>
      <w:ind w:left="720" w:right="851" w:hanging="720"/>
    </w:pPr>
    <w:rPr>
      <w:rFonts w:asciiTheme="majorHAnsi" w:hAnsiTheme="majorHAnsi"/>
      <w:b/>
      <w:caps/>
      <w:noProof/>
      <w:color w:val="F9423A" w:themeColor="text2"/>
      <w:szCs w:val="24"/>
      <w:lang w:eastAsia="fr-CA"/>
    </w:rPr>
  </w:style>
  <w:style w:type="paragraph" w:styleId="TOC3">
    <w:name w:val="toc 3"/>
    <w:basedOn w:val="Normal"/>
    <w:next w:val="Normal"/>
    <w:uiPriority w:val="39"/>
    <w:unhideWhenUsed/>
    <w:rsid w:val="007079C8"/>
    <w:pPr>
      <w:tabs>
        <w:tab w:val="left" w:pos="720"/>
        <w:tab w:val="right" w:leader="dot" w:pos="6464"/>
      </w:tabs>
      <w:ind w:left="720" w:right="851" w:hanging="720"/>
    </w:pPr>
    <w:rPr>
      <w:rFonts w:asciiTheme="majorHAnsi" w:hAnsiTheme="majorHAnsi" w:cs="Arial"/>
      <w:caps/>
      <w:noProof/>
      <w:sz w:val="18"/>
      <w:szCs w:val="24"/>
      <w:lang w:eastAsia="fr-CA"/>
    </w:rPr>
  </w:style>
  <w:style w:type="character" w:customStyle="1" w:styleId="Heading7Char">
    <w:name w:val="Heading 7 Char"/>
    <w:basedOn w:val="DefaultParagraphFont"/>
    <w:link w:val="Heading7"/>
    <w:rsid w:val="007079C8"/>
    <w:rPr>
      <w:rFonts w:asciiTheme="majorHAnsi" w:hAnsiTheme="majorHAnsi"/>
      <w:b/>
      <w:caps/>
      <w:color w:val="F9423A" w:themeColor="text2"/>
      <w:sz w:val="24"/>
      <w:szCs w:val="24"/>
      <w:lang w:val="en-AU" w:eastAsia="fr-CA"/>
    </w:rPr>
  </w:style>
  <w:style w:type="character" w:customStyle="1" w:styleId="Heading8Char">
    <w:name w:val="Heading 8 Char"/>
    <w:aliases w:val="Appendix Title Char"/>
    <w:basedOn w:val="DefaultParagraphFont"/>
    <w:link w:val="Heading8"/>
    <w:uiPriority w:val="3"/>
    <w:rsid w:val="007079C8"/>
    <w:rPr>
      <w:rFonts w:asciiTheme="majorHAnsi" w:eastAsiaTheme="majorEastAsia" w:hAnsiTheme="majorHAnsi" w:cstheme="majorBidi"/>
      <w:b/>
      <w:caps/>
      <w:color w:val="FFFFFF"/>
      <w:sz w:val="48"/>
      <w:lang w:val="en-AU"/>
    </w:rPr>
  </w:style>
  <w:style w:type="character" w:customStyle="1" w:styleId="Heading9Char">
    <w:name w:val="Heading 9 Char"/>
    <w:aliases w:val="Appendix Heading 1 Char"/>
    <w:basedOn w:val="DefaultParagraphFont"/>
    <w:link w:val="Heading9"/>
    <w:uiPriority w:val="3"/>
    <w:rsid w:val="007079C8"/>
    <w:rPr>
      <w:rFonts w:asciiTheme="majorHAnsi" w:hAnsiTheme="majorHAnsi" w:cs="Arial"/>
      <w:b/>
      <w:caps/>
      <w:color w:val="F9423A" w:themeColor="text2"/>
      <w:sz w:val="48"/>
      <w:szCs w:val="22"/>
      <w:lang w:val="en-AU"/>
    </w:rPr>
  </w:style>
  <w:style w:type="paragraph" w:styleId="Footer">
    <w:name w:val="footer"/>
    <w:basedOn w:val="Normal"/>
    <w:link w:val="FooterChar"/>
    <w:uiPriority w:val="99"/>
    <w:qFormat/>
    <w:rsid w:val="007079C8"/>
    <w:pPr>
      <w:tabs>
        <w:tab w:val="right" w:pos="9346"/>
      </w:tabs>
      <w:spacing w:before="120" w:line="240" w:lineRule="auto"/>
      <w:contextualSpacing/>
      <w:jc w:val="right"/>
    </w:pPr>
    <w:rPr>
      <w:rFonts w:asciiTheme="majorHAnsi" w:hAnsiTheme="majorHAnsi"/>
      <w:color w:val="F9423A" w:themeColor="text2"/>
      <w:sz w:val="14"/>
      <w:szCs w:val="16"/>
      <w:lang w:eastAsia="fr-CA"/>
    </w:rPr>
  </w:style>
  <w:style w:type="character" w:styleId="Hyperlink">
    <w:name w:val="Hyperlink"/>
    <w:basedOn w:val="DefaultParagraphFont"/>
    <w:uiPriority w:val="99"/>
    <w:unhideWhenUsed/>
    <w:qFormat/>
    <w:rsid w:val="007079C8"/>
    <w:rPr>
      <w:color w:val="0046AD" w:themeColor="hyperlink"/>
      <w:u w:val="single"/>
    </w:rPr>
  </w:style>
  <w:style w:type="paragraph" w:styleId="BalloonText">
    <w:name w:val="Balloon Text"/>
    <w:basedOn w:val="Normal"/>
    <w:link w:val="BalloonTextChar"/>
    <w:semiHidden/>
    <w:unhideWhenUsed/>
    <w:rsid w:val="007079C8"/>
    <w:rPr>
      <w:rFonts w:ascii="Tahoma" w:hAnsi="Tahoma" w:cs="Tahoma"/>
      <w:sz w:val="16"/>
      <w:szCs w:val="16"/>
    </w:rPr>
  </w:style>
  <w:style w:type="character" w:customStyle="1" w:styleId="BalloonTextChar">
    <w:name w:val="Balloon Text Char"/>
    <w:basedOn w:val="DefaultParagraphFont"/>
    <w:link w:val="BalloonText"/>
    <w:semiHidden/>
    <w:rsid w:val="007079C8"/>
    <w:rPr>
      <w:rFonts w:ascii="Tahoma" w:hAnsi="Tahoma" w:cs="Tahoma"/>
      <w:sz w:val="16"/>
      <w:szCs w:val="16"/>
      <w:lang w:val="en-AU"/>
    </w:rPr>
  </w:style>
  <w:style w:type="table" w:styleId="TableGrid">
    <w:name w:val="Table Grid"/>
    <w:aliases w:val="Simple Table"/>
    <w:basedOn w:val="TableNormal"/>
    <w:uiPriority w:val="59"/>
    <w:rsid w:val="007079C8"/>
    <w:pPr>
      <w:spacing w:before="110" w:after="100"/>
    </w:pPr>
    <w:rPr>
      <w:sz w:val="18"/>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style>
  <w:style w:type="paragraph" w:customStyle="1" w:styleId="ExecSumHeading2">
    <w:name w:val="Exec Sum Heading 2"/>
    <w:basedOn w:val="Normal"/>
    <w:next w:val="BodyText"/>
    <w:rsid w:val="007079C8"/>
    <w:pPr>
      <w:keepNext/>
      <w:pBdr>
        <w:top w:val="single" w:sz="4" w:space="9" w:color="F9423A" w:themeColor="accent1"/>
      </w:pBdr>
      <w:tabs>
        <w:tab w:val="right" w:pos="9639"/>
      </w:tabs>
      <w:spacing w:before="200" w:after="120"/>
      <w:outlineLvl w:val="7"/>
    </w:pPr>
    <w:rPr>
      <w:rFonts w:asciiTheme="majorHAnsi" w:hAnsiTheme="majorHAnsi" w:cs="Arial"/>
      <w:caps/>
      <w:color w:val="F9423A" w:themeColor="text2"/>
      <w:sz w:val="32"/>
    </w:rPr>
  </w:style>
  <w:style w:type="character" w:styleId="IntenseReference">
    <w:name w:val="Intense Reference"/>
    <w:basedOn w:val="DefaultParagraphFont"/>
    <w:semiHidden/>
    <w:qFormat/>
    <w:rsid w:val="007079C8"/>
    <w:rPr>
      <w:b/>
      <w:bCs/>
      <w:smallCaps/>
      <w:color w:val="F9423A" w:themeColor="text2"/>
      <w:spacing w:val="5"/>
      <w:u w:val="single"/>
    </w:rPr>
  </w:style>
  <w:style w:type="character" w:customStyle="1" w:styleId="FooterChar">
    <w:name w:val="Footer Char"/>
    <w:basedOn w:val="DefaultParagraphFont"/>
    <w:link w:val="Footer"/>
    <w:uiPriority w:val="99"/>
    <w:rsid w:val="007079C8"/>
    <w:rPr>
      <w:rFonts w:asciiTheme="majorHAnsi" w:hAnsiTheme="majorHAnsi"/>
      <w:color w:val="F9423A" w:themeColor="text2"/>
      <w:sz w:val="14"/>
      <w:szCs w:val="16"/>
      <w:lang w:val="en-AU" w:eastAsia="fr-CA"/>
    </w:rPr>
  </w:style>
  <w:style w:type="paragraph" w:customStyle="1" w:styleId="RefWSP">
    <w:name w:val="Ref WSP"/>
    <w:basedOn w:val="Normal"/>
    <w:uiPriority w:val="4"/>
    <w:qFormat/>
    <w:rsid w:val="007079C8"/>
    <w:pPr>
      <w:tabs>
        <w:tab w:val="right" w:pos="7286"/>
        <w:tab w:val="right" w:pos="7740"/>
      </w:tabs>
    </w:pPr>
    <w:rPr>
      <w:rFonts w:asciiTheme="majorHAnsi" w:hAnsiTheme="majorHAnsi" w:cs="Arial"/>
      <w:caps/>
      <w:color w:val="F9423A" w:themeColor="text2"/>
      <w:sz w:val="16"/>
      <w:szCs w:val="24"/>
      <w:lang w:eastAsia="fr-CA"/>
    </w:rPr>
  </w:style>
  <w:style w:type="paragraph" w:styleId="TOC4">
    <w:name w:val="toc 4"/>
    <w:basedOn w:val="Normal"/>
    <w:next w:val="Normal"/>
    <w:uiPriority w:val="39"/>
    <w:unhideWhenUsed/>
    <w:rsid w:val="007079C8"/>
    <w:pPr>
      <w:tabs>
        <w:tab w:val="left" w:pos="1134"/>
        <w:tab w:val="right" w:pos="6464"/>
      </w:tabs>
      <w:spacing w:after="60"/>
      <w:ind w:left="1134" w:right="851" w:hanging="1134"/>
    </w:pPr>
    <w:rPr>
      <w:rFonts w:asciiTheme="majorHAnsi" w:hAnsiTheme="majorHAnsi"/>
      <w:caps/>
      <w:noProof/>
      <w:sz w:val="18"/>
      <w:szCs w:val="18"/>
      <w:lang w:eastAsia="fr-CA"/>
    </w:rPr>
  </w:style>
  <w:style w:type="paragraph" w:styleId="NoSpacing">
    <w:name w:val="No Spacing"/>
    <w:next w:val="BodyText"/>
    <w:rsid w:val="007079C8"/>
    <w:rPr>
      <w:lang w:val="en-AU" w:eastAsia="en-AU"/>
    </w:rPr>
  </w:style>
  <w:style w:type="table" w:styleId="GridTable7Colorful-Accent2">
    <w:name w:val="Grid Table 7 Colorful Accent 2"/>
    <w:basedOn w:val="TableNormal"/>
    <w:uiPriority w:val="52"/>
    <w:rsid w:val="007079C8"/>
    <w:pPr>
      <w:spacing w:line="240" w:lineRule="auto"/>
    </w:pPr>
    <w:rPr>
      <w:color w:val="85B0D0" w:themeColor="accent2" w:themeShade="BF"/>
    </w:rPr>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9FC" w:themeFill="accent2" w:themeFillTint="33"/>
      </w:tcPr>
    </w:tblStylePr>
    <w:tblStylePr w:type="band1Horz">
      <w:tblPr/>
      <w:tcPr>
        <w:shd w:val="clear" w:color="auto" w:fill="F7F9FC" w:themeFill="accent2" w:themeFillTint="33"/>
      </w:tcPr>
    </w:tblStylePr>
    <w:tblStylePr w:type="neCell">
      <w:tblPr/>
      <w:tcPr>
        <w:tcBorders>
          <w:bottom w:val="single" w:sz="4" w:space="0" w:color="E7EFF6" w:themeColor="accent2" w:themeTint="99"/>
        </w:tcBorders>
      </w:tcPr>
    </w:tblStylePr>
    <w:tblStylePr w:type="nwCell">
      <w:tblPr/>
      <w:tcPr>
        <w:tcBorders>
          <w:bottom w:val="single" w:sz="4" w:space="0" w:color="E7EFF6" w:themeColor="accent2" w:themeTint="99"/>
        </w:tcBorders>
      </w:tcPr>
    </w:tblStylePr>
    <w:tblStylePr w:type="seCell">
      <w:tblPr/>
      <w:tcPr>
        <w:tcBorders>
          <w:top w:val="single" w:sz="4" w:space="0" w:color="E7EFF6" w:themeColor="accent2" w:themeTint="99"/>
        </w:tcBorders>
      </w:tcPr>
    </w:tblStylePr>
    <w:tblStylePr w:type="swCell">
      <w:tblPr/>
      <w:tcPr>
        <w:tcBorders>
          <w:top w:val="single" w:sz="4" w:space="0" w:color="E7EFF6" w:themeColor="accent2" w:themeTint="99"/>
        </w:tcBorders>
      </w:tcPr>
    </w:tblStylePr>
  </w:style>
  <w:style w:type="paragraph" w:styleId="Caption">
    <w:name w:val="caption"/>
    <w:aliases w:val="Figure/Table"/>
    <w:basedOn w:val="Normal"/>
    <w:next w:val="BodyText"/>
    <w:link w:val="CaptionChar"/>
    <w:qFormat/>
    <w:rsid w:val="007079C8"/>
    <w:pPr>
      <w:keepNext/>
      <w:keepLines/>
      <w:tabs>
        <w:tab w:val="left" w:pos="1418"/>
      </w:tabs>
      <w:spacing w:before="80" w:after="80"/>
      <w:ind w:left="1418" w:hanging="1418"/>
    </w:pPr>
    <w:rPr>
      <w:rFonts w:asciiTheme="majorHAnsi" w:eastAsiaTheme="minorHAnsi" w:hAnsiTheme="majorHAnsi" w:cstheme="minorBidi"/>
      <w:bCs/>
      <w:color w:val="F9423A" w:themeColor="text2"/>
      <w:sz w:val="18"/>
      <w:lang w:eastAsia="fr-CA"/>
    </w:rPr>
  </w:style>
  <w:style w:type="table" w:customStyle="1" w:styleId="Table1">
    <w:name w:val="Table 1"/>
    <w:basedOn w:val="TableNormal"/>
    <w:uiPriority w:val="59"/>
    <w:rsid w:val="009551DD"/>
    <w:pPr>
      <w:spacing w:before="90" w:after="40"/>
    </w:pPr>
    <w:rPr>
      <w:lang w:val="en-AU" w:eastAsia="en-AU"/>
    </w:rPr>
    <w:tblPr>
      <w:tblStyleColBandSize w:val="1"/>
      <w:tblBorders>
        <w:top w:val="single" w:sz="2" w:space="0" w:color="F9423A" w:themeColor="text2"/>
        <w:left w:val="single" w:sz="2" w:space="0" w:color="F9423A" w:themeColor="text2"/>
        <w:bottom w:val="single" w:sz="2" w:space="0" w:color="F9423A" w:themeColor="text2"/>
        <w:right w:val="single" w:sz="2" w:space="0" w:color="F9423A" w:themeColor="text2"/>
        <w:insideH w:val="single" w:sz="2" w:space="0" w:color="F9423A" w:themeColor="text2"/>
        <w:insideV w:val="single" w:sz="2" w:space="0" w:color="F9423A" w:themeColor="text2"/>
      </w:tblBorders>
      <w:tblCellMar>
        <w:left w:w="45" w:type="dxa"/>
        <w:right w:w="45" w:type="dxa"/>
      </w:tblCellMar>
    </w:tblPr>
    <w:tblStylePr w:type="firstRow">
      <w:rPr>
        <w:rFonts w:asciiTheme="majorHAnsi" w:hAnsiTheme="majorHAnsi"/>
        <w:b w:val="0"/>
        <w:caps/>
        <w:smallCaps w:val="0"/>
        <w:color w:val="auto"/>
        <w:sz w:val="18"/>
      </w:rPr>
      <w:tblPr/>
      <w:tcPr>
        <w:tcBorders>
          <w:top w:val="single" w:sz="2" w:space="0" w:color="F9423A" w:themeColor="text2"/>
          <w:left w:val="single" w:sz="2" w:space="0" w:color="F9423A" w:themeColor="text2"/>
          <w:bottom w:val="single" w:sz="2" w:space="0" w:color="F9423A" w:themeColor="text2"/>
          <w:right w:val="single" w:sz="2" w:space="0" w:color="F9423A" w:themeColor="text2"/>
          <w:insideH w:val="single" w:sz="2" w:space="0" w:color="F9423A" w:themeColor="text2"/>
          <w:insideV w:val="single" w:sz="2" w:space="0" w:color="F9423A" w:themeColor="text2"/>
          <w:tl2br w:val="nil"/>
          <w:tr2bl w:val="nil"/>
        </w:tcBorders>
        <w:shd w:val="clear" w:color="auto" w:fill="FFFFFF"/>
      </w:tcPr>
    </w:tblStylePr>
    <w:tblStylePr w:type="lastRow">
      <w:rPr>
        <w:b/>
      </w:rPr>
    </w:tblStylePr>
    <w:tblStylePr w:type="firstCol">
      <w:tblPr/>
      <w:tcPr>
        <w:shd w:val="clear" w:color="auto" w:fill="B7D1E3" w:themeFill="accent2" w:themeFillShade="E6"/>
      </w:tcPr>
    </w:tblStylePr>
    <w:tblStylePr w:type="lastCol">
      <w:rPr>
        <w:b/>
      </w:rPr>
    </w:tblStylePr>
    <w:tblStylePr w:type="band2Vert">
      <w:tblPr/>
      <w:tcPr>
        <w:shd w:val="clear" w:color="auto" w:fill="E4E8EC" w:themeFill="accent3" w:themeFillTint="1A"/>
      </w:tcPr>
    </w:tblStylePr>
  </w:style>
  <w:style w:type="table" w:customStyle="1" w:styleId="Table2">
    <w:name w:val="Table 2"/>
    <w:basedOn w:val="TableNormal"/>
    <w:uiPriority w:val="99"/>
    <w:rsid w:val="007079C8"/>
    <w:pPr>
      <w:spacing w:before="90" w:after="40"/>
    </w:pPr>
    <w:rPr>
      <w:lang w:val="en-AU" w:eastAsia="en-AU"/>
    </w:rPr>
    <w:tblPr>
      <w:tblStyleColBandSize w:val="1"/>
      <w:tblBorders>
        <w:top w:val="dotted" w:sz="4" w:space="0" w:color="000000" w:themeColor="text1"/>
        <w:bottom w:val="dotted" w:sz="4" w:space="0" w:color="000000" w:themeColor="text1"/>
        <w:insideH w:val="dotted" w:sz="4" w:space="0" w:color="000000" w:themeColor="text1"/>
        <w:insideV w:val="dotted" w:sz="4" w:space="0" w:color="000000" w:themeColor="text1"/>
      </w:tblBorders>
      <w:tblCellMar>
        <w:left w:w="45" w:type="dxa"/>
        <w:right w:w="45" w:type="dxa"/>
      </w:tblCellMar>
    </w:tblPr>
    <w:tblStylePr w:type="firstRow">
      <w:rPr>
        <w:rFonts w:asciiTheme="majorHAnsi" w:hAnsiTheme="majorHAnsi"/>
        <w:caps/>
        <w:smallCaps w:val="0"/>
      </w:rPr>
      <w:tblPr/>
      <w:tcPr>
        <w:tcBorders>
          <w:top w:val="single" w:sz="4" w:space="0" w:color="000000" w:themeColor="text1"/>
          <w:left w:val="nil"/>
          <w:bottom w:val="single" w:sz="4" w:space="0" w:color="000000" w:themeColor="text1"/>
          <w:right w:val="nil"/>
          <w:insideH w:val="dotted" w:sz="4" w:space="0" w:color="000000" w:themeColor="text1"/>
          <w:insideV w:val="dotted" w:sz="4" w:space="0" w:color="000000" w:themeColor="text1"/>
          <w:tl2br w:val="nil"/>
          <w:tr2bl w:val="nil"/>
        </w:tcBorders>
        <w:shd w:val="clear" w:color="auto" w:fill="FFFFFF"/>
      </w:tcPr>
    </w:tblStylePr>
    <w:tblStylePr w:type="firstCol">
      <w:tblPr/>
      <w:tcPr>
        <w:shd w:val="clear" w:color="auto" w:fill="B7D1E3" w:themeFill="accent2" w:themeFillShade="E6"/>
      </w:tcPr>
    </w:tblStylePr>
    <w:tblStylePr w:type="band2Vert">
      <w:tblPr/>
      <w:tcPr>
        <w:shd w:val="clear" w:color="auto" w:fill="E4E8EC" w:themeFill="accent3" w:themeFillTint="1A"/>
      </w:tcPr>
    </w:tblStylePr>
  </w:style>
  <w:style w:type="paragraph" w:customStyle="1" w:styleId="InsideCoverText">
    <w:name w:val="Inside Cover Text"/>
    <w:basedOn w:val="Normal"/>
    <w:rsid w:val="007079C8"/>
  </w:style>
  <w:style w:type="character" w:styleId="PlaceholderText">
    <w:name w:val="Placeholder Text"/>
    <w:basedOn w:val="DefaultParagraphFont"/>
    <w:uiPriority w:val="99"/>
    <w:rsid w:val="007079C8"/>
    <w:rPr>
      <w:color w:val="808080"/>
    </w:rPr>
  </w:style>
  <w:style w:type="paragraph" w:styleId="TableofFigures">
    <w:name w:val="table of figures"/>
    <w:basedOn w:val="TOC3"/>
    <w:next w:val="Normal"/>
    <w:uiPriority w:val="99"/>
    <w:rsid w:val="007079C8"/>
    <w:pPr>
      <w:tabs>
        <w:tab w:val="clear" w:pos="720"/>
        <w:tab w:val="left" w:pos="1134"/>
      </w:tabs>
      <w:spacing w:after="60"/>
      <w:ind w:left="1134" w:hanging="1134"/>
    </w:pPr>
    <w:rPr>
      <w:szCs w:val="20"/>
    </w:rPr>
  </w:style>
  <w:style w:type="paragraph" w:customStyle="1" w:styleId="ExecSumHeading3">
    <w:name w:val="Exec Sum Heading 3"/>
    <w:basedOn w:val="ExecSumHeading2"/>
    <w:next w:val="BodyText"/>
    <w:rsid w:val="007079C8"/>
    <w:pPr>
      <w:pBdr>
        <w:top w:val="none" w:sz="0" w:space="0" w:color="auto"/>
      </w:pBdr>
      <w:outlineLvl w:val="8"/>
    </w:pPr>
    <w:rPr>
      <w:i/>
      <w:sz w:val="24"/>
    </w:rPr>
  </w:style>
  <w:style w:type="paragraph" w:customStyle="1" w:styleId="TableBullet1">
    <w:name w:val="Table Bullet 1"/>
    <w:basedOn w:val="TableText"/>
    <w:qFormat/>
    <w:rsid w:val="000A655F"/>
    <w:pPr>
      <w:numPr>
        <w:numId w:val="12"/>
      </w:numPr>
    </w:pPr>
    <w:rPr>
      <w:lang w:eastAsia="en-AU"/>
    </w:rPr>
  </w:style>
  <w:style w:type="paragraph" w:customStyle="1" w:styleId="TableBullet2">
    <w:name w:val="Table Bullet 2"/>
    <w:basedOn w:val="TableBullet1"/>
    <w:rsid w:val="007079C8"/>
    <w:pPr>
      <w:numPr>
        <w:ilvl w:val="1"/>
      </w:numPr>
    </w:pPr>
  </w:style>
  <w:style w:type="paragraph" w:customStyle="1" w:styleId="Heading1NoNumber">
    <w:name w:val="Heading 1 No Number"/>
    <w:basedOn w:val="Heading1"/>
    <w:next w:val="BodyText"/>
    <w:qFormat/>
    <w:rsid w:val="007079C8"/>
    <w:pPr>
      <w:numPr>
        <w:numId w:val="0"/>
      </w:numPr>
      <w:spacing w:before="0" w:after="240"/>
    </w:pPr>
    <w:rPr>
      <w:kern w:val="0"/>
    </w:rPr>
  </w:style>
  <w:style w:type="paragraph" w:customStyle="1" w:styleId="ClientName">
    <w:name w:val="Client Name"/>
    <w:basedOn w:val="Normal"/>
    <w:rsid w:val="007079C8"/>
    <w:pPr>
      <w:spacing w:after="60" w:line="280" w:lineRule="exact"/>
    </w:pPr>
    <w:rPr>
      <w:rFonts w:asciiTheme="majorHAnsi" w:hAnsiTheme="majorHAnsi"/>
      <w:caps/>
      <w:color w:val="F9423A" w:themeColor="text2"/>
      <w:sz w:val="26"/>
    </w:rPr>
  </w:style>
  <w:style w:type="paragraph" w:customStyle="1" w:styleId="Subtitle2">
    <w:name w:val="Subtitle 2"/>
    <w:basedOn w:val="Normal"/>
    <w:next w:val="Normal"/>
    <w:rsid w:val="007079C8"/>
    <w:rPr>
      <w:rFonts w:asciiTheme="majorHAnsi" w:hAnsiTheme="majorHAnsi"/>
      <w:caps/>
      <w:color w:val="F9423A" w:themeColor="text2"/>
    </w:rPr>
  </w:style>
  <w:style w:type="paragraph" w:customStyle="1" w:styleId="InsideCoverHeading">
    <w:name w:val="Inside Cover Heading"/>
    <w:basedOn w:val="InsideCoverText"/>
    <w:rsid w:val="007079C8"/>
    <w:rPr>
      <w:rFonts w:asciiTheme="majorHAnsi" w:hAnsiTheme="majorHAnsi"/>
      <w:color w:val="F9423A" w:themeColor="accent1"/>
      <w:sz w:val="24"/>
    </w:rPr>
  </w:style>
  <w:style w:type="paragraph" w:customStyle="1" w:styleId="TableBullet3">
    <w:name w:val="Table Bullet 3"/>
    <w:basedOn w:val="TableBullet2"/>
    <w:rsid w:val="007079C8"/>
    <w:pPr>
      <w:numPr>
        <w:ilvl w:val="2"/>
      </w:numPr>
    </w:pPr>
  </w:style>
  <w:style w:type="paragraph" w:customStyle="1" w:styleId="TableListNumber1">
    <w:name w:val="Table List Number 1"/>
    <w:basedOn w:val="TableText"/>
    <w:qFormat/>
    <w:rsid w:val="007079C8"/>
    <w:pPr>
      <w:numPr>
        <w:numId w:val="10"/>
      </w:numPr>
      <w:ind w:left="360" w:hanging="360"/>
    </w:pPr>
    <w:rPr>
      <w:lang w:eastAsia="en-AU"/>
    </w:rPr>
  </w:style>
  <w:style w:type="paragraph" w:customStyle="1" w:styleId="TableListNumber2">
    <w:name w:val="Table List Number 2"/>
    <w:basedOn w:val="TableListNumber1"/>
    <w:rsid w:val="007079C8"/>
    <w:pPr>
      <w:numPr>
        <w:ilvl w:val="1"/>
      </w:numPr>
      <w:ind w:left="720" w:hanging="360"/>
    </w:pPr>
  </w:style>
  <w:style w:type="paragraph" w:customStyle="1" w:styleId="TableListNumber3">
    <w:name w:val="Table List Number 3"/>
    <w:basedOn w:val="TableListNumber2"/>
    <w:rsid w:val="007079C8"/>
    <w:pPr>
      <w:numPr>
        <w:ilvl w:val="2"/>
      </w:numPr>
      <w:ind w:left="1080" w:hanging="360"/>
    </w:pPr>
  </w:style>
  <w:style w:type="paragraph" w:customStyle="1" w:styleId="TableText">
    <w:name w:val="Table Text"/>
    <w:basedOn w:val="Normal"/>
    <w:link w:val="TableTextChar"/>
    <w:qFormat/>
    <w:rsid w:val="007079C8"/>
    <w:pPr>
      <w:spacing w:before="90" w:after="40"/>
    </w:pPr>
    <w:rPr>
      <w:rFonts w:cs="Arial"/>
      <w:szCs w:val="22"/>
    </w:rPr>
  </w:style>
  <w:style w:type="paragraph" w:customStyle="1" w:styleId="TableFootnotes">
    <w:name w:val="Table Footnotes"/>
    <w:basedOn w:val="Normal"/>
    <w:rsid w:val="007079C8"/>
    <w:pPr>
      <w:keepLines/>
      <w:numPr>
        <w:ilvl w:val="1"/>
        <w:numId w:val="2"/>
      </w:numPr>
      <w:tabs>
        <w:tab w:val="right" w:pos="9639"/>
      </w:tabs>
      <w:spacing w:before="60" w:after="60"/>
    </w:pPr>
    <w:rPr>
      <w:sz w:val="18"/>
    </w:rPr>
  </w:style>
  <w:style w:type="paragraph" w:customStyle="1" w:styleId="Address">
    <w:name w:val="Address"/>
    <w:basedOn w:val="Normal"/>
    <w:rsid w:val="007079C8"/>
    <w:pPr>
      <w:tabs>
        <w:tab w:val="left" w:pos="227"/>
      </w:tabs>
      <w:spacing w:before="120" w:after="120"/>
      <w:contextualSpacing/>
    </w:pPr>
    <w:rPr>
      <w:rFonts w:asciiTheme="majorHAnsi" w:hAnsiTheme="majorHAnsi"/>
      <w:noProof/>
      <w:color w:val="F9423A" w:themeColor="accent1"/>
      <w:sz w:val="14"/>
    </w:rPr>
  </w:style>
  <w:style w:type="paragraph" w:customStyle="1" w:styleId="AppendixHeading2">
    <w:name w:val="Appendix Heading 2"/>
    <w:basedOn w:val="Normal"/>
    <w:next w:val="BodyText"/>
    <w:uiPriority w:val="4"/>
    <w:rsid w:val="007079C8"/>
    <w:pPr>
      <w:keepNext/>
      <w:numPr>
        <w:ilvl w:val="2"/>
        <w:numId w:val="4"/>
      </w:numPr>
      <w:pBdr>
        <w:top w:val="single" w:sz="4" w:space="9" w:color="F9423A" w:themeColor="accent1"/>
        <w:between w:val="single" w:sz="4" w:space="9" w:color="F9423A" w:themeColor="accent1"/>
      </w:pBdr>
      <w:tabs>
        <w:tab w:val="left" w:pos="1559"/>
        <w:tab w:val="left" w:pos="1843"/>
        <w:tab w:val="left" w:pos="2126"/>
        <w:tab w:val="left" w:pos="2410"/>
        <w:tab w:val="right" w:pos="9639"/>
      </w:tabs>
      <w:spacing w:before="120" w:after="120"/>
    </w:pPr>
    <w:rPr>
      <w:rFonts w:asciiTheme="majorHAnsi" w:hAnsiTheme="majorHAnsi"/>
      <w:b/>
      <w:caps/>
      <w:color w:val="F9423A" w:themeColor="text2"/>
      <w:sz w:val="48"/>
    </w:rPr>
  </w:style>
  <w:style w:type="paragraph" w:customStyle="1" w:styleId="AppendixHeading3">
    <w:name w:val="Appendix Heading 3"/>
    <w:basedOn w:val="Normal"/>
    <w:next w:val="BodyText"/>
    <w:uiPriority w:val="4"/>
    <w:rsid w:val="007079C8"/>
    <w:pPr>
      <w:keepNext/>
      <w:numPr>
        <w:ilvl w:val="3"/>
        <w:numId w:val="4"/>
      </w:numPr>
      <w:pBdr>
        <w:between w:val="single" w:sz="4" w:space="9" w:color="F9423A" w:themeColor="accent1"/>
      </w:pBdr>
      <w:tabs>
        <w:tab w:val="left" w:pos="1559"/>
        <w:tab w:val="left" w:pos="1843"/>
        <w:tab w:val="left" w:pos="2126"/>
        <w:tab w:val="left" w:pos="2410"/>
        <w:tab w:val="left" w:pos="6804"/>
        <w:tab w:val="right" w:pos="9639"/>
      </w:tabs>
      <w:spacing w:before="200" w:after="120"/>
    </w:pPr>
    <w:rPr>
      <w:rFonts w:asciiTheme="majorHAnsi" w:hAnsiTheme="majorHAnsi"/>
      <w:caps/>
      <w:color w:val="F9423A" w:themeColor="text2"/>
      <w:sz w:val="32"/>
    </w:rPr>
  </w:style>
  <w:style w:type="paragraph" w:customStyle="1" w:styleId="AppendixHeading4">
    <w:name w:val="Appendix Heading 4"/>
    <w:basedOn w:val="Normal"/>
    <w:next w:val="BodyText"/>
    <w:uiPriority w:val="4"/>
    <w:rsid w:val="007079C8"/>
    <w:pPr>
      <w:keepNext/>
      <w:numPr>
        <w:ilvl w:val="4"/>
        <w:numId w:val="4"/>
      </w:numPr>
      <w:pBdr>
        <w:between w:val="single" w:sz="4" w:space="9" w:color="F9423A" w:themeColor="accent1"/>
      </w:pBdr>
      <w:spacing w:before="200" w:after="120"/>
    </w:pPr>
    <w:rPr>
      <w:rFonts w:asciiTheme="majorHAnsi" w:eastAsiaTheme="minorEastAsia" w:hAnsiTheme="majorHAnsi"/>
      <w:i/>
      <w:caps/>
      <w:color w:val="F9423A" w:themeColor="text2"/>
      <w:sz w:val="24"/>
    </w:rPr>
  </w:style>
  <w:style w:type="paragraph" w:styleId="Bibliography">
    <w:name w:val="Bibliography"/>
    <w:basedOn w:val="Normal"/>
    <w:next w:val="Normal"/>
    <w:semiHidden/>
    <w:rsid w:val="007079C8"/>
  </w:style>
  <w:style w:type="paragraph" w:styleId="BlockText">
    <w:name w:val="Block Text"/>
    <w:basedOn w:val="BodyText"/>
    <w:semiHidden/>
    <w:unhideWhenUsed/>
    <w:rsid w:val="007079C8"/>
    <w:rPr>
      <w:rFonts w:eastAsiaTheme="minorEastAsia" w:cstheme="minorBidi"/>
      <w:iCs/>
    </w:rPr>
  </w:style>
  <w:style w:type="paragraph" w:styleId="BodyText3">
    <w:name w:val="Body Text 3"/>
    <w:basedOn w:val="Normal"/>
    <w:link w:val="BodyText3Char"/>
    <w:semiHidden/>
    <w:rsid w:val="007079C8"/>
    <w:pPr>
      <w:spacing w:after="120"/>
    </w:pPr>
    <w:rPr>
      <w:sz w:val="16"/>
      <w:szCs w:val="16"/>
    </w:rPr>
  </w:style>
  <w:style w:type="character" w:customStyle="1" w:styleId="BodyText3Char">
    <w:name w:val="Body Text 3 Char"/>
    <w:basedOn w:val="DefaultParagraphFont"/>
    <w:link w:val="BodyText3"/>
    <w:semiHidden/>
    <w:rsid w:val="007079C8"/>
    <w:rPr>
      <w:sz w:val="16"/>
      <w:szCs w:val="16"/>
      <w:lang w:val="en-AU"/>
    </w:rPr>
  </w:style>
  <w:style w:type="paragraph" w:customStyle="1" w:styleId="BodyTextBold">
    <w:name w:val="Body Text Bold"/>
    <w:basedOn w:val="BodyText"/>
    <w:rsid w:val="007079C8"/>
    <w:rPr>
      <w:b/>
    </w:rPr>
  </w:style>
  <w:style w:type="paragraph" w:styleId="BodyTextFirstIndent">
    <w:name w:val="Body Text First Indent"/>
    <w:basedOn w:val="BodyText"/>
    <w:link w:val="BodyTextFirstIndentChar"/>
    <w:semiHidden/>
    <w:rsid w:val="007079C8"/>
    <w:pPr>
      <w:ind w:firstLine="360"/>
    </w:pPr>
    <w:rPr>
      <w:szCs w:val="24"/>
      <w:lang w:eastAsia="fr-CA"/>
    </w:rPr>
  </w:style>
  <w:style w:type="character" w:customStyle="1" w:styleId="BodyTextFirstIndentChar">
    <w:name w:val="Body Text First Indent Char"/>
    <w:basedOn w:val="BodyTextChar"/>
    <w:link w:val="BodyTextFirstIndent"/>
    <w:semiHidden/>
    <w:rsid w:val="007079C8"/>
    <w:rPr>
      <w:sz w:val="24"/>
      <w:szCs w:val="24"/>
      <w:lang w:val="en-AU" w:eastAsia="fr-CA"/>
    </w:rPr>
  </w:style>
  <w:style w:type="paragraph" w:styleId="BodyTextIndent">
    <w:name w:val="Body Text Indent"/>
    <w:basedOn w:val="Normal"/>
    <w:link w:val="BodyTextIndentChar"/>
    <w:semiHidden/>
    <w:rsid w:val="007079C8"/>
    <w:pPr>
      <w:spacing w:after="120"/>
      <w:ind w:left="283"/>
    </w:pPr>
  </w:style>
  <w:style w:type="character" w:customStyle="1" w:styleId="BodyTextIndentChar">
    <w:name w:val="Body Text Indent Char"/>
    <w:basedOn w:val="DefaultParagraphFont"/>
    <w:link w:val="BodyTextIndent"/>
    <w:semiHidden/>
    <w:rsid w:val="007079C8"/>
    <w:rPr>
      <w:lang w:val="en-AU"/>
    </w:rPr>
  </w:style>
  <w:style w:type="paragraph" w:styleId="BodyTextFirstIndent2">
    <w:name w:val="Body Text First Indent 2"/>
    <w:basedOn w:val="BodyTextIndent"/>
    <w:link w:val="BodyTextFirstIndent2Char"/>
    <w:semiHidden/>
    <w:rsid w:val="007079C8"/>
    <w:pPr>
      <w:spacing w:after="0"/>
      <w:ind w:left="360" w:firstLine="360"/>
    </w:pPr>
  </w:style>
  <w:style w:type="character" w:customStyle="1" w:styleId="BodyTextFirstIndent2Char">
    <w:name w:val="Body Text First Indent 2 Char"/>
    <w:basedOn w:val="BodyTextIndentChar"/>
    <w:link w:val="BodyTextFirstIndent2"/>
    <w:semiHidden/>
    <w:rsid w:val="007079C8"/>
    <w:rPr>
      <w:lang w:val="en-AU"/>
    </w:rPr>
  </w:style>
  <w:style w:type="paragraph" w:styleId="BodyTextIndent2">
    <w:name w:val="Body Text Indent 2"/>
    <w:basedOn w:val="Normal"/>
    <w:link w:val="BodyTextIndent2Char"/>
    <w:semiHidden/>
    <w:rsid w:val="007079C8"/>
    <w:pPr>
      <w:spacing w:after="120" w:line="480" w:lineRule="auto"/>
      <w:ind w:left="283"/>
    </w:pPr>
  </w:style>
  <w:style w:type="character" w:customStyle="1" w:styleId="BodyTextIndent2Char">
    <w:name w:val="Body Text Indent 2 Char"/>
    <w:basedOn w:val="DefaultParagraphFont"/>
    <w:link w:val="BodyTextIndent2"/>
    <w:semiHidden/>
    <w:rsid w:val="007079C8"/>
    <w:rPr>
      <w:lang w:val="en-AU"/>
    </w:rPr>
  </w:style>
  <w:style w:type="paragraph" w:styleId="BodyTextIndent3">
    <w:name w:val="Body Text Indent 3"/>
    <w:basedOn w:val="Normal"/>
    <w:link w:val="BodyTextIndent3Char"/>
    <w:semiHidden/>
    <w:rsid w:val="007079C8"/>
    <w:pPr>
      <w:spacing w:after="120"/>
      <w:ind w:left="283"/>
    </w:pPr>
    <w:rPr>
      <w:sz w:val="16"/>
      <w:szCs w:val="16"/>
    </w:rPr>
  </w:style>
  <w:style w:type="character" w:customStyle="1" w:styleId="BodyTextIndent3Char">
    <w:name w:val="Body Text Indent 3 Char"/>
    <w:basedOn w:val="DefaultParagraphFont"/>
    <w:link w:val="BodyTextIndent3"/>
    <w:semiHidden/>
    <w:rsid w:val="007079C8"/>
    <w:rPr>
      <w:sz w:val="16"/>
      <w:szCs w:val="16"/>
      <w:lang w:val="en-AU"/>
    </w:rPr>
  </w:style>
  <w:style w:type="character" w:customStyle="1" w:styleId="Bold">
    <w:name w:val="Bold"/>
    <w:rsid w:val="007079C8"/>
    <w:rPr>
      <w:rFonts w:eastAsiaTheme="minorEastAsia"/>
      <w:b/>
      <w:i w:val="0"/>
      <w:strike w:val="0"/>
      <w:vertAlign w:val="baseline"/>
    </w:rPr>
  </w:style>
  <w:style w:type="character" w:customStyle="1" w:styleId="BoldAndItalics">
    <w:name w:val="Bold And Italics"/>
    <w:rsid w:val="007079C8"/>
    <w:rPr>
      <w:rFonts w:eastAsiaTheme="minorEastAsia"/>
      <w:b/>
      <w:i/>
      <w:strike w:val="0"/>
      <w:vertAlign w:val="baseline"/>
    </w:rPr>
  </w:style>
  <w:style w:type="paragraph" w:customStyle="1" w:styleId="BoldHeading">
    <w:name w:val="Bold Heading"/>
    <w:basedOn w:val="Normal"/>
    <w:next w:val="BodyText"/>
    <w:rsid w:val="00E33098"/>
    <w:pPr>
      <w:spacing w:before="240" w:after="40"/>
    </w:pPr>
    <w:rPr>
      <w:b/>
      <w:sz w:val="24"/>
      <w:szCs w:val="22"/>
    </w:rPr>
  </w:style>
  <w:style w:type="paragraph" w:customStyle="1" w:styleId="CaptionDescriptive">
    <w:name w:val="Caption Descriptive"/>
    <w:basedOn w:val="Normal"/>
    <w:rsid w:val="007079C8"/>
    <w:pPr>
      <w:keepNext/>
      <w:spacing w:after="60" w:line="200" w:lineRule="atLeast"/>
    </w:pPr>
    <w:rPr>
      <w:i/>
      <w:sz w:val="16"/>
    </w:rPr>
  </w:style>
  <w:style w:type="paragraph" w:styleId="Closing">
    <w:name w:val="Closing"/>
    <w:basedOn w:val="Normal"/>
    <w:link w:val="ClosingChar"/>
    <w:semiHidden/>
    <w:rsid w:val="007079C8"/>
    <w:pPr>
      <w:ind w:left="4252"/>
    </w:pPr>
  </w:style>
  <w:style w:type="character" w:customStyle="1" w:styleId="ClosingChar">
    <w:name w:val="Closing Char"/>
    <w:basedOn w:val="DefaultParagraphFont"/>
    <w:link w:val="Closing"/>
    <w:semiHidden/>
    <w:rsid w:val="007079C8"/>
    <w:rPr>
      <w:lang w:val="en-AU"/>
    </w:rPr>
  </w:style>
  <w:style w:type="table" w:styleId="ColorfulGrid">
    <w:name w:val="Colorful Grid"/>
    <w:basedOn w:val="TableNormal"/>
    <w:uiPriority w:val="73"/>
    <w:rsid w:val="007079C8"/>
    <w:rPr>
      <w:rFonts w:ascii="Arial" w:hAnsi="Arial"/>
      <w:sz w:val="18"/>
    </w:rPr>
    <w:tblPr>
      <w:tblStyleRowBandSize w:val="1"/>
      <w:tblStyleColBandSize w:val="1"/>
      <w:tblBorders>
        <w:left w:val="dotted" w:sz="6" w:space="0" w:color="DE0F06" w:themeColor="text2" w:themeShade="BF"/>
        <w:bottom w:val="single" w:sz="6" w:space="0" w:color="FFFFFF" w:themeColor="background2"/>
        <w:right w:val="dotted" w:sz="6" w:space="0" w:color="DE0F06" w:themeColor="text2" w:themeShade="BF"/>
        <w:insideH w:val="single" w:sz="6" w:space="0" w:color="FFFFFF" w:themeColor="background2"/>
        <w:insideV w:val="dotted" w:sz="6" w:space="0" w:color="DE0F06" w:themeColor="text2" w:themeShade="BF"/>
      </w:tblBorders>
    </w:tblPr>
    <w:tcPr>
      <w:shd w:val="clear" w:color="auto" w:fill="auto"/>
    </w:tcPr>
    <w:tblStylePr w:type="firstRow">
      <w:rPr>
        <w:b/>
        <w:bCs/>
        <w:caps w:val="0"/>
        <w:smallCaps/>
      </w:rPr>
      <w:tblPr/>
      <w:tcPr>
        <w:tcBorders>
          <w:top w:val="nil"/>
          <w:left w:val="nil"/>
          <w:bottom w:val="single" w:sz="18" w:space="0" w:color="000000" w:themeColor="text1"/>
          <w:right w:val="nil"/>
          <w:insideH w:val="single" w:sz="18" w:space="0" w:color="000000" w:themeColor="text1"/>
          <w:insideV w:val="nil"/>
          <w:tl2br w:val="nil"/>
          <w:tr2bl w:val="nil"/>
        </w:tcBorders>
        <w:shd w:val="clear" w:color="auto" w:fill="auto"/>
      </w:tcPr>
    </w:tblStylePr>
    <w:tblStylePr w:type="lastRow">
      <w:rPr>
        <w:b w:val="0"/>
        <w:bCs/>
        <w:color w:val="auto"/>
      </w:rPr>
    </w:tblStylePr>
    <w:tblStylePr w:type="firstCol">
      <w:rPr>
        <w:color w:val="auto"/>
      </w:rPr>
      <w:tblPr/>
      <w:tcPr>
        <w:shd w:val="clear" w:color="auto" w:fill="FB8D88" w:themeFill="text2" w:themeFillTint="99"/>
      </w:tcPr>
    </w:tblStylePr>
    <w:tblStylePr w:type="lastCol">
      <w:rPr>
        <w:color w:val="auto"/>
      </w:rPr>
    </w:tblStylePr>
    <w:tblStylePr w:type="band1Vert">
      <w:tblPr/>
      <w:tcPr>
        <w:tcBorders>
          <w:left w:val="nil"/>
          <w:right w:val="nil"/>
          <w:insideV w:val="nil"/>
        </w:tcBorders>
        <w:shd w:val="clear" w:color="auto" w:fill="auto"/>
      </w:tcPr>
    </w:tblStylePr>
    <w:tblStylePr w:type="band2Vert">
      <w:tblPr/>
      <w:tcPr>
        <w:shd w:val="clear" w:color="auto" w:fill="FDD9D7" w:themeFill="text2" w:themeFillTint="33"/>
      </w:tcPr>
    </w:tblStylePr>
  </w:style>
  <w:style w:type="paragraph" w:styleId="EndnoteText">
    <w:name w:val="endnote text"/>
    <w:basedOn w:val="Normal"/>
    <w:link w:val="EndnoteTextChar"/>
    <w:semiHidden/>
    <w:rsid w:val="007079C8"/>
  </w:style>
  <w:style w:type="character" w:customStyle="1" w:styleId="EndnoteTextChar">
    <w:name w:val="Endnote Text Char"/>
    <w:basedOn w:val="DefaultParagraphFont"/>
    <w:link w:val="EndnoteText"/>
    <w:semiHidden/>
    <w:rsid w:val="007079C8"/>
    <w:rPr>
      <w:lang w:val="en-AU"/>
    </w:rPr>
  </w:style>
  <w:style w:type="paragraph" w:styleId="CommentText">
    <w:name w:val="annotation text"/>
    <w:basedOn w:val="Normal"/>
    <w:link w:val="CommentTextChar"/>
    <w:uiPriority w:val="39"/>
    <w:semiHidden/>
    <w:rsid w:val="007079C8"/>
  </w:style>
  <w:style w:type="character" w:customStyle="1" w:styleId="CommentTextChar">
    <w:name w:val="Comment Text Char"/>
    <w:basedOn w:val="DefaultParagraphFont"/>
    <w:link w:val="CommentText"/>
    <w:uiPriority w:val="39"/>
    <w:semiHidden/>
    <w:rsid w:val="007079C8"/>
    <w:rPr>
      <w:lang w:val="en-AU"/>
    </w:rPr>
  </w:style>
  <w:style w:type="paragraph" w:styleId="CommentSubject">
    <w:name w:val="annotation subject"/>
    <w:basedOn w:val="EndnoteText"/>
    <w:next w:val="CommentText"/>
    <w:link w:val="CommentSubjectChar"/>
    <w:semiHidden/>
    <w:rsid w:val="007079C8"/>
    <w:pPr>
      <w:pBdr>
        <w:bottom w:val="single" w:sz="6" w:space="1" w:color="FFFFFF" w:themeColor="background2"/>
      </w:pBdr>
      <w:spacing w:before="360"/>
    </w:pPr>
    <w:rPr>
      <w:b/>
    </w:rPr>
  </w:style>
  <w:style w:type="character" w:customStyle="1" w:styleId="CommentSubjectChar">
    <w:name w:val="Comment Subject Char"/>
    <w:basedOn w:val="CommentTextChar"/>
    <w:link w:val="CommentSubject"/>
    <w:semiHidden/>
    <w:rsid w:val="007079C8"/>
    <w:rPr>
      <w:b/>
      <w:lang w:val="en-AU"/>
    </w:rPr>
  </w:style>
  <w:style w:type="paragraph" w:styleId="Date">
    <w:name w:val="Date"/>
    <w:basedOn w:val="Normal"/>
    <w:next w:val="Normal"/>
    <w:link w:val="DateChar"/>
    <w:semiHidden/>
    <w:rsid w:val="007079C8"/>
  </w:style>
  <w:style w:type="character" w:customStyle="1" w:styleId="DateChar">
    <w:name w:val="Date Char"/>
    <w:basedOn w:val="DefaultParagraphFont"/>
    <w:link w:val="Date"/>
    <w:semiHidden/>
    <w:rsid w:val="007079C8"/>
    <w:rPr>
      <w:lang w:val="en-AU"/>
    </w:rPr>
  </w:style>
  <w:style w:type="paragraph" w:styleId="DocumentMap">
    <w:name w:val="Document Map"/>
    <w:basedOn w:val="Normal"/>
    <w:link w:val="DocumentMapChar"/>
    <w:semiHidden/>
    <w:rsid w:val="007079C8"/>
    <w:rPr>
      <w:rFonts w:ascii="Tahoma" w:hAnsi="Tahoma" w:cs="Tahoma"/>
      <w:sz w:val="16"/>
      <w:szCs w:val="16"/>
    </w:rPr>
  </w:style>
  <w:style w:type="character" w:customStyle="1" w:styleId="DocumentMapChar">
    <w:name w:val="Document Map Char"/>
    <w:basedOn w:val="DefaultParagraphFont"/>
    <w:link w:val="DocumentMap"/>
    <w:semiHidden/>
    <w:rsid w:val="007079C8"/>
    <w:rPr>
      <w:rFonts w:ascii="Tahoma" w:hAnsi="Tahoma" w:cs="Tahoma"/>
      <w:sz w:val="16"/>
      <w:szCs w:val="16"/>
      <w:lang w:val="en-AU"/>
    </w:rPr>
  </w:style>
  <w:style w:type="paragraph" w:styleId="E-mailSignature">
    <w:name w:val="E-mail Signature"/>
    <w:basedOn w:val="Normal"/>
    <w:link w:val="E-mailSignatureChar"/>
    <w:semiHidden/>
    <w:rsid w:val="007079C8"/>
  </w:style>
  <w:style w:type="character" w:customStyle="1" w:styleId="E-mailSignatureChar">
    <w:name w:val="E-mail Signature Char"/>
    <w:basedOn w:val="DefaultParagraphFont"/>
    <w:link w:val="E-mailSignature"/>
    <w:semiHidden/>
    <w:rsid w:val="007079C8"/>
    <w:rPr>
      <w:lang w:val="en-AU"/>
    </w:rPr>
  </w:style>
  <w:style w:type="character" w:styleId="EndnoteReference">
    <w:name w:val="endnote reference"/>
    <w:basedOn w:val="DefaultParagraphFont"/>
    <w:semiHidden/>
    <w:rsid w:val="007079C8"/>
    <w:rPr>
      <w:vertAlign w:val="superscript"/>
    </w:rPr>
  </w:style>
  <w:style w:type="paragraph" w:styleId="EnvelopeAddress">
    <w:name w:val="envelope address"/>
    <w:basedOn w:val="Normal"/>
    <w:semiHidden/>
    <w:rsid w:val="007079C8"/>
    <w:pPr>
      <w:framePr w:w="7938" w:h="1985" w:hRule="exact" w:hSpace="141" w:wrap="auto" w:hAnchor="page" w:xAlign="center" w:yAlign="bottom"/>
      <w:ind w:left="2835"/>
    </w:pPr>
    <w:rPr>
      <w:rFonts w:asciiTheme="majorHAnsi" w:eastAsiaTheme="majorEastAsia" w:hAnsiTheme="majorHAnsi" w:cstheme="majorBidi"/>
      <w:sz w:val="24"/>
    </w:rPr>
  </w:style>
  <w:style w:type="paragraph" w:styleId="EnvelopeReturn">
    <w:name w:val="envelope return"/>
    <w:basedOn w:val="Normal"/>
    <w:semiHidden/>
    <w:rsid w:val="007079C8"/>
    <w:rPr>
      <w:rFonts w:asciiTheme="majorHAnsi" w:eastAsiaTheme="majorEastAsia" w:hAnsiTheme="majorHAnsi" w:cstheme="majorBidi"/>
    </w:rPr>
  </w:style>
  <w:style w:type="character" w:styleId="FollowedHyperlink">
    <w:name w:val="FollowedHyperlink"/>
    <w:basedOn w:val="DefaultParagraphFont"/>
    <w:rsid w:val="007079C8"/>
    <w:rPr>
      <w:color w:val="0098DB" w:themeColor="followedHyperlink"/>
      <w:u w:val="single"/>
    </w:rPr>
  </w:style>
  <w:style w:type="paragraph" w:customStyle="1" w:styleId="FooterLetter">
    <w:name w:val="Footer Letter"/>
    <w:basedOn w:val="Normal"/>
    <w:uiPriority w:val="99"/>
    <w:rsid w:val="007079C8"/>
    <w:pPr>
      <w:tabs>
        <w:tab w:val="center" w:pos="4320"/>
        <w:tab w:val="right" w:pos="8280"/>
      </w:tabs>
      <w:spacing w:before="120" w:after="120"/>
      <w:contextualSpacing/>
      <w:jc w:val="right"/>
    </w:pPr>
    <w:rPr>
      <w:rFonts w:asciiTheme="majorHAnsi" w:hAnsiTheme="majorHAnsi"/>
      <w:sz w:val="10"/>
    </w:rPr>
  </w:style>
  <w:style w:type="paragraph" w:customStyle="1" w:styleId="FooterTextLeft">
    <w:name w:val="Footer Text Left"/>
    <w:basedOn w:val="Footer"/>
    <w:uiPriority w:val="99"/>
    <w:rsid w:val="007079C8"/>
    <w:pPr>
      <w:jc w:val="left"/>
    </w:pPr>
    <w:rPr>
      <w:rFonts w:eastAsiaTheme="minorHAnsi" w:cstheme="minorBidi"/>
    </w:rPr>
  </w:style>
  <w:style w:type="paragraph" w:styleId="FootnoteText">
    <w:name w:val="footnote text"/>
    <w:basedOn w:val="Normal"/>
    <w:link w:val="FootnoteTextChar"/>
    <w:rsid w:val="007079C8"/>
    <w:pPr>
      <w:tabs>
        <w:tab w:val="left" w:pos="270"/>
      </w:tabs>
      <w:ind w:left="270" w:hanging="270"/>
    </w:pPr>
    <w:rPr>
      <w:sz w:val="18"/>
    </w:rPr>
  </w:style>
  <w:style w:type="character" w:customStyle="1" w:styleId="FootnoteTextChar">
    <w:name w:val="Footnote Text Char"/>
    <w:basedOn w:val="DefaultParagraphFont"/>
    <w:link w:val="FootnoteText"/>
    <w:rsid w:val="007079C8"/>
    <w:rPr>
      <w:sz w:val="18"/>
      <w:lang w:val="en-AU"/>
    </w:rPr>
  </w:style>
  <w:style w:type="paragraph" w:customStyle="1" w:styleId="Footnotes">
    <w:name w:val="Footnotes"/>
    <w:basedOn w:val="Normal"/>
    <w:rsid w:val="007079C8"/>
    <w:pPr>
      <w:numPr>
        <w:ilvl w:val="1"/>
        <w:numId w:val="9"/>
      </w:numPr>
      <w:spacing w:before="60" w:after="60"/>
    </w:pPr>
    <w:rPr>
      <w:rFonts w:cs="Arial"/>
      <w:sz w:val="18"/>
      <w:lang w:eastAsia="en-AU"/>
    </w:rPr>
  </w:style>
  <w:style w:type="numbering" w:customStyle="1" w:styleId="HangingList">
    <w:name w:val="HangingList"/>
    <w:uiPriority w:val="99"/>
    <w:rsid w:val="007079C8"/>
    <w:pPr>
      <w:numPr>
        <w:numId w:val="3"/>
      </w:numPr>
    </w:pPr>
  </w:style>
  <w:style w:type="paragraph" w:customStyle="1" w:styleId="Heading1NoNumberNoTOC">
    <w:name w:val="Heading 1 No Number No TOC"/>
    <w:basedOn w:val="Heading1NoNumber"/>
    <w:semiHidden/>
    <w:qFormat/>
    <w:rsid w:val="007079C8"/>
    <w:pPr>
      <w:outlineLvl w:val="9"/>
    </w:pPr>
  </w:style>
  <w:style w:type="paragraph" w:styleId="HTMLAddress">
    <w:name w:val="HTML Address"/>
    <w:basedOn w:val="Normal"/>
    <w:link w:val="HTMLAddressChar"/>
    <w:semiHidden/>
    <w:rsid w:val="007079C8"/>
    <w:rPr>
      <w:i/>
      <w:iCs/>
    </w:rPr>
  </w:style>
  <w:style w:type="character" w:customStyle="1" w:styleId="HTMLAddressChar">
    <w:name w:val="HTML Address Char"/>
    <w:basedOn w:val="DefaultParagraphFont"/>
    <w:link w:val="HTMLAddress"/>
    <w:semiHidden/>
    <w:rsid w:val="007079C8"/>
    <w:rPr>
      <w:i/>
      <w:iCs/>
      <w:lang w:val="en-AU"/>
    </w:rPr>
  </w:style>
  <w:style w:type="paragraph" w:styleId="HTMLPreformatted">
    <w:name w:val="HTML Preformatted"/>
    <w:basedOn w:val="Normal"/>
    <w:link w:val="HTMLPreformattedChar"/>
    <w:semiHidden/>
    <w:rsid w:val="007079C8"/>
    <w:rPr>
      <w:rFonts w:ascii="Consolas" w:hAnsi="Consolas" w:cs="Consolas"/>
    </w:rPr>
  </w:style>
  <w:style w:type="character" w:customStyle="1" w:styleId="HTMLPreformattedChar">
    <w:name w:val="HTML Preformatted Char"/>
    <w:basedOn w:val="DefaultParagraphFont"/>
    <w:link w:val="HTMLPreformatted"/>
    <w:semiHidden/>
    <w:rsid w:val="007079C8"/>
    <w:rPr>
      <w:rFonts w:ascii="Consolas" w:hAnsi="Consolas" w:cs="Consolas"/>
      <w:lang w:val="en-AU"/>
    </w:rPr>
  </w:style>
  <w:style w:type="paragraph" w:customStyle="1" w:styleId="Image">
    <w:name w:val="Image"/>
    <w:basedOn w:val="Normal"/>
    <w:next w:val="BodyText"/>
    <w:rsid w:val="007079C8"/>
    <w:pPr>
      <w:keepNext/>
      <w:spacing w:before="240"/>
    </w:pPr>
  </w:style>
  <w:style w:type="paragraph" w:styleId="Index1">
    <w:name w:val="index 1"/>
    <w:basedOn w:val="Normal"/>
    <w:next w:val="Normal"/>
    <w:autoRedefine/>
    <w:semiHidden/>
    <w:rsid w:val="007079C8"/>
    <w:pPr>
      <w:ind w:left="200" w:hanging="200"/>
    </w:pPr>
  </w:style>
  <w:style w:type="paragraph" w:styleId="Index2">
    <w:name w:val="index 2"/>
    <w:basedOn w:val="Normal"/>
    <w:next w:val="Normal"/>
    <w:autoRedefine/>
    <w:semiHidden/>
    <w:rsid w:val="007079C8"/>
    <w:pPr>
      <w:ind w:left="400" w:hanging="200"/>
    </w:pPr>
  </w:style>
  <w:style w:type="paragraph" w:styleId="Index3">
    <w:name w:val="index 3"/>
    <w:basedOn w:val="Normal"/>
    <w:next w:val="Normal"/>
    <w:autoRedefine/>
    <w:semiHidden/>
    <w:rsid w:val="007079C8"/>
    <w:pPr>
      <w:ind w:left="600" w:hanging="200"/>
    </w:pPr>
  </w:style>
  <w:style w:type="paragraph" w:styleId="Index4">
    <w:name w:val="index 4"/>
    <w:basedOn w:val="Normal"/>
    <w:next w:val="Normal"/>
    <w:autoRedefine/>
    <w:semiHidden/>
    <w:rsid w:val="007079C8"/>
    <w:pPr>
      <w:ind w:left="800" w:hanging="200"/>
    </w:pPr>
  </w:style>
  <w:style w:type="paragraph" w:styleId="Index5">
    <w:name w:val="index 5"/>
    <w:basedOn w:val="Normal"/>
    <w:next w:val="Normal"/>
    <w:autoRedefine/>
    <w:semiHidden/>
    <w:rsid w:val="007079C8"/>
    <w:pPr>
      <w:ind w:left="1000" w:hanging="200"/>
    </w:pPr>
  </w:style>
  <w:style w:type="paragraph" w:styleId="Index6">
    <w:name w:val="index 6"/>
    <w:basedOn w:val="Normal"/>
    <w:next w:val="Normal"/>
    <w:autoRedefine/>
    <w:semiHidden/>
    <w:rsid w:val="007079C8"/>
    <w:pPr>
      <w:ind w:left="1200" w:hanging="200"/>
    </w:pPr>
  </w:style>
  <w:style w:type="paragraph" w:styleId="Index7">
    <w:name w:val="index 7"/>
    <w:basedOn w:val="Normal"/>
    <w:next w:val="Normal"/>
    <w:autoRedefine/>
    <w:semiHidden/>
    <w:rsid w:val="007079C8"/>
    <w:pPr>
      <w:ind w:left="1400" w:hanging="200"/>
    </w:pPr>
  </w:style>
  <w:style w:type="paragraph" w:styleId="Index8">
    <w:name w:val="index 8"/>
    <w:basedOn w:val="Normal"/>
    <w:next w:val="Normal"/>
    <w:autoRedefine/>
    <w:semiHidden/>
    <w:rsid w:val="007079C8"/>
    <w:pPr>
      <w:ind w:left="1600" w:hanging="200"/>
    </w:pPr>
  </w:style>
  <w:style w:type="paragraph" w:styleId="Index9">
    <w:name w:val="index 9"/>
    <w:basedOn w:val="Normal"/>
    <w:next w:val="Normal"/>
    <w:autoRedefine/>
    <w:semiHidden/>
    <w:rsid w:val="007079C8"/>
    <w:pPr>
      <w:ind w:left="1800" w:hanging="200"/>
    </w:pPr>
  </w:style>
  <w:style w:type="paragraph" w:styleId="IndexHeading">
    <w:name w:val="index heading"/>
    <w:basedOn w:val="Normal"/>
    <w:next w:val="Index1"/>
    <w:semiHidden/>
    <w:rsid w:val="007079C8"/>
    <w:rPr>
      <w:rFonts w:asciiTheme="majorHAnsi" w:eastAsiaTheme="majorEastAsia" w:hAnsiTheme="majorHAnsi" w:cstheme="majorBidi"/>
      <w:b/>
      <w:bCs/>
    </w:rPr>
  </w:style>
  <w:style w:type="paragraph" w:styleId="IntenseQuote">
    <w:name w:val="Intense Quote"/>
    <w:basedOn w:val="Normal"/>
    <w:next w:val="Normal"/>
    <w:link w:val="IntenseQuoteChar"/>
    <w:semiHidden/>
    <w:qFormat/>
    <w:rsid w:val="007079C8"/>
    <w:pPr>
      <w:pBdr>
        <w:bottom w:val="single" w:sz="4" w:space="4" w:color="F9423A" w:themeColor="accent1"/>
      </w:pBdr>
      <w:spacing w:before="200" w:after="280"/>
      <w:ind w:left="936" w:right="936"/>
    </w:pPr>
    <w:rPr>
      <w:b/>
      <w:bCs/>
      <w:i/>
      <w:iCs/>
      <w:color w:val="F9423A" w:themeColor="accent1"/>
    </w:rPr>
  </w:style>
  <w:style w:type="character" w:customStyle="1" w:styleId="IntenseQuoteChar">
    <w:name w:val="Intense Quote Char"/>
    <w:basedOn w:val="DefaultParagraphFont"/>
    <w:link w:val="IntenseQuote"/>
    <w:semiHidden/>
    <w:rsid w:val="007079C8"/>
    <w:rPr>
      <w:b/>
      <w:bCs/>
      <w:i/>
      <w:iCs/>
      <w:color w:val="F9423A" w:themeColor="accent1"/>
      <w:lang w:val="en-AU"/>
    </w:rPr>
  </w:style>
  <w:style w:type="character" w:customStyle="1" w:styleId="Italics">
    <w:name w:val="Italics"/>
    <w:rsid w:val="007079C8"/>
    <w:rPr>
      <w:i/>
      <w:lang w:eastAsia="en-US"/>
    </w:rPr>
  </w:style>
  <w:style w:type="table" w:styleId="LightGrid">
    <w:name w:val="Light Grid"/>
    <w:basedOn w:val="TableNormal"/>
    <w:uiPriority w:val="62"/>
    <w:rsid w:val="007079C8"/>
    <w:tblPr>
      <w:tblStyleRowBandSize w:val="1"/>
      <w:tblStyleColBandSize w:val="1"/>
      <w:tblBorders>
        <w:bottom w:val="single" w:sz="6" w:space="0" w:color="FFFFFF" w:themeColor="background2"/>
        <w:insideH w:val="single" w:sz="6" w:space="0" w:color="FFFFFF" w:themeColor="background2"/>
      </w:tblBorders>
    </w:tblPr>
    <w:tblStylePr w:type="firstRow">
      <w:pPr>
        <w:spacing w:before="0" w:after="0" w:line="240" w:lineRule="auto"/>
      </w:pPr>
      <w:rPr>
        <w:rFonts w:asciiTheme="majorHAnsi" w:eastAsiaTheme="majorEastAsia" w:hAnsiTheme="majorHAnsi" w:cstheme="majorBidi"/>
        <w:b/>
        <w:bCs/>
      </w:rPr>
      <w:tblPr/>
      <w:tcPr>
        <w:tcBorders>
          <w:top w:val="nil"/>
          <w:left w:val="nil"/>
          <w:bottom w:val="single" w:sz="24" w:space="0" w:color="000000" w:themeColor="text1"/>
          <w:right w:val="nil"/>
          <w:insideH w:val="nil"/>
          <w:insideV w:val="nil"/>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FFFFFF" w:themeColor="background2"/>
          <w:bottom w:val="single" w:sz="6" w:space="0" w:color="FFFFFF" w:themeColor="background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6" w:space="0" w:color="FFFFFF" w:themeColor="background2"/>
          <w:left w:val="nil"/>
          <w:bottom w:val="single" w:sz="6" w:space="0" w:color="FFFFFF" w:themeColor="background2"/>
          <w:right w:val="nil"/>
          <w:insideH w:val="single" w:sz="6" w:space="0" w:color="FFFFFF" w:themeColor="background2"/>
          <w:insideV w:val="nil"/>
          <w:tl2br w:val="nil"/>
          <w:tr2bl w:val="nil"/>
        </w:tcBorders>
      </w:tcPr>
    </w:tblStylePr>
    <w:tblStylePr w:type="band1Vert">
      <w:tblPr/>
      <w:tcPr>
        <w:shd w:val="clear" w:color="auto" w:fill="FDD9D7" w:themeFill="text2" w:themeFillTint="33"/>
      </w:tcPr>
    </w:tblStylePr>
    <w:tblStylePr w:type="band1Horz">
      <w:tblPr/>
      <w:tcPr>
        <w:tcBorders>
          <w:top w:val="single" w:sz="6" w:space="0" w:color="FFFFFF" w:themeColor="background2"/>
          <w:bottom w:val="nil"/>
          <w:insideH w:val="nil"/>
        </w:tcBorders>
      </w:tcPr>
    </w:tblStylePr>
    <w:tblStylePr w:type="band2Horz">
      <w:tblPr/>
      <w:tcPr>
        <w:tcBorders>
          <w:top w:val="single" w:sz="6" w:space="0" w:color="FFFFFF" w:themeColor="background2"/>
          <w:left w:val="nil"/>
          <w:bottom w:val="single" w:sz="6" w:space="0" w:color="FFFFFF" w:themeColor="background2"/>
          <w:right w:val="nil"/>
          <w:insideV w:val="nil"/>
        </w:tcBorders>
      </w:tcPr>
    </w:tblStylePr>
  </w:style>
  <w:style w:type="table" w:styleId="LightShading-Accent1">
    <w:name w:val="Light Shading Accent 1"/>
    <w:basedOn w:val="TableNormal"/>
    <w:uiPriority w:val="60"/>
    <w:rsid w:val="007079C8"/>
    <w:rPr>
      <w:color w:val="DE0F06" w:themeColor="accent1" w:themeShade="BF"/>
    </w:rPr>
    <w:tblPr>
      <w:tblStyleRowBandSize w:val="1"/>
      <w:tblStyleColBandSize w:val="1"/>
      <w:tblBorders>
        <w:top w:val="single" w:sz="8" w:space="0" w:color="F9423A" w:themeColor="accent1"/>
        <w:bottom w:val="single" w:sz="8" w:space="0" w:color="F9423A" w:themeColor="accent1"/>
      </w:tblBorders>
    </w:tblPr>
    <w:tblStylePr w:type="firstRow">
      <w:pPr>
        <w:spacing w:before="0" w:after="0" w:line="240" w:lineRule="auto"/>
      </w:pPr>
      <w:rPr>
        <w:b/>
        <w:bCs/>
      </w:rPr>
      <w:tblPr/>
      <w:tcPr>
        <w:tcBorders>
          <w:top w:val="single" w:sz="8" w:space="0" w:color="F9423A" w:themeColor="accent1"/>
          <w:left w:val="nil"/>
          <w:bottom w:val="single" w:sz="8" w:space="0" w:color="F9423A" w:themeColor="accent1"/>
          <w:right w:val="nil"/>
          <w:insideH w:val="nil"/>
          <w:insideV w:val="nil"/>
        </w:tcBorders>
      </w:tcPr>
    </w:tblStylePr>
    <w:tblStylePr w:type="lastRow">
      <w:pPr>
        <w:spacing w:before="0" w:after="0" w:line="240" w:lineRule="auto"/>
      </w:pPr>
      <w:rPr>
        <w:b/>
        <w:bCs/>
      </w:rPr>
      <w:tblPr/>
      <w:tcPr>
        <w:tcBorders>
          <w:top w:val="single" w:sz="8" w:space="0" w:color="F9423A" w:themeColor="accent1"/>
          <w:left w:val="nil"/>
          <w:bottom w:val="single" w:sz="8" w:space="0" w:color="F9423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CFCE" w:themeFill="accent1" w:themeFillTint="3F"/>
      </w:tcPr>
    </w:tblStylePr>
    <w:tblStylePr w:type="band1Horz">
      <w:tblPr/>
      <w:tcPr>
        <w:tcBorders>
          <w:left w:val="nil"/>
          <w:right w:val="nil"/>
          <w:insideH w:val="nil"/>
          <w:insideV w:val="nil"/>
        </w:tcBorders>
        <w:shd w:val="clear" w:color="auto" w:fill="FDCFCE" w:themeFill="accent1" w:themeFillTint="3F"/>
      </w:tcPr>
    </w:tblStylePr>
  </w:style>
  <w:style w:type="paragraph" w:styleId="List">
    <w:name w:val="List"/>
    <w:basedOn w:val="Normal"/>
    <w:semiHidden/>
    <w:rsid w:val="007079C8"/>
    <w:pPr>
      <w:ind w:left="283" w:hanging="283"/>
      <w:contextualSpacing/>
    </w:pPr>
  </w:style>
  <w:style w:type="paragraph" w:styleId="List2">
    <w:name w:val="List 2"/>
    <w:basedOn w:val="Normal"/>
    <w:semiHidden/>
    <w:rsid w:val="007079C8"/>
    <w:pPr>
      <w:ind w:left="566" w:hanging="283"/>
      <w:contextualSpacing/>
    </w:pPr>
  </w:style>
  <w:style w:type="paragraph" w:styleId="List3">
    <w:name w:val="List 3"/>
    <w:basedOn w:val="Normal"/>
    <w:semiHidden/>
    <w:rsid w:val="007079C8"/>
    <w:pPr>
      <w:ind w:left="849" w:hanging="283"/>
      <w:contextualSpacing/>
    </w:pPr>
  </w:style>
  <w:style w:type="paragraph" w:styleId="List4">
    <w:name w:val="List 4"/>
    <w:basedOn w:val="Normal"/>
    <w:semiHidden/>
    <w:rsid w:val="007079C8"/>
    <w:pPr>
      <w:ind w:left="1132" w:hanging="283"/>
      <w:contextualSpacing/>
    </w:pPr>
  </w:style>
  <w:style w:type="paragraph" w:styleId="List5">
    <w:name w:val="List 5"/>
    <w:basedOn w:val="Normal"/>
    <w:semiHidden/>
    <w:rsid w:val="007079C8"/>
    <w:pPr>
      <w:ind w:left="1415" w:hanging="283"/>
      <w:contextualSpacing/>
    </w:pPr>
  </w:style>
  <w:style w:type="paragraph" w:styleId="ListBullet2">
    <w:name w:val="List Bullet 2"/>
    <w:basedOn w:val="ListBullet"/>
    <w:rsid w:val="007079C8"/>
    <w:pPr>
      <w:numPr>
        <w:ilvl w:val="1"/>
      </w:numPr>
    </w:pPr>
  </w:style>
  <w:style w:type="paragraph" w:styleId="ListBullet3">
    <w:name w:val="List Bullet 3"/>
    <w:basedOn w:val="ListBullet2"/>
    <w:rsid w:val="007079C8"/>
    <w:pPr>
      <w:numPr>
        <w:ilvl w:val="2"/>
      </w:numPr>
    </w:pPr>
  </w:style>
  <w:style w:type="paragraph" w:styleId="ListBullet4">
    <w:name w:val="List Bullet 4"/>
    <w:basedOn w:val="Normal"/>
    <w:rsid w:val="007079C8"/>
    <w:pPr>
      <w:numPr>
        <w:ilvl w:val="3"/>
        <w:numId w:val="11"/>
      </w:numPr>
      <w:spacing w:before="120" w:after="120"/>
    </w:pPr>
    <w:rPr>
      <w:lang w:eastAsia="en-AU"/>
    </w:rPr>
  </w:style>
  <w:style w:type="paragraph" w:styleId="ListBullet5">
    <w:name w:val="List Bullet 5"/>
    <w:basedOn w:val="Normal"/>
    <w:rsid w:val="007079C8"/>
    <w:pPr>
      <w:numPr>
        <w:ilvl w:val="4"/>
        <w:numId w:val="11"/>
      </w:numPr>
      <w:contextualSpacing/>
    </w:pPr>
    <w:rPr>
      <w:lang w:eastAsia="en-AU"/>
    </w:rPr>
  </w:style>
  <w:style w:type="paragraph" w:styleId="ListContinue">
    <w:name w:val="List Continue"/>
    <w:basedOn w:val="Normal"/>
    <w:qFormat/>
    <w:rsid w:val="007079C8"/>
    <w:pPr>
      <w:spacing w:before="120" w:after="120"/>
      <w:ind w:left="357"/>
    </w:pPr>
  </w:style>
  <w:style w:type="paragraph" w:styleId="ListContinue2">
    <w:name w:val="List Continue 2"/>
    <w:basedOn w:val="Normal"/>
    <w:rsid w:val="007079C8"/>
    <w:pPr>
      <w:spacing w:before="120" w:after="120"/>
      <w:ind w:left="714"/>
    </w:pPr>
  </w:style>
  <w:style w:type="paragraph" w:styleId="ListContinue3">
    <w:name w:val="List Continue 3"/>
    <w:basedOn w:val="Normal"/>
    <w:rsid w:val="007079C8"/>
    <w:pPr>
      <w:spacing w:before="120" w:after="120"/>
      <w:ind w:left="1071"/>
    </w:pPr>
  </w:style>
  <w:style w:type="paragraph" w:styleId="ListContinue4">
    <w:name w:val="List Continue 4"/>
    <w:basedOn w:val="Normal"/>
    <w:rsid w:val="007079C8"/>
    <w:pPr>
      <w:spacing w:after="120"/>
      <w:ind w:left="1429"/>
      <w:contextualSpacing/>
    </w:pPr>
  </w:style>
  <w:style w:type="paragraph" w:styleId="ListContinue5">
    <w:name w:val="List Continue 5"/>
    <w:basedOn w:val="Normal"/>
    <w:rsid w:val="007079C8"/>
    <w:pPr>
      <w:spacing w:after="120"/>
      <w:ind w:left="1786"/>
      <w:contextualSpacing/>
    </w:pPr>
  </w:style>
  <w:style w:type="paragraph" w:styleId="ListNumber2">
    <w:name w:val="List Number 2"/>
    <w:basedOn w:val="ListNumber"/>
    <w:rsid w:val="00FE11C4"/>
  </w:style>
  <w:style w:type="paragraph" w:styleId="ListNumber3">
    <w:name w:val="List Number 3"/>
    <w:basedOn w:val="ListNumber2"/>
    <w:rsid w:val="00FE11C4"/>
  </w:style>
  <w:style w:type="paragraph" w:styleId="ListNumber4">
    <w:name w:val="List Number 4"/>
    <w:basedOn w:val="Normal"/>
    <w:rsid w:val="00FE11C4"/>
    <w:pPr>
      <w:numPr>
        <w:ilvl w:val="3"/>
        <w:numId w:val="23"/>
      </w:numPr>
      <w:spacing w:before="120" w:after="120"/>
    </w:pPr>
  </w:style>
  <w:style w:type="paragraph" w:styleId="ListNumber5">
    <w:name w:val="List Number 5"/>
    <w:basedOn w:val="Normal"/>
    <w:rsid w:val="00FE11C4"/>
    <w:pPr>
      <w:numPr>
        <w:ilvl w:val="4"/>
        <w:numId w:val="23"/>
      </w:numPr>
      <w:spacing w:before="120" w:after="120"/>
    </w:pPr>
  </w:style>
  <w:style w:type="paragraph" w:styleId="MacroText">
    <w:name w:val="macro"/>
    <w:link w:val="MacroTextChar"/>
    <w:semiHidden/>
    <w:rsid w:val="007079C8"/>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fr-CA"/>
    </w:rPr>
  </w:style>
  <w:style w:type="character" w:customStyle="1" w:styleId="MacroTextChar">
    <w:name w:val="Macro Text Char"/>
    <w:basedOn w:val="DefaultParagraphFont"/>
    <w:link w:val="MacroText"/>
    <w:semiHidden/>
    <w:rsid w:val="007079C8"/>
    <w:rPr>
      <w:rFonts w:ascii="Consolas" w:hAnsi="Consolas" w:cs="Consolas"/>
      <w:lang w:val="en-GB" w:eastAsia="fr-CA"/>
    </w:rPr>
  </w:style>
  <w:style w:type="table" w:styleId="MediumShading2">
    <w:name w:val="Medium Shading 2"/>
    <w:basedOn w:val="TableNormal"/>
    <w:uiPriority w:val="64"/>
    <w:rsid w:val="007079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7079C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7079C8"/>
    <w:rPr>
      <w:rFonts w:asciiTheme="majorHAnsi" w:eastAsiaTheme="majorEastAsia" w:hAnsiTheme="majorHAnsi" w:cstheme="majorBidi"/>
      <w:sz w:val="24"/>
      <w:shd w:val="pct20" w:color="auto" w:fill="auto"/>
      <w:lang w:val="en-AU"/>
    </w:rPr>
  </w:style>
  <w:style w:type="paragraph" w:customStyle="1" w:styleId="MinorHeadingAllCapsNon-TOC">
    <w:name w:val="Minor Heading All Caps Non-TOC"/>
    <w:basedOn w:val="BodyText"/>
    <w:next w:val="BodyText"/>
    <w:rsid w:val="007079C8"/>
    <w:pPr>
      <w:spacing w:after="40" w:line="240" w:lineRule="exact"/>
    </w:pPr>
    <w:rPr>
      <w:rFonts w:asciiTheme="majorHAnsi" w:hAnsiTheme="majorHAnsi"/>
      <w:caps/>
      <w:color w:val="F9423A" w:themeColor="text2"/>
    </w:rPr>
  </w:style>
  <w:style w:type="character" w:customStyle="1" w:styleId="MyBoldItalicsUnderline">
    <w:name w:val="MyBoldItalicsUnderline"/>
    <w:rsid w:val="007079C8"/>
    <w:rPr>
      <w:rFonts w:eastAsiaTheme="minorEastAsia"/>
      <w:b/>
      <w:i/>
      <w:strike w:val="0"/>
      <w:u w:val="single"/>
      <w:vertAlign w:val="baseline"/>
    </w:rPr>
  </w:style>
  <w:style w:type="character" w:customStyle="1" w:styleId="MyBoldUnderline">
    <w:name w:val="MyBoldUnderline"/>
    <w:rsid w:val="007079C8"/>
    <w:rPr>
      <w:rFonts w:eastAsiaTheme="minorEastAsia"/>
      <w:b/>
      <w:i/>
      <w:strike w:val="0"/>
      <w:u w:val="single"/>
      <w:vertAlign w:val="baseline"/>
    </w:rPr>
  </w:style>
  <w:style w:type="character" w:customStyle="1" w:styleId="MyItalicsUnderline">
    <w:name w:val="MyItalicsUnderline"/>
    <w:rsid w:val="007079C8"/>
    <w:rPr>
      <w:rFonts w:eastAsiaTheme="minorEastAsia"/>
      <w:b/>
      <w:i/>
      <w:strike w:val="0"/>
      <w:u w:val="single"/>
      <w:vertAlign w:val="baseline"/>
    </w:rPr>
  </w:style>
  <w:style w:type="numbering" w:customStyle="1" w:styleId="MyListNumbering">
    <w:name w:val="MyListNumbering"/>
    <w:uiPriority w:val="99"/>
    <w:rsid w:val="007079C8"/>
    <w:pPr>
      <w:numPr>
        <w:numId w:val="5"/>
      </w:numPr>
    </w:pPr>
  </w:style>
  <w:style w:type="character" w:customStyle="1" w:styleId="MyStrikethrough">
    <w:name w:val="MyStrikethrough"/>
    <w:rsid w:val="007079C8"/>
    <w:rPr>
      <w:rFonts w:eastAsiaTheme="minorEastAsia"/>
      <w:b w:val="0"/>
      <w:i w:val="0"/>
      <w:strike/>
      <w:dstrike w:val="0"/>
      <w:vertAlign w:val="baseline"/>
    </w:rPr>
  </w:style>
  <w:style w:type="character" w:customStyle="1" w:styleId="MySubscript">
    <w:name w:val="MySubscript"/>
    <w:rsid w:val="007079C8"/>
    <w:rPr>
      <w:rFonts w:eastAsiaTheme="minorEastAsia"/>
      <w:b w:val="0"/>
      <w:i w:val="0"/>
      <w:strike w:val="0"/>
      <w:vertAlign w:val="subscript"/>
    </w:rPr>
  </w:style>
  <w:style w:type="character" w:customStyle="1" w:styleId="MySubscriptItalics">
    <w:name w:val="MySubscript&amp;Italics"/>
    <w:rsid w:val="007079C8"/>
    <w:rPr>
      <w:rFonts w:eastAsiaTheme="minorEastAsia"/>
      <w:b w:val="0"/>
      <w:i/>
      <w:strike w:val="0"/>
      <w:vertAlign w:val="subscript"/>
    </w:rPr>
  </w:style>
  <w:style w:type="character" w:customStyle="1" w:styleId="MySuperscript">
    <w:name w:val="MySuperscript"/>
    <w:rsid w:val="007079C8"/>
    <w:rPr>
      <w:rFonts w:eastAsiaTheme="minorEastAsia"/>
      <w:b w:val="0"/>
      <w:i w:val="0"/>
      <w:strike w:val="0"/>
      <w:vertAlign w:val="superscript"/>
    </w:rPr>
  </w:style>
  <w:style w:type="character" w:customStyle="1" w:styleId="MySuperscriptItalics">
    <w:name w:val="MySuperscript&amp;Italics"/>
    <w:rsid w:val="007079C8"/>
    <w:rPr>
      <w:rFonts w:eastAsiaTheme="minorEastAsia"/>
      <w:b w:val="0"/>
      <w:i/>
      <w:strike w:val="0"/>
      <w:vertAlign w:val="superscript"/>
    </w:rPr>
  </w:style>
  <w:style w:type="character" w:customStyle="1" w:styleId="MyUnderline">
    <w:name w:val="MyUnderline"/>
    <w:rsid w:val="007079C8"/>
    <w:rPr>
      <w:rFonts w:eastAsiaTheme="minorEastAsia"/>
      <w:b w:val="0"/>
      <w:i w:val="0"/>
      <w:strike w:val="0"/>
      <w:u w:val="single"/>
      <w:vertAlign w:val="baseline"/>
    </w:rPr>
  </w:style>
  <w:style w:type="character" w:customStyle="1" w:styleId="MyUnderlineStrikethrough">
    <w:name w:val="MyUnderline&amp;Strikethrough"/>
    <w:rsid w:val="007079C8"/>
    <w:rPr>
      <w:rFonts w:eastAsiaTheme="minorEastAsia"/>
      <w:b w:val="0"/>
      <w:i w:val="0"/>
      <w:strike/>
      <w:dstrike w:val="0"/>
      <w:u w:val="single"/>
      <w:vertAlign w:val="baseline"/>
    </w:rPr>
  </w:style>
  <w:style w:type="paragraph" w:styleId="NoteHeading">
    <w:name w:val="Note Heading"/>
    <w:basedOn w:val="Normal"/>
    <w:next w:val="Normal"/>
    <w:link w:val="NoteHeadingChar"/>
    <w:rsid w:val="007079C8"/>
    <w:pPr>
      <w:tabs>
        <w:tab w:val="left" w:pos="990"/>
      </w:tabs>
    </w:pPr>
    <w:rPr>
      <w:i/>
      <w:color w:val="F9423A" w:themeColor="text2"/>
      <w:sz w:val="18"/>
    </w:rPr>
  </w:style>
  <w:style w:type="character" w:customStyle="1" w:styleId="NoteHeadingChar">
    <w:name w:val="Note Heading Char"/>
    <w:basedOn w:val="DefaultParagraphFont"/>
    <w:link w:val="NoteHeading"/>
    <w:rsid w:val="007079C8"/>
    <w:rPr>
      <w:i/>
      <w:color w:val="F9423A" w:themeColor="text2"/>
      <w:sz w:val="18"/>
      <w:lang w:val="en-AU"/>
    </w:rPr>
  </w:style>
  <w:style w:type="paragraph" w:styleId="PlainText">
    <w:name w:val="Plain Text"/>
    <w:basedOn w:val="Normal"/>
    <w:link w:val="PlainTextChar"/>
    <w:semiHidden/>
    <w:rsid w:val="007079C8"/>
    <w:rPr>
      <w:rFonts w:ascii="Consolas" w:hAnsi="Consolas" w:cs="Consolas"/>
      <w:sz w:val="21"/>
      <w:szCs w:val="21"/>
    </w:rPr>
  </w:style>
  <w:style w:type="character" w:customStyle="1" w:styleId="PlainTextChar">
    <w:name w:val="Plain Text Char"/>
    <w:basedOn w:val="DefaultParagraphFont"/>
    <w:link w:val="PlainText"/>
    <w:semiHidden/>
    <w:rsid w:val="007079C8"/>
    <w:rPr>
      <w:rFonts w:ascii="Consolas" w:hAnsi="Consolas" w:cs="Consolas"/>
      <w:sz w:val="21"/>
      <w:szCs w:val="21"/>
      <w:lang w:val="en-AU"/>
    </w:rPr>
  </w:style>
  <w:style w:type="paragraph" w:customStyle="1" w:styleId="PullOutBoxBodyText">
    <w:name w:val="Pull Out Box Body Text"/>
    <w:basedOn w:val="BodyText"/>
    <w:rsid w:val="007079C8"/>
    <w:rPr>
      <w:rFonts w:eastAsiaTheme="minorEastAsia" w:cstheme="minorBidi"/>
      <w:lang w:eastAsia="fr-CA"/>
    </w:rPr>
  </w:style>
  <w:style w:type="paragraph" w:customStyle="1" w:styleId="PullOutBoxHeading">
    <w:name w:val="Pull Out Box Heading"/>
    <w:basedOn w:val="BodyText"/>
    <w:next w:val="PullOutBoxBodyText"/>
    <w:rsid w:val="007079C8"/>
    <w:rPr>
      <w:rFonts w:asciiTheme="majorHAnsi" w:eastAsiaTheme="minorHAnsi" w:hAnsiTheme="majorHAnsi" w:cstheme="minorBidi"/>
      <w:caps/>
      <w:color w:val="F9423A" w:themeColor="text2"/>
      <w:szCs w:val="24"/>
      <w:lang w:eastAsia="fr-CA"/>
    </w:rPr>
  </w:style>
  <w:style w:type="table" w:customStyle="1" w:styleId="PullOutBoxTable">
    <w:name w:val="Pull Out Box Table"/>
    <w:basedOn w:val="TableNormal"/>
    <w:uiPriority w:val="99"/>
    <w:rsid w:val="007079C8"/>
    <w:rPr>
      <w:lang w:val="en-AU" w:eastAsia="en-AU"/>
    </w:rPr>
    <w:tblPr>
      <w:tblInd w:w="284" w:type="dxa"/>
      <w:tblBorders>
        <w:top w:val="single" w:sz="4" w:space="0" w:color="FFFFFF" w:themeColor="background2" w:themeTint="33"/>
        <w:left w:val="single" w:sz="4" w:space="0" w:color="FFFFFF" w:themeColor="background2" w:themeTint="33"/>
        <w:bottom w:val="single" w:sz="4" w:space="0" w:color="FFFFFF" w:themeColor="background2" w:themeTint="33"/>
        <w:right w:val="single" w:sz="4" w:space="0" w:color="FFFFFF" w:themeColor="background2" w:themeTint="33"/>
      </w:tblBorders>
      <w:tblCellMar>
        <w:top w:w="198" w:type="dxa"/>
        <w:left w:w="284" w:type="dxa"/>
        <w:bottom w:w="198" w:type="dxa"/>
        <w:right w:w="284" w:type="dxa"/>
      </w:tblCellMar>
    </w:tblPr>
    <w:tcPr>
      <w:shd w:val="clear" w:color="auto" w:fill="F2F2F2" w:themeFill="background1" w:themeFillShade="F2"/>
    </w:tcPr>
  </w:style>
  <w:style w:type="paragraph" w:styleId="Quote">
    <w:name w:val="Quote"/>
    <w:basedOn w:val="Normal"/>
    <w:next w:val="Normal"/>
    <w:link w:val="QuoteChar"/>
    <w:rsid w:val="007079C8"/>
    <w:pPr>
      <w:tabs>
        <w:tab w:val="right" w:pos="9639"/>
      </w:tabs>
      <w:spacing w:before="240" w:after="240"/>
      <w:ind w:left="454" w:right="454"/>
    </w:pPr>
    <w:rPr>
      <w:i/>
      <w:iCs/>
    </w:rPr>
  </w:style>
  <w:style w:type="character" w:customStyle="1" w:styleId="QuoteChar">
    <w:name w:val="Quote Char"/>
    <w:basedOn w:val="DefaultParagraphFont"/>
    <w:link w:val="Quote"/>
    <w:rsid w:val="007079C8"/>
    <w:rPr>
      <w:i/>
      <w:iCs/>
      <w:lang w:val="en-AU"/>
    </w:rPr>
  </w:style>
  <w:style w:type="paragraph" w:styleId="Salutation">
    <w:name w:val="Salutation"/>
    <w:basedOn w:val="Normal"/>
    <w:next w:val="Normal"/>
    <w:link w:val="SalutationChar"/>
    <w:semiHidden/>
    <w:rsid w:val="007079C8"/>
  </w:style>
  <w:style w:type="character" w:customStyle="1" w:styleId="SalutationChar">
    <w:name w:val="Salutation Char"/>
    <w:basedOn w:val="DefaultParagraphFont"/>
    <w:link w:val="Salutation"/>
    <w:semiHidden/>
    <w:rsid w:val="007079C8"/>
    <w:rPr>
      <w:lang w:val="en-AU"/>
    </w:rPr>
  </w:style>
  <w:style w:type="paragraph" w:styleId="Signature">
    <w:name w:val="Signature"/>
    <w:basedOn w:val="Normal"/>
    <w:link w:val="SignatureChar"/>
    <w:semiHidden/>
    <w:rsid w:val="007079C8"/>
    <w:pPr>
      <w:ind w:left="4252"/>
    </w:pPr>
  </w:style>
  <w:style w:type="character" w:customStyle="1" w:styleId="SignatureChar">
    <w:name w:val="Signature Char"/>
    <w:basedOn w:val="DefaultParagraphFont"/>
    <w:link w:val="Signature"/>
    <w:semiHidden/>
    <w:rsid w:val="007079C8"/>
    <w:rPr>
      <w:lang w:val="en-AU"/>
    </w:rPr>
  </w:style>
  <w:style w:type="paragraph" w:customStyle="1" w:styleId="Source">
    <w:name w:val="Source"/>
    <w:basedOn w:val="Normal"/>
    <w:next w:val="BodyText"/>
    <w:rsid w:val="007079C8"/>
    <w:pPr>
      <w:tabs>
        <w:tab w:val="left" w:pos="851"/>
      </w:tabs>
      <w:spacing w:before="40" w:after="80" w:line="180" w:lineRule="atLeast"/>
      <w:ind w:left="851" w:hanging="851"/>
    </w:pPr>
    <w:rPr>
      <w:rFonts w:cs="Arial"/>
      <w:i/>
      <w:sz w:val="18"/>
      <w:lang w:eastAsia="fr-CA"/>
    </w:rPr>
  </w:style>
  <w:style w:type="paragraph" w:customStyle="1" w:styleId="TableHeading">
    <w:name w:val="Table Heading"/>
    <w:basedOn w:val="Normal"/>
    <w:rsid w:val="007079C8"/>
    <w:pPr>
      <w:suppressAutoHyphens/>
      <w:spacing w:before="90" w:after="40"/>
    </w:pPr>
    <w:rPr>
      <w:rFonts w:asciiTheme="majorHAnsi" w:hAnsiTheme="majorHAnsi"/>
      <w:b/>
    </w:rPr>
  </w:style>
  <w:style w:type="paragraph" w:styleId="TableofAuthorities">
    <w:name w:val="table of authorities"/>
    <w:basedOn w:val="Normal"/>
    <w:next w:val="Normal"/>
    <w:semiHidden/>
    <w:rsid w:val="007079C8"/>
    <w:pPr>
      <w:ind w:left="200" w:hanging="200"/>
    </w:pPr>
  </w:style>
  <w:style w:type="paragraph" w:customStyle="1" w:styleId="TableofFiguresHeading">
    <w:name w:val="Table of Figures Heading"/>
    <w:basedOn w:val="Normal"/>
    <w:rsid w:val="007079C8"/>
    <w:pPr>
      <w:keepNext/>
      <w:pBdr>
        <w:top w:val="single" w:sz="4" w:space="9" w:color="F9423A" w:themeColor="text2"/>
      </w:pBdr>
      <w:spacing w:before="240" w:after="120" w:line="240" w:lineRule="auto"/>
    </w:pPr>
    <w:rPr>
      <w:rFonts w:asciiTheme="majorHAnsi" w:hAnsiTheme="majorHAnsi"/>
      <w:bCs/>
      <w:i/>
      <w:caps/>
      <w:color w:val="F9423A" w:themeColor="text2"/>
      <w:sz w:val="24"/>
      <w:szCs w:val="22"/>
    </w:rPr>
  </w:style>
  <w:style w:type="table" w:customStyle="1" w:styleId="TablePlaceholder">
    <w:name w:val="Table Placeholder"/>
    <w:basedOn w:val="TableNormal"/>
    <w:uiPriority w:val="99"/>
    <w:rsid w:val="007079C8"/>
    <w:rPr>
      <w:lang w:val="en-AU" w:eastAsia="en-AU"/>
    </w:rPr>
    <w:tblPr>
      <w:tblCellMar>
        <w:left w:w="45" w:type="dxa"/>
        <w:right w:w="45" w:type="dxa"/>
      </w:tblCellMar>
    </w:tblPr>
  </w:style>
  <w:style w:type="numbering" w:customStyle="1" w:styleId="TableBullets">
    <w:name w:val="TableBullets"/>
    <w:uiPriority w:val="99"/>
    <w:rsid w:val="007079C8"/>
    <w:pPr>
      <w:numPr>
        <w:numId w:val="6"/>
      </w:numPr>
    </w:pPr>
  </w:style>
  <w:style w:type="numbering" w:customStyle="1" w:styleId="TableFootnotes0">
    <w:name w:val="TableFootnotes"/>
    <w:uiPriority w:val="99"/>
    <w:rsid w:val="007079C8"/>
    <w:pPr>
      <w:numPr>
        <w:numId w:val="7"/>
      </w:numPr>
    </w:pPr>
  </w:style>
  <w:style w:type="numbering" w:customStyle="1" w:styleId="TableNumbering">
    <w:name w:val="TableNumbering"/>
    <w:uiPriority w:val="99"/>
    <w:rsid w:val="007079C8"/>
    <w:pPr>
      <w:numPr>
        <w:numId w:val="8"/>
      </w:numPr>
    </w:pPr>
  </w:style>
  <w:style w:type="paragraph" w:styleId="TOAHeading">
    <w:name w:val="toa heading"/>
    <w:basedOn w:val="Normal"/>
    <w:next w:val="Normal"/>
    <w:semiHidden/>
    <w:rsid w:val="007079C8"/>
    <w:pPr>
      <w:spacing w:before="120"/>
    </w:pPr>
    <w:rPr>
      <w:rFonts w:asciiTheme="majorHAnsi" w:eastAsiaTheme="majorEastAsia" w:hAnsiTheme="majorHAnsi" w:cstheme="majorBidi"/>
      <w:b/>
      <w:bCs/>
      <w:sz w:val="24"/>
    </w:rPr>
  </w:style>
  <w:style w:type="paragraph" w:styleId="TOC5">
    <w:name w:val="toc 5"/>
    <w:basedOn w:val="Normal"/>
    <w:next w:val="Normal"/>
    <w:uiPriority w:val="39"/>
    <w:rsid w:val="007079C8"/>
    <w:pPr>
      <w:spacing w:after="100"/>
      <w:ind w:left="800"/>
    </w:pPr>
    <w:rPr>
      <w:rFonts w:ascii="Arial" w:hAnsi="Arial"/>
      <w:szCs w:val="24"/>
      <w:lang w:eastAsia="fr-CA"/>
    </w:rPr>
  </w:style>
  <w:style w:type="paragraph" w:styleId="TOC6">
    <w:name w:val="toc 6"/>
    <w:basedOn w:val="Normal"/>
    <w:next w:val="Normal"/>
    <w:autoRedefine/>
    <w:uiPriority w:val="39"/>
    <w:rsid w:val="007079C8"/>
    <w:pPr>
      <w:spacing w:after="100"/>
      <w:ind w:left="1000"/>
    </w:pPr>
    <w:rPr>
      <w:rFonts w:ascii="Arial" w:hAnsi="Arial"/>
      <w:szCs w:val="24"/>
      <w:lang w:eastAsia="fr-CA"/>
    </w:rPr>
  </w:style>
  <w:style w:type="paragraph" w:styleId="TOC7">
    <w:name w:val="toc 7"/>
    <w:basedOn w:val="Normal"/>
    <w:next w:val="Normal"/>
    <w:uiPriority w:val="39"/>
    <w:rsid w:val="007079C8"/>
    <w:pPr>
      <w:tabs>
        <w:tab w:val="left" w:pos="2520"/>
        <w:tab w:val="left" w:pos="3150"/>
        <w:tab w:val="right" w:leader="dot" w:pos="8190"/>
      </w:tabs>
      <w:spacing w:after="100"/>
      <w:ind w:left="2070" w:right="1012" w:hanging="1890"/>
    </w:pPr>
    <w:rPr>
      <w:rFonts w:ascii="Arial" w:hAnsi="Arial" w:cs="Arial"/>
      <w:b/>
      <w:caps/>
      <w:szCs w:val="24"/>
      <w:lang w:eastAsia="fr-CA"/>
    </w:rPr>
  </w:style>
  <w:style w:type="paragraph" w:styleId="TOC8">
    <w:name w:val="toc 8"/>
    <w:basedOn w:val="Normal"/>
    <w:next w:val="Normal"/>
    <w:uiPriority w:val="39"/>
    <w:rsid w:val="007079C8"/>
    <w:pPr>
      <w:tabs>
        <w:tab w:val="left" w:pos="3150"/>
        <w:tab w:val="right" w:leader="dot" w:pos="8100"/>
      </w:tabs>
      <w:spacing w:after="100"/>
      <w:ind w:left="3150" w:right="1102" w:hanging="1080"/>
    </w:pPr>
    <w:rPr>
      <w:rFonts w:ascii="Arial" w:hAnsi="Arial" w:cs="Arial"/>
      <w:caps/>
      <w:szCs w:val="24"/>
      <w:lang w:eastAsia="fr-CA"/>
    </w:rPr>
  </w:style>
  <w:style w:type="paragraph" w:styleId="TOC9">
    <w:name w:val="toc 9"/>
    <w:basedOn w:val="Normal"/>
    <w:next w:val="Normal"/>
    <w:autoRedefine/>
    <w:uiPriority w:val="39"/>
    <w:rsid w:val="007079C8"/>
    <w:pPr>
      <w:spacing w:after="100"/>
      <w:ind w:left="1600"/>
    </w:pPr>
    <w:rPr>
      <w:rFonts w:ascii="Arial" w:hAnsi="Arial"/>
      <w:szCs w:val="24"/>
      <w:lang w:eastAsia="fr-CA"/>
    </w:rPr>
  </w:style>
  <w:style w:type="paragraph" w:styleId="TOCHeading">
    <w:name w:val="TOC Heading"/>
    <w:basedOn w:val="Normal"/>
    <w:next w:val="Normal"/>
    <w:unhideWhenUsed/>
    <w:rsid w:val="001428F9"/>
    <w:pPr>
      <w:pageBreakBefore/>
      <w:framePr w:w="2665" w:wrap="around" w:hAnchor="page" w:x="1441" w:yAlign="top"/>
      <w:spacing w:line="520" w:lineRule="exact"/>
      <w:outlineLvl w:val="3"/>
    </w:pPr>
    <w:rPr>
      <w:rFonts w:asciiTheme="majorHAnsi" w:eastAsiaTheme="majorEastAsia" w:hAnsiTheme="majorHAnsi" w:cs="Arial"/>
      <w:b/>
      <w:bCs/>
      <w:caps/>
      <w:color w:val="F9423A" w:themeColor="text2"/>
      <w:sz w:val="48"/>
      <w:szCs w:val="64"/>
    </w:rPr>
  </w:style>
  <w:style w:type="paragraph" w:customStyle="1" w:styleId="TOFHeading">
    <w:name w:val="TOF Heading"/>
    <w:basedOn w:val="Heading9"/>
    <w:rsid w:val="00A55FF4"/>
    <w:pPr>
      <w:numPr>
        <w:ilvl w:val="0"/>
        <w:numId w:val="0"/>
      </w:numPr>
      <w:pBdr>
        <w:top w:val="none" w:sz="0" w:space="0" w:color="auto"/>
      </w:pBdr>
      <w:tabs>
        <w:tab w:val="clear" w:pos="1559"/>
        <w:tab w:val="clear" w:pos="1843"/>
        <w:tab w:val="clear" w:pos="2126"/>
        <w:tab w:val="clear" w:pos="2410"/>
        <w:tab w:val="clear" w:pos="9639"/>
      </w:tabs>
      <w:spacing w:before="240" w:after="60"/>
      <w:jc w:val="left"/>
      <w:outlineLvl w:val="3"/>
    </w:pPr>
    <w:rPr>
      <w:rFonts w:cs="Times New Roman"/>
      <w:sz w:val="24"/>
      <w:szCs w:val="40"/>
      <w:lang w:eastAsia="fr-CA"/>
    </w:rPr>
  </w:style>
  <w:style w:type="paragraph" w:customStyle="1" w:styleId="TableBullet4">
    <w:name w:val="Table Bullet 4"/>
    <w:basedOn w:val="TableText"/>
    <w:rsid w:val="007079C8"/>
    <w:pPr>
      <w:numPr>
        <w:ilvl w:val="3"/>
        <w:numId w:val="12"/>
      </w:numPr>
    </w:pPr>
    <w:rPr>
      <w:lang w:eastAsia="en-AU"/>
    </w:rPr>
  </w:style>
  <w:style w:type="paragraph" w:customStyle="1" w:styleId="TableBullet5">
    <w:name w:val="Table Bullet 5"/>
    <w:basedOn w:val="TableText"/>
    <w:rsid w:val="007079C8"/>
    <w:pPr>
      <w:numPr>
        <w:ilvl w:val="4"/>
        <w:numId w:val="12"/>
      </w:numPr>
    </w:pPr>
    <w:rPr>
      <w:lang w:eastAsia="en-AU"/>
    </w:rPr>
  </w:style>
  <w:style w:type="paragraph" w:customStyle="1" w:styleId="TableListNumber4">
    <w:name w:val="Table List Number 4"/>
    <w:basedOn w:val="TableListNumber3"/>
    <w:qFormat/>
    <w:rsid w:val="007079C8"/>
    <w:pPr>
      <w:numPr>
        <w:ilvl w:val="3"/>
      </w:numPr>
    </w:pPr>
  </w:style>
  <w:style w:type="paragraph" w:customStyle="1" w:styleId="TableListNumber5">
    <w:name w:val="Table List Number 5"/>
    <w:basedOn w:val="TableListNumber4"/>
    <w:qFormat/>
    <w:rsid w:val="007079C8"/>
    <w:pPr>
      <w:numPr>
        <w:ilvl w:val="4"/>
      </w:numPr>
    </w:pPr>
  </w:style>
  <w:style w:type="paragraph" w:customStyle="1" w:styleId="TableTextBold">
    <w:name w:val="Table Text Bold"/>
    <w:basedOn w:val="TableText"/>
    <w:rsid w:val="007079C8"/>
    <w:rPr>
      <w:b/>
    </w:rPr>
  </w:style>
  <w:style w:type="paragraph" w:customStyle="1" w:styleId="xOurRef">
    <w:name w:val="xOurRef"/>
    <w:basedOn w:val="Normal"/>
    <w:rsid w:val="007079C8"/>
    <w:pPr>
      <w:tabs>
        <w:tab w:val="left" w:pos="1134"/>
        <w:tab w:val="right" w:pos="9356"/>
      </w:tabs>
      <w:spacing w:before="140" w:line="240" w:lineRule="exact"/>
    </w:pPr>
  </w:style>
  <w:style w:type="paragraph" w:customStyle="1" w:styleId="xClassification">
    <w:name w:val="xClassification"/>
    <w:basedOn w:val="xOurRef"/>
    <w:rsid w:val="007079C8"/>
    <w:pPr>
      <w:spacing w:before="300"/>
    </w:pPr>
  </w:style>
  <w:style w:type="paragraph" w:customStyle="1" w:styleId="xRecipientAddress">
    <w:name w:val="xRecipientAddress"/>
    <w:basedOn w:val="Normal"/>
    <w:rsid w:val="007079C8"/>
    <w:pPr>
      <w:spacing w:before="480" w:after="480" w:line="240" w:lineRule="exact"/>
      <w:contextualSpacing/>
    </w:pPr>
    <w:rPr>
      <w:rFonts w:eastAsiaTheme="minorHAnsi" w:cstheme="minorBidi"/>
      <w:lang w:eastAsia="fr-CA"/>
    </w:rPr>
  </w:style>
  <w:style w:type="paragraph" w:customStyle="1" w:styleId="xSalutation">
    <w:name w:val="xSalutation"/>
    <w:basedOn w:val="Normal"/>
    <w:next w:val="Normal"/>
    <w:rsid w:val="007079C8"/>
    <w:pPr>
      <w:tabs>
        <w:tab w:val="left" w:pos="397"/>
        <w:tab w:val="right" w:pos="9356"/>
      </w:tabs>
      <w:spacing w:before="480" w:after="120"/>
      <w:ind w:left="397" w:hanging="397"/>
      <w:contextualSpacing/>
    </w:pPr>
  </w:style>
  <w:style w:type="paragraph" w:customStyle="1" w:styleId="xSubject">
    <w:name w:val="xSubject"/>
    <w:basedOn w:val="Normal"/>
    <w:rsid w:val="007079C8"/>
    <w:pPr>
      <w:tabs>
        <w:tab w:val="right" w:pos="9356"/>
      </w:tabs>
      <w:spacing w:before="120"/>
      <w:contextualSpacing/>
    </w:pPr>
    <w:rPr>
      <w:b/>
      <w:szCs w:val="36"/>
    </w:rPr>
  </w:style>
  <w:style w:type="paragraph" w:customStyle="1" w:styleId="CC1">
    <w:name w:val="CC1"/>
    <w:basedOn w:val="Normal"/>
    <w:next w:val="Normal"/>
    <w:semiHidden/>
    <w:rsid w:val="007079C8"/>
    <w:pPr>
      <w:tabs>
        <w:tab w:val="left" w:pos="510"/>
        <w:tab w:val="right" w:pos="9639"/>
      </w:tabs>
      <w:spacing w:line="210" w:lineRule="atLeast"/>
      <w:ind w:left="510" w:hanging="510"/>
    </w:pPr>
    <w:rPr>
      <w:sz w:val="18"/>
    </w:rPr>
  </w:style>
  <w:style w:type="character" w:styleId="FootnoteReference">
    <w:name w:val="footnote reference"/>
    <w:basedOn w:val="DefaultParagraphFont"/>
    <w:semiHidden/>
    <w:unhideWhenUsed/>
    <w:rsid w:val="007079C8"/>
    <w:rPr>
      <w:vertAlign w:val="superscript"/>
    </w:rPr>
  </w:style>
  <w:style w:type="paragraph" w:customStyle="1" w:styleId="Glossary">
    <w:name w:val="Glossary"/>
    <w:basedOn w:val="Normal"/>
    <w:qFormat/>
    <w:rsid w:val="007079C8"/>
    <w:pPr>
      <w:spacing w:before="80" w:after="80"/>
    </w:pPr>
    <w:rPr>
      <w:lang w:eastAsia="fr-CA"/>
    </w:rPr>
  </w:style>
  <w:style w:type="paragraph" w:customStyle="1" w:styleId="Notes">
    <w:name w:val="Notes"/>
    <w:basedOn w:val="BodyText"/>
    <w:qFormat/>
    <w:rsid w:val="007079C8"/>
    <w:pPr>
      <w:spacing w:before="60" w:after="60"/>
    </w:pPr>
    <w:rPr>
      <w:rFonts w:ascii="Times New Roman" w:hAnsi="Times New Roman"/>
      <w:sz w:val="18"/>
      <w:lang w:eastAsia="en-AU"/>
    </w:rPr>
  </w:style>
  <w:style w:type="paragraph" w:customStyle="1" w:styleId="AppendixHeading2NoNumber">
    <w:name w:val="Appendix Heading 2 No Number"/>
    <w:basedOn w:val="BodyText"/>
    <w:next w:val="BodyText"/>
    <w:uiPriority w:val="4"/>
    <w:rsid w:val="007079C8"/>
    <w:pPr>
      <w:keepNext/>
      <w:keepLines/>
      <w:pBdr>
        <w:top w:val="single" w:sz="4" w:space="9" w:color="F9423A" w:themeColor="accent1"/>
      </w:pBdr>
    </w:pPr>
    <w:rPr>
      <w:rFonts w:asciiTheme="majorHAnsi" w:hAnsiTheme="majorHAnsi"/>
      <w:b/>
      <w:caps/>
      <w:color w:val="F9423A" w:themeColor="text2"/>
      <w:sz w:val="48"/>
    </w:rPr>
  </w:style>
  <w:style w:type="paragraph" w:customStyle="1" w:styleId="AppendixHeading3NoNumber">
    <w:name w:val="Appendix Heading 3 No Number"/>
    <w:basedOn w:val="BodyText"/>
    <w:next w:val="BodyText"/>
    <w:uiPriority w:val="4"/>
    <w:rsid w:val="007079C8"/>
    <w:pPr>
      <w:keepNext/>
      <w:keepLines/>
      <w:spacing w:before="200"/>
    </w:pPr>
    <w:rPr>
      <w:rFonts w:asciiTheme="majorHAnsi" w:hAnsiTheme="majorHAnsi"/>
      <w:caps/>
      <w:color w:val="F9423A" w:themeColor="text2"/>
      <w:sz w:val="32"/>
    </w:rPr>
  </w:style>
  <w:style w:type="paragraph" w:customStyle="1" w:styleId="AppendixHeading4NoNumber">
    <w:name w:val="Appendix Heading 4 No Number"/>
    <w:basedOn w:val="BodyText"/>
    <w:next w:val="BodyText"/>
    <w:uiPriority w:val="4"/>
    <w:rsid w:val="007079C8"/>
    <w:pPr>
      <w:keepNext/>
      <w:keepLines/>
      <w:spacing w:before="200"/>
    </w:pPr>
    <w:rPr>
      <w:rFonts w:asciiTheme="majorHAnsi" w:hAnsiTheme="majorHAnsi"/>
      <w:i/>
      <w:caps/>
      <w:color w:val="F9423A" w:themeColor="text2"/>
      <w:sz w:val="24"/>
    </w:rPr>
  </w:style>
  <w:style w:type="paragraph" w:customStyle="1" w:styleId="MinorSubheadingAllCapsNon-TOC">
    <w:name w:val="Minor Subheading All Caps Non-TOC"/>
    <w:basedOn w:val="MinorHeadingAllCapsNon-TOC"/>
    <w:rsid w:val="007079C8"/>
    <w:pPr>
      <w:spacing w:line="200" w:lineRule="exact"/>
    </w:pPr>
    <w:rPr>
      <w:sz w:val="18"/>
      <w:lang w:eastAsia="en-AU"/>
    </w:rPr>
  </w:style>
  <w:style w:type="character" w:styleId="SubtleEmphasis">
    <w:name w:val="Subtle Emphasis"/>
    <w:basedOn w:val="DefaultParagraphFont"/>
    <w:rsid w:val="007079C8"/>
    <w:rPr>
      <w:rFonts w:asciiTheme="majorHAnsi" w:hAnsiTheme="majorHAnsi"/>
      <w:i/>
      <w:iCs/>
      <w:caps/>
      <w:smallCaps w:val="0"/>
      <w:color w:val="F9423A" w:themeColor="text2"/>
    </w:rPr>
  </w:style>
  <w:style w:type="paragraph" w:customStyle="1" w:styleId="MinorSubheadingNon-TOC">
    <w:name w:val="Minor Subheading Non-TOC"/>
    <w:basedOn w:val="MinorSubheadingAllCapsNon-TOC"/>
    <w:rsid w:val="007079C8"/>
    <w:rPr>
      <w:caps w:val="0"/>
    </w:rPr>
  </w:style>
  <w:style w:type="character" w:styleId="IntenseEmphasis">
    <w:name w:val="Intense Emphasis"/>
    <w:basedOn w:val="DefaultParagraphFont"/>
    <w:rsid w:val="007079C8"/>
    <w:rPr>
      <w:rFonts w:asciiTheme="majorHAnsi" w:hAnsiTheme="majorHAnsi"/>
      <w:b/>
      <w:i w:val="0"/>
      <w:iCs/>
      <w:color w:val="F9423A" w:themeColor="text2"/>
    </w:rPr>
  </w:style>
  <w:style w:type="character" w:styleId="Strong">
    <w:name w:val="Strong"/>
    <w:basedOn w:val="DefaultParagraphFont"/>
    <w:uiPriority w:val="22"/>
    <w:qFormat/>
    <w:rsid w:val="007079C8"/>
    <w:rPr>
      <w:b/>
      <w:bCs/>
    </w:rPr>
  </w:style>
  <w:style w:type="character" w:customStyle="1" w:styleId="SoftEmphasis">
    <w:name w:val="Soft Emphasis"/>
    <w:qFormat/>
    <w:rsid w:val="007079C8"/>
    <w:rPr>
      <w:rFonts w:asciiTheme="majorHAnsi" w:hAnsiTheme="majorHAnsi"/>
      <w:i/>
      <w:caps/>
      <w:smallCaps w:val="0"/>
      <w:color w:val="F9423A" w:themeColor="text2"/>
      <w:lang w:eastAsia="en-AU"/>
    </w:rPr>
  </w:style>
  <w:style w:type="paragraph" w:customStyle="1" w:styleId="TableHeadingAllCaps">
    <w:name w:val="Table Heading All Caps"/>
    <w:basedOn w:val="TableHeading"/>
    <w:qFormat/>
    <w:rsid w:val="007079C8"/>
    <w:pPr>
      <w:spacing w:line="264" w:lineRule="auto"/>
    </w:pPr>
    <w:rPr>
      <w:caps/>
      <w:lang w:eastAsia="en-AU"/>
    </w:rPr>
  </w:style>
  <w:style w:type="paragraph" w:customStyle="1" w:styleId="TOCContinued">
    <w:name w:val="TOC Continued"/>
    <w:basedOn w:val="BodyText"/>
    <w:semiHidden/>
    <w:qFormat/>
    <w:rsid w:val="007079C8"/>
    <w:pPr>
      <w:pageBreakBefore/>
    </w:pPr>
    <w:rPr>
      <w:rFonts w:asciiTheme="majorHAnsi" w:hAnsiTheme="majorHAnsi"/>
      <w:color w:val="F9423A" w:themeColor="text2"/>
      <w:sz w:val="28"/>
      <w:szCs w:val="28"/>
    </w:rPr>
  </w:style>
  <w:style w:type="paragraph" w:customStyle="1" w:styleId="StyleInsideCoverHeadingBefore24pt">
    <w:name w:val="Style Inside Cover Heading + Before:  24 pt"/>
    <w:basedOn w:val="InsideCoverHeading"/>
    <w:rsid w:val="007079C8"/>
    <w:pPr>
      <w:spacing w:before="480"/>
    </w:pPr>
  </w:style>
  <w:style w:type="table" w:customStyle="1" w:styleId="Table3">
    <w:name w:val="Table 3"/>
    <w:basedOn w:val="TableNormal"/>
    <w:uiPriority w:val="99"/>
    <w:rsid w:val="007079C8"/>
    <w:pPr>
      <w:spacing w:before="90" w:after="40"/>
    </w:pPr>
    <w:rPr>
      <w:lang w:val="en-AU" w:eastAsia="en-AU"/>
    </w:rPr>
    <w:tblPr>
      <w:tblStyleColBandSize w:val="1"/>
      <w:tblBorders>
        <w:top w:val="single" w:sz="2" w:space="0" w:color="F9423A" w:themeColor="text2"/>
        <w:left w:val="single" w:sz="2" w:space="0" w:color="F9423A" w:themeColor="text2"/>
        <w:bottom w:val="single" w:sz="2" w:space="0" w:color="F9423A" w:themeColor="text2"/>
        <w:right w:val="single" w:sz="2" w:space="0" w:color="F9423A" w:themeColor="text2"/>
        <w:insideH w:val="single" w:sz="2" w:space="0" w:color="F9423A" w:themeColor="text2"/>
        <w:insideV w:val="single" w:sz="2" w:space="0" w:color="F9423A" w:themeColor="text2"/>
      </w:tblBorders>
      <w:tblCellMar>
        <w:left w:w="45" w:type="dxa"/>
        <w:right w:w="45" w:type="dxa"/>
      </w:tblCellMar>
    </w:tblPr>
    <w:tblStylePr w:type="firstRow">
      <w:rPr>
        <w:rFonts w:asciiTheme="majorHAnsi" w:hAnsiTheme="majorHAnsi"/>
        <w:caps/>
        <w:smallCaps w:val="0"/>
      </w:rPr>
      <w:tblPr/>
      <w:tcPr>
        <w:tcBorders>
          <w:top w:val="single" w:sz="2" w:space="0" w:color="333E48" w:themeColor="accent4"/>
          <w:left w:val="single" w:sz="2" w:space="0" w:color="333E48" w:themeColor="accent4"/>
          <w:bottom w:val="single" w:sz="2" w:space="0" w:color="333E48" w:themeColor="accent4"/>
          <w:right w:val="single" w:sz="2" w:space="0" w:color="333E48" w:themeColor="accent4"/>
          <w:insideH w:val="single" w:sz="2" w:space="0" w:color="333E48" w:themeColor="accent4"/>
          <w:insideV w:val="single" w:sz="2" w:space="0" w:color="333E48" w:themeColor="accent4"/>
          <w:tl2br w:val="nil"/>
          <w:tr2bl w:val="nil"/>
        </w:tcBorders>
        <w:shd w:val="clear" w:color="auto" w:fill="D1D8DE" w:themeFill="accent4" w:themeFillTint="33"/>
      </w:tcPr>
    </w:tblStylePr>
    <w:tblStylePr w:type="firstCol">
      <w:tblPr/>
      <w:tcPr>
        <w:shd w:val="clear" w:color="auto" w:fill="B7D1E3" w:themeFill="accent2" w:themeFillShade="E6"/>
      </w:tcPr>
    </w:tblStylePr>
    <w:tblStylePr w:type="band2Vert">
      <w:tblPr/>
      <w:tcPr>
        <w:shd w:val="clear" w:color="auto" w:fill="E4E8EC" w:themeFill="accent3" w:themeFillTint="1A"/>
      </w:tcPr>
    </w:tblStylePr>
  </w:style>
  <w:style w:type="paragraph" w:customStyle="1" w:styleId="REFWSPRed">
    <w:name w:val="REF WSP Red"/>
    <w:basedOn w:val="RefWSP"/>
    <w:rsid w:val="007079C8"/>
    <w:pPr>
      <w:framePr w:wrap="around" w:vAnchor="text" w:hAnchor="text" w:x="721" w:y="143"/>
      <w:spacing w:line="240" w:lineRule="auto"/>
    </w:pPr>
    <w:rPr>
      <w:color w:val="F9423A" w:themeColor="accent1"/>
    </w:rPr>
  </w:style>
  <w:style w:type="numbering" w:styleId="111111">
    <w:name w:val="Outline List 2"/>
    <w:basedOn w:val="NoList"/>
    <w:uiPriority w:val="99"/>
    <w:semiHidden/>
    <w:unhideWhenUsed/>
    <w:rsid w:val="007079C8"/>
  </w:style>
  <w:style w:type="numbering" w:styleId="1ai">
    <w:name w:val="Outline List 1"/>
    <w:basedOn w:val="NoList"/>
    <w:uiPriority w:val="99"/>
    <w:semiHidden/>
    <w:unhideWhenUsed/>
    <w:rsid w:val="007079C8"/>
    <w:pPr>
      <w:numPr>
        <w:numId w:val="14"/>
      </w:numPr>
    </w:pPr>
  </w:style>
  <w:style w:type="numbering" w:styleId="ArticleSection">
    <w:name w:val="Outline List 3"/>
    <w:basedOn w:val="NoList"/>
    <w:uiPriority w:val="99"/>
    <w:semiHidden/>
    <w:unhideWhenUsed/>
    <w:rsid w:val="007079C8"/>
    <w:pPr>
      <w:numPr>
        <w:numId w:val="15"/>
      </w:numPr>
    </w:pPr>
  </w:style>
  <w:style w:type="character" w:styleId="BookTitle">
    <w:name w:val="Book Title"/>
    <w:basedOn w:val="DefaultParagraphFont"/>
    <w:rsid w:val="007079C8"/>
    <w:rPr>
      <w:b/>
      <w:bCs/>
      <w:i/>
      <w:iCs/>
      <w:spacing w:val="5"/>
    </w:rPr>
  </w:style>
  <w:style w:type="table" w:styleId="ColorfulGrid-Accent1">
    <w:name w:val="Colorful Grid Accent 1"/>
    <w:basedOn w:val="TableNormal"/>
    <w:uiPriority w:val="73"/>
    <w:semiHidden/>
    <w:unhideWhenUsed/>
    <w:rsid w:val="007079C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D9D7" w:themeFill="accent1" w:themeFillTint="33"/>
    </w:tcPr>
    <w:tblStylePr w:type="firstRow">
      <w:rPr>
        <w:b/>
        <w:bCs/>
      </w:rPr>
      <w:tblPr/>
      <w:tcPr>
        <w:shd w:val="clear" w:color="auto" w:fill="FCB3B0" w:themeFill="accent1" w:themeFillTint="66"/>
      </w:tcPr>
    </w:tblStylePr>
    <w:tblStylePr w:type="lastRow">
      <w:rPr>
        <w:b/>
        <w:bCs/>
        <w:color w:val="000000" w:themeColor="text1"/>
      </w:rPr>
      <w:tblPr/>
      <w:tcPr>
        <w:shd w:val="clear" w:color="auto" w:fill="FCB3B0" w:themeFill="accent1" w:themeFillTint="66"/>
      </w:tcPr>
    </w:tblStylePr>
    <w:tblStylePr w:type="firstCol">
      <w:rPr>
        <w:color w:val="FFFFFF" w:themeColor="background1"/>
      </w:rPr>
      <w:tblPr/>
      <w:tcPr>
        <w:shd w:val="clear" w:color="auto" w:fill="DE0F06" w:themeFill="accent1" w:themeFillShade="BF"/>
      </w:tcPr>
    </w:tblStylePr>
    <w:tblStylePr w:type="lastCol">
      <w:rPr>
        <w:color w:val="FFFFFF" w:themeColor="background1"/>
      </w:rPr>
      <w:tblPr/>
      <w:tcPr>
        <w:shd w:val="clear" w:color="auto" w:fill="DE0F06" w:themeFill="accent1" w:themeFillShade="BF"/>
      </w:tcPr>
    </w:tblStylePr>
    <w:tblStylePr w:type="band1Vert">
      <w:tblPr/>
      <w:tcPr>
        <w:shd w:val="clear" w:color="auto" w:fill="FCA09C" w:themeFill="accent1" w:themeFillTint="7F"/>
      </w:tcPr>
    </w:tblStylePr>
    <w:tblStylePr w:type="band1Horz">
      <w:tblPr/>
      <w:tcPr>
        <w:shd w:val="clear" w:color="auto" w:fill="FCA09C" w:themeFill="accent1" w:themeFillTint="7F"/>
      </w:tcPr>
    </w:tblStylePr>
  </w:style>
  <w:style w:type="table" w:styleId="ColorfulGrid-Accent2">
    <w:name w:val="Colorful Grid Accent 2"/>
    <w:basedOn w:val="TableNormal"/>
    <w:uiPriority w:val="73"/>
    <w:semiHidden/>
    <w:unhideWhenUsed/>
    <w:rsid w:val="007079C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7F9FC" w:themeFill="accent2" w:themeFillTint="33"/>
    </w:tcPr>
    <w:tblStylePr w:type="firstRow">
      <w:rPr>
        <w:b/>
        <w:bCs/>
      </w:rPr>
      <w:tblPr/>
      <w:tcPr>
        <w:shd w:val="clear" w:color="auto" w:fill="EFF4F9" w:themeFill="accent2" w:themeFillTint="66"/>
      </w:tcPr>
    </w:tblStylePr>
    <w:tblStylePr w:type="lastRow">
      <w:rPr>
        <w:b/>
        <w:bCs/>
        <w:color w:val="000000" w:themeColor="text1"/>
      </w:rPr>
      <w:tblPr/>
      <w:tcPr>
        <w:shd w:val="clear" w:color="auto" w:fill="EFF4F9" w:themeFill="accent2" w:themeFillTint="66"/>
      </w:tcPr>
    </w:tblStylePr>
    <w:tblStylePr w:type="firstCol">
      <w:rPr>
        <w:color w:val="FFFFFF" w:themeColor="background1"/>
      </w:rPr>
      <w:tblPr/>
      <w:tcPr>
        <w:shd w:val="clear" w:color="auto" w:fill="85B0D0" w:themeFill="accent2" w:themeFillShade="BF"/>
      </w:tcPr>
    </w:tblStylePr>
    <w:tblStylePr w:type="lastCol">
      <w:rPr>
        <w:color w:val="FFFFFF" w:themeColor="background1"/>
      </w:rPr>
      <w:tblPr/>
      <w:tcPr>
        <w:shd w:val="clear" w:color="auto" w:fill="85B0D0" w:themeFill="accent2" w:themeFillShade="BF"/>
      </w:tcPr>
    </w:tblStylePr>
    <w:tblStylePr w:type="band1Vert">
      <w:tblPr/>
      <w:tcPr>
        <w:shd w:val="clear" w:color="auto" w:fill="EBF2F7" w:themeFill="accent2" w:themeFillTint="7F"/>
      </w:tcPr>
    </w:tblStylePr>
    <w:tblStylePr w:type="band1Horz">
      <w:tblPr/>
      <w:tcPr>
        <w:shd w:val="clear" w:color="auto" w:fill="EBF2F7" w:themeFill="accent2" w:themeFillTint="7F"/>
      </w:tcPr>
    </w:tblStylePr>
  </w:style>
  <w:style w:type="table" w:styleId="ColorfulGrid-Accent3">
    <w:name w:val="Colorful Grid Accent 3"/>
    <w:basedOn w:val="TableNormal"/>
    <w:uiPriority w:val="73"/>
    <w:semiHidden/>
    <w:unhideWhenUsed/>
    <w:rsid w:val="007079C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BD3DB" w:themeFill="accent3" w:themeFillTint="33"/>
    </w:tcPr>
    <w:tblStylePr w:type="firstRow">
      <w:rPr>
        <w:b/>
        <w:bCs/>
      </w:rPr>
      <w:tblPr/>
      <w:tcPr>
        <w:shd w:val="clear" w:color="auto" w:fill="97A8B7" w:themeFill="accent3" w:themeFillTint="66"/>
      </w:tcPr>
    </w:tblStylePr>
    <w:tblStylePr w:type="lastRow">
      <w:rPr>
        <w:b/>
        <w:bCs/>
        <w:color w:val="000000" w:themeColor="text1"/>
      </w:rPr>
      <w:tblPr/>
      <w:tcPr>
        <w:shd w:val="clear" w:color="auto" w:fill="97A8B7" w:themeFill="accent3" w:themeFillTint="66"/>
      </w:tcPr>
    </w:tblStylePr>
    <w:tblStylePr w:type="firstCol">
      <w:rPr>
        <w:color w:val="FFFFFF" w:themeColor="background1"/>
      </w:rPr>
      <w:tblPr/>
      <w:tcPr>
        <w:shd w:val="clear" w:color="auto" w:fill="161B20" w:themeFill="accent3" w:themeFillShade="BF"/>
      </w:tcPr>
    </w:tblStylePr>
    <w:tblStylePr w:type="lastCol">
      <w:rPr>
        <w:color w:val="FFFFFF" w:themeColor="background1"/>
      </w:rPr>
      <w:tblPr/>
      <w:tcPr>
        <w:shd w:val="clear" w:color="auto" w:fill="161B20" w:themeFill="accent3" w:themeFillShade="BF"/>
      </w:tcPr>
    </w:tblStylePr>
    <w:tblStylePr w:type="band1Vert">
      <w:tblPr/>
      <w:tcPr>
        <w:shd w:val="clear" w:color="auto" w:fill="7E93A5" w:themeFill="accent3" w:themeFillTint="7F"/>
      </w:tcPr>
    </w:tblStylePr>
    <w:tblStylePr w:type="band1Horz">
      <w:tblPr/>
      <w:tcPr>
        <w:shd w:val="clear" w:color="auto" w:fill="7E93A5" w:themeFill="accent3" w:themeFillTint="7F"/>
      </w:tcPr>
    </w:tblStylePr>
  </w:style>
  <w:style w:type="table" w:styleId="ColorfulGrid-Accent4">
    <w:name w:val="Colorful Grid Accent 4"/>
    <w:basedOn w:val="TableNormal"/>
    <w:uiPriority w:val="73"/>
    <w:semiHidden/>
    <w:unhideWhenUsed/>
    <w:rsid w:val="007079C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1D8DE" w:themeFill="accent4" w:themeFillTint="33"/>
    </w:tcPr>
    <w:tblStylePr w:type="firstRow">
      <w:rPr>
        <w:b/>
        <w:bCs/>
      </w:rPr>
      <w:tblPr/>
      <w:tcPr>
        <w:shd w:val="clear" w:color="auto" w:fill="A4B2BE" w:themeFill="accent4" w:themeFillTint="66"/>
      </w:tcPr>
    </w:tblStylePr>
    <w:tblStylePr w:type="lastRow">
      <w:rPr>
        <w:b/>
        <w:bCs/>
        <w:color w:val="000000" w:themeColor="text1"/>
      </w:rPr>
      <w:tblPr/>
      <w:tcPr>
        <w:shd w:val="clear" w:color="auto" w:fill="A4B2BE" w:themeFill="accent4" w:themeFillTint="66"/>
      </w:tcPr>
    </w:tblStylePr>
    <w:tblStylePr w:type="firstCol">
      <w:rPr>
        <w:color w:val="FFFFFF" w:themeColor="background1"/>
      </w:rPr>
      <w:tblPr/>
      <w:tcPr>
        <w:shd w:val="clear" w:color="auto" w:fill="262E35" w:themeFill="accent4" w:themeFillShade="BF"/>
      </w:tcPr>
    </w:tblStylePr>
    <w:tblStylePr w:type="lastCol">
      <w:rPr>
        <w:color w:val="FFFFFF" w:themeColor="background1"/>
      </w:rPr>
      <w:tblPr/>
      <w:tcPr>
        <w:shd w:val="clear" w:color="auto" w:fill="262E35" w:themeFill="accent4" w:themeFillShade="BF"/>
      </w:tcPr>
    </w:tblStylePr>
    <w:tblStylePr w:type="band1Vert">
      <w:tblPr/>
      <w:tcPr>
        <w:shd w:val="clear" w:color="auto" w:fill="8E9FAF" w:themeFill="accent4" w:themeFillTint="7F"/>
      </w:tcPr>
    </w:tblStylePr>
    <w:tblStylePr w:type="band1Horz">
      <w:tblPr/>
      <w:tcPr>
        <w:shd w:val="clear" w:color="auto" w:fill="8E9FAF" w:themeFill="accent4" w:themeFillTint="7F"/>
      </w:tcPr>
    </w:tblStylePr>
  </w:style>
  <w:style w:type="table" w:styleId="ColorfulGrid-Accent5">
    <w:name w:val="Colorful Grid Accent 5"/>
    <w:basedOn w:val="TableNormal"/>
    <w:uiPriority w:val="73"/>
    <w:semiHidden/>
    <w:unhideWhenUsed/>
    <w:rsid w:val="007079C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7F7F6" w:themeFill="accent5" w:themeFillTint="33"/>
    </w:tcPr>
    <w:tblStylePr w:type="firstRow">
      <w:rPr>
        <w:b/>
        <w:bCs/>
      </w:rPr>
      <w:tblPr/>
      <w:tcPr>
        <w:shd w:val="clear" w:color="auto" w:fill="EFEFEE" w:themeFill="accent5" w:themeFillTint="66"/>
      </w:tcPr>
    </w:tblStylePr>
    <w:tblStylePr w:type="lastRow">
      <w:rPr>
        <w:b/>
        <w:bCs/>
        <w:color w:val="000000" w:themeColor="text1"/>
      </w:rPr>
      <w:tblPr/>
      <w:tcPr>
        <w:shd w:val="clear" w:color="auto" w:fill="EFEFEE" w:themeFill="accent5" w:themeFillTint="66"/>
      </w:tcPr>
    </w:tblStylePr>
    <w:tblStylePr w:type="firstCol">
      <w:rPr>
        <w:color w:val="FFFFFF" w:themeColor="background1"/>
      </w:rPr>
      <w:tblPr/>
      <w:tcPr>
        <w:shd w:val="clear" w:color="auto" w:fill="A5A59D" w:themeFill="accent5" w:themeFillShade="BF"/>
      </w:tcPr>
    </w:tblStylePr>
    <w:tblStylePr w:type="lastCol">
      <w:rPr>
        <w:color w:val="FFFFFF" w:themeColor="background1"/>
      </w:rPr>
      <w:tblPr/>
      <w:tcPr>
        <w:shd w:val="clear" w:color="auto" w:fill="A5A59D" w:themeFill="accent5" w:themeFillShade="BF"/>
      </w:tcPr>
    </w:tblStylePr>
    <w:tblStylePr w:type="band1Vert">
      <w:tblPr/>
      <w:tcPr>
        <w:shd w:val="clear" w:color="auto" w:fill="ECECEA" w:themeFill="accent5" w:themeFillTint="7F"/>
      </w:tcPr>
    </w:tblStylePr>
    <w:tblStylePr w:type="band1Horz">
      <w:tblPr/>
      <w:tcPr>
        <w:shd w:val="clear" w:color="auto" w:fill="ECECEA" w:themeFill="accent5" w:themeFillTint="7F"/>
      </w:tcPr>
    </w:tblStylePr>
  </w:style>
  <w:style w:type="table" w:styleId="ColorfulGrid-Accent6">
    <w:name w:val="Colorful Grid Accent 6"/>
    <w:basedOn w:val="TableNormal"/>
    <w:uiPriority w:val="73"/>
    <w:semiHidden/>
    <w:unhideWhenUsed/>
    <w:rsid w:val="007079C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FBFA" w:themeFill="accent6" w:themeFillTint="33"/>
    </w:tcPr>
    <w:tblStylePr w:type="firstRow">
      <w:rPr>
        <w:b/>
        <w:bCs/>
      </w:rPr>
      <w:tblPr/>
      <w:tcPr>
        <w:shd w:val="clear" w:color="auto" w:fill="F8F7F6" w:themeFill="accent6" w:themeFillTint="66"/>
      </w:tcPr>
    </w:tblStylePr>
    <w:tblStylePr w:type="lastRow">
      <w:rPr>
        <w:b/>
        <w:bCs/>
        <w:color w:val="000000" w:themeColor="text1"/>
      </w:rPr>
      <w:tblPr/>
      <w:tcPr>
        <w:shd w:val="clear" w:color="auto" w:fill="F8F7F6" w:themeFill="accent6" w:themeFillTint="66"/>
      </w:tcPr>
    </w:tblStylePr>
    <w:tblStylePr w:type="firstCol">
      <w:rPr>
        <w:color w:val="FFFFFF" w:themeColor="background1"/>
      </w:rPr>
      <w:tblPr/>
      <w:tcPr>
        <w:shd w:val="clear" w:color="auto" w:fill="BBAEA6" w:themeFill="accent6" w:themeFillShade="BF"/>
      </w:tcPr>
    </w:tblStylePr>
    <w:tblStylePr w:type="lastCol">
      <w:rPr>
        <w:color w:val="FFFFFF" w:themeColor="background1"/>
      </w:rPr>
      <w:tblPr/>
      <w:tcPr>
        <w:shd w:val="clear" w:color="auto" w:fill="BBAEA6" w:themeFill="accent6" w:themeFillShade="BF"/>
      </w:tcPr>
    </w:tblStylePr>
    <w:tblStylePr w:type="band1Vert">
      <w:tblPr/>
      <w:tcPr>
        <w:shd w:val="clear" w:color="auto" w:fill="F7F5F4" w:themeFill="accent6" w:themeFillTint="7F"/>
      </w:tcPr>
    </w:tblStylePr>
    <w:tblStylePr w:type="band1Horz">
      <w:tblPr/>
      <w:tcPr>
        <w:shd w:val="clear" w:color="auto" w:fill="F7F5F4" w:themeFill="accent6" w:themeFillTint="7F"/>
      </w:tcPr>
    </w:tblStylePr>
  </w:style>
  <w:style w:type="table" w:styleId="ColorfulList">
    <w:name w:val="Colorful List"/>
    <w:basedOn w:val="TableNormal"/>
    <w:uiPriority w:val="72"/>
    <w:semiHidden/>
    <w:unhideWhenUsed/>
    <w:rsid w:val="007079C8"/>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079C8"/>
    <w:pPr>
      <w:spacing w:line="240" w:lineRule="auto"/>
    </w:pPr>
    <w:rPr>
      <w:color w:val="000000" w:themeColor="text1"/>
    </w:rPr>
    <w:tblPr>
      <w:tblStyleRowBandSize w:val="1"/>
      <w:tblStyleColBandSize w:val="1"/>
    </w:tblPr>
    <w:tcPr>
      <w:shd w:val="clear" w:color="auto" w:fill="FEECEB" w:themeFill="accent1"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CFCE" w:themeFill="accent1" w:themeFillTint="3F"/>
      </w:tcPr>
    </w:tblStylePr>
    <w:tblStylePr w:type="band1Horz">
      <w:tblPr/>
      <w:tcPr>
        <w:shd w:val="clear" w:color="auto" w:fill="FDD9D7" w:themeFill="accent1" w:themeFillTint="33"/>
      </w:tcPr>
    </w:tblStylePr>
  </w:style>
  <w:style w:type="table" w:styleId="ColorfulList-Accent2">
    <w:name w:val="Colorful List Accent 2"/>
    <w:basedOn w:val="TableNormal"/>
    <w:uiPriority w:val="72"/>
    <w:semiHidden/>
    <w:unhideWhenUsed/>
    <w:rsid w:val="007079C8"/>
    <w:pPr>
      <w:spacing w:line="240" w:lineRule="auto"/>
    </w:pPr>
    <w:rPr>
      <w:color w:val="000000" w:themeColor="text1"/>
    </w:rPr>
    <w:tblPr>
      <w:tblStyleRowBandSize w:val="1"/>
      <w:tblStyleColBandSize w:val="1"/>
    </w:tblPr>
    <w:tcPr>
      <w:shd w:val="clear" w:color="auto" w:fill="FBFCFD" w:themeFill="accent2"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8FB" w:themeFill="accent2" w:themeFillTint="3F"/>
      </w:tcPr>
    </w:tblStylePr>
    <w:tblStylePr w:type="band1Horz">
      <w:tblPr/>
      <w:tcPr>
        <w:shd w:val="clear" w:color="auto" w:fill="F7F9FC" w:themeFill="accent2" w:themeFillTint="33"/>
      </w:tcPr>
    </w:tblStylePr>
  </w:style>
  <w:style w:type="table" w:styleId="ColorfulList-Accent3">
    <w:name w:val="Colorful List Accent 3"/>
    <w:basedOn w:val="TableNormal"/>
    <w:uiPriority w:val="72"/>
    <w:semiHidden/>
    <w:unhideWhenUsed/>
    <w:rsid w:val="007079C8"/>
    <w:pPr>
      <w:spacing w:line="240" w:lineRule="auto"/>
    </w:pPr>
    <w:rPr>
      <w:color w:val="000000" w:themeColor="text1"/>
    </w:rPr>
    <w:tblPr>
      <w:tblStyleRowBandSize w:val="1"/>
      <w:tblStyleColBandSize w:val="1"/>
    </w:tblPr>
    <w:tcPr>
      <w:shd w:val="clear" w:color="auto" w:fill="E5E9ED" w:themeFill="accent3" w:themeFillTint="19"/>
    </w:tcPr>
    <w:tblStylePr w:type="firstRow">
      <w:rPr>
        <w:b/>
        <w:bCs/>
        <w:color w:val="FFFFFF" w:themeColor="background1"/>
      </w:rPr>
      <w:tblPr/>
      <w:tcPr>
        <w:tcBorders>
          <w:bottom w:val="single" w:sz="12" w:space="0" w:color="FFFFFF" w:themeColor="background1"/>
        </w:tcBorders>
        <w:shd w:val="clear" w:color="auto" w:fill="283139" w:themeFill="accent4" w:themeFillShade="CC"/>
      </w:tcPr>
    </w:tblStylePr>
    <w:tblStylePr w:type="lastRow">
      <w:rPr>
        <w:b/>
        <w:bCs/>
        <w:color w:val="28313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C9D2" w:themeFill="accent3" w:themeFillTint="3F"/>
      </w:tcPr>
    </w:tblStylePr>
    <w:tblStylePr w:type="band1Horz">
      <w:tblPr/>
      <w:tcPr>
        <w:shd w:val="clear" w:color="auto" w:fill="CBD3DB" w:themeFill="accent3" w:themeFillTint="33"/>
      </w:tcPr>
    </w:tblStylePr>
  </w:style>
  <w:style w:type="table" w:styleId="ColorfulList-Accent4">
    <w:name w:val="Colorful List Accent 4"/>
    <w:basedOn w:val="TableNormal"/>
    <w:uiPriority w:val="72"/>
    <w:semiHidden/>
    <w:unhideWhenUsed/>
    <w:rsid w:val="007079C8"/>
    <w:pPr>
      <w:spacing w:line="240" w:lineRule="auto"/>
    </w:pPr>
    <w:rPr>
      <w:color w:val="000000" w:themeColor="text1"/>
    </w:rPr>
    <w:tblPr>
      <w:tblStyleRowBandSize w:val="1"/>
      <w:tblStyleColBandSize w:val="1"/>
    </w:tblPr>
    <w:tcPr>
      <w:shd w:val="clear" w:color="auto" w:fill="E8ECEF" w:themeFill="accent4" w:themeFillTint="19"/>
    </w:tcPr>
    <w:tblStylePr w:type="firstRow">
      <w:rPr>
        <w:b/>
        <w:bCs/>
        <w:color w:val="FFFFFF" w:themeColor="background1"/>
      </w:rPr>
      <w:tblPr/>
      <w:tcPr>
        <w:tcBorders>
          <w:bottom w:val="single" w:sz="12" w:space="0" w:color="FFFFFF" w:themeColor="background1"/>
        </w:tcBorders>
        <w:shd w:val="clear" w:color="auto" w:fill="181D22" w:themeFill="accent3" w:themeFillShade="CC"/>
      </w:tcPr>
    </w:tblStylePr>
    <w:tblStylePr w:type="lastRow">
      <w:rPr>
        <w:b/>
        <w:bCs/>
        <w:color w:val="181D2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FD7" w:themeFill="accent4" w:themeFillTint="3F"/>
      </w:tcPr>
    </w:tblStylePr>
    <w:tblStylePr w:type="band1Horz">
      <w:tblPr/>
      <w:tcPr>
        <w:shd w:val="clear" w:color="auto" w:fill="D1D8DE" w:themeFill="accent4" w:themeFillTint="33"/>
      </w:tcPr>
    </w:tblStylePr>
  </w:style>
  <w:style w:type="table" w:styleId="ColorfulList-Accent5">
    <w:name w:val="Colorful List Accent 5"/>
    <w:basedOn w:val="TableNormal"/>
    <w:uiPriority w:val="72"/>
    <w:semiHidden/>
    <w:unhideWhenUsed/>
    <w:rsid w:val="007079C8"/>
    <w:pPr>
      <w:spacing w:line="240" w:lineRule="auto"/>
    </w:pPr>
    <w:rPr>
      <w:color w:val="000000" w:themeColor="text1"/>
    </w:rPr>
    <w:tblPr>
      <w:tblStyleRowBandSize w:val="1"/>
      <w:tblStyleColBandSize w:val="1"/>
    </w:tblPr>
    <w:tcPr>
      <w:shd w:val="clear" w:color="auto" w:fill="FBFBFA" w:themeFill="accent5" w:themeFillTint="19"/>
    </w:tcPr>
    <w:tblStylePr w:type="firstRow">
      <w:rPr>
        <w:b/>
        <w:bCs/>
        <w:color w:val="FFFFFF" w:themeColor="background1"/>
      </w:rPr>
      <w:tblPr/>
      <w:tcPr>
        <w:tcBorders>
          <w:bottom w:val="single" w:sz="12" w:space="0" w:color="FFFFFF" w:themeColor="background1"/>
        </w:tcBorders>
        <w:shd w:val="clear" w:color="auto" w:fill="C6BBB4" w:themeFill="accent6" w:themeFillShade="CC"/>
      </w:tcPr>
    </w:tblStylePr>
    <w:tblStylePr w:type="lastRow">
      <w:rPr>
        <w:b/>
        <w:bCs/>
        <w:color w:val="C6BBB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4" w:themeFill="accent5" w:themeFillTint="3F"/>
      </w:tcPr>
    </w:tblStylePr>
    <w:tblStylePr w:type="band1Horz">
      <w:tblPr/>
      <w:tcPr>
        <w:shd w:val="clear" w:color="auto" w:fill="F7F7F6" w:themeFill="accent5" w:themeFillTint="33"/>
      </w:tcPr>
    </w:tblStylePr>
  </w:style>
  <w:style w:type="table" w:styleId="ColorfulList-Accent6">
    <w:name w:val="Colorful List Accent 6"/>
    <w:basedOn w:val="TableNormal"/>
    <w:uiPriority w:val="72"/>
    <w:semiHidden/>
    <w:unhideWhenUsed/>
    <w:rsid w:val="007079C8"/>
    <w:pPr>
      <w:spacing w:line="240" w:lineRule="auto"/>
    </w:pPr>
    <w:rPr>
      <w:color w:val="000000" w:themeColor="text1"/>
    </w:rPr>
    <w:tblPr>
      <w:tblStyleRowBandSize w:val="1"/>
      <w:tblStyleColBandSize w:val="1"/>
    </w:tblPr>
    <w:tcPr>
      <w:shd w:val="clear" w:color="auto" w:fill="FDFDFC" w:themeFill="accent6" w:themeFillTint="19"/>
    </w:tcPr>
    <w:tblStylePr w:type="firstRow">
      <w:rPr>
        <w:b/>
        <w:bCs/>
        <w:color w:val="FFFFFF" w:themeColor="background1"/>
      </w:rPr>
      <w:tblPr/>
      <w:tcPr>
        <w:tcBorders>
          <w:bottom w:val="single" w:sz="12" w:space="0" w:color="FFFFFF" w:themeColor="background1"/>
        </w:tcBorders>
        <w:shd w:val="clear" w:color="auto" w:fill="AFAFA9" w:themeFill="accent5" w:themeFillShade="CC"/>
      </w:tcPr>
    </w:tblStylePr>
    <w:tblStylePr w:type="lastRow">
      <w:rPr>
        <w:b/>
        <w:bCs/>
        <w:color w:val="AFAF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AF9" w:themeFill="accent6" w:themeFillTint="3F"/>
      </w:tcPr>
    </w:tblStylePr>
    <w:tblStylePr w:type="band1Horz">
      <w:tblPr/>
      <w:tcPr>
        <w:shd w:val="clear" w:color="auto" w:fill="FBFBFA" w:themeFill="accent6" w:themeFillTint="33"/>
      </w:tcPr>
    </w:tblStylePr>
  </w:style>
  <w:style w:type="table" w:styleId="ColorfulShading">
    <w:name w:val="Colorful Shading"/>
    <w:basedOn w:val="TableNormal"/>
    <w:uiPriority w:val="71"/>
    <w:semiHidden/>
    <w:unhideWhenUsed/>
    <w:rsid w:val="007079C8"/>
    <w:pPr>
      <w:spacing w:line="240" w:lineRule="auto"/>
    </w:pPr>
    <w:rPr>
      <w:color w:val="000000" w:themeColor="text1"/>
    </w:rPr>
    <w:tblPr>
      <w:tblStyleRowBandSize w:val="1"/>
      <w:tblStyleColBandSize w:val="1"/>
      <w:tblBorders>
        <w:top w:val="single" w:sz="24" w:space="0" w:color="D8E6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079C8"/>
    <w:pPr>
      <w:spacing w:line="240" w:lineRule="auto"/>
    </w:pPr>
    <w:rPr>
      <w:color w:val="000000" w:themeColor="text1"/>
    </w:rPr>
    <w:tblPr>
      <w:tblStyleRowBandSize w:val="1"/>
      <w:tblStyleColBandSize w:val="1"/>
      <w:tblBorders>
        <w:top w:val="single" w:sz="24" w:space="0" w:color="D8E6F0" w:themeColor="accent2"/>
        <w:left w:val="single" w:sz="4" w:space="0" w:color="F9423A" w:themeColor="accent1"/>
        <w:bottom w:val="single" w:sz="4" w:space="0" w:color="F9423A" w:themeColor="accent1"/>
        <w:right w:val="single" w:sz="4" w:space="0" w:color="F9423A" w:themeColor="accent1"/>
        <w:insideH w:val="single" w:sz="4" w:space="0" w:color="FFFFFF" w:themeColor="background1"/>
        <w:insideV w:val="single" w:sz="4" w:space="0" w:color="FFFFFF" w:themeColor="background1"/>
      </w:tblBorders>
    </w:tblPr>
    <w:tcPr>
      <w:shd w:val="clear" w:color="auto" w:fill="FEECEB" w:themeFill="accent1"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0C05" w:themeFill="accent1" w:themeFillShade="99"/>
      </w:tcPr>
    </w:tblStylePr>
    <w:tblStylePr w:type="firstCol">
      <w:rPr>
        <w:color w:val="FFFFFF" w:themeColor="background1"/>
      </w:rPr>
      <w:tblPr/>
      <w:tcPr>
        <w:tcBorders>
          <w:top w:val="nil"/>
          <w:left w:val="nil"/>
          <w:bottom w:val="nil"/>
          <w:right w:val="nil"/>
          <w:insideH w:val="single" w:sz="4" w:space="0" w:color="B20C05" w:themeColor="accent1" w:themeShade="99"/>
          <w:insideV w:val="nil"/>
        </w:tcBorders>
        <w:shd w:val="clear" w:color="auto" w:fill="B20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20C05" w:themeFill="accent1" w:themeFillShade="99"/>
      </w:tcPr>
    </w:tblStylePr>
    <w:tblStylePr w:type="band1Vert">
      <w:tblPr/>
      <w:tcPr>
        <w:shd w:val="clear" w:color="auto" w:fill="FCB3B0" w:themeFill="accent1" w:themeFillTint="66"/>
      </w:tcPr>
    </w:tblStylePr>
    <w:tblStylePr w:type="band1Horz">
      <w:tblPr/>
      <w:tcPr>
        <w:shd w:val="clear" w:color="auto" w:fill="FCA09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079C8"/>
    <w:pPr>
      <w:spacing w:line="240" w:lineRule="auto"/>
    </w:pPr>
    <w:rPr>
      <w:color w:val="000000" w:themeColor="text1"/>
    </w:rPr>
    <w:tblPr>
      <w:tblStyleRowBandSize w:val="1"/>
      <w:tblStyleColBandSize w:val="1"/>
      <w:tblBorders>
        <w:top w:val="single" w:sz="24" w:space="0" w:color="D8E6F0" w:themeColor="accent2"/>
        <w:left w:val="single" w:sz="4" w:space="0" w:color="D8E6F0" w:themeColor="accent2"/>
        <w:bottom w:val="single" w:sz="4" w:space="0" w:color="D8E6F0" w:themeColor="accent2"/>
        <w:right w:val="single" w:sz="4" w:space="0" w:color="D8E6F0" w:themeColor="accent2"/>
        <w:insideH w:val="single" w:sz="4" w:space="0" w:color="FFFFFF" w:themeColor="background1"/>
        <w:insideV w:val="single" w:sz="4" w:space="0" w:color="FFFFFF" w:themeColor="background1"/>
      </w:tblBorders>
    </w:tblPr>
    <w:tcPr>
      <w:shd w:val="clear" w:color="auto" w:fill="FBFCFD" w:themeFill="accent2"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91BD" w:themeFill="accent2" w:themeFillShade="99"/>
      </w:tcPr>
    </w:tblStylePr>
    <w:tblStylePr w:type="firstCol">
      <w:rPr>
        <w:color w:val="FFFFFF" w:themeColor="background1"/>
      </w:rPr>
      <w:tblPr/>
      <w:tcPr>
        <w:tcBorders>
          <w:top w:val="nil"/>
          <w:left w:val="nil"/>
          <w:bottom w:val="nil"/>
          <w:right w:val="nil"/>
          <w:insideH w:val="single" w:sz="4" w:space="0" w:color="5491BD" w:themeColor="accent2" w:themeShade="99"/>
          <w:insideV w:val="nil"/>
        </w:tcBorders>
        <w:shd w:val="clear" w:color="auto" w:fill="5491B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491BD" w:themeFill="accent2" w:themeFillShade="99"/>
      </w:tcPr>
    </w:tblStylePr>
    <w:tblStylePr w:type="band1Vert">
      <w:tblPr/>
      <w:tcPr>
        <w:shd w:val="clear" w:color="auto" w:fill="EFF4F9" w:themeFill="accent2" w:themeFillTint="66"/>
      </w:tcPr>
    </w:tblStylePr>
    <w:tblStylePr w:type="band1Horz">
      <w:tblPr/>
      <w:tcPr>
        <w:shd w:val="clear" w:color="auto" w:fill="EBF2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079C8"/>
    <w:pPr>
      <w:spacing w:line="240" w:lineRule="auto"/>
    </w:pPr>
    <w:rPr>
      <w:color w:val="000000" w:themeColor="text1"/>
    </w:rPr>
    <w:tblPr>
      <w:tblStyleRowBandSize w:val="1"/>
      <w:tblStyleColBandSize w:val="1"/>
      <w:tblBorders>
        <w:top w:val="single" w:sz="24" w:space="0" w:color="333E48" w:themeColor="accent4"/>
        <w:left w:val="single" w:sz="4" w:space="0" w:color="1E252B" w:themeColor="accent3"/>
        <w:bottom w:val="single" w:sz="4" w:space="0" w:color="1E252B" w:themeColor="accent3"/>
        <w:right w:val="single" w:sz="4" w:space="0" w:color="1E252B" w:themeColor="accent3"/>
        <w:insideH w:val="single" w:sz="4" w:space="0" w:color="FFFFFF" w:themeColor="background1"/>
        <w:insideV w:val="single" w:sz="4" w:space="0" w:color="FFFFFF" w:themeColor="background1"/>
      </w:tblBorders>
    </w:tblPr>
    <w:tcPr>
      <w:shd w:val="clear" w:color="auto" w:fill="E5E9ED" w:themeFill="accent3" w:themeFillTint="19"/>
    </w:tcPr>
    <w:tblStylePr w:type="firstRow">
      <w:rPr>
        <w:b/>
        <w:bCs/>
      </w:rPr>
      <w:tblPr/>
      <w:tcPr>
        <w:tcBorders>
          <w:top w:val="nil"/>
          <w:left w:val="nil"/>
          <w:bottom w:val="single" w:sz="24" w:space="0" w:color="333E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1619" w:themeFill="accent3" w:themeFillShade="99"/>
      </w:tcPr>
    </w:tblStylePr>
    <w:tblStylePr w:type="firstCol">
      <w:rPr>
        <w:color w:val="FFFFFF" w:themeColor="background1"/>
      </w:rPr>
      <w:tblPr/>
      <w:tcPr>
        <w:tcBorders>
          <w:top w:val="nil"/>
          <w:left w:val="nil"/>
          <w:bottom w:val="nil"/>
          <w:right w:val="nil"/>
          <w:insideH w:val="single" w:sz="4" w:space="0" w:color="121619" w:themeColor="accent3" w:themeShade="99"/>
          <w:insideV w:val="nil"/>
        </w:tcBorders>
        <w:shd w:val="clear" w:color="auto" w:fill="12161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21619" w:themeFill="accent3" w:themeFillShade="99"/>
      </w:tcPr>
    </w:tblStylePr>
    <w:tblStylePr w:type="band1Vert">
      <w:tblPr/>
      <w:tcPr>
        <w:shd w:val="clear" w:color="auto" w:fill="97A8B7" w:themeFill="accent3" w:themeFillTint="66"/>
      </w:tcPr>
    </w:tblStylePr>
    <w:tblStylePr w:type="band1Horz">
      <w:tblPr/>
      <w:tcPr>
        <w:shd w:val="clear" w:color="auto" w:fill="7E93A5" w:themeFill="accent3" w:themeFillTint="7F"/>
      </w:tcPr>
    </w:tblStylePr>
  </w:style>
  <w:style w:type="table" w:styleId="ColorfulShading-Accent4">
    <w:name w:val="Colorful Shading Accent 4"/>
    <w:basedOn w:val="TableNormal"/>
    <w:uiPriority w:val="71"/>
    <w:semiHidden/>
    <w:unhideWhenUsed/>
    <w:rsid w:val="007079C8"/>
    <w:pPr>
      <w:spacing w:line="240" w:lineRule="auto"/>
    </w:pPr>
    <w:rPr>
      <w:color w:val="000000" w:themeColor="text1"/>
    </w:rPr>
    <w:tblPr>
      <w:tblStyleRowBandSize w:val="1"/>
      <w:tblStyleColBandSize w:val="1"/>
      <w:tblBorders>
        <w:top w:val="single" w:sz="24" w:space="0" w:color="1E252B" w:themeColor="accent3"/>
        <w:left w:val="single" w:sz="4" w:space="0" w:color="333E48" w:themeColor="accent4"/>
        <w:bottom w:val="single" w:sz="4" w:space="0" w:color="333E48" w:themeColor="accent4"/>
        <w:right w:val="single" w:sz="4" w:space="0" w:color="333E48" w:themeColor="accent4"/>
        <w:insideH w:val="single" w:sz="4" w:space="0" w:color="FFFFFF" w:themeColor="background1"/>
        <w:insideV w:val="single" w:sz="4" w:space="0" w:color="FFFFFF" w:themeColor="background1"/>
      </w:tblBorders>
    </w:tblPr>
    <w:tcPr>
      <w:shd w:val="clear" w:color="auto" w:fill="E8ECEF" w:themeFill="accent4" w:themeFillTint="19"/>
    </w:tcPr>
    <w:tblStylePr w:type="firstRow">
      <w:rPr>
        <w:b/>
        <w:bCs/>
      </w:rPr>
      <w:tblPr/>
      <w:tcPr>
        <w:tcBorders>
          <w:top w:val="nil"/>
          <w:left w:val="nil"/>
          <w:bottom w:val="single" w:sz="24" w:space="0" w:color="1E252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252B" w:themeFill="accent4" w:themeFillShade="99"/>
      </w:tcPr>
    </w:tblStylePr>
    <w:tblStylePr w:type="firstCol">
      <w:rPr>
        <w:color w:val="FFFFFF" w:themeColor="background1"/>
      </w:rPr>
      <w:tblPr/>
      <w:tcPr>
        <w:tcBorders>
          <w:top w:val="nil"/>
          <w:left w:val="nil"/>
          <w:bottom w:val="nil"/>
          <w:right w:val="nil"/>
          <w:insideH w:val="single" w:sz="4" w:space="0" w:color="1E252B" w:themeColor="accent4" w:themeShade="99"/>
          <w:insideV w:val="nil"/>
        </w:tcBorders>
        <w:shd w:val="clear" w:color="auto" w:fill="1E25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252B" w:themeFill="accent4" w:themeFillShade="99"/>
      </w:tcPr>
    </w:tblStylePr>
    <w:tblStylePr w:type="band1Vert">
      <w:tblPr/>
      <w:tcPr>
        <w:shd w:val="clear" w:color="auto" w:fill="A4B2BE" w:themeFill="accent4" w:themeFillTint="66"/>
      </w:tcPr>
    </w:tblStylePr>
    <w:tblStylePr w:type="band1Horz">
      <w:tblPr/>
      <w:tcPr>
        <w:shd w:val="clear" w:color="auto" w:fill="8E9FA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079C8"/>
    <w:pPr>
      <w:spacing w:line="240" w:lineRule="auto"/>
    </w:pPr>
    <w:rPr>
      <w:color w:val="000000" w:themeColor="text1"/>
    </w:rPr>
    <w:tblPr>
      <w:tblStyleRowBandSize w:val="1"/>
      <w:tblStyleColBandSize w:val="1"/>
      <w:tblBorders>
        <w:top w:val="single" w:sz="24" w:space="0" w:color="EFECEA" w:themeColor="accent6"/>
        <w:left w:val="single" w:sz="4" w:space="0" w:color="D9D9D6" w:themeColor="accent5"/>
        <w:bottom w:val="single" w:sz="4" w:space="0" w:color="D9D9D6" w:themeColor="accent5"/>
        <w:right w:val="single" w:sz="4" w:space="0" w:color="D9D9D6" w:themeColor="accent5"/>
        <w:insideH w:val="single" w:sz="4" w:space="0" w:color="FFFFFF" w:themeColor="background1"/>
        <w:insideV w:val="single" w:sz="4" w:space="0" w:color="FFFFFF" w:themeColor="background1"/>
      </w:tblBorders>
    </w:tblPr>
    <w:tcPr>
      <w:shd w:val="clear" w:color="auto" w:fill="FBFBFA" w:themeFill="accent5" w:themeFillTint="19"/>
    </w:tcPr>
    <w:tblStylePr w:type="firstRow">
      <w:rPr>
        <w:b/>
        <w:bCs/>
      </w:rPr>
      <w:tblPr/>
      <w:tcPr>
        <w:tcBorders>
          <w:top w:val="nil"/>
          <w:left w:val="nil"/>
          <w:bottom w:val="single" w:sz="24" w:space="0" w:color="EFECE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67C" w:themeFill="accent5" w:themeFillShade="99"/>
      </w:tcPr>
    </w:tblStylePr>
    <w:tblStylePr w:type="firstCol">
      <w:rPr>
        <w:color w:val="FFFFFF" w:themeColor="background1"/>
      </w:rPr>
      <w:tblPr/>
      <w:tcPr>
        <w:tcBorders>
          <w:top w:val="nil"/>
          <w:left w:val="nil"/>
          <w:bottom w:val="nil"/>
          <w:right w:val="nil"/>
          <w:insideH w:val="single" w:sz="4" w:space="0" w:color="86867C" w:themeColor="accent5" w:themeShade="99"/>
          <w:insideV w:val="nil"/>
        </w:tcBorders>
        <w:shd w:val="clear" w:color="auto" w:fill="868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6867C" w:themeFill="accent5" w:themeFillShade="99"/>
      </w:tcPr>
    </w:tblStylePr>
    <w:tblStylePr w:type="band1Vert">
      <w:tblPr/>
      <w:tcPr>
        <w:shd w:val="clear" w:color="auto" w:fill="EFEFEE" w:themeFill="accent5" w:themeFillTint="66"/>
      </w:tcPr>
    </w:tblStylePr>
    <w:tblStylePr w:type="band1Horz">
      <w:tblPr/>
      <w:tcPr>
        <w:shd w:val="clear" w:color="auto" w:fill="ECE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079C8"/>
    <w:pPr>
      <w:spacing w:line="240" w:lineRule="auto"/>
    </w:pPr>
    <w:rPr>
      <w:color w:val="000000" w:themeColor="text1"/>
    </w:rPr>
    <w:tblPr>
      <w:tblStyleRowBandSize w:val="1"/>
      <w:tblStyleColBandSize w:val="1"/>
      <w:tblBorders>
        <w:top w:val="single" w:sz="24" w:space="0" w:color="D9D9D6" w:themeColor="accent5"/>
        <w:left w:val="single" w:sz="4" w:space="0" w:color="EFECEA" w:themeColor="accent6"/>
        <w:bottom w:val="single" w:sz="4" w:space="0" w:color="EFECEA" w:themeColor="accent6"/>
        <w:right w:val="single" w:sz="4" w:space="0" w:color="EFECEA" w:themeColor="accent6"/>
        <w:insideH w:val="single" w:sz="4" w:space="0" w:color="FFFFFF" w:themeColor="background1"/>
        <w:insideV w:val="single" w:sz="4" w:space="0" w:color="FFFFFF" w:themeColor="background1"/>
      </w:tblBorders>
    </w:tblPr>
    <w:tcPr>
      <w:shd w:val="clear" w:color="auto" w:fill="FDFDFC" w:themeFill="accent6" w:themeFillTint="19"/>
    </w:tcPr>
    <w:tblStylePr w:type="firstRow">
      <w:rPr>
        <w:b/>
        <w:bCs/>
      </w:rPr>
      <w:tblPr/>
      <w:tcPr>
        <w:tcBorders>
          <w:top w:val="nil"/>
          <w:left w:val="nil"/>
          <w:bottom w:val="single" w:sz="24" w:space="0" w:color="D9D9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8A7E" w:themeFill="accent6" w:themeFillShade="99"/>
      </w:tcPr>
    </w:tblStylePr>
    <w:tblStylePr w:type="firstCol">
      <w:rPr>
        <w:color w:val="FFFFFF" w:themeColor="background1"/>
      </w:rPr>
      <w:tblPr/>
      <w:tcPr>
        <w:tcBorders>
          <w:top w:val="nil"/>
          <w:left w:val="nil"/>
          <w:bottom w:val="nil"/>
          <w:right w:val="nil"/>
          <w:insideH w:val="single" w:sz="4" w:space="0" w:color="9D8A7E" w:themeColor="accent6" w:themeShade="99"/>
          <w:insideV w:val="nil"/>
        </w:tcBorders>
        <w:shd w:val="clear" w:color="auto" w:fill="9D8A7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D8A7E" w:themeFill="accent6" w:themeFillShade="99"/>
      </w:tcPr>
    </w:tblStylePr>
    <w:tblStylePr w:type="band1Vert">
      <w:tblPr/>
      <w:tcPr>
        <w:shd w:val="clear" w:color="auto" w:fill="F8F7F6" w:themeFill="accent6" w:themeFillTint="66"/>
      </w:tcPr>
    </w:tblStylePr>
    <w:tblStylePr w:type="band1Horz">
      <w:tblPr/>
      <w:tcPr>
        <w:shd w:val="clear" w:color="auto" w:fill="F7F5F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39"/>
    <w:semiHidden/>
    <w:unhideWhenUsed/>
    <w:rsid w:val="007079C8"/>
    <w:rPr>
      <w:sz w:val="16"/>
      <w:szCs w:val="16"/>
    </w:rPr>
  </w:style>
  <w:style w:type="table" w:styleId="DarkList">
    <w:name w:val="Dark List"/>
    <w:basedOn w:val="TableNormal"/>
    <w:uiPriority w:val="70"/>
    <w:semiHidden/>
    <w:unhideWhenUsed/>
    <w:rsid w:val="007079C8"/>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079C8"/>
    <w:pPr>
      <w:spacing w:line="240" w:lineRule="auto"/>
    </w:pPr>
    <w:rPr>
      <w:color w:val="FFFFFF" w:themeColor="background1"/>
    </w:rPr>
    <w:tblPr>
      <w:tblStyleRowBandSize w:val="1"/>
      <w:tblStyleColBandSize w:val="1"/>
    </w:tblPr>
    <w:tcPr>
      <w:shd w:val="clear" w:color="auto" w:fill="F9423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0A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E0F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E0F06" w:themeFill="accent1" w:themeFillShade="BF"/>
      </w:tcPr>
    </w:tblStylePr>
    <w:tblStylePr w:type="band1Vert">
      <w:tblPr/>
      <w:tcPr>
        <w:tcBorders>
          <w:top w:val="nil"/>
          <w:left w:val="nil"/>
          <w:bottom w:val="nil"/>
          <w:right w:val="nil"/>
          <w:insideH w:val="nil"/>
          <w:insideV w:val="nil"/>
        </w:tcBorders>
        <w:shd w:val="clear" w:color="auto" w:fill="DE0F06" w:themeFill="accent1" w:themeFillShade="BF"/>
      </w:tcPr>
    </w:tblStylePr>
    <w:tblStylePr w:type="band1Horz">
      <w:tblPr/>
      <w:tcPr>
        <w:tcBorders>
          <w:top w:val="nil"/>
          <w:left w:val="nil"/>
          <w:bottom w:val="nil"/>
          <w:right w:val="nil"/>
          <w:insideH w:val="nil"/>
          <w:insideV w:val="nil"/>
        </w:tcBorders>
        <w:shd w:val="clear" w:color="auto" w:fill="DE0F06" w:themeFill="accent1" w:themeFillShade="BF"/>
      </w:tcPr>
    </w:tblStylePr>
  </w:style>
  <w:style w:type="table" w:styleId="DarkList-Accent2">
    <w:name w:val="Dark List Accent 2"/>
    <w:basedOn w:val="TableNormal"/>
    <w:uiPriority w:val="70"/>
    <w:semiHidden/>
    <w:unhideWhenUsed/>
    <w:rsid w:val="007079C8"/>
    <w:pPr>
      <w:spacing w:line="240" w:lineRule="auto"/>
    </w:pPr>
    <w:rPr>
      <w:color w:val="FFFFFF" w:themeColor="background1"/>
    </w:rPr>
    <w:tblPr>
      <w:tblStyleRowBandSize w:val="1"/>
      <w:tblStyleColBandSize w:val="1"/>
    </w:tblPr>
    <w:tcPr>
      <w:shd w:val="clear" w:color="auto" w:fill="D8E6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9A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B0D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B0D0" w:themeFill="accent2" w:themeFillShade="BF"/>
      </w:tcPr>
    </w:tblStylePr>
    <w:tblStylePr w:type="band1Vert">
      <w:tblPr/>
      <w:tcPr>
        <w:tcBorders>
          <w:top w:val="nil"/>
          <w:left w:val="nil"/>
          <w:bottom w:val="nil"/>
          <w:right w:val="nil"/>
          <w:insideH w:val="nil"/>
          <w:insideV w:val="nil"/>
        </w:tcBorders>
        <w:shd w:val="clear" w:color="auto" w:fill="85B0D0" w:themeFill="accent2" w:themeFillShade="BF"/>
      </w:tcPr>
    </w:tblStylePr>
    <w:tblStylePr w:type="band1Horz">
      <w:tblPr/>
      <w:tcPr>
        <w:tcBorders>
          <w:top w:val="nil"/>
          <w:left w:val="nil"/>
          <w:bottom w:val="nil"/>
          <w:right w:val="nil"/>
          <w:insideH w:val="nil"/>
          <w:insideV w:val="nil"/>
        </w:tcBorders>
        <w:shd w:val="clear" w:color="auto" w:fill="85B0D0" w:themeFill="accent2" w:themeFillShade="BF"/>
      </w:tcPr>
    </w:tblStylePr>
  </w:style>
  <w:style w:type="table" w:styleId="DarkList-Accent3">
    <w:name w:val="Dark List Accent 3"/>
    <w:basedOn w:val="TableNormal"/>
    <w:uiPriority w:val="70"/>
    <w:semiHidden/>
    <w:unhideWhenUsed/>
    <w:rsid w:val="007079C8"/>
    <w:pPr>
      <w:spacing w:line="240" w:lineRule="auto"/>
    </w:pPr>
    <w:rPr>
      <w:color w:val="FFFFFF" w:themeColor="background1"/>
    </w:rPr>
    <w:tblPr>
      <w:tblStyleRowBandSize w:val="1"/>
      <w:tblStyleColBandSize w:val="1"/>
    </w:tblPr>
    <w:tcPr>
      <w:shd w:val="clear" w:color="auto" w:fill="1E252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12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61B2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61B20" w:themeFill="accent3" w:themeFillShade="BF"/>
      </w:tcPr>
    </w:tblStylePr>
    <w:tblStylePr w:type="band1Vert">
      <w:tblPr/>
      <w:tcPr>
        <w:tcBorders>
          <w:top w:val="nil"/>
          <w:left w:val="nil"/>
          <w:bottom w:val="nil"/>
          <w:right w:val="nil"/>
          <w:insideH w:val="nil"/>
          <w:insideV w:val="nil"/>
        </w:tcBorders>
        <w:shd w:val="clear" w:color="auto" w:fill="161B20" w:themeFill="accent3" w:themeFillShade="BF"/>
      </w:tcPr>
    </w:tblStylePr>
    <w:tblStylePr w:type="band1Horz">
      <w:tblPr/>
      <w:tcPr>
        <w:tcBorders>
          <w:top w:val="nil"/>
          <w:left w:val="nil"/>
          <w:bottom w:val="nil"/>
          <w:right w:val="nil"/>
          <w:insideH w:val="nil"/>
          <w:insideV w:val="nil"/>
        </w:tcBorders>
        <w:shd w:val="clear" w:color="auto" w:fill="161B20" w:themeFill="accent3" w:themeFillShade="BF"/>
      </w:tcPr>
    </w:tblStylePr>
  </w:style>
  <w:style w:type="table" w:styleId="DarkList-Accent4">
    <w:name w:val="Dark List Accent 4"/>
    <w:basedOn w:val="TableNormal"/>
    <w:uiPriority w:val="70"/>
    <w:semiHidden/>
    <w:unhideWhenUsed/>
    <w:rsid w:val="007079C8"/>
    <w:pPr>
      <w:spacing w:line="240" w:lineRule="auto"/>
    </w:pPr>
    <w:rPr>
      <w:color w:val="FFFFFF" w:themeColor="background1"/>
    </w:rPr>
    <w:tblPr>
      <w:tblStyleRowBandSize w:val="1"/>
      <w:tblStyleColBandSize w:val="1"/>
    </w:tblPr>
    <w:tcPr>
      <w:shd w:val="clear" w:color="auto" w:fill="333E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1E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2E3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2E35" w:themeFill="accent4" w:themeFillShade="BF"/>
      </w:tcPr>
    </w:tblStylePr>
    <w:tblStylePr w:type="band1Vert">
      <w:tblPr/>
      <w:tcPr>
        <w:tcBorders>
          <w:top w:val="nil"/>
          <w:left w:val="nil"/>
          <w:bottom w:val="nil"/>
          <w:right w:val="nil"/>
          <w:insideH w:val="nil"/>
          <w:insideV w:val="nil"/>
        </w:tcBorders>
        <w:shd w:val="clear" w:color="auto" w:fill="262E35" w:themeFill="accent4" w:themeFillShade="BF"/>
      </w:tcPr>
    </w:tblStylePr>
    <w:tblStylePr w:type="band1Horz">
      <w:tblPr/>
      <w:tcPr>
        <w:tcBorders>
          <w:top w:val="nil"/>
          <w:left w:val="nil"/>
          <w:bottom w:val="nil"/>
          <w:right w:val="nil"/>
          <w:insideH w:val="nil"/>
          <w:insideV w:val="nil"/>
        </w:tcBorders>
        <w:shd w:val="clear" w:color="auto" w:fill="262E35" w:themeFill="accent4" w:themeFillShade="BF"/>
      </w:tcPr>
    </w:tblStylePr>
  </w:style>
  <w:style w:type="table" w:styleId="DarkList-Accent5">
    <w:name w:val="Dark List Accent 5"/>
    <w:basedOn w:val="TableNormal"/>
    <w:uiPriority w:val="70"/>
    <w:semiHidden/>
    <w:unhideWhenUsed/>
    <w:rsid w:val="007079C8"/>
    <w:pPr>
      <w:spacing w:line="240" w:lineRule="auto"/>
    </w:pPr>
    <w:rPr>
      <w:color w:val="FFFFFF" w:themeColor="background1"/>
    </w:rPr>
    <w:tblPr>
      <w:tblStyleRowBandSize w:val="1"/>
      <w:tblStyleColBandSize w:val="1"/>
    </w:tblPr>
    <w:tcPr>
      <w:shd w:val="clear" w:color="auto" w:fill="D9D9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6F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A59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A59D" w:themeFill="accent5" w:themeFillShade="BF"/>
      </w:tcPr>
    </w:tblStylePr>
    <w:tblStylePr w:type="band1Vert">
      <w:tblPr/>
      <w:tcPr>
        <w:tcBorders>
          <w:top w:val="nil"/>
          <w:left w:val="nil"/>
          <w:bottom w:val="nil"/>
          <w:right w:val="nil"/>
          <w:insideH w:val="nil"/>
          <w:insideV w:val="nil"/>
        </w:tcBorders>
        <w:shd w:val="clear" w:color="auto" w:fill="A5A59D" w:themeFill="accent5" w:themeFillShade="BF"/>
      </w:tcPr>
    </w:tblStylePr>
    <w:tblStylePr w:type="band1Horz">
      <w:tblPr/>
      <w:tcPr>
        <w:tcBorders>
          <w:top w:val="nil"/>
          <w:left w:val="nil"/>
          <w:bottom w:val="nil"/>
          <w:right w:val="nil"/>
          <w:insideH w:val="nil"/>
          <w:insideV w:val="nil"/>
        </w:tcBorders>
        <w:shd w:val="clear" w:color="auto" w:fill="A5A59D" w:themeFill="accent5" w:themeFillShade="BF"/>
      </w:tcPr>
    </w:tblStylePr>
  </w:style>
  <w:style w:type="table" w:styleId="DarkList-Accent6">
    <w:name w:val="Dark List Accent 6"/>
    <w:basedOn w:val="TableNormal"/>
    <w:uiPriority w:val="70"/>
    <w:semiHidden/>
    <w:unhideWhenUsed/>
    <w:rsid w:val="007079C8"/>
    <w:pPr>
      <w:spacing w:line="240" w:lineRule="auto"/>
    </w:pPr>
    <w:rPr>
      <w:color w:val="FFFFFF" w:themeColor="background1"/>
    </w:rPr>
    <w:tblPr>
      <w:tblStyleRowBandSize w:val="1"/>
      <w:tblStyleColBandSize w:val="1"/>
    </w:tblPr>
    <w:tcPr>
      <w:shd w:val="clear" w:color="auto" w:fill="EFECE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726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BAEA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BAEA6" w:themeFill="accent6" w:themeFillShade="BF"/>
      </w:tcPr>
    </w:tblStylePr>
    <w:tblStylePr w:type="band1Vert">
      <w:tblPr/>
      <w:tcPr>
        <w:tcBorders>
          <w:top w:val="nil"/>
          <w:left w:val="nil"/>
          <w:bottom w:val="nil"/>
          <w:right w:val="nil"/>
          <w:insideH w:val="nil"/>
          <w:insideV w:val="nil"/>
        </w:tcBorders>
        <w:shd w:val="clear" w:color="auto" w:fill="BBAEA6" w:themeFill="accent6" w:themeFillShade="BF"/>
      </w:tcPr>
    </w:tblStylePr>
    <w:tblStylePr w:type="band1Horz">
      <w:tblPr/>
      <w:tcPr>
        <w:tcBorders>
          <w:top w:val="nil"/>
          <w:left w:val="nil"/>
          <w:bottom w:val="nil"/>
          <w:right w:val="nil"/>
          <w:insideH w:val="nil"/>
          <w:insideV w:val="nil"/>
        </w:tcBorders>
        <w:shd w:val="clear" w:color="auto" w:fill="BBAEA6" w:themeFill="accent6" w:themeFillShade="BF"/>
      </w:tcPr>
    </w:tblStylePr>
  </w:style>
  <w:style w:type="table" w:styleId="GridTable1Light">
    <w:name w:val="Grid Table 1 Light"/>
    <w:basedOn w:val="TableNormal"/>
    <w:uiPriority w:val="46"/>
    <w:rsid w:val="007079C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079C8"/>
    <w:pPr>
      <w:spacing w:line="240" w:lineRule="auto"/>
    </w:pPr>
    <w:tblPr>
      <w:tblStyleRowBandSize w:val="1"/>
      <w:tblStyleColBandSize w:val="1"/>
      <w:tblBorders>
        <w:top w:val="single" w:sz="4" w:space="0" w:color="FCB3B0" w:themeColor="accent1" w:themeTint="66"/>
        <w:left w:val="single" w:sz="4" w:space="0" w:color="FCB3B0" w:themeColor="accent1" w:themeTint="66"/>
        <w:bottom w:val="single" w:sz="4" w:space="0" w:color="FCB3B0" w:themeColor="accent1" w:themeTint="66"/>
        <w:right w:val="single" w:sz="4" w:space="0" w:color="FCB3B0" w:themeColor="accent1" w:themeTint="66"/>
        <w:insideH w:val="single" w:sz="4" w:space="0" w:color="FCB3B0" w:themeColor="accent1" w:themeTint="66"/>
        <w:insideV w:val="single" w:sz="4" w:space="0" w:color="FCB3B0" w:themeColor="accent1" w:themeTint="66"/>
      </w:tblBorders>
    </w:tblPr>
    <w:tblStylePr w:type="firstRow">
      <w:rPr>
        <w:b/>
        <w:bCs/>
      </w:rPr>
      <w:tblPr/>
      <w:tcPr>
        <w:tcBorders>
          <w:bottom w:val="single" w:sz="12" w:space="0" w:color="FB8D88" w:themeColor="accent1" w:themeTint="99"/>
        </w:tcBorders>
      </w:tcPr>
    </w:tblStylePr>
    <w:tblStylePr w:type="lastRow">
      <w:rPr>
        <w:b/>
        <w:bCs/>
      </w:rPr>
      <w:tblPr/>
      <w:tcPr>
        <w:tcBorders>
          <w:top w:val="double" w:sz="2" w:space="0" w:color="FB8D8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079C8"/>
    <w:pPr>
      <w:spacing w:line="240" w:lineRule="auto"/>
    </w:pPr>
    <w:tblPr>
      <w:tblStyleRowBandSize w:val="1"/>
      <w:tblStyleColBandSize w:val="1"/>
      <w:tblBorders>
        <w:top w:val="single" w:sz="4" w:space="0" w:color="EFF4F9" w:themeColor="accent2" w:themeTint="66"/>
        <w:left w:val="single" w:sz="4" w:space="0" w:color="EFF4F9" w:themeColor="accent2" w:themeTint="66"/>
        <w:bottom w:val="single" w:sz="4" w:space="0" w:color="EFF4F9" w:themeColor="accent2" w:themeTint="66"/>
        <w:right w:val="single" w:sz="4" w:space="0" w:color="EFF4F9" w:themeColor="accent2" w:themeTint="66"/>
        <w:insideH w:val="single" w:sz="4" w:space="0" w:color="EFF4F9" w:themeColor="accent2" w:themeTint="66"/>
        <w:insideV w:val="single" w:sz="4" w:space="0" w:color="EFF4F9" w:themeColor="accent2" w:themeTint="66"/>
      </w:tblBorders>
    </w:tblPr>
    <w:tblStylePr w:type="firstRow">
      <w:rPr>
        <w:b/>
        <w:bCs/>
      </w:rPr>
      <w:tblPr/>
      <w:tcPr>
        <w:tcBorders>
          <w:bottom w:val="single" w:sz="12" w:space="0" w:color="E7EFF6" w:themeColor="accent2" w:themeTint="99"/>
        </w:tcBorders>
      </w:tcPr>
    </w:tblStylePr>
    <w:tblStylePr w:type="lastRow">
      <w:rPr>
        <w:b/>
        <w:bCs/>
      </w:rPr>
      <w:tblPr/>
      <w:tcPr>
        <w:tcBorders>
          <w:top w:val="double" w:sz="2" w:space="0" w:color="E7EF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079C8"/>
    <w:pPr>
      <w:spacing w:line="240" w:lineRule="auto"/>
    </w:pPr>
    <w:tblPr>
      <w:tblStyleRowBandSize w:val="1"/>
      <w:tblStyleColBandSize w:val="1"/>
      <w:tblBorders>
        <w:top w:val="single" w:sz="4" w:space="0" w:color="97A8B7" w:themeColor="accent3" w:themeTint="66"/>
        <w:left w:val="single" w:sz="4" w:space="0" w:color="97A8B7" w:themeColor="accent3" w:themeTint="66"/>
        <w:bottom w:val="single" w:sz="4" w:space="0" w:color="97A8B7" w:themeColor="accent3" w:themeTint="66"/>
        <w:right w:val="single" w:sz="4" w:space="0" w:color="97A8B7" w:themeColor="accent3" w:themeTint="66"/>
        <w:insideH w:val="single" w:sz="4" w:space="0" w:color="97A8B7" w:themeColor="accent3" w:themeTint="66"/>
        <w:insideV w:val="single" w:sz="4" w:space="0" w:color="97A8B7" w:themeColor="accent3" w:themeTint="66"/>
      </w:tblBorders>
    </w:tblPr>
    <w:tblStylePr w:type="firstRow">
      <w:rPr>
        <w:b/>
        <w:bCs/>
      </w:rPr>
      <w:tblPr/>
      <w:tcPr>
        <w:tcBorders>
          <w:bottom w:val="single" w:sz="12" w:space="0" w:color="657D91" w:themeColor="accent3" w:themeTint="99"/>
        </w:tcBorders>
      </w:tcPr>
    </w:tblStylePr>
    <w:tblStylePr w:type="lastRow">
      <w:rPr>
        <w:b/>
        <w:bCs/>
      </w:rPr>
      <w:tblPr/>
      <w:tcPr>
        <w:tcBorders>
          <w:top w:val="double" w:sz="2" w:space="0" w:color="657D9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079C8"/>
    <w:pPr>
      <w:spacing w:line="240" w:lineRule="auto"/>
    </w:pPr>
    <w:tblPr>
      <w:tblStyleRowBandSize w:val="1"/>
      <w:tblStyleColBandSize w:val="1"/>
      <w:tblBorders>
        <w:top w:val="single" w:sz="4" w:space="0" w:color="A4B2BE" w:themeColor="accent4" w:themeTint="66"/>
        <w:left w:val="single" w:sz="4" w:space="0" w:color="A4B2BE" w:themeColor="accent4" w:themeTint="66"/>
        <w:bottom w:val="single" w:sz="4" w:space="0" w:color="A4B2BE" w:themeColor="accent4" w:themeTint="66"/>
        <w:right w:val="single" w:sz="4" w:space="0" w:color="A4B2BE" w:themeColor="accent4" w:themeTint="66"/>
        <w:insideH w:val="single" w:sz="4" w:space="0" w:color="A4B2BE" w:themeColor="accent4" w:themeTint="66"/>
        <w:insideV w:val="single" w:sz="4" w:space="0" w:color="A4B2BE" w:themeColor="accent4" w:themeTint="66"/>
      </w:tblBorders>
    </w:tblPr>
    <w:tblStylePr w:type="firstRow">
      <w:rPr>
        <w:b/>
        <w:bCs/>
      </w:rPr>
      <w:tblPr/>
      <w:tcPr>
        <w:tcBorders>
          <w:bottom w:val="single" w:sz="12" w:space="0" w:color="778B9E" w:themeColor="accent4" w:themeTint="99"/>
        </w:tcBorders>
      </w:tcPr>
    </w:tblStylePr>
    <w:tblStylePr w:type="lastRow">
      <w:rPr>
        <w:b/>
        <w:bCs/>
      </w:rPr>
      <w:tblPr/>
      <w:tcPr>
        <w:tcBorders>
          <w:top w:val="double" w:sz="2" w:space="0" w:color="778B9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079C8"/>
    <w:pPr>
      <w:spacing w:line="240" w:lineRule="auto"/>
    </w:pPr>
    <w:tblPr>
      <w:tblStyleRowBandSize w:val="1"/>
      <w:tblStyleColBandSize w:val="1"/>
      <w:tblBorders>
        <w:top w:val="single" w:sz="4" w:space="0" w:color="EFEFEE" w:themeColor="accent5" w:themeTint="66"/>
        <w:left w:val="single" w:sz="4" w:space="0" w:color="EFEFEE" w:themeColor="accent5" w:themeTint="66"/>
        <w:bottom w:val="single" w:sz="4" w:space="0" w:color="EFEFEE" w:themeColor="accent5" w:themeTint="66"/>
        <w:right w:val="single" w:sz="4" w:space="0" w:color="EFEFEE" w:themeColor="accent5" w:themeTint="66"/>
        <w:insideH w:val="single" w:sz="4" w:space="0" w:color="EFEFEE" w:themeColor="accent5" w:themeTint="66"/>
        <w:insideV w:val="single" w:sz="4" w:space="0" w:color="EFEFEE" w:themeColor="accent5" w:themeTint="66"/>
      </w:tblBorders>
    </w:tblPr>
    <w:tblStylePr w:type="firstRow">
      <w:rPr>
        <w:b/>
        <w:bCs/>
      </w:rPr>
      <w:tblPr/>
      <w:tcPr>
        <w:tcBorders>
          <w:bottom w:val="single" w:sz="12" w:space="0" w:color="E8E8E6" w:themeColor="accent5" w:themeTint="99"/>
        </w:tcBorders>
      </w:tcPr>
    </w:tblStylePr>
    <w:tblStylePr w:type="lastRow">
      <w:rPr>
        <w:b/>
        <w:bCs/>
      </w:rPr>
      <w:tblPr/>
      <w:tcPr>
        <w:tcBorders>
          <w:top w:val="double" w:sz="2" w:space="0" w:color="E8E8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079C8"/>
    <w:pPr>
      <w:spacing w:line="240" w:lineRule="auto"/>
    </w:pPr>
    <w:tblPr>
      <w:tblStyleRowBandSize w:val="1"/>
      <w:tblStyleColBandSize w:val="1"/>
      <w:tblBorders>
        <w:top w:val="single" w:sz="4" w:space="0" w:color="F8F7F6" w:themeColor="accent6" w:themeTint="66"/>
        <w:left w:val="single" w:sz="4" w:space="0" w:color="F8F7F6" w:themeColor="accent6" w:themeTint="66"/>
        <w:bottom w:val="single" w:sz="4" w:space="0" w:color="F8F7F6" w:themeColor="accent6" w:themeTint="66"/>
        <w:right w:val="single" w:sz="4" w:space="0" w:color="F8F7F6" w:themeColor="accent6" w:themeTint="66"/>
        <w:insideH w:val="single" w:sz="4" w:space="0" w:color="F8F7F6" w:themeColor="accent6" w:themeTint="66"/>
        <w:insideV w:val="single" w:sz="4" w:space="0" w:color="F8F7F6" w:themeColor="accent6" w:themeTint="66"/>
      </w:tblBorders>
    </w:tblPr>
    <w:tblStylePr w:type="firstRow">
      <w:rPr>
        <w:b/>
        <w:bCs/>
      </w:rPr>
      <w:tblPr/>
      <w:tcPr>
        <w:tcBorders>
          <w:bottom w:val="single" w:sz="12" w:space="0" w:color="F5F3F2" w:themeColor="accent6" w:themeTint="99"/>
        </w:tcBorders>
      </w:tcPr>
    </w:tblStylePr>
    <w:tblStylePr w:type="lastRow">
      <w:rPr>
        <w:b/>
        <w:bCs/>
      </w:rPr>
      <w:tblPr/>
      <w:tcPr>
        <w:tcBorders>
          <w:top w:val="double" w:sz="2" w:space="0" w:color="F5F3F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079C8"/>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079C8"/>
    <w:pPr>
      <w:spacing w:line="240" w:lineRule="auto"/>
    </w:pPr>
    <w:tblPr>
      <w:tblStyleRowBandSize w:val="1"/>
      <w:tblStyleColBandSize w:val="1"/>
      <w:tblBorders>
        <w:top w:val="single" w:sz="2" w:space="0" w:color="FB8D88" w:themeColor="accent1" w:themeTint="99"/>
        <w:bottom w:val="single" w:sz="2" w:space="0" w:color="FB8D88" w:themeColor="accent1" w:themeTint="99"/>
        <w:insideH w:val="single" w:sz="2" w:space="0" w:color="FB8D88" w:themeColor="accent1" w:themeTint="99"/>
        <w:insideV w:val="single" w:sz="2" w:space="0" w:color="FB8D88" w:themeColor="accent1" w:themeTint="99"/>
      </w:tblBorders>
    </w:tblPr>
    <w:tblStylePr w:type="firstRow">
      <w:rPr>
        <w:b/>
        <w:bCs/>
      </w:rPr>
      <w:tblPr/>
      <w:tcPr>
        <w:tcBorders>
          <w:top w:val="nil"/>
          <w:bottom w:val="single" w:sz="12" w:space="0" w:color="FB8D88" w:themeColor="accent1" w:themeTint="99"/>
          <w:insideH w:val="nil"/>
          <w:insideV w:val="nil"/>
        </w:tcBorders>
        <w:shd w:val="clear" w:color="auto" w:fill="FFFFFF" w:themeFill="background1"/>
      </w:tcPr>
    </w:tblStylePr>
    <w:tblStylePr w:type="lastRow">
      <w:rPr>
        <w:b/>
        <w:bCs/>
      </w:rPr>
      <w:tblPr/>
      <w:tcPr>
        <w:tcBorders>
          <w:top w:val="double" w:sz="2" w:space="0" w:color="FB8D8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GridTable2-Accent2">
    <w:name w:val="Grid Table 2 Accent 2"/>
    <w:basedOn w:val="TableNormal"/>
    <w:uiPriority w:val="47"/>
    <w:rsid w:val="007079C8"/>
    <w:pPr>
      <w:spacing w:line="240" w:lineRule="auto"/>
    </w:pPr>
    <w:tblPr>
      <w:tblStyleRowBandSize w:val="1"/>
      <w:tblStyleColBandSize w:val="1"/>
      <w:tblBorders>
        <w:top w:val="single" w:sz="2" w:space="0" w:color="E7EFF6" w:themeColor="accent2" w:themeTint="99"/>
        <w:bottom w:val="single" w:sz="2" w:space="0" w:color="E7EFF6" w:themeColor="accent2" w:themeTint="99"/>
        <w:insideH w:val="single" w:sz="2" w:space="0" w:color="E7EFF6" w:themeColor="accent2" w:themeTint="99"/>
        <w:insideV w:val="single" w:sz="2" w:space="0" w:color="E7EFF6" w:themeColor="accent2" w:themeTint="99"/>
      </w:tblBorders>
    </w:tblPr>
    <w:tblStylePr w:type="firstRow">
      <w:rPr>
        <w:b/>
        <w:bCs/>
      </w:rPr>
      <w:tblPr/>
      <w:tcPr>
        <w:tcBorders>
          <w:top w:val="nil"/>
          <w:bottom w:val="single" w:sz="12" w:space="0" w:color="E7EFF6" w:themeColor="accent2" w:themeTint="99"/>
          <w:insideH w:val="nil"/>
          <w:insideV w:val="nil"/>
        </w:tcBorders>
        <w:shd w:val="clear" w:color="auto" w:fill="FFFFFF" w:themeFill="background1"/>
      </w:tcPr>
    </w:tblStylePr>
    <w:tblStylePr w:type="lastRow">
      <w:rPr>
        <w:b/>
        <w:bCs/>
      </w:rPr>
      <w:tblPr/>
      <w:tcPr>
        <w:tcBorders>
          <w:top w:val="double" w:sz="2" w:space="0" w:color="E7EF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GridTable2-Accent3">
    <w:name w:val="Grid Table 2 Accent 3"/>
    <w:basedOn w:val="TableNormal"/>
    <w:uiPriority w:val="47"/>
    <w:rsid w:val="007079C8"/>
    <w:pPr>
      <w:spacing w:line="240" w:lineRule="auto"/>
    </w:pPr>
    <w:tblPr>
      <w:tblStyleRowBandSize w:val="1"/>
      <w:tblStyleColBandSize w:val="1"/>
      <w:tblBorders>
        <w:top w:val="single" w:sz="2" w:space="0" w:color="657D91" w:themeColor="accent3" w:themeTint="99"/>
        <w:bottom w:val="single" w:sz="2" w:space="0" w:color="657D91" w:themeColor="accent3" w:themeTint="99"/>
        <w:insideH w:val="single" w:sz="2" w:space="0" w:color="657D91" w:themeColor="accent3" w:themeTint="99"/>
        <w:insideV w:val="single" w:sz="2" w:space="0" w:color="657D91" w:themeColor="accent3" w:themeTint="99"/>
      </w:tblBorders>
    </w:tblPr>
    <w:tblStylePr w:type="firstRow">
      <w:rPr>
        <w:b/>
        <w:bCs/>
      </w:rPr>
      <w:tblPr/>
      <w:tcPr>
        <w:tcBorders>
          <w:top w:val="nil"/>
          <w:bottom w:val="single" w:sz="12" w:space="0" w:color="657D91" w:themeColor="accent3" w:themeTint="99"/>
          <w:insideH w:val="nil"/>
          <w:insideV w:val="nil"/>
        </w:tcBorders>
        <w:shd w:val="clear" w:color="auto" w:fill="FFFFFF" w:themeFill="background1"/>
      </w:tcPr>
    </w:tblStylePr>
    <w:tblStylePr w:type="lastRow">
      <w:rPr>
        <w:b/>
        <w:bCs/>
      </w:rPr>
      <w:tblPr/>
      <w:tcPr>
        <w:tcBorders>
          <w:top w:val="double" w:sz="2" w:space="0" w:color="657D9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GridTable2-Accent4">
    <w:name w:val="Grid Table 2 Accent 4"/>
    <w:basedOn w:val="TableNormal"/>
    <w:uiPriority w:val="47"/>
    <w:rsid w:val="007079C8"/>
    <w:pPr>
      <w:spacing w:line="240" w:lineRule="auto"/>
    </w:pPr>
    <w:tblPr>
      <w:tblStyleRowBandSize w:val="1"/>
      <w:tblStyleColBandSize w:val="1"/>
      <w:tblBorders>
        <w:top w:val="single" w:sz="2" w:space="0" w:color="778B9E" w:themeColor="accent4" w:themeTint="99"/>
        <w:bottom w:val="single" w:sz="2" w:space="0" w:color="778B9E" w:themeColor="accent4" w:themeTint="99"/>
        <w:insideH w:val="single" w:sz="2" w:space="0" w:color="778B9E" w:themeColor="accent4" w:themeTint="99"/>
        <w:insideV w:val="single" w:sz="2" w:space="0" w:color="778B9E" w:themeColor="accent4" w:themeTint="99"/>
      </w:tblBorders>
    </w:tblPr>
    <w:tblStylePr w:type="firstRow">
      <w:rPr>
        <w:b/>
        <w:bCs/>
      </w:rPr>
      <w:tblPr/>
      <w:tcPr>
        <w:tcBorders>
          <w:top w:val="nil"/>
          <w:bottom w:val="single" w:sz="12" w:space="0" w:color="778B9E" w:themeColor="accent4" w:themeTint="99"/>
          <w:insideH w:val="nil"/>
          <w:insideV w:val="nil"/>
        </w:tcBorders>
        <w:shd w:val="clear" w:color="auto" w:fill="FFFFFF" w:themeFill="background1"/>
      </w:tcPr>
    </w:tblStylePr>
    <w:tblStylePr w:type="lastRow">
      <w:rPr>
        <w:b/>
        <w:bCs/>
      </w:rPr>
      <w:tblPr/>
      <w:tcPr>
        <w:tcBorders>
          <w:top w:val="double" w:sz="2" w:space="0" w:color="778B9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GridTable2-Accent5">
    <w:name w:val="Grid Table 2 Accent 5"/>
    <w:basedOn w:val="TableNormal"/>
    <w:uiPriority w:val="47"/>
    <w:rsid w:val="007079C8"/>
    <w:pPr>
      <w:spacing w:line="240" w:lineRule="auto"/>
    </w:pPr>
    <w:tblPr>
      <w:tblStyleRowBandSize w:val="1"/>
      <w:tblStyleColBandSize w:val="1"/>
      <w:tblBorders>
        <w:top w:val="single" w:sz="2" w:space="0" w:color="E8E8E6" w:themeColor="accent5" w:themeTint="99"/>
        <w:bottom w:val="single" w:sz="2" w:space="0" w:color="E8E8E6" w:themeColor="accent5" w:themeTint="99"/>
        <w:insideH w:val="single" w:sz="2" w:space="0" w:color="E8E8E6" w:themeColor="accent5" w:themeTint="99"/>
        <w:insideV w:val="single" w:sz="2" w:space="0" w:color="E8E8E6" w:themeColor="accent5" w:themeTint="99"/>
      </w:tblBorders>
    </w:tblPr>
    <w:tblStylePr w:type="firstRow">
      <w:rPr>
        <w:b/>
        <w:bCs/>
      </w:rPr>
      <w:tblPr/>
      <w:tcPr>
        <w:tcBorders>
          <w:top w:val="nil"/>
          <w:bottom w:val="single" w:sz="12" w:space="0" w:color="E8E8E6" w:themeColor="accent5" w:themeTint="99"/>
          <w:insideH w:val="nil"/>
          <w:insideV w:val="nil"/>
        </w:tcBorders>
        <w:shd w:val="clear" w:color="auto" w:fill="FFFFFF" w:themeFill="background1"/>
      </w:tcPr>
    </w:tblStylePr>
    <w:tblStylePr w:type="lastRow">
      <w:rPr>
        <w:b/>
        <w:bCs/>
      </w:rPr>
      <w:tblPr/>
      <w:tcPr>
        <w:tcBorders>
          <w:top w:val="double" w:sz="2" w:space="0" w:color="E8E8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GridTable2-Accent6">
    <w:name w:val="Grid Table 2 Accent 6"/>
    <w:basedOn w:val="TableNormal"/>
    <w:uiPriority w:val="47"/>
    <w:rsid w:val="007079C8"/>
    <w:pPr>
      <w:spacing w:line="240" w:lineRule="auto"/>
    </w:pPr>
    <w:tblPr>
      <w:tblStyleRowBandSize w:val="1"/>
      <w:tblStyleColBandSize w:val="1"/>
      <w:tblBorders>
        <w:top w:val="single" w:sz="2" w:space="0" w:color="F5F3F2" w:themeColor="accent6" w:themeTint="99"/>
        <w:bottom w:val="single" w:sz="2" w:space="0" w:color="F5F3F2" w:themeColor="accent6" w:themeTint="99"/>
        <w:insideH w:val="single" w:sz="2" w:space="0" w:color="F5F3F2" w:themeColor="accent6" w:themeTint="99"/>
        <w:insideV w:val="single" w:sz="2" w:space="0" w:color="F5F3F2" w:themeColor="accent6" w:themeTint="99"/>
      </w:tblBorders>
    </w:tblPr>
    <w:tblStylePr w:type="firstRow">
      <w:rPr>
        <w:b/>
        <w:bCs/>
      </w:rPr>
      <w:tblPr/>
      <w:tcPr>
        <w:tcBorders>
          <w:top w:val="nil"/>
          <w:bottom w:val="single" w:sz="12" w:space="0" w:color="F5F3F2" w:themeColor="accent6" w:themeTint="99"/>
          <w:insideH w:val="nil"/>
          <w:insideV w:val="nil"/>
        </w:tcBorders>
        <w:shd w:val="clear" w:color="auto" w:fill="FFFFFF" w:themeFill="background1"/>
      </w:tcPr>
    </w:tblStylePr>
    <w:tblStylePr w:type="lastRow">
      <w:rPr>
        <w:b/>
        <w:bCs/>
      </w:rPr>
      <w:tblPr/>
      <w:tcPr>
        <w:tcBorders>
          <w:top w:val="double" w:sz="2" w:space="0" w:color="F5F3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GridTable3">
    <w:name w:val="Grid Table 3"/>
    <w:basedOn w:val="TableNormal"/>
    <w:uiPriority w:val="48"/>
    <w:rsid w:val="007079C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079C8"/>
    <w:pPr>
      <w:spacing w:line="240" w:lineRule="auto"/>
    </w:p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bottom w:val="single" w:sz="4" w:space="0" w:color="FB8D88" w:themeColor="accent1" w:themeTint="99"/>
        </w:tcBorders>
      </w:tcPr>
    </w:tblStylePr>
    <w:tblStylePr w:type="nwCell">
      <w:tblPr/>
      <w:tcPr>
        <w:tcBorders>
          <w:bottom w:val="single" w:sz="4" w:space="0" w:color="FB8D88" w:themeColor="accent1" w:themeTint="99"/>
        </w:tcBorders>
      </w:tcPr>
    </w:tblStylePr>
    <w:tblStylePr w:type="seCell">
      <w:tblPr/>
      <w:tcPr>
        <w:tcBorders>
          <w:top w:val="single" w:sz="4" w:space="0" w:color="FB8D88" w:themeColor="accent1" w:themeTint="99"/>
        </w:tcBorders>
      </w:tcPr>
    </w:tblStylePr>
    <w:tblStylePr w:type="swCell">
      <w:tblPr/>
      <w:tcPr>
        <w:tcBorders>
          <w:top w:val="single" w:sz="4" w:space="0" w:color="FB8D88" w:themeColor="accent1" w:themeTint="99"/>
        </w:tcBorders>
      </w:tcPr>
    </w:tblStylePr>
  </w:style>
  <w:style w:type="table" w:styleId="GridTable3-Accent2">
    <w:name w:val="Grid Table 3 Accent 2"/>
    <w:basedOn w:val="TableNormal"/>
    <w:uiPriority w:val="48"/>
    <w:rsid w:val="007079C8"/>
    <w:pPr>
      <w:spacing w:line="240" w:lineRule="auto"/>
    </w:pPr>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9FC" w:themeFill="accent2" w:themeFillTint="33"/>
      </w:tcPr>
    </w:tblStylePr>
    <w:tblStylePr w:type="band1Horz">
      <w:tblPr/>
      <w:tcPr>
        <w:shd w:val="clear" w:color="auto" w:fill="F7F9FC" w:themeFill="accent2" w:themeFillTint="33"/>
      </w:tcPr>
    </w:tblStylePr>
    <w:tblStylePr w:type="neCell">
      <w:tblPr/>
      <w:tcPr>
        <w:tcBorders>
          <w:bottom w:val="single" w:sz="4" w:space="0" w:color="E7EFF6" w:themeColor="accent2" w:themeTint="99"/>
        </w:tcBorders>
      </w:tcPr>
    </w:tblStylePr>
    <w:tblStylePr w:type="nwCell">
      <w:tblPr/>
      <w:tcPr>
        <w:tcBorders>
          <w:bottom w:val="single" w:sz="4" w:space="0" w:color="E7EFF6" w:themeColor="accent2" w:themeTint="99"/>
        </w:tcBorders>
      </w:tcPr>
    </w:tblStylePr>
    <w:tblStylePr w:type="seCell">
      <w:tblPr/>
      <w:tcPr>
        <w:tcBorders>
          <w:top w:val="single" w:sz="4" w:space="0" w:color="E7EFF6" w:themeColor="accent2" w:themeTint="99"/>
        </w:tcBorders>
      </w:tcPr>
    </w:tblStylePr>
    <w:tblStylePr w:type="swCell">
      <w:tblPr/>
      <w:tcPr>
        <w:tcBorders>
          <w:top w:val="single" w:sz="4" w:space="0" w:color="E7EFF6" w:themeColor="accent2" w:themeTint="99"/>
        </w:tcBorders>
      </w:tcPr>
    </w:tblStylePr>
  </w:style>
  <w:style w:type="table" w:styleId="GridTable3-Accent3">
    <w:name w:val="Grid Table 3 Accent 3"/>
    <w:basedOn w:val="TableNormal"/>
    <w:uiPriority w:val="48"/>
    <w:rsid w:val="007079C8"/>
    <w:pPr>
      <w:spacing w:line="240" w:lineRule="auto"/>
    </w:pPr>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D3DB" w:themeFill="accent3" w:themeFillTint="33"/>
      </w:tcPr>
    </w:tblStylePr>
    <w:tblStylePr w:type="band1Horz">
      <w:tblPr/>
      <w:tcPr>
        <w:shd w:val="clear" w:color="auto" w:fill="CBD3DB" w:themeFill="accent3" w:themeFillTint="33"/>
      </w:tcPr>
    </w:tblStylePr>
    <w:tblStylePr w:type="neCell">
      <w:tblPr/>
      <w:tcPr>
        <w:tcBorders>
          <w:bottom w:val="single" w:sz="4" w:space="0" w:color="657D91" w:themeColor="accent3" w:themeTint="99"/>
        </w:tcBorders>
      </w:tcPr>
    </w:tblStylePr>
    <w:tblStylePr w:type="nwCell">
      <w:tblPr/>
      <w:tcPr>
        <w:tcBorders>
          <w:bottom w:val="single" w:sz="4" w:space="0" w:color="657D91" w:themeColor="accent3" w:themeTint="99"/>
        </w:tcBorders>
      </w:tcPr>
    </w:tblStylePr>
    <w:tblStylePr w:type="seCell">
      <w:tblPr/>
      <w:tcPr>
        <w:tcBorders>
          <w:top w:val="single" w:sz="4" w:space="0" w:color="657D91" w:themeColor="accent3" w:themeTint="99"/>
        </w:tcBorders>
      </w:tcPr>
    </w:tblStylePr>
    <w:tblStylePr w:type="swCell">
      <w:tblPr/>
      <w:tcPr>
        <w:tcBorders>
          <w:top w:val="single" w:sz="4" w:space="0" w:color="657D91" w:themeColor="accent3" w:themeTint="99"/>
        </w:tcBorders>
      </w:tcPr>
    </w:tblStylePr>
  </w:style>
  <w:style w:type="table" w:styleId="GridTable3-Accent4">
    <w:name w:val="Grid Table 3 Accent 4"/>
    <w:basedOn w:val="TableNormal"/>
    <w:uiPriority w:val="48"/>
    <w:rsid w:val="007079C8"/>
    <w:pPr>
      <w:spacing w:line="240" w:lineRule="auto"/>
    </w:pPr>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8DE" w:themeFill="accent4" w:themeFillTint="33"/>
      </w:tcPr>
    </w:tblStylePr>
    <w:tblStylePr w:type="band1Horz">
      <w:tblPr/>
      <w:tcPr>
        <w:shd w:val="clear" w:color="auto" w:fill="D1D8DE" w:themeFill="accent4" w:themeFillTint="33"/>
      </w:tcPr>
    </w:tblStylePr>
    <w:tblStylePr w:type="neCell">
      <w:tblPr/>
      <w:tcPr>
        <w:tcBorders>
          <w:bottom w:val="single" w:sz="4" w:space="0" w:color="778B9E" w:themeColor="accent4" w:themeTint="99"/>
        </w:tcBorders>
      </w:tcPr>
    </w:tblStylePr>
    <w:tblStylePr w:type="nwCell">
      <w:tblPr/>
      <w:tcPr>
        <w:tcBorders>
          <w:bottom w:val="single" w:sz="4" w:space="0" w:color="778B9E" w:themeColor="accent4" w:themeTint="99"/>
        </w:tcBorders>
      </w:tcPr>
    </w:tblStylePr>
    <w:tblStylePr w:type="seCell">
      <w:tblPr/>
      <w:tcPr>
        <w:tcBorders>
          <w:top w:val="single" w:sz="4" w:space="0" w:color="778B9E" w:themeColor="accent4" w:themeTint="99"/>
        </w:tcBorders>
      </w:tcPr>
    </w:tblStylePr>
    <w:tblStylePr w:type="swCell">
      <w:tblPr/>
      <w:tcPr>
        <w:tcBorders>
          <w:top w:val="single" w:sz="4" w:space="0" w:color="778B9E" w:themeColor="accent4" w:themeTint="99"/>
        </w:tcBorders>
      </w:tcPr>
    </w:tblStylePr>
  </w:style>
  <w:style w:type="table" w:styleId="GridTable3-Accent5">
    <w:name w:val="Grid Table 3 Accent 5"/>
    <w:basedOn w:val="TableNormal"/>
    <w:uiPriority w:val="48"/>
    <w:rsid w:val="007079C8"/>
    <w:pPr>
      <w:spacing w:line="240" w:lineRule="auto"/>
    </w:pPr>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6" w:themeFill="accent5" w:themeFillTint="33"/>
      </w:tcPr>
    </w:tblStylePr>
    <w:tblStylePr w:type="band1Horz">
      <w:tblPr/>
      <w:tcPr>
        <w:shd w:val="clear" w:color="auto" w:fill="F7F7F6" w:themeFill="accent5" w:themeFillTint="33"/>
      </w:tcPr>
    </w:tblStylePr>
    <w:tblStylePr w:type="neCell">
      <w:tblPr/>
      <w:tcPr>
        <w:tcBorders>
          <w:bottom w:val="single" w:sz="4" w:space="0" w:color="E8E8E6" w:themeColor="accent5" w:themeTint="99"/>
        </w:tcBorders>
      </w:tcPr>
    </w:tblStylePr>
    <w:tblStylePr w:type="nwCell">
      <w:tblPr/>
      <w:tcPr>
        <w:tcBorders>
          <w:bottom w:val="single" w:sz="4" w:space="0" w:color="E8E8E6" w:themeColor="accent5" w:themeTint="99"/>
        </w:tcBorders>
      </w:tcPr>
    </w:tblStylePr>
    <w:tblStylePr w:type="seCell">
      <w:tblPr/>
      <w:tcPr>
        <w:tcBorders>
          <w:top w:val="single" w:sz="4" w:space="0" w:color="E8E8E6" w:themeColor="accent5" w:themeTint="99"/>
        </w:tcBorders>
      </w:tcPr>
    </w:tblStylePr>
    <w:tblStylePr w:type="swCell">
      <w:tblPr/>
      <w:tcPr>
        <w:tcBorders>
          <w:top w:val="single" w:sz="4" w:space="0" w:color="E8E8E6" w:themeColor="accent5" w:themeTint="99"/>
        </w:tcBorders>
      </w:tcPr>
    </w:tblStylePr>
  </w:style>
  <w:style w:type="table" w:styleId="GridTable3-Accent6">
    <w:name w:val="Grid Table 3 Accent 6"/>
    <w:basedOn w:val="TableNormal"/>
    <w:uiPriority w:val="48"/>
    <w:rsid w:val="007079C8"/>
    <w:pPr>
      <w:spacing w:line="240" w:lineRule="auto"/>
    </w:pPr>
    <w:tblPr>
      <w:tblStyleRowBandSize w:val="1"/>
      <w:tblStyleColBandSize w:val="1"/>
      <w:tblBorders>
        <w:top w:val="single" w:sz="4" w:space="0" w:color="F5F3F2" w:themeColor="accent6" w:themeTint="99"/>
        <w:left w:val="single" w:sz="4" w:space="0" w:color="F5F3F2" w:themeColor="accent6" w:themeTint="99"/>
        <w:bottom w:val="single" w:sz="4" w:space="0" w:color="F5F3F2" w:themeColor="accent6" w:themeTint="99"/>
        <w:right w:val="single" w:sz="4" w:space="0" w:color="F5F3F2" w:themeColor="accent6" w:themeTint="99"/>
        <w:insideH w:val="single" w:sz="4" w:space="0" w:color="F5F3F2" w:themeColor="accent6" w:themeTint="99"/>
        <w:insideV w:val="single" w:sz="4" w:space="0" w:color="F5F3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A" w:themeFill="accent6" w:themeFillTint="33"/>
      </w:tcPr>
    </w:tblStylePr>
    <w:tblStylePr w:type="band1Horz">
      <w:tblPr/>
      <w:tcPr>
        <w:shd w:val="clear" w:color="auto" w:fill="FBFBFA" w:themeFill="accent6" w:themeFillTint="33"/>
      </w:tcPr>
    </w:tblStylePr>
    <w:tblStylePr w:type="neCell">
      <w:tblPr/>
      <w:tcPr>
        <w:tcBorders>
          <w:bottom w:val="single" w:sz="4" w:space="0" w:color="F5F3F2" w:themeColor="accent6" w:themeTint="99"/>
        </w:tcBorders>
      </w:tcPr>
    </w:tblStylePr>
    <w:tblStylePr w:type="nwCell">
      <w:tblPr/>
      <w:tcPr>
        <w:tcBorders>
          <w:bottom w:val="single" w:sz="4" w:space="0" w:color="F5F3F2" w:themeColor="accent6" w:themeTint="99"/>
        </w:tcBorders>
      </w:tcPr>
    </w:tblStylePr>
    <w:tblStylePr w:type="seCell">
      <w:tblPr/>
      <w:tcPr>
        <w:tcBorders>
          <w:top w:val="single" w:sz="4" w:space="0" w:color="F5F3F2" w:themeColor="accent6" w:themeTint="99"/>
        </w:tcBorders>
      </w:tcPr>
    </w:tblStylePr>
    <w:tblStylePr w:type="swCell">
      <w:tblPr/>
      <w:tcPr>
        <w:tcBorders>
          <w:top w:val="single" w:sz="4" w:space="0" w:color="F5F3F2" w:themeColor="accent6" w:themeTint="99"/>
        </w:tcBorders>
      </w:tcPr>
    </w:tblStylePr>
  </w:style>
  <w:style w:type="table" w:styleId="GridTable4">
    <w:name w:val="Grid Table 4"/>
    <w:basedOn w:val="TableNormal"/>
    <w:uiPriority w:val="49"/>
    <w:rsid w:val="007079C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079C8"/>
    <w:pPr>
      <w:spacing w:line="240" w:lineRule="auto"/>
    </w:p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color w:val="FFFFFF" w:themeColor="background1"/>
      </w:rPr>
      <w:tblPr/>
      <w:tcPr>
        <w:tcBorders>
          <w:top w:val="single" w:sz="4" w:space="0" w:color="F9423A" w:themeColor="accent1"/>
          <w:left w:val="single" w:sz="4" w:space="0" w:color="F9423A" w:themeColor="accent1"/>
          <w:bottom w:val="single" w:sz="4" w:space="0" w:color="F9423A" w:themeColor="accent1"/>
          <w:right w:val="single" w:sz="4" w:space="0" w:color="F9423A" w:themeColor="accent1"/>
          <w:insideH w:val="nil"/>
          <w:insideV w:val="nil"/>
        </w:tcBorders>
        <w:shd w:val="clear" w:color="auto" w:fill="F9423A" w:themeFill="accent1"/>
      </w:tcPr>
    </w:tblStylePr>
    <w:tblStylePr w:type="lastRow">
      <w:rPr>
        <w:b/>
        <w:bCs/>
      </w:rPr>
      <w:tblPr/>
      <w:tcPr>
        <w:tcBorders>
          <w:top w:val="double" w:sz="4" w:space="0" w:color="F9423A" w:themeColor="accent1"/>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GridTable4-Accent2">
    <w:name w:val="Grid Table 4 Accent 2"/>
    <w:basedOn w:val="TableNormal"/>
    <w:uiPriority w:val="49"/>
    <w:rsid w:val="007079C8"/>
    <w:pPr>
      <w:spacing w:line="240" w:lineRule="auto"/>
    </w:pPr>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color w:val="FFFFFF" w:themeColor="background1"/>
      </w:rPr>
      <w:tblPr/>
      <w:tcPr>
        <w:tcBorders>
          <w:top w:val="single" w:sz="4" w:space="0" w:color="D8E6F0" w:themeColor="accent2"/>
          <w:left w:val="single" w:sz="4" w:space="0" w:color="D8E6F0" w:themeColor="accent2"/>
          <w:bottom w:val="single" w:sz="4" w:space="0" w:color="D8E6F0" w:themeColor="accent2"/>
          <w:right w:val="single" w:sz="4" w:space="0" w:color="D8E6F0" w:themeColor="accent2"/>
          <w:insideH w:val="nil"/>
          <w:insideV w:val="nil"/>
        </w:tcBorders>
        <w:shd w:val="clear" w:color="auto" w:fill="D8E6F0" w:themeFill="accent2"/>
      </w:tcPr>
    </w:tblStylePr>
    <w:tblStylePr w:type="lastRow">
      <w:rPr>
        <w:b/>
        <w:bCs/>
      </w:rPr>
      <w:tblPr/>
      <w:tcPr>
        <w:tcBorders>
          <w:top w:val="double" w:sz="4" w:space="0" w:color="D8E6F0" w:themeColor="accent2"/>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GridTable4-Accent3">
    <w:name w:val="Grid Table 4 Accent 3"/>
    <w:basedOn w:val="TableNormal"/>
    <w:uiPriority w:val="49"/>
    <w:rsid w:val="007079C8"/>
    <w:pPr>
      <w:spacing w:line="240" w:lineRule="auto"/>
    </w:pPr>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color w:val="FFFFFF" w:themeColor="background1"/>
      </w:rPr>
      <w:tblPr/>
      <w:tcPr>
        <w:tcBorders>
          <w:top w:val="single" w:sz="4" w:space="0" w:color="1E252B" w:themeColor="accent3"/>
          <w:left w:val="single" w:sz="4" w:space="0" w:color="1E252B" w:themeColor="accent3"/>
          <w:bottom w:val="single" w:sz="4" w:space="0" w:color="1E252B" w:themeColor="accent3"/>
          <w:right w:val="single" w:sz="4" w:space="0" w:color="1E252B" w:themeColor="accent3"/>
          <w:insideH w:val="nil"/>
          <w:insideV w:val="nil"/>
        </w:tcBorders>
        <w:shd w:val="clear" w:color="auto" w:fill="1E252B" w:themeFill="accent3"/>
      </w:tcPr>
    </w:tblStylePr>
    <w:tblStylePr w:type="lastRow">
      <w:rPr>
        <w:b/>
        <w:bCs/>
      </w:rPr>
      <w:tblPr/>
      <w:tcPr>
        <w:tcBorders>
          <w:top w:val="double" w:sz="4" w:space="0" w:color="1E252B" w:themeColor="accent3"/>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GridTable4-Accent4">
    <w:name w:val="Grid Table 4 Accent 4"/>
    <w:basedOn w:val="TableNormal"/>
    <w:uiPriority w:val="49"/>
    <w:rsid w:val="007079C8"/>
    <w:pPr>
      <w:spacing w:line="240" w:lineRule="auto"/>
    </w:pPr>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color w:val="FFFFFF" w:themeColor="background1"/>
      </w:rPr>
      <w:tblPr/>
      <w:tcPr>
        <w:tcBorders>
          <w:top w:val="single" w:sz="4" w:space="0" w:color="333E48" w:themeColor="accent4"/>
          <w:left w:val="single" w:sz="4" w:space="0" w:color="333E48" w:themeColor="accent4"/>
          <w:bottom w:val="single" w:sz="4" w:space="0" w:color="333E48" w:themeColor="accent4"/>
          <w:right w:val="single" w:sz="4" w:space="0" w:color="333E48" w:themeColor="accent4"/>
          <w:insideH w:val="nil"/>
          <w:insideV w:val="nil"/>
        </w:tcBorders>
        <w:shd w:val="clear" w:color="auto" w:fill="333E48" w:themeFill="accent4"/>
      </w:tcPr>
    </w:tblStylePr>
    <w:tblStylePr w:type="lastRow">
      <w:rPr>
        <w:b/>
        <w:bCs/>
      </w:rPr>
      <w:tblPr/>
      <w:tcPr>
        <w:tcBorders>
          <w:top w:val="double" w:sz="4" w:space="0" w:color="333E48" w:themeColor="accent4"/>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GridTable4-Accent5">
    <w:name w:val="Grid Table 4 Accent 5"/>
    <w:basedOn w:val="TableNormal"/>
    <w:uiPriority w:val="49"/>
    <w:rsid w:val="007079C8"/>
    <w:pPr>
      <w:spacing w:line="240" w:lineRule="auto"/>
    </w:pPr>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color w:val="FFFFFF" w:themeColor="background1"/>
      </w:rPr>
      <w:tblPr/>
      <w:tcPr>
        <w:tcBorders>
          <w:top w:val="single" w:sz="4" w:space="0" w:color="D9D9D6" w:themeColor="accent5"/>
          <w:left w:val="single" w:sz="4" w:space="0" w:color="D9D9D6" w:themeColor="accent5"/>
          <w:bottom w:val="single" w:sz="4" w:space="0" w:color="D9D9D6" w:themeColor="accent5"/>
          <w:right w:val="single" w:sz="4" w:space="0" w:color="D9D9D6" w:themeColor="accent5"/>
          <w:insideH w:val="nil"/>
          <w:insideV w:val="nil"/>
        </w:tcBorders>
        <w:shd w:val="clear" w:color="auto" w:fill="D9D9D6" w:themeFill="accent5"/>
      </w:tcPr>
    </w:tblStylePr>
    <w:tblStylePr w:type="lastRow">
      <w:rPr>
        <w:b/>
        <w:bCs/>
      </w:rPr>
      <w:tblPr/>
      <w:tcPr>
        <w:tcBorders>
          <w:top w:val="double" w:sz="4" w:space="0" w:color="D9D9D6" w:themeColor="accent5"/>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GridTable4-Accent6">
    <w:name w:val="Grid Table 4 Accent 6"/>
    <w:basedOn w:val="TableNormal"/>
    <w:uiPriority w:val="49"/>
    <w:rsid w:val="007079C8"/>
    <w:pPr>
      <w:spacing w:line="240" w:lineRule="auto"/>
    </w:pPr>
    <w:tblPr>
      <w:tblStyleRowBandSize w:val="1"/>
      <w:tblStyleColBandSize w:val="1"/>
      <w:tblBorders>
        <w:top w:val="single" w:sz="4" w:space="0" w:color="F5F3F2" w:themeColor="accent6" w:themeTint="99"/>
        <w:left w:val="single" w:sz="4" w:space="0" w:color="F5F3F2" w:themeColor="accent6" w:themeTint="99"/>
        <w:bottom w:val="single" w:sz="4" w:space="0" w:color="F5F3F2" w:themeColor="accent6" w:themeTint="99"/>
        <w:right w:val="single" w:sz="4" w:space="0" w:color="F5F3F2" w:themeColor="accent6" w:themeTint="99"/>
        <w:insideH w:val="single" w:sz="4" w:space="0" w:color="F5F3F2" w:themeColor="accent6" w:themeTint="99"/>
        <w:insideV w:val="single" w:sz="4" w:space="0" w:color="F5F3F2" w:themeColor="accent6" w:themeTint="99"/>
      </w:tblBorders>
    </w:tblPr>
    <w:tblStylePr w:type="firstRow">
      <w:rPr>
        <w:b/>
        <w:bCs/>
        <w:color w:val="FFFFFF" w:themeColor="background1"/>
      </w:rPr>
      <w:tblPr/>
      <w:tcPr>
        <w:tcBorders>
          <w:top w:val="single" w:sz="4" w:space="0" w:color="EFECEA" w:themeColor="accent6"/>
          <w:left w:val="single" w:sz="4" w:space="0" w:color="EFECEA" w:themeColor="accent6"/>
          <w:bottom w:val="single" w:sz="4" w:space="0" w:color="EFECEA" w:themeColor="accent6"/>
          <w:right w:val="single" w:sz="4" w:space="0" w:color="EFECEA" w:themeColor="accent6"/>
          <w:insideH w:val="nil"/>
          <w:insideV w:val="nil"/>
        </w:tcBorders>
        <w:shd w:val="clear" w:color="auto" w:fill="EFECEA" w:themeFill="accent6"/>
      </w:tcPr>
    </w:tblStylePr>
    <w:tblStylePr w:type="lastRow">
      <w:rPr>
        <w:b/>
        <w:bCs/>
      </w:rPr>
      <w:tblPr/>
      <w:tcPr>
        <w:tcBorders>
          <w:top w:val="double" w:sz="4" w:space="0" w:color="EFECEA" w:themeColor="accent6"/>
        </w:tcBorders>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GridTable5Dark">
    <w:name w:val="Grid Table 5 Dark"/>
    <w:basedOn w:val="TableNormal"/>
    <w:uiPriority w:val="50"/>
    <w:rsid w:val="007079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079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9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423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423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423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423A" w:themeFill="accent1"/>
      </w:tcPr>
    </w:tblStylePr>
    <w:tblStylePr w:type="band1Vert">
      <w:tblPr/>
      <w:tcPr>
        <w:shd w:val="clear" w:color="auto" w:fill="FCB3B0" w:themeFill="accent1" w:themeFillTint="66"/>
      </w:tcPr>
    </w:tblStylePr>
    <w:tblStylePr w:type="band1Horz">
      <w:tblPr/>
      <w:tcPr>
        <w:shd w:val="clear" w:color="auto" w:fill="FCB3B0" w:themeFill="accent1" w:themeFillTint="66"/>
      </w:tcPr>
    </w:tblStylePr>
  </w:style>
  <w:style w:type="table" w:styleId="GridTable5Dark-Accent2">
    <w:name w:val="Grid Table 5 Dark Accent 2"/>
    <w:basedOn w:val="TableNormal"/>
    <w:uiPriority w:val="50"/>
    <w:rsid w:val="007079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9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E6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E6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E6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E6F0" w:themeFill="accent2"/>
      </w:tcPr>
    </w:tblStylePr>
    <w:tblStylePr w:type="band1Vert">
      <w:tblPr/>
      <w:tcPr>
        <w:shd w:val="clear" w:color="auto" w:fill="EFF4F9" w:themeFill="accent2" w:themeFillTint="66"/>
      </w:tcPr>
    </w:tblStylePr>
    <w:tblStylePr w:type="band1Horz">
      <w:tblPr/>
      <w:tcPr>
        <w:shd w:val="clear" w:color="auto" w:fill="EFF4F9" w:themeFill="accent2" w:themeFillTint="66"/>
      </w:tcPr>
    </w:tblStylePr>
  </w:style>
  <w:style w:type="table" w:styleId="GridTable5Dark-Accent3">
    <w:name w:val="Grid Table 5 Dark Accent 3"/>
    <w:basedOn w:val="TableNormal"/>
    <w:uiPriority w:val="50"/>
    <w:rsid w:val="007079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D3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252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252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252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252B" w:themeFill="accent3"/>
      </w:tcPr>
    </w:tblStylePr>
    <w:tblStylePr w:type="band1Vert">
      <w:tblPr/>
      <w:tcPr>
        <w:shd w:val="clear" w:color="auto" w:fill="97A8B7" w:themeFill="accent3" w:themeFillTint="66"/>
      </w:tcPr>
    </w:tblStylePr>
    <w:tblStylePr w:type="band1Horz">
      <w:tblPr/>
      <w:tcPr>
        <w:shd w:val="clear" w:color="auto" w:fill="97A8B7" w:themeFill="accent3" w:themeFillTint="66"/>
      </w:tcPr>
    </w:tblStylePr>
  </w:style>
  <w:style w:type="table" w:styleId="GridTable5Dark-Accent4">
    <w:name w:val="Grid Table 5 Dark Accent 4"/>
    <w:basedOn w:val="TableNormal"/>
    <w:uiPriority w:val="50"/>
    <w:rsid w:val="007079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8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E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E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E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E48" w:themeFill="accent4"/>
      </w:tcPr>
    </w:tblStylePr>
    <w:tblStylePr w:type="band1Vert">
      <w:tblPr/>
      <w:tcPr>
        <w:shd w:val="clear" w:color="auto" w:fill="A4B2BE" w:themeFill="accent4" w:themeFillTint="66"/>
      </w:tcPr>
    </w:tblStylePr>
    <w:tblStylePr w:type="band1Horz">
      <w:tblPr/>
      <w:tcPr>
        <w:shd w:val="clear" w:color="auto" w:fill="A4B2BE" w:themeFill="accent4" w:themeFillTint="66"/>
      </w:tcPr>
    </w:tblStylePr>
  </w:style>
  <w:style w:type="table" w:styleId="GridTable5Dark-Accent5">
    <w:name w:val="Grid Table 5 Dark Accent 5"/>
    <w:basedOn w:val="TableNormal"/>
    <w:uiPriority w:val="50"/>
    <w:rsid w:val="007079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D9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D9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D9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D9D6" w:themeFill="accent5"/>
      </w:tcPr>
    </w:tblStylePr>
    <w:tblStylePr w:type="band1Vert">
      <w:tblPr/>
      <w:tcPr>
        <w:shd w:val="clear" w:color="auto" w:fill="EFEFEE" w:themeFill="accent5" w:themeFillTint="66"/>
      </w:tcPr>
    </w:tblStylePr>
    <w:tblStylePr w:type="band1Horz">
      <w:tblPr/>
      <w:tcPr>
        <w:shd w:val="clear" w:color="auto" w:fill="EFEFEE" w:themeFill="accent5" w:themeFillTint="66"/>
      </w:tcPr>
    </w:tblStylePr>
  </w:style>
  <w:style w:type="table" w:styleId="GridTable5Dark-Accent6">
    <w:name w:val="Grid Table 5 Dark Accent 6"/>
    <w:basedOn w:val="TableNormal"/>
    <w:uiPriority w:val="50"/>
    <w:rsid w:val="007079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ECE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ECE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ECE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ECEA" w:themeFill="accent6"/>
      </w:tcPr>
    </w:tblStylePr>
    <w:tblStylePr w:type="band1Vert">
      <w:tblPr/>
      <w:tcPr>
        <w:shd w:val="clear" w:color="auto" w:fill="F8F7F6" w:themeFill="accent6" w:themeFillTint="66"/>
      </w:tcPr>
    </w:tblStylePr>
    <w:tblStylePr w:type="band1Horz">
      <w:tblPr/>
      <w:tcPr>
        <w:shd w:val="clear" w:color="auto" w:fill="F8F7F6" w:themeFill="accent6" w:themeFillTint="66"/>
      </w:tcPr>
    </w:tblStylePr>
  </w:style>
  <w:style w:type="table" w:styleId="GridTable6Colorful">
    <w:name w:val="Grid Table 6 Colorful"/>
    <w:basedOn w:val="TableNormal"/>
    <w:uiPriority w:val="51"/>
    <w:rsid w:val="007079C8"/>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079C8"/>
    <w:pPr>
      <w:spacing w:line="240" w:lineRule="auto"/>
    </w:pPr>
    <w:rPr>
      <w:color w:val="DE0F06" w:themeColor="accent1" w:themeShade="BF"/>
    </w:r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bottom w:val="single" w:sz="12" w:space="0" w:color="FB8D88" w:themeColor="accent1" w:themeTint="99"/>
        </w:tcBorders>
      </w:tcPr>
    </w:tblStylePr>
    <w:tblStylePr w:type="lastRow">
      <w:rPr>
        <w:b/>
        <w:bCs/>
      </w:rPr>
      <w:tblPr/>
      <w:tcPr>
        <w:tcBorders>
          <w:top w:val="doub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GridTable6Colorful-Accent2">
    <w:name w:val="Grid Table 6 Colorful Accent 2"/>
    <w:basedOn w:val="TableNormal"/>
    <w:uiPriority w:val="51"/>
    <w:rsid w:val="007079C8"/>
    <w:pPr>
      <w:spacing w:line="240" w:lineRule="auto"/>
    </w:pPr>
    <w:rPr>
      <w:color w:val="85B0D0" w:themeColor="accent2" w:themeShade="BF"/>
    </w:rPr>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rPr>
      <w:tblPr/>
      <w:tcPr>
        <w:tcBorders>
          <w:bottom w:val="single" w:sz="12" w:space="0" w:color="E7EFF6" w:themeColor="accent2" w:themeTint="99"/>
        </w:tcBorders>
      </w:tcPr>
    </w:tblStylePr>
    <w:tblStylePr w:type="lastRow">
      <w:rPr>
        <w:b/>
        <w:bCs/>
      </w:rPr>
      <w:tblPr/>
      <w:tcPr>
        <w:tcBorders>
          <w:top w:val="double" w:sz="4" w:space="0" w:color="E7EFF6" w:themeColor="accent2" w:themeTint="99"/>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GridTable6Colorful-Accent3">
    <w:name w:val="Grid Table 6 Colorful Accent 3"/>
    <w:basedOn w:val="TableNormal"/>
    <w:uiPriority w:val="51"/>
    <w:rsid w:val="007079C8"/>
    <w:pPr>
      <w:spacing w:line="240" w:lineRule="auto"/>
    </w:pPr>
    <w:rPr>
      <w:color w:val="161B20" w:themeColor="accent3" w:themeShade="BF"/>
    </w:rPr>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rPr>
      <w:tblPr/>
      <w:tcPr>
        <w:tcBorders>
          <w:bottom w:val="single" w:sz="12" w:space="0" w:color="657D91" w:themeColor="accent3" w:themeTint="99"/>
        </w:tcBorders>
      </w:tcPr>
    </w:tblStylePr>
    <w:tblStylePr w:type="lastRow">
      <w:rPr>
        <w:b/>
        <w:bCs/>
      </w:rPr>
      <w:tblPr/>
      <w:tcPr>
        <w:tcBorders>
          <w:top w:val="double" w:sz="4" w:space="0" w:color="657D91" w:themeColor="accent3" w:themeTint="99"/>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GridTable6Colorful-Accent4">
    <w:name w:val="Grid Table 6 Colorful Accent 4"/>
    <w:basedOn w:val="TableNormal"/>
    <w:uiPriority w:val="51"/>
    <w:rsid w:val="007079C8"/>
    <w:pPr>
      <w:spacing w:line="240" w:lineRule="auto"/>
    </w:pPr>
    <w:rPr>
      <w:color w:val="262E35" w:themeColor="accent4" w:themeShade="BF"/>
    </w:rPr>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rPr>
      <w:tblPr/>
      <w:tcPr>
        <w:tcBorders>
          <w:bottom w:val="single" w:sz="12" w:space="0" w:color="778B9E" w:themeColor="accent4" w:themeTint="99"/>
        </w:tcBorders>
      </w:tcPr>
    </w:tblStylePr>
    <w:tblStylePr w:type="lastRow">
      <w:rPr>
        <w:b/>
        <w:bCs/>
      </w:rPr>
      <w:tblPr/>
      <w:tcPr>
        <w:tcBorders>
          <w:top w:val="double" w:sz="4" w:space="0" w:color="778B9E" w:themeColor="accent4" w:themeTint="99"/>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GridTable6Colorful-Accent5">
    <w:name w:val="Grid Table 6 Colorful Accent 5"/>
    <w:basedOn w:val="TableNormal"/>
    <w:uiPriority w:val="51"/>
    <w:rsid w:val="007079C8"/>
    <w:pPr>
      <w:spacing w:line="240" w:lineRule="auto"/>
    </w:pPr>
    <w:rPr>
      <w:color w:val="A5A59D" w:themeColor="accent5" w:themeShade="BF"/>
    </w:rPr>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rPr>
      <w:tblPr/>
      <w:tcPr>
        <w:tcBorders>
          <w:bottom w:val="single" w:sz="12" w:space="0" w:color="E8E8E6" w:themeColor="accent5" w:themeTint="99"/>
        </w:tcBorders>
      </w:tcPr>
    </w:tblStylePr>
    <w:tblStylePr w:type="lastRow">
      <w:rPr>
        <w:b/>
        <w:bCs/>
      </w:rPr>
      <w:tblPr/>
      <w:tcPr>
        <w:tcBorders>
          <w:top w:val="double" w:sz="4" w:space="0" w:color="E8E8E6" w:themeColor="accent5" w:themeTint="99"/>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GridTable6Colorful-Accent6">
    <w:name w:val="Grid Table 6 Colorful Accent 6"/>
    <w:basedOn w:val="TableNormal"/>
    <w:uiPriority w:val="51"/>
    <w:rsid w:val="007079C8"/>
    <w:pPr>
      <w:spacing w:line="240" w:lineRule="auto"/>
    </w:pPr>
    <w:rPr>
      <w:color w:val="BBAEA6" w:themeColor="accent6" w:themeShade="BF"/>
    </w:rPr>
    <w:tblPr>
      <w:tblStyleRowBandSize w:val="1"/>
      <w:tblStyleColBandSize w:val="1"/>
      <w:tblBorders>
        <w:top w:val="single" w:sz="4" w:space="0" w:color="F5F3F2" w:themeColor="accent6" w:themeTint="99"/>
        <w:left w:val="single" w:sz="4" w:space="0" w:color="F5F3F2" w:themeColor="accent6" w:themeTint="99"/>
        <w:bottom w:val="single" w:sz="4" w:space="0" w:color="F5F3F2" w:themeColor="accent6" w:themeTint="99"/>
        <w:right w:val="single" w:sz="4" w:space="0" w:color="F5F3F2" w:themeColor="accent6" w:themeTint="99"/>
        <w:insideH w:val="single" w:sz="4" w:space="0" w:color="F5F3F2" w:themeColor="accent6" w:themeTint="99"/>
        <w:insideV w:val="single" w:sz="4" w:space="0" w:color="F5F3F2" w:themeColor="accent6" w:themeTint="99"/>
      </w:tblBorders>
    </w:tblPr>
    <w:tblStylePr w:type="firstRow">
      <w:rPr>
        <w:b/>
        <w:bCs/>
      </w:rPr>
      <w:tblPr/>
      <w:tcPr>
        <w:tcBorders>
          <w:bottom w:val="single" w:sz="12" w:space="0" w:color="F5F3F2" w:themeColor="accent6" w:themeTint="99"/>
        </w:tcBorders>
      </w:tcPr>
    </w:tblStylePr>
    <w:tblStylePr w:type="lastRow">
      <w:rPr>
        <w:b/>
        <w:bCs/>
      </w:rPr>
      <w:tblPr/>
      <w:tcPr>
        <w:tcBorders>
          <w:top w:val="double" w:sz="4" w:space="0" w:color="F5F3F2" w:themeColor="accent6" w:themeTint="99"/>
        </w:tcBorders>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GridTable7Colorful">
    <w:name w:val="Grid Table 7 Colorful"/>
    <w:basedOn w:val="TableNormal"/>
    <w:uiPriority w:val="52"/>
    <w:rsid w:val="007079C8"/>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079C8"/>
    <w:pPr>
      <w:spacing w:line="240" w:lineRule="auto"/>
    </w:pPr>
    <w:rPr>
      <w:color w:val="DE0F06" w:themeColor="accent1" w:themeShade="BF"/>
    </w:r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bottom w:val="single" w:sz="4" w:space="0" w:color="FB8D88" w:themeColor="accent1" w:themeTint="99"/>
        </w:tcBorders>
      </w:tcPr>
    </w:tblStylePr>
    <w:tblStylePr w:type="nwCell">
      <w:tblPr/>
      <w:tcPr>
        <w:tcBorders>
          <w:bottom w:val="single" w:sz="4" w:space="0" w:color="FB8D88" w:themeColor="accent1" w:themeTint="99"/>
        </w:tcBorders>
      </w:tcPr>
    </w:tblStylePr>
    <w:tblStylePr w:type="seCell">
      <w:tblPr/>
      <w:tcPr>
        <w:tcBorders>
          <w:top w:val="single" w:sz="4" w:space="0" w:color="FB8D88" w:themeColor="accent1" w:themeTint="99"/>
        </w:tcBorders>
      </w:tcPr>
    </w:tblStylePr>
    <w:tblStylePr w:type="swCell">
      <w:tblPr/>
      <w:tcPr>
        <w:tcBorders>
          <w:top w:val="single" w:sz="4" w:space="0" w:color="FB8D88" w:themeColor="accent1" w:themeTint="99"/>
        </w:tcBorders>
      </w:tcPr>
    </w:tblStylePr>
  </w:style>
  <w:style w:type="table" w:styleId="GridTable7Colorful-Accent3">
    <w:name w:val="Grid Table 7 Colorful Accent 3"/>
    <w:basedOn w:val="TableNormal"/>
    <w:uiPriority w:val="52"/>
    <w:rsid w:val="007079C8"/>
    <w:pPr>
      <w:spacing w:line="240" w:lineRule="auto"/>
    </w:pPr>
    <w:rPr>
      <w:color w:val="161B20" w:themeColor="accent3" w:themeShade="BF"/>
    </w:rPr>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D3DB" w:themeFill="accent3" w:themeFillTint="33"/>
      </w:tcPr>
    </w:tblStylePr>
    <w:tblStylePr w:type="band1Horz">
      <w:tblPr/>
      <w:tcPr>
        <w:shd w:val="clear" w:color="auto" w:fill="CBD3DB" w:themeFill="accent3" w:themeFillTint="33"/>
      </w:tcPr>
    </w:tblStylePr>
    <w:tblStylePr w:type="neCell">
      <w:tblPr/>
      <w:tcPr>
        <w:tcBorders>
          <w:bottom w:val="single" w:sz="4" w:space="0" w:color="657D91" w:themeColor="accent3" w:themeTint="99"/>
        </w:tcBorders>
      </w:tcPr>
    </w:tblStylePr>
    <w:tblStylePr w:type="nwCell">
      <w:tblPr/>
      <w:tcPr>
        <w:tcBorders>
          <w:bottom w:val="single" w:sz="4" w:space="0" w:color="657D91" w:themeColor="accent3" w:themeTint="99"/>
        </w:tcBorders>
      </w:tcPr>
    </w:tblStylePr>
    <w:tblStylePr w:type="seCell">
      <w:tblPr/>
      <w:tcPr>
        <w:tcBorders>
          <w:top w:val="single" w:sz="4" w:space="0" w:color="657D91" w:themeColor="accent3" w:themeTint="99"/>
        </w:tcBorders>
      </w:tcPr>
    </w:tblStylePr>
    <w:tblStylePr w:type="swCell">
      <w:tblPr/>
      <w:tcPr>
        <w:tcBorders>
          <w:top w:val="single" w:sz="4" w:space="0" w:color="657D91" w:themeColor="accent3" w:themeTint="99"/>
        </w:tcBorders>
      </w:tcPr>
    </w:tblStylePr>
  </w:style>
  <w:style w:type="table" w:styleId="GridTable7Colorful-Accent4">
    <w:name w:val="Grid Table 7 Colorful Accent 4"/>
    <w:basedOn w:val="TableNormal"/>
    <w:uiPriority w:val="52"/>
    <w:rsid w:val="007079C8"/>
    <w:pPr>
      <w:spacing w:line="240" w:lineRule="auto"/>
    </w:pPr>
    <w:rPr>
      <w:color w:val="262E35" w:themeColor="accent4" w:themeShade="BF"/>
    </w:rPr>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8DE" w:themeFill="accent4" w:themeFillTint="33"/>
      </w:tcPr>
    </w:tblStylePr>
    <w:tblStylePr w:type="band1Horz">
      <w:tblPr/>
      <w:tcPr>
        <w:shd w:val="clear" w:color="auto" w:fill="D1D8DE" w:themeFill="accent4" w:themeFillTint="33"/>
      </w:tcPr>
    </w:tblStylePr>
    <w:tblStylePr w:type="neCell">
      <w:tblPr/>
      <w:tcPr>
        <w:tcBorders>
          <w:bottom w:val="single" w:sz="4" w:space="0" w:color="778B9E" w:themeColor="accent4" w:themeTint="99"/>
        </w:tcBorders>
      </w:tcPr>
    </w:tblStylePr>
    <w:tblStylePr w:type="nwCell">
      <w:tblPr/>
      <w:tcPr>
        <w:tcBorders>
          <w:bottom w:val="single" w:sz="4" w:space="0" w:color="778B9E" w:themeColor="accent4" w:themeTint="99"/>
        </w:tcBorders>
      </w:tcPr>
    </w:tblStylePr>
    <w:tblStylePr w:type="seCell">
      <w:tblPr/>
      <w:tcPr>
        <w:tcBorders>
          <w:top w:val="single" w:sz="4" w:space="0" w:color="778B9E" w:themeColor="accent4" w:themeTint="99"/>
        </w:tcBorders>
      </w:tcPr>
    </w:tblStylePr>
    <w:tblStylePr w:type="swCell">
      <w:tblPr/>
      <w:tcPr>
        <w:tcBorders>
          <w:top w:val="single" w:sz="4" w:space="0" w:color="778B9E" w:themeColor="accent4" w:themeTint="99"/>
        </w:tcBorders>
      </w:tcPr>
    </w:tblStylePr>
  </w:style>
  <w:style w:type="table" w:styleId="GridTable7Colorful-Accent5">
    <w:name w:val="Grid Table 7 Colorful Accent 5"/>
    <w:basedOn w:val="TableNormal"/>
    <w:uiPriority w:val="52"/>
    <w:rsid w:val="007079C8"/>
    <w:pPr>
      <w:spacing w:line="240" w:lineRule="auto"/>
    </w:pPr>
    <w:rPr>
      <w:color w:val="A5A59D" w:themeColor="accent5" w:themeShade="BF"/>
    </w:rPr>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6" w:themeFill="accent5" w:themeFillTint="33"/>
      </w:tcPr>
    </w:tblStylePr>
    <w:tblStylePr w:type="band1Horz">
      <w:tblPr/>
      <w:tcPr>
        <w:shd w:val="clear" w:color="auto" w:fill="F7F7F6" w:themeFill="accent5" w:themeFillTint="33"/>
      </w:tcPr>
    </w:tblStylePr>
    <w:tblStylePr w:type="neCell">
      <w:tblPr/>
      <w:tcPr>
        <w:tcBorders>
          <w:bottom w:val="single" w:sz="4" w:space="0" w:color="E8E8E6" w:themeColor="accent5" w:themeTint="99"/>
        </w:tcBorders>
      </w:tcPr>
    </w:tblStylePr>
    <w:tblStylePr w:type="nwCell">
      <w:tblPr/>
      <w:tcPr>
        <w:tcBorders>
          <w:bottom w:val="single" w:sz="4" w:space="0" w:color="E8E8E6" w:themeColor="accent5" w:themeTint="99"/>
        </w:tcBorders>
      </w:tcPr>
    </w:tblStylePr>
    <w:tblStylePr w:type="seCell">
      <w:tblPr/>
      <w:tcPr>
        <w:tcBorders>
          <w:top w:val="single" w:sz="4" w:space="0" w:color="E8E8E6" w:themeColor="accent5" w:themeTint="99"/>
        </w:tcBorders>
      </w:tcPr>
    </w:tblStylePr>
    <w:tblStylePr w:type="swCell">
      <w:tblPr/>
      <w:tcPr>
        <w:tcBorders>
          <w:top w:val="single" w:sz="4" w:space="0" w:color="E8E8E6" w:themeColor="accent5" w:themeTint="99"/>
        </w:tcBorders>
      </w:tcPr>
    </w:tblStylePr>
  </w:style>
  <w:style w:type="table" w:styleId="GridTable7Colorful-Accent6">
    <w:name w:val="Grid Table 7 Colorful Accent 6"/>
    <w:basedOn w:val="TableNormal"/>
    <w:uiPriority w:val="52"/>
    <w:rsid w:val="007079C8"/>
    <w:pPr>
      <w:spacing w:line="240" w:lineRule="auto"/>
    </w:pPr>
    <w:rPr>
      <w:color w:val="BBAEA6" w:themeColor="accent6" w:themeShade="BF"/>
    </w:rPr>
    <w:tblPr>
      <w:tblStyleRowBandSize w:val="1"/>
      <w:tblStyleColBandSize w:val="1"/>
      <w:tblBorders>
        <w:top w:val="single" w:sz="4" w:space="0" w:color="F5F3F2" w:themeColor="accent6" w:themeTint="99"/>
        <w:left w:val="single" w:sz="4" w:space="0" w:color="F5F3F2" w:themeColor="accent6" w:themeTint="99"/>
        <w:bottom w:val="single" w:sz="4" w:space="0" w:color="F5F3F2" w:themeColor="accent6" w:themeTint="99"/>
        <w:right w:val="single" w:sz="4" w:space="0" w:color="F5F3F2" w:themeColor="accent6" w:themeTint="99"/>
        <w:insideH w:val="single" w:sz="4" w:space="0" w:color="F5F3F2" w:themeColor="accent6" w:themeTint="99"/>
        <w:insideV w:val="single" w:sz="4" w:space="0" w:color="F5F3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A" w:themeFill="accent6" w:themeFillTint="33"/>
      </w:tcPr>
    </w:tblStylePr>
    <w:tblStylePr w:type="band1Horz">
      <w:tblPr/>
      <w:tcPr>
        <w:shd w:val="clear" w:color="auto" w:fill="FBFBFA" w:themeFill="accent6" w:themeFillTint="33"/>
      </w:tcPr>
    </w:tblStylePr>
    <w:tblStylePr w:type="neCell">
      <w:tblPr/>
      <w:tcPr>
        <w:tcBorders>
          <w:bottom w:val="single" w:sz="4" w:space="0" w:color="F5F3F2" w:themeColor="accent6" w:themeTint="99"/>
        </w:tcBorders>
      </w:tcPr>
    </w:tblStylePr>
    <w:tblStylePr w:type="nwCell">
      <w:tblPr/>
      <w:tcPr>
        <w:tcBorders>
          <w:bottom w:val="single" w:sz="4" w:space="0" w:color="F5F3F2" w:themeColor="accent6" w:themeTint="99"/>
        </w:tcBorders>
      </w:tcPr>
    </w:tblStylePr>
    <w:tblStylePr w:type="seCell">
      <w:tblPr/>
      <w:tcPr>
        <w:tcBorders>
          <w:top w:val="single" w:sz="4" w:space="0" w:color="F5F3F2" w:themeColor="accent6" w:themeTint="99"/>
        </w:tcBorders>
      </w:tcPr>
    </w:tblStylePr>
    <w:tblStylePr w:type="swCell">
      <w:tblPr/>
      <w:tcPr>
        <w:tcBorders>
          <w:top w:val="single" w:sz="4" w:space="0" w:color="F5F3F2" w:themeColor="accent6" w:themeTint="99"/>
        </w:tcBorders>
      </w:tcPr>
    </w:tblStylePr>
  </w:style>
  <w:style w:type="character" w:styleId="HTMLAcronym">
    <w:name w:val="HTML Acronym"/>
    <w:basedOn w:val="DefaultParagraphFont"/>
    <w:semiHidden/>
    <w:unhideWhenUsed/>
    <w:rsid w:val="007079C8"/>
  </w:style>
  <w:style w:type="character" w:styleId="HTMLCite">
    <w:name w:val="HTML Cite"/>
    <w:basedOn w:val="DefaultParagraphFont"/>
    <w:semiHidden/>
    <w:unhideWhenUsed/>
    <w:rsid w:val="007079C8"/>
    <w:rPr>
      <w:i/>
      <w:iCs/>
    </w:rPr>
  </w:style>
  <w:style w:type="character" w:styleId="HTMLCode">
    <w:name w:val="HTML Code"/>
    <w:basedOn w:val="DefaultParagraphFont"/>
    <w:semiHidden/>
    <w:unhideWhenUsed/>
    <w:rsid w:val="007079C8"/>
    <w:rPr>
      <w:rFonts w:ascii="Consolas" w:hAnsi="Consolas" w:cs="Consolas"/>
      <w:sz w:val="20"/>
      <w:szCs w:val="20"/>
    </w:rPr>
  </w:style>
  <w:style w:type="character" w:styleId="HTMLDefinition">
    <w:name w:val="HTML Definition"/>
    <w:basedOn w:val="DefaultParagraphFont"/>
    <w:semiHidden/>
    <w:unhideWhenUsed/>
    <w:rsid w:val="007079C8"/>
    <w:rPr>
      <w:i/>
      <w:iCs/>
    </w:rPr>
  </w:style>
  <w:style w:type="character" w:styleId="HTMLKeyboard">
    <w:name w:val="HTML Keyboard"/>
    <w:basedOn w:val="DefaultParagraphFont"/>
    <w:semiHidden/>
    <w:unhideWhenUsed/>
    <w:rsid w:val="007079C8"/>
    <w:rPr>
      <w:rFonts w:ascii="Consolas" w:hAnsi="Consolas" w:cs="Consolas"/>
      <w:sz w:val="20"/>
      <w:szCs w:val="20"/>
    </w:rPr>
  </w:style>
  <w:style w:type="character" w:styleId="HTMLSample">
    <w:name w:val="HTML Sample"/>
    <w:basedOn w:val="DefaultParagraphFont"/>
    <w:semiHidden/>
    <w:unhideWhenUsed/>
    <w:rsid w:val="007079C8"/>
    <w:rPr>
      <w:rFonts w:ascii="Consolas" w:hAnsi="Consolas" w:cs="Consolas"/>
      <w:sz w:val="24"/>
      <w:szCs w:val="24"/>
    </w:rPr>
  </w:style>
  <w:style w:type="character" w:styleId="HTMLTypewriter">
    <w:name w:val="HTML Typewriter"/>
    <w:basedOn w:val="DefaultParagraphFont"/>
    <w:semiHidden/>
    <w:unhideWhenUsed/>
    <w:rsid w:val="007079C8"/>
    <w:rPr>
      <w:rFonts w:ascii="Consolas" w:hAnsi="Consolas" w:cs="Consolas"/>
      <w:sz w:val="20"/>
      <w:szCs w:val="20"/>
    </w:rPr>
  </w:style>
  <w:style w:type="character" w:styleId="HTMLVariable">
    <w:name w:val="HTML Variable"/>
    <w:basedOn w:val="DefaultParagraphFont"/>
    <w:semiHidden/>
    <w:unhideWhenUsed/>
    <w:rsid w:val="007079C8"/>
    <w:rPr>
      <w:i/>
      <w:iCs/>
    </w:rPr>
  </w:style>
  <w:style w:type="table" w:styleId="LightGrid-Accent1">
    <w:name w:val="Light Grid Accent 1"/>
    <w:basedOn w:val="TableNormal"/>
    <w:uiPriority w:val="62"/>
    <w:semiHidden/>
    <w:unhideWhenUsed/>
    <w:rsid w:val="007079C8"/>
    <w:pPr>
      <w:spacing w:line="240" w:lineRule="auto"/>
    </w:p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insideH w:val="single" w:sz="8" w:space="0" w:color="F9423A" w:themeColor="accent1"/>
        <w:insideV w:val="single" w:sz="8" w:space="0" w:color="F9423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423A" w:themeColor="accent1"/>
          <w:left w:val="single" w:sz="8" w:space="0" w:color="F9423A" w:themeColor="accent1"/>
          <w:bottom w:val="single" w:sz="18" w:space="0" w:color="F9423A" w:themeColor="accent1"/>
          <w:right w:val="single" w:sz="8" w:space="0" w:color="F9423A" w:themeColor="accent1"/>
          <w:insideH w:val="nil"/>
          <w:insideV w:val="single" w:sz="8" w:space="0" w:color="F9423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insideH w:val="nil"/>
          <w:insideV w:val="single" w:sz="8" w:space="0" w:color="F9423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shd w:val="clear" w:color="auto" w:fill="FDCFCE" w:themeFill="accent1" w:themeFillTint="3F"/>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insideV w:val="single" w:sz="8" w:space="0" w:color="F9423A" w:themeColor="accent1"/>
        </w:tcBorders>
        <w:shd w:val="clear" w:color="auto" w:fill="FDCFCE" w:themeFill="accent1" w:themeFillTint="3F"/>
      </w:tcPr>
    </w:tblStylePr>
    <w:tblStylePr w:type="band2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insideV w:val="single" w:sz="8" w:space="0" w:color="F9423A" w:themeColor="accent1"/>
        </w:tcBorders>
      </w:tcPr>
    </w:tblStylePr>
  </w:style>
  <w:style w:type="table" w:styleId="LightGrid-Accent2">
    <w:name w:val="Light Grid Accent 2"/>
    <w:basedOn w:val="TableNormal"/>
    <w:uiPriority w:val="62"/>
    <w:semiHidden/>
    <w:unhideWhenUsed/>
    <w:rsid w:val="007079C8"/>
    <w:pPr>
      <w:spacing w:line="240" w:lineRule="auto"/>
    </w:p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insideH w:val="single" w:sz="8" w:space="0" w:color="D8E6F0" w:themeColor="accent2"/>
        <w:insideV w:val="single" w:sz="8" w:space="0" w:color="D8E6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E6F0" w:themeColor="accent2"/>
          <w:left w:val="single" w:sz="8" w:space="0" w:color="D8E6F0" w:themeColor="accent2"/>
          <w:bottom w:val="single" w:sz="18" w:space="0" w:color="D8E6F0" w:themeColor="accent2"/>
          <w:right w:val="single" w:sz="8" w:space="0" w:color="D8E6F0" w:themeColor="accent2"/>
          <w:insideH w:val="nil"/>
          <w:insideV w:val="single" w:sz="8" w:space="0" w:color="D8E6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E6F0" w:themeColor="accent2"/>
          <w:left w:val="single" w:sz="8" w:space="0" w:color="D8E6F0" w:themeColor="accent2"/>
          <w:bottom w:val="single" w:sz="8" w:space="0" w:color="D8E6F0" w:themeColor="accent2"/>
          <w:right w:val="single" w:sz="8" w:space="0" w:color="D8E6F0" w:themeColor="accent2"/>
          <w:insideH w:val="nil"/>
          <w:insideV w:val="single" w:sz="8" w:space="0" w:color="D8E6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tblStylePr w:type="band1Vert">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shd w:val="clear" w:color="auto" w:fill="F5F8FB" w:themeFill="accent2" w:themeFillTint="3F"/>
      </w:tcPr>
    </w:tblStylePr>
    <w:tblStylePr w:type="band1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insideV w:val="single" w:sz="8" w:space="0" w:color="D8E6F0" w:themeColor="accent2"/>
        </w:tcBorders>
        <w:shd w:val="clear" w:color="auto" w:fill="F5F8FB" w:themeFill="accent2" w:themeFillTint="3F"/>
      </w:tcPr>
    </w:tblStylePr>
    <w:tblStylePr w:type="band2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insideV w:val="single" w:sz="8" w:space="0" w:color="D8E6F0" w:themeColor="accent2"/>
        </w:tcBorders>
      </w:tcPr>
    </w:tblStylePr>
  </w:style>
  <w:style w:type="table" w:styleId="LightGrid-Accent3">
    <w:name w:val="Light Grid Accent 3"/>
    <w:basedOn w:val="TableNormal"/>
    <w:uiPriority w:val="62"/>
    <w:semiHidden/>
    <w:unhideWhenUsed/>
    <w:rsid w:val="007079C8"/>
    <w:pPr>
      <w:spacing w:line="240" w:lineRule="auto"/>
    </w:p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insideH w:val="single" w:sz="8" w:space="0" w:color="1E252B" w:themeColor="accent3"/>
        <w:insideV w:val="single" w:sz="8" w:space="0" w:color="1E252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252B" w:themeColor="accent3"/>
          <w:left w:val="single" w:sz="8" w:space="0" w:color="1E252B" w:themeColor="accent3"/>
          <w:bottom w:val="single" w:sz="18" w:space="0" w:color="1E252B" w:themeColor="accent3"/>
          <w:right w:val="single" w:sz="8" w:space="0" w:color="1E252B" w:themeColor="accent3"/>
          <w:insideH w:val="nil"/>
          <w:insideV w:val="single" w:sz="8" w:space="0" w:color="1E252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252B" w:themeColor="accent3"/>
          <w:left w:val="single" w:sz="8" w:space="0" w:color="1E252B" w:themeColor="accent3"/>
          <w:bottom w:val="single" w:sz="8" w:space="0" w:color="1E252B" w:themeColor="accent3"/>
          <w:right w:val="single" w:sz="8" w:space="0" w:color="1E252B" w:themeColor="accent3"/>
          <w:insideH w:val="nil"/>
          <w:insideV w:val="single" w:sz="8" w:space="0" w:color="1E252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tblStylePr w:type="band1Vert">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shd w:val="clear" w:color="auto" w:fill="BFC9D2" w:themeFill="accent3" w:themeFillTint="3F"/>
      </w:tcPr>
    </w:tblStylePr>
    <w:tblStylePr w:type="band1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insideV w:val="single" w:sz="8" w:space="0" w:color="1E252B" w:themeColor="accent3"/>
        </w:tcBorders>
        <w:shd w:val="clear" w:color="auto" w:fill="BFC9D2" w:themeFill="accent3" w:themeFillTint="3F"/>
      </w:tcPr>
    </w:tblStylePr>
    <w:tblStylePr w:type="band2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insideV w:val="single" w:sz="8" w:space="0" w:color="1E252B" w:themeColor="accent3"/>
        </w:tcBorders>
      </w:tcPr>
    </w:tblStylePr>
  </w:style>
  <w:style w:type="table" w:styleId="LightGrid-Accent4">
    <w:name w:val="Light Grid Accent 4"/>
    <w:basedOn w:val="TableNormal"/>
    <w:uiPriority w:val="62"/>
    <w:semiHidden/>
    <w:unhideWhenUsed/>
    <w:rsid w:val="007079C8"/>
    <w:pPr>
      <w:spacing w:line="240" w:lineRule="auto"/>
    </w:p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insideH w:val="single" w:sz="8" w:space="0" w:color="333E48" w:themeColor="accent4"/>
        <w:insideV w:val="single" w:sz="8" w:space="0" w:color="333E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E48" w:themeColor="accent4"/>
          <w:left w:val="single" w:sz="8" w:space="0" w:color="333E48" w:themeColor="accent4"/>
          <w:bottom w:val="single" w:sz="18" w:space="0" w:color="333E48" w:themeColor="accent4"/>
          <w:right w:val="single" w:sz="8" w:space="0" w:color="333E48" w:themeColor="accent4"/>
          <w:insideH w:val="nil"/>
          <w:insideV w:val="single" w:sz="8" w:space="0" w:color="333E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E48" w:themeColor="accent4"/>
          <w:left w:val="single" w:sz="8" w:space="0" w:color="333E48" w:themeColor="accent4"/>
          <w:bottom w:val="single" w:sz="8" w:space="0" w:color="333E48" w:themeColor="accent4"/>
          <w:right w:val="single" w:sz="8" w:space="0" w:color="333E48" w:themeColor="accent4"/>
          <w:insideH w:val="nil"/>
          <w:insideV w:val="single" w:sz="8" w:space="0" w:color="333E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tblStylePr w:type="band1Vert">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shd w:val="clear" w:color="auto" w:fill="C7CFD7" w:themeFill="accent4" w:themeFillTint="3F"/>
      </w:tcPr>
    </w:tblStylePr>
    <w:tblStylePr w:type="band1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insideV w:val="single" w:sz="8" w:space="0" w:color="333E48" w:themeColor="accent4"/>
        </w:tcBorders>
        <w:shd w:val="clear" w:color="auto" w:fill="C7CFD7" w:themeFill="accent4" w:themeFillTint="3F"/>
      </w:tcPr>
    </w:tblStylePr>
    <w:tblStylePr w:type="band2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insideV w:val="single" w:sz="8" w:space="0" w:color="333E48" w:themeColor="accent4"/>
        </w:tcBorders>
      </w:tcPr>
    </w:tblStylePr>
  </w:style>
  <w:style w:type="table" w:styleId="LightGrid-Accent5">
    <w:name w:val="Light Grid Accent 5"/>
    <w:basedOn w:val="TableNormal"/>
    <w:uiPriority w:val="62"/>
    <w:semiHidden/>
    <w:unhideWhenUsed/>
    <w:rsid w:val="007079C8"/>
    <w:pPr>
      <w:spacing w:line="240" w:lineRule="auto"/>
    </w:p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insideH w:val="single" w:sz="8" w:space="0" w:color="D9D9D6" w:themeColor="accent5"/>
        <w:insideV w:val="single" w:sz="8" w:space="0" w:color="D9D9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D9D6" w:themeColor="accent5"/>
          <w:left w:val="single" w:sz="8" w:space="0" w:color="D9D9D6" w:themeColor="accent5"/>
          <w:bottom w:val="single" w:sz="18" w:space="0" w:color="D9D9D6" w:themeColor="accent5"/>
          <w:right w:val="single" w:sz="8" w:space="0" w:color="D9D9D6" w:themeColor="accent5"/>
          <w:insideH w:val="nil"/>
          <w:insideV w:val="single" w:sz="8" w:space="0" w:color="D9D9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D9D6" w:themeColor="accent5"/>
          <w:left w:val="single" w:sz="8" w:space="0" w:color="D9D9D6" w:themeColor="accent5"/>
          <w:bottom w:val="single" w:sz="8" w:space="0" w:color="D9D9D6" w:themeColor="accent5"/>
          <w:right w:val="single" w:sz="8" w:space="0" w:color="D9D9D6" w:themeColor="accent5"/>
          <w:insideH w:val="nil"/>
          <w:insideV w:val="single" w:sz="8" w:space="0" w:color="D9D9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tblStylePr w:type="band1Vert">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shd w:val="clear" w:color="auto" w:fill="F5F5F4" w:themeFill="accent5" w:themeFillTint="3F"/>
      </w:tcPr>
    </w:tblStylePr>
    <w:tblStylePr w:type="band1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insideV w:val="single" w:sz="8" w:space="0" w:color="D9D9D6" w:themeColor="accent5"/>
        </w:tcBorders>
        <w:shd w:val="clear" w:color="auto" w:fill="F5F5F4" w:themeFill="accent5" w:themeFillTint="3F"/>
      </w:tcPr>
    </w:tblStylePr>
    <w:tblStylePr w:type="band2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insideV w:val="single" w:sz="8" w:space="0" w:color="D9D9D6" w:themeColor="accent5"/>
        </w:tcBorders>
      </w:tcPr>
    </w:tblStylePr>
  </w:style>
  <w:style w:type="table" w:styleId="LightGrid-Accent6">
    <w:name w:val="Light Grid Accent 6"/>
    <w:basedOn w:val="TableNormal"/>
    <w:uiPriority w:val="62"/>
    <w:semiHidden/>
    <w:unhideWhenUsed/>
    <w:rsid w:val="007079C8"/>
    <w:pPr>
      <w:spacing w:line="240" w:lineRule="auto"/>
    </w:pPr>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insideH w:val="single" w:sz="8" w:space="0" w:color="EFECEA" w:themeColor="accent6"/>
        <w:insideV w:val="single" w:sz="8" w:space="0" w:color="EFEC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ECEA" w:themeColor="accent6"/>
          <w:left w:val="single" w:sz="8" w:space="0" w:color="EFECEA" w:themeColor="accent6"/>
          <w:bottom w:val="single" w:sz="18" w:space="0" w:color="EFECEA" w:themeColor="accent6"/>
          <w:right w:val="single" w:sz="8" w:space="0" w:color="EFECEA" w:themeColor="accent6"/>
          <w:insideH w:val="nil"/>
          <w:insideV w:val="single" w:sz="8" w:space="0" w:color="EFEC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ECEA" w:themeColor="accent6"/>
          <w:left w:val="single" w:sz="8" w:space="0" w:color="EFECEA" w:themeColor="accent6"/>
          <w:bottom w:val="single" w:sz="8" w:space="0" w:color="EFECEA" w:themeColor="accent6"/>
          <w:right w:val="single" w:sz="8" w:space="0" w:color="EFECEA" w:themeColor="accent6"/>
          <w:insideH w:val="nil"/>
          <w:insideV w:val="single" w:sz="8" w:space="0" w:color="EFEC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tcPr>
    </w:tblStylePr>
    <w:tblStylePr w:type="band1Vert">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shd w:val="clear" w:color="auto" w:fill="FBFAF9" w:themeFill="accent6" w:themeFillTint="3F"/>
      </w:tcPr>
    </w:tblStylePr>
    <w:tblStylePr w:type="band1Horz">
      <w:tblPr/>
      <w:tcPr>
        <w:tcBorders>
          <w:top w:val="single" w:sz="8" w:space="0" w:color="EFECEA" w:themeColor="accent6"/>
          <w:left w:val="single" w:sz="8" w:space="0" w:color="EFECEA" w:themeColor="accent6"/>
          <w:bottom w:val="single" w:sz="8" w:space="0" w:color="EFECEA" w:themeColor="accent6"/>
          <w:right w:val="single" w:sz="8" w:space="0" w:color="EFECEA" w:themeColor="accent6"/>
          <w:insideV w:val="single" w:sz="8" w:space="0" w:color="EFECEA" w:themeColor="accent6"/>
        </w:tcBorders>
        <w:shd w:val="clear" w:color="auto" w:fill="FBFAF9" w:themeFill="accent6" w:themeFillTint="3F"/>
      </w:tcPr>
    </w:tblStylePr>
    <w:tblStylePr w:type="band2Horz">
      <w:tblPr/>
      <w:tcPr>
        <w:tcBorders>
          <w:top w:val="single" w:sz="8" w:space="0" w:color="EFECEA" w:themeColor="accent6"/>
          <w:left w:val="single" w:sz="8" w:space="0" w:color="EFECEA" w:themeColor="accent6"/>
          <w:bottom w:val="single" w:sz="8" w:space="0" w:color="EFECEA" w:themeColor="accent6"/>
          <w:right w:val="single" w:sz="8" w:space="0" w:color="EFECEA" w:themeColor="accent6"/>
          <w:insideV w:val="single" w:sz="8" w:space="0" w:color="EFECEA" w:themeColor="accent6"/>
        </w:tcBorders>
      </w:tcPr>
    </w:tblStylePr>
  </w:style>
  <w:style w:type="table" w:styleId="LightList">
    <w:name w:val="Light List"/>
    <w:basedOn w:val="TableNormal"/>
    <w:uiPriority w:val="61"/>
    <w:semiHidden/>
    <w:unhideWhenUsed/>
    <w:rsid w:val="007079C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079C8"/>
    <w:pPr>
      <w:spacing w:line="240" w:lineRule="auto"/>
    </w:p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pPr>
        <w:spacing w:before="0" w:after="0" w:line="240" w:lineRule="auto"/>
      </w:pPr>
      <w:rPr>
        <w:b/>
        <w:bCs/>
        <w:color w:val="FFFFFF" w:themeColor="background1"/>
      </w:rPr>
      <w:tblPr/>
      <w:tcPr>
        <w:shd w:val="clear" w:color="auto" w:fill="F9423A" w:themeFill="accent1"/>
      </w:tcPr>
    </w:tblStylePr>
    <w:tblStylePr w:type="lastRow">
      <w:pPr>
        <w:spacing w:before="0" w:after="0" w:line="240" w:lineRule="auto"/>
      </w:pPr>
      <w:rPr>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tcBorders>
      </w:tcPr>
    </w:tblStylePr>
    <w:tblStylePr w:type="firstCol">
      <w:rPr>
        <w:b/>
        <w:bCs/>
      </w:rPr>
    </w:tblStylePr>
    <w:tblStylePr w:type="lastCol">
      <w:rPr>
        <w:b/>
        <w:bCs/>
      </w:r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style>
  <w:style w:type="table" w:styleId="LightList-Accent2">
    <w:name w:val="Light List Accent 2"/>
    <w:basedOn w:val="TableNormal"/>
    <w:uiPriority w:val="61"/>
    <w:semiHidden/>
    <w:unhideWhenUsed/>
    <w:rsid w:val="007079C8"/>
    <w:pPr>
      <w:spacing w:line="240" w:lineRule="auto"/>
    </w:p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tblBorders>
    </w:tblPr>
    <w:tblStylePr w:type="firstRow">
      <w:pPr>
        <w:spacing w:before="0" w:after="0" w:line="240" w:lineRule="auto"/>
      </w:pPr>
      <w:rPr>
        <w:b/>
        <w:bCs/>
        <w:color w:val="FFFFFF" w:themeColor="background1"/>
      </w:rPr>
      <w:tblPr/>
      <w:tcPr>
        <w:shd w:val="clear" w:color="auto" w:fill="D8E6F0" w:themeFill="accent2"/>
      </w:tcPr>
    </w:tblStylePr>
    <w:tblStylePr w:type="lastRow">
      <w:pPr>
        <w:spacing w:before="0" w:after="0" w:line="240" w:lineRule="auto"/>
      </w:pPr>
      <w:rPr>
        <w:b/>
        <w:bCs/>
      </w:rPr>
      <w:tblPr/>
      <w:tcPr>
        <w:tcBorders>
          <w:top w:val="double" w:sz="6" w:space="0" w:color="D8E6F0" w:themeColor="accent2"/>
          <w:left w:val="single" w:sz="8" w:space="0" w:color="D8E6F0" w:themeColor="accent2"/>
          <w:bottom w:val="single" w:sz="8" w:space="0" w:color="D8E6F0" w:themeColor="accent2"/>
          <w:right w:val="single" w:sz="8" w:space="0" w:color="D8E6F0" w:themeColor="accent2"/>
        </w:tcBorders>
      </w:tcPr>
    </w:tblStylePr>
    <w:tblStylePr w:type="firstCol">
      <w:rPr>
        <w:b/>
        <w:bCs/>
      </w:rPr>
    </w:tblStylePr>
    <w:tblStylePr w:type="lastCol">
      <w:rPr>
        <w:b/>
        <w:bCs/>
      </w:rPr>
    </w:tblStylePr>
    <w:tblStylePr w:type="band1Vert">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tblStylePr w:type="band1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style>
  <w:style w:type="table" w:styleId="LightList-Accent3">
    <w:name w:val="Light List Accent 3"/>
    <w:basedOn w:val="TableNormal"/>
    <w:uiPriority w:val="61"/>
    <w:semiHidden/>
    <w:unhideWhenUsed/>
    <w:rsid w:val="007079C8"/>
    <w:pPr>
      <w:spacing w:line="240" w:lineRule="auto"/>
    </w:p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tblBorders>
    </w:tblPr>
    <w:tblStylePr w:type="firstRow">
      <w:pPr>
        <w:spacing w:before="0" w:after="0" w:line="240" w:lineRule="auto"/>
      </w:pPr>
      <w:rPr>
        <w:b/>
        <w:bCs/>
        <w:color w:val="FFFFFF" w:themeColor="background1"/>
      </w:rPr>
      <w:tblPr/>
      <w:tcPr>
        <w:shd w:val="clear" w:color="auto" w:fill="1E252B" w:themeFill="accent3"/>
      </w:tcPr>
    </w:tblStylePr>
    <w:tblStylePr w:type="lastRow">
      <w:pPr>
        <w:spacing w:before="0" w:after="0" w:line="240" w:lineRule="auto"/>
      </w:pPr>
      <w:rPr>
        <w:b/>
        <w:bCs/>
      </w:rPr>
      <w:tblPr/>
      <w:tcPr>
        <w:tcBorders>
          <w:top w:val="double" w:sz="6" w:space="0" w:color="1E252B" w:themeColor="accent3"/>
          <w:left w:val="single" w:sz="8" w:space="0" w:color="1E252B" w:themeColor="accent3"/>
          <w:bottom w:val="single" w:sz="8" w:space="0" w:color="1E252B" w:themeColor="accent3"/>
          <w:right w:val="single" w:sz="8" w:space="0" w:color="1E252B" w:themeColor="accent3"/>
        </w:tcBorders>
      </w:tcPr>
    </w:tblStylePr>
    <w:tblStylePr w:type="firstCol">
      <w:rPr>
        <w:b/>
        <w:bCs/>
      </w:rPr>
    </w:tblStylePr>
    <w:tblStylePr w:type="lastCol">
      <w:rPr>
        <w:b/>
        <w:bCs/>
      </w:rPr>
    </w:tblStylePr>
    <w:tblStylePr w:type="band1Vert">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tblStylePr w:type="band1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style>
  <w:style w:type="table" w:styleId="LightList-Accent4">
    <w:name w:val="Light List Accent 4"/>
    <w:basedOn w:val="TableNormal"/>
    <w:uiPriority w:val="61"/>
    <w:semiHidden/>
    <w:unhideWhenUsed/>
    <w:rsid w:val="007079C8"/>
    <w:pPr>
      <w:spacing w:line="240" w:lineRule="auto"/>
    </w:p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tblBorders>
    </w:tblPr>
    <w:tblStylePr w:type="firstRow">
      <w:pPr>
        <w:spacing w:before="0" w:after="0" w:line="240" w:lineRule="auto"/>
      </w:pPr>
      <w:rPr>
        <w:b/>
        <w:bCs/>
        <w:color w:val="FFFFFF" w:themeColor="background1"/>
      </w:rPr>
      <w:tblPr/>
      <w:tcPr>
        <w:shd w:val="clear" w:color="auto" w:fill="333E48" w:themeFill="accent4"/>
      </w:tcPr>
    </w:tblStylePr>
    <w:tblStylePr w:type="lastRow">
      <w:pPr>
        <w:spacing w:before="0" w:after="0" w:line="240" w:lineRule="auto"/>
      </w:pPr>
      <w:rPr>
        <w:b/>
        <w:bCs/>
      </w:rPr>
      <w:tblPr/>
      <w:tcPr>
        <w:tcBorders>
          <w:top w:val="double" w:sz="6" w:space="0" w:color="333E48" w:themeColor="accent4"/>
          <w:left w:val="single" w:sz="8" w:space="0" w:color="333E48" w:themeColor="accent4"/>
          <w:bottom w:val="single" w:sz="8" w:space="0" w:color="333E48" w:themeColor="accent4"/>
          <w:right w:val="single" w:sz="8" w:space="0" w:color="333E48" w:themeColor="accent4"/>
        </w:tcBorders>
      </w:tcPr>
    </w:tblStylePr>
    <w:tblStylePr w:type="firstCol">
      <w:rPr>
        <w:b/>
        <w:bCs/>
      </w:rPr>
    </w:tblStylePr>
    <w:tblStylePr w:type="lastCol">
      <w:rPr>
        <w:b/>
        <w:bCs/>
      </w:rPr>
    </w:tblStylePr>
    <w:tblStylePr w:type="band1Vert">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tblStylePr w:type="band1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style>
  <w:style w:type="table" w:styleId="LightList-Accent5">
    <w:name w:val="Light List Accent 5"/>
    <w:basedOn w:val="TableNormal"/>
    <w:uiPriority w:val="61"/>
    <w:semiHidden/>
    <w:unhideWhenUsed/>
    <w:rsid w:val="007079C8"/>
    <w:pPr>
      <w:spacing w:line="240" w:lineRule="auto"/>
    </w:p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tblBorders>
    </w:tblPr>
    <w:tblStylePr w:type="firstRow">
      <w:pPr>
        <w:spacing w:before="0" w:after="0" w:line="240" w:lineRule="auto"/>
      </w:pPr>
      <w:rPr>
        <w:b/>
        <w:bCs/>
        <w:color w:val="FFFFFF" w:themeColor="background1"/>
      </w:rPr>
      <w:tblPr/>
      <w:tcPr>
        <w:shd w:val="clear" w:color="auto" w:fill="D9D9D6" w:themeFill="accent5"/>
      </w:tcPr>
    </w:tblStylePr>
    <w:tblStylePr w:type="lastRow">
      <w:pPr>
        <w:spacing w:before="0" w:after="0" w:line="240" w:lineRule="auto"/>
      </w:pPr>
      <w:rPr>
        <w:b/>
        <w:bCs/>
      </w:rPr>
      <w:tblPr/>
      <w:tcPr>
        <w:tcBorders>
          <w:top w:val="double" w:sz="6" w:space="0" w:color="D9D9D6" w:themeColor="accent5"/>
          <w:left w:val="single" w:sz="8" w:space="0" w:color="D9D9D6" w:themeColor="accent5"/>
          <w:bottom w:val="single" w:sz="8" w:space="0" w:color="D9D9D6" w:themeColor="accent5"/>
          <w:right w:val="single" w:sz="8" w:space="0" w:color="D9D9D6" w:themeColor="accent5"/>
        </w:tcBorders>
      </w:tcPr>
    </w:tblStylePr>
    <w:tblStylePr w:type="firstCol">
      <w:rPr>
        <w:b/>
        <w:bCs/>
      </w:rPr>
    </w:tblStylePr>
    <w:tblStylePr w:type="lastCol">
      <w:rPr>
        <w:b/>
        <w:bCs/>
      </w:rPr>
    </w:tblStylePr>
    <w:tblStylePr w:type="band1Vert">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tblStylePr w:type="band1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style>
  <w:style w:type="table" w:styleId="LightList-Accent6">
    <w:name w:val="Light List Accent 6"/>
    <w:basedOn w:val="TableNormal"/>
    <w:uiPriority w:val="61"/>
    <w:semiHidden/>
    <w:unhideWhenUsed/>
    <w:rsid w:val="007079C8"/>
    <w:pPr>
      <w:spacing w:line="240" w:lineRule="auto"/>
    </w:pPr>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tblBorders>
    </w:tblPr>
    <w:tblStylePr w:type="firstRow">
      <w:pPr>
        <w:spacing w:before="0" w:after="0" w:line="240" w:lineRule="auto"/>
      </w:pPr>
      <w:rPr>
        <w:b/>
        <w:bCs/>
        <w:color w:val="FFFFFF" w:themeColor="background1"/>
      </w:rPr>
      <w:tblPr/>
      <w:tcPr>
        <w:shd w:val="clear" w:color="auto" w:fill="EFECEA" w:themeFill="accent6"/>
      </w:tcPr>
    </w:tblStylePr>
    <w:tblStylePr w:type="lastRow">
      <w:pPr>
        <w:spacing w:before="0" w:after="0" w:line="240" w:lineRule="auto"/>
      </w:pPr>
      <w:rPr>
        <w:b/>
        <w:bCs/>
      </w:rPr>
      <w:tblPr/>
      <w:tcPr>
        <w:tcBorders>
          <w:top w:val="double" w:sz="6" w:space="0" w:color="EFECEA" w:themeColor="accent6"/>
          <w:left w:val="single" w:sz="8" w:space="0" w:color="EFECEA" w:themeColor="accent6"/>
          <w:bottom w:val="single" w:sz="8" w:space="0" w:color="EFECEA" w:themeColor="accent6"/>
          <w:right w:val="single" w:sz="8" w:space="0" w:color="EFECEA" w:themeColor="accent6"/>
        </w:tcBorders>
      </w:tcPr>
    </w:tblStylePr>
    <w:tblStylePr w:type="firstCol">
      <w:rPr>
        <w:b/>
        <w:bCs/>
      </w:rPr>
    </w:tblStylePr>
    <w:tblStylePr w:type="lastCol">
      <w:rPr>
        <w:b/>
        <w:bCs/>
      </w:rPr>
    </w:tblStylePr>
    <w:tblStylePr w:type="band1Vert">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tcPr>
    </w:tblStylePr>
    <w:tblStylePr w:type="band1Horz">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tcPr>
    </w:tblStylePr>
  </w:style>
  <w:style w:type="table" w:styleId="LightShading">
    <w:name w:val="Light Shading"/>
    <w:basedOn w:val="TableNormal"/>
    <w:uiPriority w:val="60"/>
    <w:semiHidden/>
    <w:unhideWhenUsed/>
    <w:rsid w:val="007079C8"/>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semiHidden/>
    <w:unhideWhenUsed/>
    <w:rsid w:val="007079C8"/>
    <w:pPr>
      <w:spacing w:line="240" w:lineRule="auto"/>
    </w:pPr>
    <w:rPr>
      <w:color w:val="85B0D0" w:themeColor="accent2" w:themeShade="BF"/>
    </w:rPr>
    <w:tblPr>
      <w:tblStyleRowBandSize w:val="1"/>
      <w:tblStyleColBandSize w:val="1"/>
      <w:tblBorders>
        <w:top w:val="single" w:sz="8" w:space="0" w:color="D8E6F0" w:themeColor="accent2"/>
        <w:bottom w:val="single" w:sz="8" w:space="0" w:color="D8E6F0" w:themeColor="accent2"/>
      </w:tblBorders>
    </w:tblPr>
    <w:tblStylePr w:type="firstRow">
      <w:pPr>
        <w:spacing w:before="0" w:after="0" w:line="240" w:lineRule="auto"/>
      </w:pPr>
      <w:rPr>
        <w:b/>
        <w:bCs/>
      </w:rPr>
      <w:tblPr/>
      <w:tcPr>
        <w:tcBorders>
          <w:top w:val="single" w:sz="8" w:space="0" w:color="D8E6F0" w:themeColor="accent2"/>
          <w:left w:val="nil"/>
          <w:bottom w:val="single" w:sz="8" w:space="0" w:color="D8E6F0" w:themeColor="accent2"/>
          <w:right w:val="nil"/>
          <w:insideH w:val="nil"/>
          <w:insideV w:val="nil"/>
        </w:tcBorders>
      </w:tcPr>
    </w:tblStylePr>
    <w:tblStylePr w:type="lastRow">
      <w:pPr>
        <w:spacing w:before="0" w:after="0" w:line="240" w:lineRule="auto"/>
      </w:pPr>
      <w:rPr>
        <w:b/>
        <w:bCs/>
      </w:rPr>
      <w:tblPr/>
      <w:tcPr>
        <w:tcBorders>
          <w:top w:val="single" w:sz="8" w:space="0" w:color="D8E6F0" w:themeColor="accent2"/>
          <w:left w:val="nil"/>
          <w:bottom w:val="single" w:sz="8" w:space="0" w:color="D8E6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8FB" w:themeFill="accent2" w:themeFillTint="3F"/>
      </w:tcPr>
    </w:tblStylePr>
    <w:tblStylePr w:type="band1Horz">
      <w:tblPr/>
      <w:tcPr>
        <w:tcBorders>
          <w:left w:val="nil"/>
          <w:right w:val="nil"/>
          <w:insideH w:val="nil"/>
          <w:insideV w:val="nil"/>
        </w:tcBorders>
        <w:shd w:val="clear" w:color="auto" w:fill="F5F8FB" w:themeFill="accent2" w:themeFillTint="3F"/>
      </w:tcPr>
    </w:tblStylePr>
  </w:style>
  <w:style w:type="table" w:styleId="LightShading-Accent3">
    <w:name w:val="Light Shading Accent 3"/>
    <w:basedOn w:val="TableNormal"/>
    <w:uiPriority w:val="60"/>
    <w:semiHidden/>
    <w:unhideWhenUsed/>
    <w:rsid w:val="007079C8"/>
    <w:pPr>
      <w:spacing w:line="240" w:lineRule="auto"/>
    </w:pPr>
    <w:rPr>
      <w:color w:val="161B20" w:themeColor="accent3" w:themeShade="BF"/>
    </w:rPr>
    <w:tblPr>
      <w:tblStyleRowBandSize w:val="1"/>
      <w:tblStyleColBandSize w:val="1"/>
      <w:tblBorders>
        <w:top w:val="single" w:sz="8" w:space="0" w:color="1E252B" w:themeColor="accent3"/>
        <w:bottom w:val="single" w:sz="8" w:space="0" w:color="1E252B" w:themeColor="accent3"/>
      </w:tblBorders>
    </w:tblPr>
    <w:tblStylePr w:type="firstRow">
      <w:pPr>
        <w:spacing w:before="0" w:after="0" w:line="240" w:lineRule="auto"/>
      </w:pPr>
      <w:rPr>
        <w:b/>
        <w:bCs/>
      </w:rPr>
      <w:tblPr/>
      <w:tcPr>
        <w:tcBorders>
          <w:top w:val="single" w:sz="8" w:space="0" w:color="1E252B" w:themeColor="accent3"/>
          <w:left w:val="nil"/>
          <w:bottom w:val="single" w:sz="8" w:space="0" w:color="1E252B" w:themeColor="accent3"/>
          <w:right w:val="nil"/>
          <w:insideH w:val="nil"/>
          <w:insideV w:val="nil"/>
        </w:tcBorders>
      </w:tcPr>
    </w:tblStylePr>
    <w:tblStylePr w:type="lastRow">
      <w:pPr>
        <w:spacing w:before="0" w:after="0" w:line="240" w:lineRule="auto"/>
      </w:pPr>
      <w:rPr>
        <w:b/>
        <w:bCs/>
      </w:rPr>
      <w:tblPr/>
      <w:tcPr>
        <w:tcBorders>
          <w:top w:val="single" w:sz="8" w:space="0" w:color="1E252B" w:themeColor="accent3"/>
          <w:left w:val="nil"/>
          <w:bottom w:val="single" w:sz="8" w:space="0" w:color="1E252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9D2" w:themeFill="accent3" w:themeFillTint="3F"/>
      </w:tcPr>
    </w:tblStylePr>
    <w:tblStylePr w:type="band1Horz">
      <w:tblPr/>
      <w:tcPr>
        <w:tcBorders>
          <w:left w:val="nil"/>
          <w:right w:val="nil"/>
          <w:insideH w:val="nil"/>
          <w:insideV w:val="nil"/>
        </w:tcBorders>
        <w:shd w:val="clear" w:color="auto" w:fill="BFC9D2" w:themeFill="accent3" w:themeFillTint="3F"/>
      </w:tcPr>
    </w:tblStylePr>
  </w:style>
  <w:style w:type="table" w:styleId="LightShading-Accent4">
    <w:name w:val="Light Shading Accent 4"/>
    <w:basedOn w:val="TableNormal"/>
    <w:uiPriority w:val="60"/>
    <w:semiHidden/>
    <w:unhideWhenUsed/>
    <w:rsid w:val="007079C8"/>
    <w:pPr>
      <w:spacing w:line="240" w:lineRule="auto"/>
    </w:pPr>
    <w:rPr>
      <w:color w:val="262E35" w:themeColor="accent4" w:themeShade="BF"/>
    </w:rPr>
    <w:tblPr>
      <w:tblStyleRowBandSize w:val="1"/>
      <w:tblStyleColBandSize w:val="1"/>
      <w:tblBorders>
        <w:top w:val="single" w:sz="8" w:space="0" w:color="333E48" w:themeColor="accent4"/>
        <w:bottom w:val="single" w:sz="8" w:space="0" w:color="333E48" w:themeColor="accent4"/>
      </w:tblBorders>
    </w:tblPr>
    <w:tblStylePr w:type="firstRow">
      <w:pPr>
        <w:spacing w:before="0" w:after="0" w:line="240" w:lineRule="auto"/>
      </w:pPr>
      <w:rPr>
        <w:b/>
        <w:bCs/>
      </w:rPr>
      <w:tblPr/>
      <w:tcPr>
        <w:tcBorders>
          <w:top w:val="single" w:sz="8" w:space="0" w:color="333E48" w:themeColor="accent4"/>
          <w:left w:val="nil"/>
          <w:bottom w:val="single" w:sz="8" w:space="0" w:color="333E48" w:themeColor="accent4"/>
          <w:right w:val="nil"/>
          <w:insideH w:val="nil"/>
          <w:insideV w:val="nil"/>
        </w:tcBorders>
      </w:tcPr>
    </w:tblStylePr>
    <w:tblStylePr w:type="lastRow">
      <w:pPr>
        <w:spacing w:before="0" w:after="0" w:line="240" w:lineRule="auto"/>
      </w:pPr>
      <w:rPr>
        <w:b/>
        <w:bCs/>
      </w:rPr>
      <w:tblPr/>
      <w:tcPr>
        <w:tcBorders>
          <w:top w:val="single" w:sz="8" w:space="0" w:color="333E48" w:themeColor="accent4"/>
          <w:left w:val="nil"/>
          <w:bottom w:val="single" w:sz="8" w:space="0" w:color="333E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FD7" w:themeFill="accent4" w:themeFillTint="3F"/>
      </w:tcPr>
    </w:tblStylePr>
    <w:tblStylePr w:type="band1Horz">
      <w:tblPr/>
      <w:tcPr>
        <w:tcBorders>
          <w:left w:val="nil"/>
          <w:right w:val="nil"/>
          <w:insideH w:val="nil"/>
          <w:insideV w:val="nil"/>
        </w:tcBorders>
        <w:shd w:val="clear" w:color="auto" w:fill="C7CFD7" w:themeFill="accent4" w:themeFillTint="3F"/>
      </w:tcPr>
    </w:tblStylePr>
  </w:style>
  <w:style w:type="table" w:styleId="LightShading-Accent5">
    <w:name w:val="Light Shading Accent 5"/>
    <w:basedOn w:val="TableNormal"/>
    <w:uiPriority w:val="60"/>
    <w:semiHidden/>
    <w:unhideWhenUsed/>
    <w:rsid w:val="007079C8"/>
    <w:pPr>
      <w:spacing w:line="240" w:lineRule="auto"/>
    </w:pPr>
    <w:rPr>
      <w:color w:val="A5A59D" w:themeColor="accent5" w:themeShade="BF"/>
    </w:rPr>
    <w:tblPr>
      <w:tblStyleRowBandSize w:val="1"/>
      <w:tblStyleColBandSize w:val="1"/>
      <w:tblBorders>
        <w:top w:val="single" w:sz="8" w:space="0" w:color="D9D9D6" w:themeColor="accent5"/>
        <w:bottom w:val="single" w:sz="8" w:space="0" w:color="D9D9D6" w:themeColor="accent5"/>
      </w:tblBorders>
    </w:tblPr>
    <w:tblStylePr w:type="firstRow">
      <w:pPr>
        <w:spacing w:before="0" w:after="0" w:line="240" w:lineRule="auto"/>
      </w:pPr>
      <w:rPr>
        <w:b/>
        <w:bCs/>
      </w:rPr>
      <w:tblPr/>
      <w:tcPr>
        <w:tcBorders>
          <w:top w:val="single" w:sz="8" w:space="0" w:color="D9D9D6" w:themeColor="accent5"/>
          <w:left w:val="nil"/>
          <w:bottom w:val="single" w:sz="8" w:space="0" w:color="D9D9D6" w:themeColor="accent5"/>
          <w:right w:val="nil"/>
          <w:insideH w:val="nil"/>
          <w:insideV w:val="nil"/>
        </w:tcBorders>
      </w:tcPr>
    </w:tblStylePr>
    <w:tblStylePr w:type="lastRow">
      <w:pPr>
        <w:spacing w:before="0" w:after="0" w:line="240" w:lineRule="auto"/>
      </w:pPr>
      <w:rPr>
        <w:b/>
        <w:bCs/>
      </w:rPr>
      <w:tblPr/>
      <w:tcPr>
        <w:tcBorders>
          <w:top w:val="single" w:sz="8" w:space="0" w:color="D9D9D6" w:themeColor="accent5"/>
          <w:left w:val="nil"/>
          <w:bottom w:val="single" w:sz="8" w:space="0" w:color="D9D9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4" w:themeFill="accent5" w:themeFillTint="3F"/>
      </w:tcPr>
    </w:tblStylePr>
    <w:tblStylePr w:type="band1Horz">
      <w:tblPr/>
      <w:tcPr>
        <w:tcBorders>
          <w:left w:val="nil"/>
          <w:right w:val="nil"/>
          <w:insideH w:val="nil"/>
          <w:insideV w:val="nil"/>
        </w:tcBorders>
        <w:shd w:val="clear" w:color="auto" w:fill="F5F5F4" w:themeFill="accent5" w:themeFillTint="3F"/>
      </w:tcPr>
    </w:tblStylePr>
  </w:style>
  <w:style w:type="table" w:styleId="LightShading-Accent6">
    <w:name w:val="Light Shading Accent 6"/>
    <w:basedOn w:val="TableNormal"/>
    <w:uiPriority w:val="60"/>
    <w:semiHidden/>
    <w:unhideWhenUsed/>
    <w:rsid w:val="007079C8"/>
    <w:pPr>
      <w:spacing w:line="240" w:lineRule="auto"/>
    </w:pPr>
    <w:rPr>
      <w:color w:val="BBAEA6" w:themeColor="accent6" w:themeShade="BF"/>
    </w:rPr>
    <w:tblPr>
      <w:tblStyleRowBandSize w:val="1"/>
      <w:tblStyleColBandSize w:val="1"/>
      <w:tblBorders>
        <w:top w:val="single" w:sz="8" w:space="0" w:color="EFECEA" w:themeColor="accent6"/>
        <w:bottom w:val="single" w:sz="8" w:space="0" w:color="EFECEA" w:themeColor="accent6"/>
      </w:tblBorders>
    </w:tblPr>
    <w:tblStylePr w:type="firstRow">
      <w:pPr>
        <w:spacing w:before="0" w:after="0" w:line="240" w:lineRule="auto"/>
      </w:pPr>
      <w:rPr>
        <w:b/>
        <w:bCs/>
      </w:rPr>
      <w:tblPr/>
      <w:tcPr>
        <w:tcBorders>
          <w:top w:val="single" w:sz="8" w:space="0" w:color="EFECEA" w:themeColor="accent6"/>
          <w:left w:val="nil"/>
          <w:bottom w:val="single" w:sz="8" w:space="0" w:color="EFECEA" w:themeColor="accent6"/>
          <w:right w:val="nil"/>
          <w:insideH w:val="nil"/>
          <w:insideV w:val="nil"/>
        </w:tcBorders>
      </w:tcPr>
    </w:tblStylePr>
    <w:tblStylePr w:type="lastRow">
      <w:pPr>
        <w:spacing w:before="0" w:after="0" w:line="240" w:lineRule="auto"/>
      </w:pPr>
      <w:rPr>
        <w:b/>
        <w:bCs/>
      </w:rPr>
      <w:tblPr/>
      <w:tcPr>
        <w:tcBorders>
          <w:top w:val="single" w:sz="8" w:space="0" w:color="EFECEA" w:themeColor="accent6"/>
          <w:left w:val="nil"/>
          <w:bottom w:val="single" w:sz="8" w:space="0" w:color="EFECE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AF9" w:themeFill="accent6" w:themeFillTint="3F"/>
      </w:tcPr>
    </w:tblStylePr>
    <w:tblStylePr w:type="band1Horz">
      <w:tblPr/>
      <w:tcPr>
        <w:tcBorders>
          <w:left w:val="nil"/>
          <w:right w:val="nil"/>
          <w:insideH w:val="nil"/>
          <w:insideV w:val="nil"/>
        </w:tcBorders>
        <w:shd w:val="clear" w:color="auto" w:fill="FBFAF9" w:themeFill="accent6" w:themeFillTint="3F"/>
      </w:tcPr>
    </w:tblStylePr>
  </w:style>
  <w:style w:type="character" w:styleId="LineNumber">
    <w:name w:val="line number"/>
    <w:basedOn w:val="DefaultParagraphFont"/>
    <w:semiHidden/>
    <w:unhideWhenUsed/>
    <w:rsid w:val="007079C8"/>
  </w:style>
  <w:style w:type="table" w:styleId="ListTable1Light">
    <w:name w:val="List Table 1 Light"/>
    <w:basedOn w:val="TableNormal"/>
    <w:uiPriority w:val="46"/>
    <w:rsid w:val="007079C8"/>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079C8"/>
    <w:pPr>
      <w:spacing w:line="240" w:lineRule="auto"/>
    </w:pPr>
    <w:tblPr>
      <w:tblStyleRowBandSize w:val="1"/>
      <w:tblStyleColBandSize w:val="1"/>
    </w:tblPr>
    <w:tblStylePr w:type="firstRow">
      <w:rPr>
        <w:b/>
        <w:bCs/>
      </w:rPr>
      <w:tblPr/>
      <w:tcPr>
        <w:tcBorders>
          <w:bottom w:val="single" w:sz="4" w:space="0" w:color="FB8D88" w:themeColor="accent1" w:themeTint="99"/>
        </w:tcBorders>
      </w:tcPr>
    </w:tblStylePr>
    <w:tblStylePr w:type="lastRow">
      <w:rPr>
        <w:b/>
        <w:bCs/>
      </w:rPr>
      <w:tblPr/>
      <w:tcPr>
        <w:tcBorders>
          <w:top w:val="sing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Table1Light-Accent2">
    <w:name w:val="List Table 1 Light Accent 2"/>
    <w:basedOn w:val="TableNormal"/>
    <w:uiPriority w:val="46"/>
    <w:rsid w:val="007079C8"/>
    <w:pPr>
      <w:spacing w:line="240" w:lineRule="auto"/>
    </w:pPr>
    <w:tblPr>
      <w:tblStyleRowBandSize w:val="1"/>
      <w:tblStyleColBandSize w:val="1"/>
    </w:tblPr>
    <w:tblStylePr w:type="firstRow">
      <w:rPr>
        <w:b/>
        <w:bCs/>
      </w:rPr>
      <w:tblPr/>
      <w:tcPr>
        <w:tcBorders>
          <w:bottom w:val="single" w:sz="4" w:space="0" w:color="E7EFF6" w:themeColor="accent2" w:themeTint="99"/>
        </w:tcBorders>
      </w:tcPr>
    </w:tblStylePr>
    <w:tblStylePr w:type="lastRow">
      <w:rPr>
        <w:b/>
        <w:bCs/>
      </w:rPr>
      <w:tblPr/>
      <w:tcPr>
        <w:tcBorders>
          <w:top w:val="single" w:sz="4" w:space="0" w:color="E7EFF6" w:themeColor="accent2" w:themeTint="99"/>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Table1Light-Accent3">
    <w:name w:val="List Table 1 Light Accent 3"/>
    <w:basedOn w:val="TableNormal"/>
    <w:uiPriority w:val="46"/>
    <w:rsid w:val="007079C8"/>
    <w:pPr>
      <w:spacing w:line="240" w:lineRule="auto"/>
    </w:pPr>
    <w:tblPr>
      <w:tblStyleRowBandSize w:val="1"/>
      <w:tblStyleColBandSize w:val="1"/>
    </w:tblPr>
    <w:tblStylePr w:type="firstRow">
      <w:rPr>
        <w:b/>
        <w:bCs/>
      </w:rPr>
      <w:tblPr/>
      <w:tcPr>
        <w:tcBorders>
          <w:bottom w:val="single" w:sz="4" w:space="0" w:color="657D91" w:themeColor="accent3" w:themeTint="99"/>
        </w:tcBorders>
      </w:tcPr>
    </w:tblStylePr>
    <w:tblStylePr w:type="lastRow">
      <w:rPr>
        <w:b/>
        <w:bCs/>
      </w:rPr>
      <w:tblPr/>
      <w:tcPr>
        <w:tcBorders>
          <w:top w:val="single" w:sz="4" w:space="0" w:color="657D91" w:themeColor="accent3" w:themeTint="99"/>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Table1Light-Accent4">
    <w:name w:val="List Table 1 Light Accent 4"/>
    <w:basedOn w:val="TableNormal"/>
    <w:uiPriority w:val="46"/>
    <w:rsid w:val="007079C8"/>
    <w:pPr>
      <w:spacing w:line="240" w:lineRule="auto"/>
    </w:pPr>
    <w:tblPr>
      <w:tblStyleRowBandSize w:val="1"/>
      <w:tblStyleColBandSize w:val="1"/>
    </w:tblPr>
    <w:tblStylePr w:type="firstRow">
      <w:rPr>
        <w:b/>
        <w:bCs/>
      </w:rPr>
      <w:tblPr/>
      <w:tcPr>
        <w:tcBorders>
          <w:bottom w:val="single" w:sz="4" w:space="0" w:color="778B9E" w:themeColor="accent4" w:themeTint="99"/>
        </w:tcBorders>
      </w:tcPr>
    </w:tblStylePr>
    <w:tblStylePr w:type="lastRow">
      <w:rPr>
        <w:b/>
        <w:bCs/>
      </w:rPr>
      <w:tblPr/>
      <w:tcPr>
        <w:tcBorders>
          <w:top w:val="single" w:sz="4" w:space="0" w:color="778B9E" w:themeColor="accent4" w:themeTint="99"/>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Table1Light-Accent5">
    <w:name w:val="List Table 1 Light Accent 5"/>
    <w:basedOn w:val="TableNormal"/>
    <w:uiPriority w:val="46"/>
    <w:rsid w:val="007079C8"/>
    <w:pPr>
      <w:spacing w:line="240" w:lineRule="auto"/>
    </w:pPr>
    <w:tblPr>
      <w:tblStyleRowBandSize w:val="1"/>
      <w:tblStyleColBandSize w:val="1"/>
    </w:tblPr>
    <w:tblStylePr w:type="firstRow">
      <w:rPr>
        <w:b/>
        <w:bCs/>
      </w:rPr>
      <w:tblPr/>
      <w:tcPr>
        <w:tcBorders>
          <w:bottom w:val="single" w:sz="4" w:space="0" w:color="E8E8E6" w:themeColor="accent5" w:themeTint="99"/>
        </w:tcBorders>
      </w:tcPr>
    </w:tblStylePr>
    <w:tblStylePr w:type="lastRow">
      <w:rPr>
        <w:b/>
        <w:bCs/>
      </w:rPr>
      <w:tblPr/>
      <w:tcPr>
        <w:tcBorders>
          <w:top w:val="single" w:sz="4" w:space="0" w:color="E8E8E6" w:themeColor="accent5" w:themeTint="99"/>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Table1Light-Accent6">
    <w:name w:val="List Table 1 Light Accent 6"/>
    <w:basedOn w:val="TableNormal"/>
    <w:uiPriority w:val="46"/>
    <w:rsid w:val="007079C8"/>
    <w:pPr>
      <w:spacing w:line="240" w:lineRule="auto"/>
    </w:pPr>
    <w:tblPr>
      <w:tblStyleRowBandSize w:val="1"/>
      <w:tblStyleColBandSize w:val="1"/>
    </w:tblPr>
    <w:tblStylePr w:type="firstRow">
      <w:rPr>
        <w:b/>
        <w:bCs/>
      </w:rPr>
      <w:tblPr/>
      <w:tcPr>
        <w:tcBorders>
          <w:bottom w:val="single" w:sz="4" w:space="0" w:color="F5F3F2" w:themeColor="accent6" w:themeTint="99"/>
        </w:tcBorders>
      </w:tcPr>
    </w:tblStylePr>
    <w:tblStylePr w:type="lastRow">
      <w:rPr>
        <w:b/>
        <w:bCs/>
      </w:rPr>
      <w:tblPr/>
      <w:tcPr>
        <w:tcBorders>
          <w:top w:val="single" w:sz="4" w:space="0" w:color="F5F3F2" w:themeColor="accent6" w:themeTint="99"/>
        </w:tcBorders>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ListTable2">
    <w:name w:val="List Table 2"/>
    <w:basedOn w:val="TableNormal"/>
    <w:uiPriority w:val="47"/>
    <w:rsid w:val="007079C8"/>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079C8"/>
    <w:pPr>
      <w:spacing w:line="240" w:lineRule="auto"/>
    </w:pPr>
    <w:tblPr>
      <w:tblStyleRowBandSize w:val="1"/>
      <w:tblStyleColBandSize w:val="1"/>
      <w:tblBorders>
        <w:top w:val="single" w:sz="4" w:space="0" w:color="FB8D88" w:themeColor="accent1" w:themeTint="99"/>
        <w:bottom w:val="single" w:sz="4" w:space="0" w:color="FB8D88" w:themeColor="accent1" w:themeTint="99"/>
        <w:insideH w:val="single" w:sz="4" w:space="0" w:color="FB8D8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Table2-Accent2">
    <w:name w:val="List Table 2 Accent 2"/>
    <w:basedOn w:val="TableNormal"/>
    <w:uiPriority w:val="47"/>
    <w:rsid w:val="007079C8"/>
    <w:pPr>
      <w:spacing w:line="240" w:lineRule="auto"/>
    </w:pPr>
    <w:tblPr>
      <w:tblStyleRowBandSize w:val="1"/>
      <w:tblStyleColBandSize w:val="1"/>
      <w:tblBorders>
        <w:top w:val="single" w:sz="4" w:space="0" w:color="E7EFF6" w:themeColor="accent2" w:themeTint="99"/>
        <w:bottom w:val="single" w:sz="4" w:space="0" w:color="E7EFF6" w:themeColor="accent2" w:themeTint="99"/>
        <w:insideH w:val="single" w:sz="4" w:space="0" w:color="E7EFF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Table2-Accent3">
    <w:name w:val="List Table 2 Accent 3"/>
    <w:basedOn w:val="TableNormal"/>
    <w:uiPriority w:val="47"/>
    <w:rsid w:val="007079C8"/>
    <w:pPr>
      <w:spacing w:line="240" w:lineRule="auto"/>
    </w:pPr>
    <w:tblPr>
      <w:tblStyleRowBandSize w:val="1"/>
      <w:tblStyleColBandSize w:val="1"/>
      <w:tblBorders>
        <w:top w:val="single" w:sz="4" w:space="0" w:color="657D91" w:themeColor="accent3" w:themeTint="99"/>
        <w:bottom w:val="single" w:sz="4" w:space="0" w:color="657D91" w:themeColor="accent3" w:themeTint="99"/>
        <w:insideH w:val="single" w:sz="4" w:space="0" w:color="657D9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Table2-Accent4">
    <w:name w:val="List Table 2 Accent 4"/>
    <w:basedOn w:val="TableNormal"/>
    <w:uiPriority w:val="47"/>
    <w:rsid w:val="007079C8"/>
    <w:pPr>
      <w:spacing w:line="240" w:lineRule="auto"/>
    </w:pPr>
    <w:tblPr>
      <w:tblStyleRowBandSize w:val="1"/>
      <w:tblStyleColBandSize w:val="1"/>
      <w:tblBorders>
        <w:top w:val="single" w:sz="4" w:space="0" w:color="778B9E" w:themeColor="accent4" w:themeTint="99"/>
        <w:bottom w:val="single" w:sz="4" w:space="0" w:color="778B9E" w:themeColor="accent4" w:themeTint="99"/>
        <w:insideH w:val="single" w:sz="4" w:space="0" w:color="778B9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Table2-Accent5">
    <w:name w:val="List Table 2 Accent 5"/>
    <w:basedOn w:val="TableNormal"/>
    <w:uiPriority w:val="47"/>
    <w:rsid w:val="007079C8"/>
    <w:pPr>
      <w:spacing w:line="240" w:lineRule="auto"/>
    </w:pPr>
    <w:tblPr>
      <w:tblStyleRowBandSize w:val="1"/>
      <w:tblStyleColBandSize w:val="1"/>
      <w:tblBorders>
        <w:top w:val="single" w:sz="4" w:space="0" w:color="E8E8E6" w:themeColor="accent5" w:themeTint="99"/>
        <w:bottom w:val="single" w:sz="4" w:space="0" w:color="E8E8E6" w:themeColor="accent5" w:themeTint="99"/>
        <w:insideH w:val="single" w:sz="4" w:space="0" w:color="E8E8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Table2-Accent6">
    <w:name w:val="List Table 2 Accent 6"/>
    <w:basedOn w:val="TableNormal"/>
    <w:uiPriority w:val="47"/>
    <w:rsid w:val="007079C8"/>
    <w:pPr>
      <w:spacing w:line="240" w:lineRule="auto"/>
    </w:pPr>
    <w:tblPr>
      <w:tblStyleRowBandSize w:val="1"/>
      <w:tblStyleColBandSize w:val="1"/>
      <w:tblBorders>
        <w:top w:val="single" w:sz="4" w:space="0" w:color="F5F3F2" w:themeColor="accent6" w:themeTint="99"/>
        <w:bottom w:val="single" w:sz="4" w:space="0" w:color="F5F3F2" w:themeColor="accent6" w:themeTint="99"/>
        <w:insideH w:val="single" w:sz="4" w:space="0" w:color="F5F3F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ListTable3">
    <w:name w:val="List Table 3"/>
    <w:basedOn w:val="TableNormal"/>
    <w:uiPriority w:val="48"/>
    <w:rsid w:val="007079C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079C8"/>
    <w:pPr>
      <w:spacing w:line="240" w:lineRule="auto"/>
    </w:pPr>
    <w:tblPr>
      <w:tblStyleRowBandSize w:val="1"/>
      <w:tblStyleColBandSize w:val="1"/>
      <w:tblBorders>
        <w:top w:val="single" w:sz="4" w:space="0" w:color="F9423A" w:themeColor="accent1"/>
        <w:left w:val="single" w:sz="4" w:space="0" w:color="F9423A" w:themeColor="accent1"/>
        <w:bottom w:val="single" w:sz="4" w:space="0" w:color="F9423A" w:themeColor="accent1"/>
        <w:right w:val="single" w:sz="4" w:space="0" w:color="F9423A" w:themeColor="accent1"/>
      </w:tblBorders>
    </w:tblPr>
    <w:tblStylePr w:type="firstRow">
      <w:rPr>
        <w:b/>
        <w:bCs/>
        <w:color w:val="FFFFFF" w:themeColor="background1"/>
      </w:rPr>
      <w:tblPr/>
      <w:tcPr>
        <w:shd w:val="clear" w:color="auto" w:fill="F9423A" w:themeFill="accent1"/>
      </w:tcPr>
    </w:tblStylePr>
    <w:tblStylePr w:type="lastRow">
      <w:rPr>
        <w:b/>
        <w:bCs/>
      </w:rPr>
      <w:tblPr/>
      <w:tcPr>
        <w:tcBorders>
          <w:top w:val="double" w:sz="4" w:space="0" w:color="F942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423A" w:themeColor="accent1"/>
          <w:right w:val="single" w:sz="4" w:space="0" w:color="F9423A" w:themeColor="accent1"/>
        </w:tcBorders>
      </w:tcPr>
    </w:tblStylePr>
    <w:tblStylePr w:type="band1Horz">
      <w:tblPr/>
      <w:tcPr>
        <w:tcBorders>
          <w:top w:val="single" w:sz="4" w:space="0" w:color="F9423A" w:themeColor="accent1"/>
          <w:bottom w:val="single" w:sz="4" w:space="0" w:color="F942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423A" w:themeColor="accent1"/>
          <w:left w:val="nil"/>
        </w:tcBorders>
      </w:tcPr>
    </w:tblStylePr>
    <w:tblStylePr w:type="swCell">
      <w:tblPr/>
      <w:tcPr>
        <w:tcBorders>
          <w:top w:val="double" w:sz="4" w:space="0" w:color="F9423A" w:themeColor="accent1"/>
          <w:right w:val="nil"/>
        </w:tcBorders>
      </w:tcPr>
    </w:tblStylePr>
  </w:style>
  <w:style w:type="table" w:styleId="ListTable3-Accent2">
    <w:name w:val="List Table 3 Accent 2"/>
    <w:basedOn w:val="TableNormal"/>
    <w:uiPriority w:val="48"/>
    <w:rsid w:val="007079C8"/>
    <w:pPr>
      <w:spacing w:line="240" w:lineRule="auto"/>
    </w:pPr>
    <w:tblPr>
      <w:tblStyleRowBandSize w:val="1"/>
      <w:tblStyleColBandSize w:val="1"/>
      <w:tblBorders>
        <w:top w:val="single" w:sz="4" w:space="0" w:color="D8E6F0" w:themeColor="accent2"/>
        <w:left w:val="single" w:sz="4" w:space="0" w:color="D8E6F0" w:themeColor="accent2"/>
        <w:bottom w:val="single" w:sz="4" w:space="0" w:color="D8E6F0" w:themeColor="accent2"/>
        <w:right w:val="single" w:sz="4" w:space="0" w:color="D8E6F0" w:themeColor="accent2"/>
      </w:tblBorders>
    </w:tblPr>
    <w:tblStylePr w:type="firstRow">
      <w:rPr>
        <w:b/>
        <w:bCs/>
        <w:color w:val="FFFFFF" w:themeColor="background1"/>
      </w:rPr>
      <w:tblPr/>
      <w:tcPr>
        <w:shd w:val="clear" w:color="auto" w:fill="D8E6F0" w:themeFill="accent2"/>
      </w:tcPr>
    </w:tblStylePr>
    <w:tblStylePr w:type="lastRow">
      <w:rPr>
        <w:b/>
        <w:bCs/>
      </w:rPr>
      <w:tblPr/>
      <w:tcPr>
        <w:tcBorders>
          <w:top w:val="double" w:sz="4" w:space="0" w:color="D8E6F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E6F0" w:themeColor="accent2"/>
          <w:right w:val="single" w:sz="4" w:space="0" w:color="D8E6F0" w:themeColor="accent2"/>
        </w:tcBorders>
      </w:tcPr>
    </w:tblStylePr>
    <w:tblStylePr w:type="band1Horz">
      <w:tblPr/>
      <w:tcPr>
        <w:tcBorders>
          <w:top w:val="single" w:sz="4" w:space="0" w:color="D8E6F0" w:themeColor="accent2"/>
          <w:bottom w:val="single" w:sz="4" w:space="0" w:color="D8E6F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E6F0" w:themeColor="accent2"/>
          <w:left w:val="nil"/>
        </w:tcBorders>
      </w:tcPr>
    </w:tblStylePr>
    <w:tblStylePr w:type="swCell">
      <w:tblPr/>
      <w:tcPr>
        <w:tcBorders>
          <w:top w:val="double" w:sz="4" w:space="0" w:color="D8E6F0" w:themeColor="accent2"/>
          <w:right w:val="nil"/>
        </w:tcBorders>
      </w:tcPr>
    </w:tblStylePr>
  </w:style>
  <w:style w:type="table" w:styleId="ListTable3-Accent3">
    <w:name w:val="List Table 3 Accent 3"/>
    <w:basedOn w:val="TableNormal"/>
    <w:uiPriority w:val="48"/>
    <w:rsid w:val="007079C8"/>
    <w:pPr>
      <w:spacing w:line="240" w:lineRule="auto"/>
    </w:pPr>
    <w:tblPr>
      <w:tblStyleRowBandSize w:val="1"/>
      <w:tblStyleColBandSize w:val="1"/>
      <w:tblBorders>
        <w:top w:val="single" w:sz="4" w:space="0" w:color="1E252B" w:themeColor="accent3"/>
        <w:left w:val="single" w:sz="4" w:space="0" w:color="1E252B" w:themeColor="accent3"/>
        <w:bottom w:val="single" w:sz="4" w:space="0" w:color="1E252B" w:themeColor="accent3"/>
        <w:right w:val="single" w:sz="4" w:space="0" w:color="1E252B" w:themeColor="accent3"/>
      </w:tblBorders>
    </w:tblPr>
    <w:tblStylePr w:type="firstRow">
      <w:rPr>
        <w:b/>
        <w:bCs/>
        <w:color w:val="FFFFFF" w:themeColor="background1"/>
      </w:rPr>
      <w:tblPr/>
      <w:tcPr>
        <w:shd w:val="clear" w:color="auto" w:fill="1E252B" w:themeFill="accent3"/>
      </w:tcPr>
    </w:tblStylePr>
    <w:tblStylePr w:type="lastRow">
      <w:rPr>
        <w:b/>
        <w:bCs/>
      </w:rPr>
      <w:tblPr/>
      <w:tcPr>
        <w:tcBorders>
          <w:top w:val="double" w:sz="4" w:space="0" w:color="1E252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252B" w:themeColor="accent3"/>
          <w:right w:val="single" w:sz="4" w:space="0" w:color="1E252B" w:themeColor="accent3"/>
        </w:tcBorders>
      </w:tcPr>
    </w:tblStylePr>
    <w:tblStylePr w:type="band1Horz">
      <w:tblPr/>
      <w:tcPr>
        <w:tcBorders>
          <w:top w:val="single" w:sz="4" w:space="0" w:color="1E252B" w:themeColor="accent3"/>
          <w:bottom w:val="single" w:sz="4" w:space="0" w:color="1E252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252B" w:themeColor="accent3"/>
          <w:left w:val="nil"/>
        </w:tcBorders>
      </w:tcPr>
    </w:tblStylePr>
    <w:tblStylePr w:type="swCell">
      <w:tblPr/>
      <w:tcPr>
        <w:tcBorders>
          <w:top w:val="double" w:sz="4" w:space="0" w:color="1E252B" w:themeColor="accent3"/>
          <w:right w:val="nil"/>
        </w:tcBorders>
      </w:tcPr>
    </w:tblStylePr>
  </w:style>
  <w:style w:type="table" w:styleId="ListTable3-Accent4">
    <w:name w:val="List Table 3 Accent 4"/>
    <w:basedOn w:val="TableNormal"/>
    <w:uiPriority w:val="48"/>
    <w:rsid w:val="007079C8"/>
    <w:pPr>
      <w:spacing w:line="240" w:lineRule="auto"/>
    </w:pPr>
    <w:tblPr>
      <w:tblStyleRowBandSize w:val="1"/>
      <w:tblStyleColBandSize w:val="1"/>
      <w:tblBorders>
        <w:top w:val="single" w:sz="4" w:space="0" w:color="333E48" w:themeColor="accent4"/>
        <w:left w:val="single" w:sz="4" w:space="0" w:color="333E48" w:themeColor="accent4"/>
        <w:bottom w:val="single" w:sz="4" w:space="0" w:color="333E48" w:themeColor="accent4"/>
        <w:right w:val="single" w:sz="4" w:space="0" w:color="333E48" w:themeColor="accent4"/>
      </w:tblBorders>
    </w:tblPr>
    <w:tblStylePr w:type="firstRow">
      <w:rPr>
        <w:b/>
        <w:bCs/>
        <w:color w:val="FFFFFF" w:themeColor="background1"/>
      </w:rPr>
      <w:tblPr/>
      <w:tcPr>
        <w:shd w:val="clear" w:color="auto" w:fill="333E48" w:themeFill="accent4"/>
      </w:tcPr>
    </w:tblStylePr>
    <w:tblStylePr w:type="lastRow">
      <w:rPr>
        <w:b/>
        <w:bCs/>
      </w:rPr>
      <w:tblPr/>
      <w:tcPr>
        <w:tcBorders>
          <w:top w:val="double" w:sz="4" w:space="0" w:color="333E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E48" w:themeColor="accent4"/>
          <w:right w:val="single" w:sz="4" w:space="0" w:color="333E48" w:themeColor="accent4"/>
        </w:tcBorders>
      </w:tcPr>
    </w:tblStylePr>
    <w:tblStylePr w:type="band1Horz">
      <w:tblPr/>
      <w:tcPr>
        <w:tcBorders>
          <w:top w:val="single" w:sz="4" w:space="0" w:color="333E48" w:themeColor="accent4"/>
          <w:bottom w:val="single" w:sz="4" w:space="0" w:color="333E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E48" w:themeColor="accent4"/>
          <w:left w:val="nil"/>
        </w:tcBorders>
      </w:tcPr>
    </w:tblStylePr>
    <w:tblStylePr w:type="swCell">
      <w:tblPr/>
      <w:tcPr>
        <w:tcBorders>
          <w:top w:val="double" w:sz="4" w:space="0" w:color="333E48" w:themeColor="accent4"/>
          <w:right w:val="nil"/>
        </w:tcBorders>
      </w:tcPr>
    </w:tblStylePr>
  </w:style>
  <w:style w:type="table" w:styleId="ListTable3-Accent5">
    <w:name w:val="List Table 3 Accent 5"/>
    <w:basedOn w:val="TableNormal"/>
    <w:uiPriority w:val="48"/>
    <w:rsid w:val="007079C8"/>
    <w:pPr>
      <w:spacing w:line="240" w:lineRule="auto"/>
    </w:pPr>
    <w:tblPr>
      <w:tblStyleRowBandSize w:val="1"/>
      <w:tblStyleColBandSize w:val="1"/>
      <w:tblBorders>
        <w:top w:val="single" w:sz="4" w:space="0" w:color="D9D9D6" w:themeColor="accent5"/>
        <w:left w:val="single" w:sz="4" w:space="0" w:color="D9D9D6" w:themeColor="accent5"/>
        <w:bottom w:val="single" w:sz="4" w:space="0" w:color="D9D9D6" w:themeColor="accent5"/>
        <w:right w:val="single" w:sz="4" w:space="0" w:color="D9D9D6" w:themeColor="accent5"/>
      </w:tblBorders>
    </w:tblPr>
    <w:tblStylePr w:type="firstRow">
      <w:rPr>
        <w:b/>
        <w:bCs/>
        <w:color w:val="FFFFFF" w:themeColor="background1"/>
      </w:rPr>
      <w:tblPr/>
      <w:tcPr>
        <w:shd w:val="clear" w:color="auto" w:fill="D9D9D6" w:themeFill="accent5"/>
      </w:tcPr>
    </w:tblStylePr>
    <w:tblStylePr w:type="lastRow">
      <w:rPr>
        <w:b/>
        <w:bCs/>
      </w:rPr>
      <w:tblPr/>
      <w:tcPr>
        <w:tcBorders>
          <w:top w:val="double" w:sz="4" w:space="0" w:color="D9D9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D9D6" w:themeColor="accent5"/>
          <w:right w:val="single" w:sz="4" w:space="0" w:color="D9D9D6" w:themeColor="accent5"/>
        </w:tcBorders>
      </w:tcPr>
    </w:tblStylePr>
    <w:tblStylePr w:type="band1Horz">
      <w:tblPr/>
      <w:tcPr>
        <w:tcBorders>
          <w:top w:val="single" w:sz="4" w:space="0" w:color="D9D9D6" w:themeColor="accent5"/>
          <w:bottom w:val="single" w:sz="4" w:space="0" w:color="D9D9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D9D6" w:themeColor="accent5"/>
          <w:left w:val="nil"/>
        </w:tcBorders>
      </w:tcPr>
    </w:tblStylePr>
    <w:tblStylePr w:type="swCell">
      <w:tblPr/>
      <w:tcPr>
        <w:tcBorders>
          <w:top w:val="double" w:sz="4" w:space="0" w:color="D9D9D6" w:themeColor="accent5"/>
          <w:right w:val="nil"/>
        </w:tcBorders>
      </w:tcPr>
    </w:tblStylePr>
  </w:style>
  <w:style w:type="table" w:styleId="ListTable3-Accent6">
    <w:name w:val="List Table 3 Accent 6"/>
    <w:basedOn w:val="TableNormal"/>
    <w:uiPriority w:val="48"/>
    <w:rsid w:val="007079C8"/>
    <w:pPr>
      <w:spacing w:line="240" w:lineRule="auto"/>
    </w:pPr>
    <w:tblPr>
      <w:tblStyleRowBandSize w:val="1"/>
      <w:tblStyleColBandSize w:val="1"/>
      <w:tblBorders>
        <w:top w:val="single" w:sz="4" w:space="0" w:color="EFECEA" w:themeColor="accent6"/>
        <w:left w:val="single" w:sz="4" w:space="0" w:color="EFECEA" w:themeColor="accent6"/>
        <w:bottom w:val="single" w:sz="4" w:space="0" w:color="EFECEA" w:themeColor="accent6"/>
        <w:right w:val="single" w:sz="4" w:space="0" w:color="EFECEA" w:themeColor="accent6"/>
      </w:tblBorders>
    </w:tblPr>
    <w:tblStylePr w:type="firstRow">
      <w:rPr>
        <w:b/>
        <w:bCs/>
        <w:color w:val="FFFFFF" w:themeColor="background1"/>
      </w:rPr>
      <w:tblPr/>
      <w:tcPr>
        <w:shd w:val="clear" w:color="auto" w:fill="EFECEA" w:themeFill="accent6"/>
      </w:tcPr>
    </w:tblStylePr>
    <w:tblStylePr w:type="lastRow">
      <w:rPr>
        <w:b/>
        <w:bCs/>
      </w:rPr>
      <w:tblPr/>
      <w:tcPr>
        <w:tcBorders>
          <w:top w:val="double" w:sz="4" w:space="0" w:color="EFECE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ECEA" w:themeColor="accent6"/>
          <w:right w:val="single" w:sz="4" w:space="0" w:color="EFECEA" w:themeColor="accent6"/>
        </w:tcBorders>
      </w:tcPr>
    </w:tblStylePr>
    <w:tblStylePr w:type="band1Horz">
      <w:tblPr/>
      <w:tcPr>
        <w:tcBorders>
          <w:top w:val="single" w:sz="4" w:space="0" w:color="EFECEA" w:themeColor="accent6"/>
          <w:bottom w:val="single" w:sz="4" w:space="0" w:color="EFECE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ECEA" w:themeColor="accent6"/>
          <w:left w:val="nil"/>
        </w:tcBorders>
      </w:tcPr>
    </w:tblStylePr>
    <w:tblStylePr w:type="swCell">
      <w:tblPr/>
      <w:tcPr>
        <w:tcBorders>
          <w:top w:val="double" w:sz="4" w:space="0" w:color="EFECEA" w:themeColor="accent6"/>
          <w:right w:val="nil"/>
        </w:tcBorders>
      </w:tcPr>
    </w:tblStylePr>
  </w:style>
  <w:style w:type="table" w:styleId="ListTable4">
    <w:name w:val="List Table 4"/>
    <w:basedOn w:val="TableNormal"/>
    <w:uiPriority w:val="49"/>
    <w:rsid w:val="007079C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079C8"/>
    <w:pPr>
      <w:spacing w:line="240" w:lineRule="auto"/>
    </w:p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tblBorders>
    </w:tblPr>
    <w:tblStylePr w:type="firstRow">
      <w:rPr>
        <w:b/>
        <w:bCs/>
        <w:color w:val="FFFFFF" w:themeColor="background1"/>
      </w:rPr>
      <w:tblPr/>
      <w:tcPr>
        <w:tcBorders>
          <w:top w:val="single" w:sz="4" w:space="0" w:color="F9423A" w:themeColor="accent1"/>
          <w:left w:val="single" w:sz="4" w:space="0" w:color="F9423A" w:themeColor="accent1"/>
          <w:bottom w:val="single" w:sz="4" w:space="0" w:color="F9423A" w:themeColor="accent1"/>
          <w:right w:val="single" w:sz="4" w:space="0" w:color="F9423A" w:themeColor="accent1"/>
          <w:insideH w:val="nil"/>
        </w:tcBorders>
        <w:shd w:val="clear" w:color="auto" w:fill="F9423A" w:themeFill="accent1"/>
      </w:tcPr>
    </w:tblStylePr>
    <w:tblStylePr w:type="lastRow">
      <w:rPr>
        <w:b/>
        <w:bCs/>
      </w:rPr>
      <w:tblPr/>
      <w:tcPr>
        <w:tcBorders>
          <w:top w:val="doub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Table4-Accent2">
    <w:name w:val="List Table 4 Accent 2"/>
    <w:basedOn w:val="TableNormal"/>
    <w:uiPriority w:val="49"/>
    <w:rsid w:val="007079C8"/>
    <w:pPr>
      <w:spacing w:line="240" w:lineRule="auto"/>
    </w:pPr>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tblBorders>
    </w:tblPr>
    <w:tblStylePr w:type="firstRow">
      <w:rPr>
        <w:b/>
        <w:bCs/>
        <w:color w:val="FFFFFF" w:themeColor="background1"/>
      </w:rPr>
      <w:tblPr/>
      <w:tcPr>
        <w:tcBorders>
          <w:top w:val="single" w:sz="4" w:space="0" w:color="D8E6F0" w:themeColor="accent2"/>
          <w:left w:val="single" w:sz="4" w:space="0" w:color="D8E6F0" w:themeColor="accent2"/>
          <w:bottom w:val="single" w:sz="4" w:space="0" w:color="D8E6F0" w:themeColor="accent2"/>
          <w:right w:val="single" w:sz="4" w:space="0" w:color="D8E6F0" w:themeColor="accent2"/>
          <w:insideH w:val="nil"/>
        </w:tcBorders>
        <w:shd w:val="clear" w:color="auto" w:fill="D8E6F0" w:themeFill="accent2"/>
      </w:tcPr>
    </w:tblStylePr>
    <w:tblStylePr w:type="lastRow">
      <w:rPr>
        <w:b/>
        <w:bCs/>
      </w:rPr>
      <w:tblPr/>
      <w:tcPr>
        <w:tcBorders>
          <w:top w:val="double" w:sz="4" w:space="0" w:color="E7EFF6" w:themeColor="accent2" w:themeTint="99"/>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Table4-Accent3">
    <w:name w:val="List Table 4 Accent 3"/>
    <w:basedOn w:val="TableNormal"/>
    <w:uiPriority w:val="49"/>
    <w:rsid w:val="007079C8"/>
    <w:pPr>
      <w:spacing w:line="240" w:lineRule="auto"/>
    </w:pPr>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tblBorders>
    </w:tblPr>
    <w:tblStylePr w:type="firstRow">
      <w:rPr>
        <w:b/>
        <w:bCs/>
        <w:color w:val="FFFFFF" w:themeColor="background1"/>
      </w:rPr>
      <w:tblPr/>
      <w:tcPr>
        <w:tcBorders>
          <w:top w:val="single" w:sz="4" w:space="0" w:color="1E252B" w:themeColor="accent3"/>
          <w:left w:val="single" w:sz="4" w:space="0" w:color="1E252B" w:themeColor="accent3"/>
          <w:bottom w:val="single" w:sz="4" w:space="0" w:color="1E252B" w:themeColor="accent3"/>
          <w:right w:val="single" w:sz="4" w:space="0" w:color="1E252B" w:themeColor="accent3"/>
          <w:insideH w:val="nil"/>
        </w:tcBorders>
        <w:shd w:val="clear" w:color="auto" w:fill="1E252B" w:themeFill="accent3"/>
      </w:tcPr>
    </w:tblStylePr>
    <w:tblStylePr w:type="lastRow">
      <w:rPr>
        <w:b/>
        <w:bCs/>
      </w:rPr>
      <w:tblPr/>
      <w:tcPr>
        <w:tcBorders>
          <w:top w:val="double" w:sz="4" w:space="0" w:color="657D91" w:themeColor="accent3" w:themeTint="99"/>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Table4-Accent4">
    <w:name w:val="List Table 4 Accent 4"/>
    <w:basedOn w:val="TableNormal"/>
    <w:uiPriority w:val="49"/>
    <w:rsid w:val="007079C8"/>
    <w:pPr>
      <w:spacing w:line="240" w:lineRule="auto"/>
    </w:pPr>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tblBorders>
    </w:tblPr>
    <w:tblStylePr w:type="firstRow">
      <w:rPr>
        <w:b/>
        <w:bCs/>
        <w:color w:val="FFFFFF" w:themeColor="background1"/>
      </w:rPr>
      <w:tblPr/>
      <w:tcPr>
        <w:tcBorders>
          <w:top w:val="single" w:sz="4" w:space="0" w:color="333E48" w:themeColor="accent4"/>
          <w:left w:val="single" w:sz="4" w:space="0" w:color="333E48" w:themeColor="accent4"/>
          <w:bottom w:val="single" w:sz="4" w:space="0" w:color="333E48" w:themeColor="accent4"/>
          <w:right w:val="single" w:sz="4" w:space="0" w:color="333E48" w:themeColor="accent4"/>
          <w:insideH w:val="nil"/>
        </w:tcBorders>
        <w:shd w:val="clear" w:color="auto" w:fill="333E48" w:themeFill="accent4"/>
      </w:tcPr>
    </w:tblStylePr>
    <w:tblStylePr w:type="lastRow">
      <w:rPr>
        <w:b/>
        <w:bCs/>
      </w:rPr>
      <w:tblPr/>
      <w:tcPr>
        <w:tcBorders>
          <w:top w:val="double" w:sz="4" w:space="0" w:color="778B9E" w:themeColor="accent4" w:themeTint="99"/>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Table4-Accent5">
    <w:name w:val="List Table 4 Accent 5"/>
    <w:basedOn w:val="TableNormal"/>
    <w:uiPriority w:val="49"/>
    <w:rsid w:val="007079C8"/>
    <w:pPr>
      <w:spacing w:line="240" w:lineRule="auto"/>
    </w:pPr>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tblBorders>
    </w:tblPr>
    <w:tblStylePr w:type="firstRow">
      <w:rPr>
        <w:b/>
        <w:bCs/>
        <w:color w:val="FFFFFF" w:themeColor="background1"/>
      </w:rPr>
      <w:tblPr/>
      <w:tcPr>
        <w:tcBorders>
          <w:top w:val="single" w:sz="4" w:space="0" w:color="D9D9D6" w:themeColor="accent5"/>
          <w:left w:val="single" w:sz="4" w:space="0" w:color="D9D9D6" w:themeColor="accent5"/>
          <w:bottom w:val="single" w:sz="4" w:space="0" w:color="D9D9D6" w:themeColor="accent5"/>
          <w:right w:val="single" w:sz="4" w:space="0" w:color="D9D9D6" w:themeColor="accent5"/>
          <w:insideH w:val="nil"/>
        </w:tcBorders>
        <w:shd w:val="clear" w:color="auto" w:fill="D9D9D6" w:themeFill="accent5"/>
      </w:tcPr>
    </w:tblStylePr>
    <w:tblStylePr w:type="lastRow">
      <w:rPr>
        <w:b/>
        <w:bCs/>
      </w:rPr>
      <w:tblPr/>
      <w:tcPr>
        <w:tcBorders>
          <w:top w:val="double" w:sz="4" w:space="0" w:color="E8E8E6" w:themeColor="accent5" w:themeTint="99"/>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Table4-Accent6">
    <w:name w:val="List Table 4 Accent 6"/>
    <w:basedOn w:val="TableNormal"/>
    <w:uiPriority w:val="49"/>
    <w:rsid w:val="007079C8"/>
    <w:pPr>
      <w:spacing w:line="240" w:lineRule="auto"/>
    </w:pPr>
    <w:tblPr>
      <w:tblStyleRowBandSize w:val="1"/>
      <w:tblStyleColBandSize w:val="1"/>
      <w:tblBorders>
        <w:top w:val="single" w:sz="4" w:space="0" w:color="F5F3F2" w:themeColor="accent6" w:themeTint="99"/>
        <w:left w:val="single" w:sz="4" w:space="0" w:color="F5F3F2" w:themeColor="accent6" w:themeTint="99"/>
        <w:bottom w:val="single" w:sz="4" w:space="0" w:color="F5F3F2" w:themeColor="accent6" w:themeTint="99"/>
        <w:right w:val="single" w:sz="4" w:space="0" w:color="F5F3F2" w:themeColor="accent6" w:themeTint="99"/>
        <w:insideH w:val="single" w:sz="4" w:space="0" w:color="F5F3F2" w:themeColor="accent6" w:themeTint="99"/>
      </w:tblBorders>
    </w:tblPr>
    <w:tblStylePr w:type="firstRow">
      <w:rPr>
        <w:b/>
        <w:bCs/>
        <w:color w:val="FFFFFF" w:themeColor="background1"/>
      </w:rPr>
      <w:tblPr/>
      <w:tcPr>
        <w:tcBorders>
          <w:top w:val="single" w:sz="4" w:space="0" w:color="EFECEA" w:themeColor="accent6"/>
          <w:left w:val="single" w:sz="4" w:space="0" w:color="EFECEA" w:themeColor="accent6"/>
          <w:bottom w:val="single" w:sz="4" w:space="0" w:color="EFECEA" w:themeColor="accent6"/>
          <w:right w:val="single" w:sz="4" w:space="0" w:color="EFECEA" w:themeColor="accent6"/>
          <w:insideH w:val="nil"/>
        </w:tcBorders>
        <w:shd w:val="clear" w:color="auto" w:fill="EFECEA" w:themeFill="accent6"/>
      </w:tcPr>
    </w:tblStylePr>
    <w:tblStylePr w:type="lastRow">
      <w:rPr>
        <w:b/>
        <w:bCs/>
      </w:rPr>
      <w:tblPr/>
      <w:tcPr>
        <w:tcBorders>
          <w:top w:val="double" w:sz="4" w:space="0" w:color="F5F3F2" w:themeColor="accent6" w:themeTint="99"/>
        </w:tcBorders>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ListTable5Dark">
    <w:name w:val="List Table 5 Dark"/>
    <w:basedOn w:val="TableNormal"/>
    <w:uiPriority w:val="50"/>
    <w:rsid w:val="007079C8"/>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079C8"/>
    <w:pPr>
      <w:spacing w:line="240" w:lineRule="auto"/>
    </w:pPr>
    <w:rPr>
      <w:color w:val="FFFFFF" w:themeColor="background1"/>
    </w:rPr>
    <w:tblPr>
      <w:tblStyleRowBandSize w:val="1"/>
      <w:tblStyleColBandSize w:val="1"/>
      <w:tblBorders>
        <w:top w:val="single" w:sz="24" w:space="0" w:color="F9423A" w:themeColor="accent1"/>
        <w:left w:val="single" w:sz="24" w:space="0" w:color="F9423A" w:themeColor="accent1"/>
        <w:bottom w:val="single" w:sz="24" w:space="0" w:color="F9423A" w:themeColor="accent1"/>
        <w:right w:val="single" w:sz="24" w:space="0" w:color="F9423A" w:themeColor="accent1"/>
      </w:tblBorders>
    </w:tblPr>
    <w:tcPr>
      <w:shd w:val="clear" w:color="auto" w:fill="F9423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079C8"/>
    <w:pPr>
      <w:spacing w:line="240" w:lineRule="auto"/>
    </w:pPr>
    <w:rPr>
      <w:color w:val="FFFFFF" w:themeColor="background1"/>
    </w:rPr>
    <w:tblPr>
      <w:tblStyleRowBandSize w:val="1"/>
      <w:tblStyleColBandSize w:val="1"/>
      <w:tblBorders>
        <w:top w:val="single" w:sz="24" w:space="0" w:color="D8E6F0" w:themeColor="accent2"/>
        <w:left w:val="single" w:sz="24" w:space="0" w:color="D8E6F0" w:themeColor="accent2"/>
        <w:bottom w:val="single" w:sz="24" w:space="0" w:color="D8E6F0" w:themeColor="accent2"/>
        <w:right w:val="single" w:sz="24" w:space="0" w:color="D8E6F0" w:themeColor="accent2"/>
      </w:tblBorders>
    </w:tblPr>
    <w:tcPr>
      <w:shd w:val="clear" w:color="auto" w:fill="D8E6F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079C8"/>
    <w:pPr>
      <w:spacing w:line="240" w:lineRule="auto"/>
    </w:pPr>
    <w:rPr>
      <w:color w:val="FFFFFF" w:themeColor="background1"/>
    </w:rPr>
    <w:tblPr>
      <w:tblStyleRowBandSize w:val="1"/>
      <w:tblStyleColBandSize w:val="1"/>
      <w:tblBorders>
        <w:top w:val="single" w:sz="24" w:space="0" w:color="1E252B" w:themeColor="accent3"/>
        <w:left w:val="single" w:sz="24" w:space="0" w:color="1E252B" w:themeColor="accent3"/>
        <w:bottom w:val="single" w:sz="24" w:space="0" w:color="1E252B" w:themeColor="accent3"/>
        <w:right w:val="single" w:sz="24" w:space="0" w:color="1E252B" w:themeColor="accent3"/>
      </w:tblBorders>
    </w:tblPr>
    <w:tcPr>
      <w:shd w:val="clear" w:color="auto" w:fill="1E252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079C8"/>
    <w:pPr>
      <w:spacing w:line="240" w:lineRule="auto"/>
    </w:pPr>
    <w:rPr>
      <w:color w:val="FFFFFF" w:themeColor="background1"/>
    </w:rPr>
    <w:tblPr>
      <w:tblStyleRowBandSize w:val="1"/>
      <w:tblStyleColBandSize w:val="1"/>
      <w:tblBorders>
        <w:top w:val="single" w:sz="24" w:space="0" w:color="333E48" w:themeColor="accent4"/>
        <w:left w:val="single" w:sz="24" w:space="0" w:color="333E48" w:themeColor="accent4"/>
        <w:bottom w:val="single" w:sz="24" w:space="0" w:color="333E48" w:themeColor="accent4"/>
        <w:right w:val="single" w:sz="24" w:space="0" w:color="333E48" w:themeColor="accent4"/>
      </w:tblBorders>
    </w:tblPr>
    <w:tcPr>
      <w:shd w:val="clear" w:color="auto" w:fill="333E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079C8"/>
    <w:pPr>
      <w:spacing w:line="240" w:lineRule="auto"/>
    </w:pPr>
    <w:rPr>
      <w:color w:val="FFFFFF" w:themeColor="background1"/>
    </w:rPr>
    <w:tblPr>
      <w:tblStyleRowBandSize w:val="1"/>
      <w:tblStyleColBandSize w:val="1"/>
      <w:tblBorders>
        <w:top w:val="single" w:sz="24" w:space="0" w:color="D9D9D6" w:themeColor="accent5"/>
        <w:left w:val="single" w:sz="24" w:space="0" w:color="D9D9D6" w:themeColor="accent5"/>
        <w:bottom w:val="single" w:sz="24" w:space="0" w:color="D9D9D6" w:themeColor="accent5"/>
        <w:right w:val="single" w:sz="24" w:space="0" w:color="D9D9D6" w:themeColor="accent5"/>
      </w:tblBorders>
    </w:tblPr>
    <w:tcPr>
      <w:shd w:val="clear" w:color="auto" w:fill="D9D9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079C8"/>
    <w:pPr>
      <w:spacing w:line="240" w:lineRule="auto"/>
    </w:pPr>
    <w:rPr>
      <w:color w:val="FFFFFF" w:themeColor="background1"/>
    </w:rPr>
    <w:tblPr>
      <w:tblStyleRowBandSize w:val="1"/>
      <w:tblStyleColBandSize w:val="1"/>
      <w:tblBorders>
        <w:top w:val="single" w:sz="24" w:space="0" w:color="EFECEA" w:themeColor="accent6"/>
        <w:left w:val="single" w:sz="24" w:space="0" w:color="EFECEA" w:themeColor="accent6"/>
        <w:bottom w:val="single" w:sz="24" w:space="0" w:color="EFECEA" w:themeColor="accent6"/>
        <w:right w:val="single" w:sz="24" w:space="0" w:color="EFECEA" w:themeColor="accent6"/>
      </w:tblBorders>
    </w:tblPr>
    <w:tcPr>
      <w:shd w:val="clear" w:color="auto" w:fill="EFECE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079C8"/>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079C8"/>
    <w:pPr>
      <w:spacing w:line="240" w:lineRule="auto"/>
    </w:pPr>
    <w:rPr>
      <w:color w:val="DE0F06" w:themeColor="accent1" w:themeShade="BF"/>
    </w:rPr>
    <w:tblPr>
      <w:tblStyleRowBandSize w:val="1"/>
      <w:tblStyleColBandSize w:val="1"/>
      <w:tblBorders>
        <w:top w:val="single" w:sz="4" w:space="0" w:color="F9423A" w:themeColor="accent1"/>
        <w:bottom w:val="single" w:sz="4" w:space="0" w:color="F9423A" w:themeColor="accent1"/>
      </w:tblBorders>
    </w:tblPr>
    <w:tblStylePr w:type="firstRow">
      <w:rPr>
        <w:b/>
        <w:bCs/>
      </w:rPr>
      <w:tblPr/>
      <w:tcPr>
        <w:tcBorders>
          <w:bottom w:val="single" w:sz="4" w:space="0" w:color="F9423A" w:themeColor="accent1"/>
        </w:tcBorders>
      </w:tcPr>
    </w:tblStylePr>
    <w:tblStylePr w:type="lastRow">
      <w:rPr>
        <w:b/>
        <w:bCs/>
      </w:rPr>
      <w:tblPr/>
      <w:tcPr>
        <w:tcBorders>
          <w:top w:val="double" w:sz="4" w:space="0" w:color="F9423A" w:themeColor="accent1"/>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Table6Colorful-Accent2">
    <w:name w:val="List Table 6 Colorful Accent 2"/>
    <w:basedOn w:val="TableNormal"/>
    <w:uiPriority w:val="51"/>
    <w:rsid w:val="007079C8"/>
    <w:pPr>
      <w:spacing w:line="240" w:lineRule="auto"/>
    </w:pPr>
    <w:rPr>
      <w:color w:val="85B0D0" w:themeColor="accent2" w:themeShade="BF"/>
    </w:rPr>
    <w:tblPr>
      <w:tblStyleRowBandSize w:val="1"/>
      <w:tblStyleColBandSize w:val="1"/>
      <w:tblBorders>
        <w:top w:val="single" w:sz="4" w:space="0" w:color="D8E6F0" w:themeColor="accent2"/>
        <w:bottom w:val="single" w:sz="4" w:space="0" w:color="D8E6F0" w:themeColor="accent2"/>
      </w:tblBorders>
    </w:tblPr>
    <w:tblStylePr w:type="firstRow">
      <w:rPr>
        <w:b/>
        <w:bCs/>
      </w:rPr>
      <w:tblPr/>
      <w:tcPr>
        <w:tcBorders>
          <w:bottom w:val="single" w:sz="4" w:space="0" w:color="D8E6F0" w:themeColor="accent2"/>
        </w:tcBorders>
      </w:tcPr>
    </w:tblStylePr>
    <w:tblStylePr w:type="lastRow">
      <w:rPr>
        <w:b/>
        <w:bCs/>
      </w:rPr>
      <w:tblPr/>
      <w:tcPr>
        <w:tcBorders>
          <w:top w:val="double" w:sz="4" w:space="0" w:color="D8E6F0" w:themeColor="accent2"/>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Table6Colorful-Accent3">
    <w:name w:val="List Table 6 Colorful Accent 3"/>
    <w:basedOn w:val="TableNormal"/>
    <w:uiPriority w:val="51"/>
    <w:rsid w:val="007079C8"/>
    <w:pPr>
      <w:spacing w:line="240" w:lineRule="auto"/>
    </w:pPr>
    <w:rPr>
      <w:color w:val="161B20" w:themeColor="accent3" w:themeShade="BF"/>
    </w:rPr>
    <w:tblPr>
      <w:tblStyleRowBandSize w:val="1"/>
      <w:tblStyleColBandSize w:val="1"/>
      <w:tblBorders>
        <w:top w:val="single" w:sz="4" w:space="0" w:color="1E252B" w:themeColor="accent3"/>
        <w:bottom w:val="single" w:sz="4" w:space="0" w:color="1E252B" w:themeColor="accent3"/>
      </w:tblBorders>
    </w:tblPr>
    <w:tblStylePr w:type="firstRow">
      <w:rPr>
        <w:b/>
        <w:bCs/>
      </w:rPr>
      <w:tblPr/>
      <w:tcPr>
        <w:tcBorders>
          <w:bottom w:val="single" w:sz="4" w:space="0" w:color="1E252B" w:themeColor="accent3"/>
        </w:tcBorders>
      </w:tcPr>
    </w:tblStylePr>
    <w:tblStylePr w:type="lastRow">
      <w:rPr>
        <w:b/>
        <w:bCs/>
      </w:rPr>
      <w:tblPr/>
      <w:tcPr>
        <w:tcBorders>
          <w:top w:val="double" w:sz="4" w:space="0" w:color="1E252B" w:themeColor="accent3"/>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Table6Colorful-Accent4">
    <w:name w:val="List Table 6 Colorful Accent 4"/>
    <w:basedOn w:val="TableNormal"/>
    <w:uiPriority w:val="51"/>
    <w:rsid w:val="007079C8"/>
    <w:pPr>
      <w:spacing w:line="240" w:lineRule="auto"/>
    </w:pPr>
    <w:rPr>
      <w:color w:val="262E35" w:themeColor="accent4" w:themeShade="BF"/>
    </w:rPr>
    <w:tblPr>
      <w:tblStyleRowBandSize w:val="1"/>
      <w:tblStyleColBandSize w:val="1"/>
      <w:tblBorders>
        <w:top w:val="single" w:sz="4" w:space="0" w:color="333E48" w:themeColor="accent4"/>
        <w:bottom w:val="single" w:sz="4" w:space="0" w:color="333E48" w:themeColor="accent4"/>
      </w:tblBorders>
    </w:tblPr>
    <w:tblStylePr w:type="firstRow">
      <w:rPr>
        <w:b/>
        <w:bCs/>
      </w:rPr>
      <w:tblPr/>
      <w:tcPr>
        <w:tcBorders>
          <w:bottom w:val="single" w:sz="4" w:space="0" w:color="333E48" w:themeColor="accent4"/>
        </w:tcBorders>
      </w:tcPr>
    </w:tblStylePr>
    <w:tblStylePr w:type="lastRow">
      <w:rPr>
        <w:b/>
        <w:bCs/>
      </w:rPr>
      <w:tblPr/>
      <w:tcPr>
        <w:tcBorders>
          <w:top w:val="double" w:sz="4" w:space="0" w:color="333E48" w:themeColor="accent4"/>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Table6Colorful-Accent5">
    <w:name w:val="List Table 6 Colorful Accent 5"/>
    <w:basedOn w:val="TableNormal"/>
    <w:uiPriority w:val="51"/>
    <w:rsid w:val="007079C8"/>
    <w:pPr>
      <w:spacing w:line="240" w:lineRule="auto"/>
    </w:pPr>
    <w:rPr>
      <w:color w:val="A5A59D" w:themeColor="accent5" w:themeShade="BF"/>
    </w:rPr>
    <w:tblPr>
      <w:tblStyleRowBandSize w:val="1"/>
      <w:tblStyleColBandSize w:val="1"/>
      <w:tblBorders>
        <w:top w:val="single" w:sz="4" w:space="0" w:color="D9D9D6" w:themeColor="accent5"/>
        <w:bottom w:val="single" w:sz="4" w:space="0" w:color="D9D9D6" w:themeColor="accent5"/>
      </w:tblBorders>
    </w:tblPr>
    <w:tblStylePr w:type="firstRow">
      <w:rPr>
        <w:b/>
        <w:bCs/>
      </w:rPr>
      <w:tblPr/>
      <w:tcPr>
        <w:tcBorders>
          <w:bottom w:val="single" w:sz="4" w:space="0" w:color="D9D9D6" w:themeColor="accent5"/>
        </w:tcBorders>
      </w:tcPr>
    </w:tblStylePr>
    <w:tblStylePr w:type="lastRow">
      <w:rPr>
        <w:b/>
        <w:bCs/>
      </w:rPr>
      <w:tblPr/>
      <w:tcPr>
        <w:tcBorders>
          <w:top w:val="double" w:sz="4" w:space="0" w:color="D9D9D6" w:themeColor="accent5"/>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Table6Colorful-Accent6">
    <w:name w:val="List Table 6 Colorful Accent 6"/>
    <w:basedOn w:val="TableNormal"/>
    <w:uiPriority w:val="51"/>
    <w:rsid w:val="007079C8"/>
    <w:pPr>
      <w:spacing w:line="240" w:lineRule="auto"/>
    </w:pPr>
    <w:rPr>
      <w:color w:val="BBAEA6" w:themeColor="accent6" w:themeShade="BF"/>
    </w:rPr>
    <w:tblPr>
      <w:tblStyleRowBandSize w:val="1"/>
      <w:tblStyleColBandSize w:val="1"/>
      <w:tblBorders>
        <w:top w:val="single" w:sz="4" w:space="0" w:color="EFECEA" w:themeColor="accent6"/>
        <w:bottom w:val="single" w:sz="4" w:space="0" w:color="EFECEA" w:themeColor="accent6"/>
      </w:tblBorders>
    </w:tblPr>
    <w:tblStylePr w:type="firstRow">
      <w:rPr>
        <w:b/>
        <w:bCs/>
      </w:rPr>
      <w:tblPr/>
      <w:tcPr>
        <w:tcBorders>
          <w:bottom w:val="single" w:sz="4" w:space="0" w:color="EFECEA" w:themeColor="accent6"/>
        </w:tcBorders>
      </w:tcPr>
    </w:tblStylePr>
    <w:tblStylePr w:type="lastRow">
      <w:rPr>
        <w:b/>
        <w:bCs/>
      </w:rPr>
      <w:tblPr/>
      <w:tcPr>
        <w:tcBorders>
          <w:top w:val="double" w:sz="4" w:space="0" w:color="EFECEA" w:themeColor="accent6"/>
        </w:tcBorders>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ListTable7Colorful">
    <w:name w:val="List Table 7 Colorful"/>
    <w:basedOn w:val="TableNormal"/>
    <w:uiPriority w:val="52"/>
    <w:rsid w:val="007079C8"/>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079C8"/>
    <w:pPr>
      <w:spacing w:line="240" w:lineRule="auto"/>
    </w:pPr>
    <w:rPr>
      <w:color w:val="DE0F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423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423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423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423A" w:themeColor="accent1"/>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079C8"/>
    <w:pPr>
      <w:spacing w:line="240" w:lineRule="auto"/>
    </w:pPr>
    <w:rPr>
      <w:color w:val="85B0D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E6F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E6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E6F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E6F0" w:themeColor="accent2"/>
        </w:tcBorders>
        <w:shd w:val="clear" w:color="auto" w:fill="FFFFFF" w:themeFill="background1"/>
      </w:tcPr>
    </w:tblStylePr>
    <w:tblStylePr w:type="band1Vert">
      <w:tblPr/>
      <w:tcPr>
        <w:shd w:val="clear" w:color="auto" w:fill="F7F9FC" w:themeFill="accent2" w:themeFillTint="33"/>
      </w:tcPr>
    </w:tblStylePr>
    <w:tblStylePr w:type="band1Horz">
      <w:tblPr/>
      <w:tcPr>
        <w:shd w:val="clear" w:color="auto" w:fill="F7F9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079C8"/>
    <w:pPr>
      <w:spacing w:line="240" w:lineRule="auto"/>
    </w:pPr>
    <w:rPr>
      <w:color w:val="161B2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252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252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252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252B" w:themeColor="accent3"/>
        </w:tcBorders>
        <w:shd w:val="clear" w:color="auto" w:fill="FFFFFF" w:themeFill="background1"/>
      </w:tcPr>
    </w:tblStylePr>
    <w:tblStylePr w:type="band1Vert">
      <w:tblPr/>
      <w:tcPr>
        <w:shd w:val="clear" w:color="auto" w:fill="CBD3DB" w:themeFill="accent3" w:themeFillTint="33"/>
      </w:tcPr>
    </w:tblStylePr>
    <w:tblStylePr w:type="band1Horz">
      <w:tblPr/>
      <w:tcPr>
        <w:shd w:val="clear" w:color="auto" w:fill="CBD3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079C8"/>
    <w:pPr>
      <w:spacing w:line="240" w:lineRule="auto"/>
    </w:pPr>
    <w:rPr>
      <w:color w:val="262E3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E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E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E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E48" w:themeColor="accent4"/>
        </w:tcBorders>
        <w:shd w:val="clear" w:color="auto" w:fill="FFFFFF" w:themeFill="background1"/>
      </w:tcPr>
    </w:tblStylePr>
    <w:tblStylePr w:type="band1Vert">
      <w:tblPr/>
      <w:tcPr>
        <w:shd w:val="clear" w:color="auto" w:fill="D1D8DE" w:themeFill="accent4" w:themeFillTint="33"/>
      </w:tcPr>
    </w:tblStylePr>
    <w:tblStylePr w:type="band1Horz">
      <w:tblPr/>
      <w:tcPr>
        <w:shd w:val="clear" w:color="auto" w:fill="D1D8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079C8"/>
    <w:pPr>
      <w:spacing w:line="240" w:lineRule="auto"/>
    </w:pPr>
    <w:rPr>
      <w:color w:val="A5A59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9D9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9D9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9D9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9D9D6" w:themeColor="accent5"/>
        </w:tcBorders>
        <w:shd w:val="clear" w:color="auto" w:fill="FFFFFF" w:themeFill="background1"/>
      </w:tcPr>
    </w:tblStylePr>
    <w:tblStylePr w:type="band1Vert">
      <w:tblPr/>
      <w:tcPr>
        <w:shd w:val="clear" w:color="auto" w:fill="F7F7F6" w:themeFill="accent5" w:themeFillTint="33"/>
      </w:tcPr>
    </w:tblStylePr>
    <w:tblStylePr w:type="band1Horz">
      <w:tblPr/>
      <w:tcPr>
        <w:shd w:val="clear" w:color="auto" w:fill="F7F7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079C8"/>
    <w:pPr>
      <w:spacing w:line="240" w:lineRule="auto"/>
    </w:pPr>
    <w:rPr>
      <w:color w:val="BBAEA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ECE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ECE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ECE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ECEA" w:themeColor="accent6"/>
        </w:tcBorders>
        <w:shd w:val="clear" w:color="auto" w:fill="FFFFFF" w:themeFill="background1"/>
      </w:tcPr>
    </w:tblStylePr>
    <w:tblStylePr w:type="band1Vert">
      <w:tblPr/>
      <w:tcPr>
        <w:shd w:val="clear" w:color="auto" w:fill="FBFBFA" w:themeFill="accent6" w:themeFillTint="33"/>
      </w:tcPr>
    </w:tblStylePr>
    <w:tblStylePr w:type="band1Horz">
      <w:tblPr/>
      <w:tcPr>
        <w:shd w:val="clear" w:color="auto" w:fill="FBFB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7079C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079C8"/>
    <w:pPr>
      <w:spacing w:line="240" w:lineRule="auto"/>
    </w:pPr>
    <w:tblPr>
      <w:tblStyleRowBandSize w:val="1"/>
      <w:tblStyleColBandSize w:val="1"/>
      <w:tbl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single" w:sz="8" w:space="0" w:color="FA706B" w:themeColor="accent1" w:themeTint="BF"/>
        <w:insideV w:val="single" w:sz="8" w:space="0" w:color="FA706B" w:themeColor="accent1" w:themeTint="BF"/>
      </w:tblBorders>
    </w:tblPr>
    <w:tcPr>
      <w:shd w:val="clear" w:color="auto" w:fill="FDCFCE" w:themeFill="accent1" w:themeFillTint="3F"/>
    </w:tcPr>
    <w:tblStylePr w:type="firstRow">
      <w:rPr>
        <w:b/>
        <w:bCs/>
      </w:rPr>
    </w:tblStylePr>
    <w:tblStylePr w:type="lastRow">
      <w:rPr>
        <w:b/>
        <w:bCs/>
      </w:rPr>
      <w:tblPr/>
      <w:tcPr>
        <w:tcBorders>
          <w:top w:val="single" w:sz="18" w:space="0" w:color="FA706B" w:themeColor="accent1" w:themeTint="BF"/>
        </w:tcBorders>
      </w:tcPr>
    </w:tblStylePr>
    <w:tblStylePr w:type="firstCol">
      <w:rPr>
        <w:b/>
        <w:bCs/>
      </w:rPr>
    </w:tblStylePr>
    <w:tblStylePr w:type="lastCol">
      <w:rPr>
        <w:b/>
        <w:bCs/>
      </w:rPr>
    </w:tblStylePr>
    <w:tblStylePr w:type="band1Vert">
      <w:tblPr/>
      <w:tcPr>
        <w:shd w:val="clear" w:color="auto" w:fill="FCA09C" w:themeFill="accent1" w:themeFillTint="7F"/>
      </w:tcPr>
    </w:tblStylePr>
    <w:tblStylePr w:type="band1Horz">
      <w:tblPr/>
      <w:tcPr>
        <w:shd w:val="clear" w:color="auto" w:fill="FCA09C" w:themeFill="accent1" w:themeFillTint="7F"/>
      </w:tcPr>
    </w:tblStylePr>
  </w:style>
  <w:style w:type="table" w:styleId="MediumGrid1-Accent2">
    <w:name w:val="Medium Grid 1 Accent 2"/>
    <w:basedOn w:val="TableNormal"/>
    <w:uiPriority w:val="67"/>
    <w:semiHidden/>
    <w:unhideWhenUsed/>
    <w:rsid w:val="007079C8"/>
    <w:pPr>
      <w:spacing w:line="240" w:lineRule="auto"/>
    </w:pPr>
    <w:tblPr>
      <w:tblStyleRowBandSize w:val="1"/>
      <w:tblStyleColBandSize w:val="1"/>
      <w:tbl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single" w:sz="8" w:space="0" w:color="E1ECF3" w:themeColor="accent2" w:themeTint="BF"/>
        <w:insideV w:val="single" w:sz="8" w:space="0" w:color="E1ECF3" w:themeColor="accent2" w:themeTint="BF"/>
      </w:tblBorders>
    </w:tblPr>
    <w:tcPr>
      <w:shd w:val="clear" w:color="auto" w:fill="F5F8FB" w:themeFill="accent2" w:themeFillTint="3F"/>
    </w:tcPr>
    <w:tblStylePr w:type="firstRow">
      <w:rPr>
        <w:b/>
        <w:bCs/>
      </w:rPr>
    </w:tblStylePr>
    <w:tblStylePr w:type="lastRow">
      <w:rPr>
        <w:b/>
        <w:bCs/>
      </w:rPr>
      <w:tblPr/>
      <w:tcPr>
        <w:tcBorders>
          <w:top w:val="single" w:sz="18" w:space="0" w:color="E1ECF3" w:themeColor="accent2" w:themeTint="BF"/>
        </w:tcBorders>
      </w:tcPr>
    </w:tblStylePr>
    <w:tblStylePr w:type="firstCol">
      <w:rPr>
        <w:b/>
        <w:bCs/>
      </w:rPr>
    </w:tblStylePr>
    <w:tblStylePr w:type="lastCol">
      <w:rPr>
        <w:b/>
        <w:bCs/>
      </w:rPr>
    </w:tblStylePr>
    <w:tblStylePr w:type="band1Vert">
      <w:tblPr/>
      <w:tcPr>
        <w:shd w:val="clear" w:color="auto" w:fill="EBF2F7" w:themeFill="accent2" w:themeFillTint="7F"/>
      </w:tcPr>
    </w:tblStylePr>
    <w:tblStylePr w:type="band1Horz">
      <w:tblPr/>
      <w:tcPr>
        <w:shd w:val="clear" w:color="auto" w:fill="EBF2F7" w:themeFill="accent2" w:themeFillTint="7F"/>
      </w:tcPr>
    </w:tblStylePr>
  </w:style>
  <w:style w:type="table" w:styleId="MediumGrid1-Accent3">
    <w:name w:val="Medium Grid 1 Accent 3"/>
    <w:basedOn w:val="TableNormal"/>
    <w:uiPriority w:val="67"/>
    <w:semiHidden/>
    <w:unhideWhenUsed/>
    <w:rsid w:val="007079C8"/>
    <w:pPr>
      <w:spacing w:line="240" w:lineRule="auto"/>
    </w:pPr>
    <w:tblPr>
      <w:tblStyleRowBandSize w:val="1"/>
      <w:tblStyleColBandSize w:val="1"/>
      <w:tbl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single" w:sz="8" w:space="0" w:color="4B5C6B" w:themeColor="accent3" w:themeTint="BF"/>
        <w:insideV w:val="single" w:sz="8" w:space="0" w:color="4B5C6B" w:themeColor="accent3" w:themeTint="BF"/>
      </w:tblBorders>
    </w:tblPr>
    <w:tcPr>
      <w:shd w:val="clear" w:color="auto" w:fill="BFC9D2" w:themeFill="accent3" w:themeFillTint="3F"/>
    </w:tcPr>
    <w:tblStylePr w:type="firstRow">
      <w:rPr>
        <w:b/>
        <w:bCs/>
      </w:rPr>
    </w:tblStylePr>
    <w:tblStylePr w:type="lastRow">
      <w:rPr>
        <w:b/>
        <w:bCs/>
      </w:rPr>
      <w:tblPr/>
      <w:tcPr>
        <w:tcBorders>
          <w:top w:val="single" w:sz="18" w:space="0" w:color="4B5C6B" w:themeColor="accent3" w:themeTint="BF"/>
        </w:tcBorders>
      </w:tcPr>
    </w:tblStylePr>
    <w:tblStylePr w:type="firstCol">
      <w:rPr>
        <w:b/>
        <w:bCs/>
      </w:rPr>
    </w:tblStylePr>
    <w:tblStylePr w:type="lastCol">
      <w:rPr>
        <w:b/>
        <w:bCs/>
      </w:rPr>
    </w:tblStylePr>
    <w:tblStylePr w:type="band1Vert">
      <w:tblPr/>
      <w:tcPr>
        <w:shd w:val="clear" w:color="auto" w:fill="7E93A5" w:themeFill="accent3" w:themeFillTint="7F"/>
      </w:tcPr>
    </w:tblStylePr>
    <w:tblStylePr w:type="band1Horz">
      <w:tblPr/>
      <w:tcPr>
        <w:shd w:val="clear" w:color="auto" w:fill="7E93A5" w:themeFill="accent3" w:themeFillTint="7F"/>
      </w:tcPr>
    </w:tblStylePr>
  </w:style>
  <w:style w:type="table" w:styleId="MediumGrid1-Accent4">
    <w:name w:val="Medium Grid 1 Accent 4"/>
    <w:basedOn w:val="TableNormal"/>
    <w:uiPriority w:val="67"/>
    <w:semiHidden/>
    <w:unhideWhenUsed/>
    <w:rsid w:val="007079C8"/>
    <w:pPr>
      <w:spacing w:line="240" w:lineRule="auto"/>
    </w:pPr>
    <w:tblPr>
      <w:tblStyleRowBandSize w:val="1"/>
      <w:tblStyleColBandSize w:val="1"/>
      <w:tbl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single" w:sz="8" w:space="0" w:color="5B6E80" w:themeColor="accent4" w:themeTint="BF"/>
        <w:insideV w:val="single" w:sz="8" w:space="0" w:color="5B6E80" w:themeColor="accent4" w:themeTint="BF"/>
      </w:tblBorders>
    </w:tblPr>
    <w:tcPr>
      <w:shd w:val="clear" w:color="auto" w:fill="C7CFD7" w:themeFill="accent4" w:themeFillTint="3F"/>
    </w:tcPr>
    <w:tblStylePr w:type="firstRow">
      <w:rPr>
        <w:b/>
        <w:bCs/>
      </w:rPr>
    </w:tblStylePr>
    <w:tblStylePr w:type="lastRow">
      <w:rPr>
        <w:b/>
        <w:bCs/>
      </w:rPr>
      <w:tblPr/>
      <w:tcPr>
        <w:tcBorders>
          <w:top w:val="single" w:sz="18" w:space="0" w:color="5B6E80" w:themeColor="accent4" w:themeTint="BF"/>
        </w:tcBorders>
      </w:tcPr>
    </w:tblStylePr>
    <w:tblStylePr w:type="firstCol">
      <w:rPr>
        <w:b/>
        <w:bCs/>
      </w:rPr>
    </w:tblStylePr>
    <w:tblStylePr w:type="lastCol">
      <w:rPr>
        <w:b/>
        <w:bCs/>
      </w:rPr>
    </w:tblStylePr>
    <w:tblStylePr w:type="band1Vert">
      <w:tblPr/>
      <w:tcPr>
        <w:shd w:val="clear" w:color="auto" w:fill="8E9FAF" w:themeFill="accent4" w:themeFillTint="7F"/>
      </w:tcPr>
    </w:tblStylePr>
    <w:tblStylePr w:type="band1Horz">
      <w:tblPr/>
      <w:tcPr>
        <w:shd w:val="clear" w:color="auto" w:fill="8E9FAF" w:themeFill="accent4" w:themeFillTint="7F"/>
      </w:tcPr>
    </w:tblStylePr>
  </w:style>
  <w:style w:type="table" w:styleId="MediumGrid1-Accent5">
    <w:name w:val="Medium Grid 1 Accent 5"/>
    <w:basedOn w:val="TableNormal"/>
    <w:uiPriority w:val="67"/>
    <w:semiHidden/>
    <w:unhideWhenUsed/>
    <w:rsid w:val="007079C8"/>
    <w:pPr>
      <w:spacing w:line="240" w:lineRule="auto"/>
    </w:pPr>
    <w:tblPr>
      <w:tblStyleRowBandSize w:val="1"/>
      <w:tblStyleColBandSize w:val="1"/>
      <w:tbl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single" w:sz="8" w:space="0" w:color="E2E2E0" w:themeColor="accent5" w:themeTint="BF"/>
        <w:insideV w:val="single" w:sz="8" w:space="0" w:color="E2E2E0" w:themeColor="accent5" w:themeTint="BF"/>
      </w:tblBorders>
    </w:tblPr>
    <w:tcPr>
      <w:shd w:val="clear" w:color="auto" w:fill="F5F5F4" w:themeFill="accent5" w:themeFillTint="3F"/>
    </w:tcPr>
    <w:tblStylePr w:type="firstRow">
      <w:rPr>
        <w:b/>
        <w:bCs/>
      </w:rPr>
    </w:tblStylePr>
    <w:tblStylePr w:type="lastRow">
      <w:rPr>
        <w:b/>
        <w:bCs/>
      </w:rPr>
      <w:tblPr/>
      <w:tcPr>
        <w:tcBorders>
          <w:top w:val="single" w:sz="18" w:space="0" w:color="E2E2E0" w:themeColor="accent5" w:themeTint="BF"/>
        </w:tcBorders>
      </w:tcPr>
    </w:tblStylePr>
    <w:tblStylePr w:type="firstCol">
      <w:rPr>
        <w:b/>
        <w:bCs/>
      </w:rPr>
    </w:tblStylePr>
    <w:tblStylePr w:type="lastCol">
      <w:rPr>
        <w:b/>
        <w:bCs/>
      </w:rPr>
    </w:tblStylePr>
    <w:tblStylePr w:type="band1Vert">
      <w:tblPr/>
      <w:tcPr>
        <w:shd w:val="clear" w:color="auto" w:fill="ECECEA" w:themeFill="accent5" w:themeFillTint="7F"/>
      </w:tcPr>
    </w:tblStylePr>
    <w:tblStylePr w:type="band1Horz">
      <w:tblPr/>
      <w:tcPr>
        <w:shd w:val="clear" w:color="auto" w:fill="ECECEA" w:themeFill="accent5" w:themeFillTint="7F"/>
      </w:tcPr>
    </w:tblStylePr>
  </w:style>
  <w:style w:type="table" w:styleId="MediumGrid1-Accent6">
    <w:name w:val="Medium Grid 1 Accent 6"/>
    <w:basedOn w:val="TableNormal"/>
    <w:uiPriority w:val="67"/>
    <w:semiHidden/>
    <w:unhideWhenUsed/>
    <w:rsid w:val="007079C8"/>
    <w:pPr>
      <w:spacing w:line="240" w:lineRule="auto"/>
    </w:pPr>
    <w:tblPr>
      <w:tblStyleRowBandSize w:val="1"/>
      <w:tblStyleColBandSize w:val="1"/>
      <w:tblBorders>
        <w:top w:val="single" w:sz="8"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single" w:sz="8" w:space="0" w:color="F3F0EF" w:themeColor="accent6" w:themeTint="BF"/>
        <w:insideV w:val="single" w:sz="8" w:space="0" w:color="F3F0EF" w:themeColor="accent6" w:themeTint="BF"/>
      </w:tblBorders>
    </w:tblPr>
    <w:tcPr>
      <w:shd w:val="clear" w:color="auto" w:fill="FBFAF9" w:themeFill="accent6" w:themeFillTint="3F"/>
    </w:tcPr>
    <w:tblStylePr w:type="firstRow">
      <w:rPr>
        <w:b/>
        <w:bCs/>
      </w:rPr>
    </w:tblStylePr>
    <w:tblStylePr w:type="lastRow">
      <w:rPr>
        <w:b/>
        <w:bCs/>
      </w:rPr>
      <w:tblPr/>
      <w:tcPr>
        <w:tcBorders>
          <w:top w:val="single" w:sz="18" w:space="0" w:color="F3F0EF" w:themeColor="accent6" w:themeTint="BF"/>
        </w:tcBorders>
      </w:tcPr>
    </w:tblStylePr>
    <w:tblStylePr w:type="firstCol">
      <w:rPr>
        <w:b/>
        <w:bCs/>
      </w:rPr>
    </w:tblStylePr>
    <w:tblStylePr w:type="lastCol">
      <w:rPr>
        <w:b/>
        <w:bCs/>
      </w:rPr>
    </w:tblStylePr>
    <w:tblStylePr w:type="band1Vert">
      <w:tblPr/>
      <w:tcPr>
        <w:shd w:val="clear" w:color="auto" w:fill="F7F5F4" w:themeFill="accent6" w:themeFillTint="7F"/>
      </w:tcPr>
    </w:tblStylePr>
    <w:tblStylePr w:type="band1Horz">
      <w:tblPr/>
      <w:tcPr>
        <w:shd w:val="clear" w:color="auto" w:fill="F7F5F4" w:themeFill="accent6" w:themeFillTint="7F"/>
      </w:tcPr>
    </w:tblStylePr>
  </w:style>
  <w:style w:type="table" w:styleId="MediumGrid2">
    <w:name w:val="Medium Grid 2"/>
    <w:basedOn w:val="TableNormal"/>
    <w:uiPriority w:val="68"/>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insideH w:val="single" w:sz="8" w:space="0" w:color="F9423A" w:themeColor="accent1"/>
        <w:insideV w:val="single" w:sz="8" w:space="0" w:color="F9423A" w:themeColor="accent1"/>
      </w:tblBorders>
    </w:tblPr>
    <w:tcPr>
      <w:shd w:val="clear" w:color="auto" w:fill="FDCFCE" w:themeFill="accent1" w:themeFillTint="3F"/>
    </w:tcPr>
    <w:tblStylePr w:type="firstRow">
      <w:rPr>
        <w:b/>
        <w:bCs/>
        <w:color w:val="000000" w:themeColor="text1"/>
      </w:rPr>
      <w:tblPr/>
      <w:tcPr>
        <w:shd w:val="clear" w:color="auto" w:fill="FE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9D7" w:themeFill="accent1" w:themeFillTint="33"/>
      </w:tcPr>
    </w:tblStylePr>
    <w:tblStylePr w:type="band1Vert">
      <w:tblPr/>
      <w:tcPr>
        <w:shd w:val="clear" w:color="auto" w:fill="FCA09C" w:themeFill="accent1" w:themeFillTint="7F"/>
      </w:tcPr>
    </w:tblStylePr>
    <w:tblStylePr w:type="band1Horz">
      <w:tblPr/>
      <w:tcPr>
        <w:tcBorders>
          <w:insideH w:val="single" w:sz="6" w:space="0" w:color="F9423A" w:themeColor="accent1"/>
          <w:insideV w:val="single" w:sz="6" w:space="0" w:color="F9423A" w:themeColor="accent1"/>
        </w:tcBorders>
        <w:shd w:val="clear" w:color="auto" w:fill="FCA09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insideH w:val="single" w:sz="8" w:space="0" w:color="D8E6F0" w:themeColor="accent2"/>
        <w:insideV w:val="single" w:sz="8" w:space="0" w:color="D8E6F0" w:themeColor="accent2"/>
      </w:tblBorders>
    </w:tblPr>
    <w:tcPr>
      <w:shd w:val="clear" w:color="auto" w:fill="F5F8FB" w:themeFill="accent2" w:themeFillTint="3F"/>
    </w:tcPr>
    <w:tblStylePr w:type="firstRow">
      <w:rPr>
        <w:b/>
        <w:bCs/>
        <w:color w:val="000000" w:themeColor="text1"/>
      </w:rPr>
      <w:tblPr/>
      <w:tcPr>
        <w:shd w:val="clear" w:color="auto" w:fill="FBFC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9FC" w:themeFill="accent2" w:themeFillTint="33"/>
      </w:tcPr>
    </w:tblStylePr>
    <w:tblStylePr w:type="band1Vert">
      <w:tblPr/>
      <w:tcPr>
        <w:shd w:val="clear" w:color="auto" w:fill="EBF2F7" w:themeFill="accent2" w:themeFillTint="7F"/>
      </w:tcPr>
    </w:tblStylePr>
    <w:tblStylePr w:type="band1Horz">
      <w:tblPr/>
      <w:tcPr>
        <w:tcBorders>
          <w:insideH w:val="single" w:sz="6" w:space="0" w:color="D8E6F0" w:themeColor="accent2"/>
          <w:insideV w:val="single" w:sz="6" w:space="0" w:color="D8E6F0" w:themeColor="accent2"/>
        </w:tcBorders>
        <w:shd w:val="clear" w:color="auto" w:fill="EBF2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insideH w:val="single" w:sz="8" w:space="0" w:color="1E252B" w:themeColor="accent3"/>
        <w:insideV w:val="single" w:sz="8" w:space="0" w:color="1E252B" w:themeColor="accent3"/>
      </w:tblBorders>
    </w:tblPr>
    <w:tcPr>
      <w:shd w:val="clear" w:color="auto" w:fill="BFC9D2" w:themeFill="accent3" w:themeFillTint="3F"/>
    </w:tcPr>
    <w:tblStylePr w:type="firstRow">
      <w:rPr>
        <w:b/>
        <w:bCs/>
        <w:color w:val="000000" w:themeColor="text1"/>
      </w:rPr>
      <w:tblPr/>
      <w:tcPr>
        <w:shd w:val="clear" w:color="auto" w:fill="E5E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D3DB" w:themeFill="accent3" w:themeFillTint="33"/>
      </w:tcPr>
    </w:tblStylePr>
    <w:tblStylePr w:type="band1Vert">
      <w:tblPr/>
      <w:tcPr>
        <w:shd w:val="clear" w:color="auto" w:fill="7E93A5" w:themeFill="accent3" w:themeFillTint="7F"/>
      </w:tcPr>
    </w:tblStylePr>
    <w:tblStylePr w:type="band1Horz">
      <w:tblPr/>
      <w:tcPr>
        <w:tcBorders>
          <w:insideH w:val="single" w:sz="6" w:space="0" w:color="1E252B" w:themeColor="accent3"/>
          <w:insideV w:val="single" w:sz="6" w:space="0" w:color="1E252B" w:themeColor="accent3"/>
        </w:tcBorders>
        <w:shd w:val="clear" w:color="auto" w:fill="7E9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insideH w:val="single" w:sz="8" w:space="0" w:color="333E48" w:themeColor="accent4"/>
        <w:insideV w:val="single" w:sz="8" w:space="0" w:color="333E48" w:themeColor="accent4"/>
      </w:tblBorders>
    </w:tblPr>
    <w:tcPr>
      <w:shd w:val="clear" w:color="auto" w:fill="C7CFD7" w:themeFill="accent4" w:themeFillTint="3F"/>
    </w:tcPr>
    <w:tblStylePr w:type="firstRow">
      <w:rPr>
        <w:b/>
        <w:bCs/>
        <w:color w:val="000000" w:themeColor="text1"/>
      </w:rPr>
      <w:tblPr/>
      <w:tcPr>
        <w:shd w:val="clear" w:color="auto" w:fill="E8EC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8DE" w:themeFill="accent4" w:themeFillTint="33"/>
      </w:tcPr>
    </w:tblStylePr>
    <w:tblStylePr w:type="band1Vert">
      <w:tblPr/>
      <w:tcPr>
        <w:shd w:val="clear" w:color="auto" w:fill="8E9FAF" w:themeFill="accent4" w:themeFillTint="7F"/>
      </w:tcPr>
    </w:tblStylePr>
    <w:tblStylePr w:type="band1Horz">
      <w:tblPr/>
      <w:tcPr>
        <w:tcBorders>
          <w:insideH w:val="single" w:sz="6" w:space="0" w:color="333E48" w:themeColor="accent4"/>
          <w:insideV w:val="single" w:sz="6" w:space="0" w:color="333E48" w:themeColor="accent4"/>
        </w:tcBorders>
        <w:shd w:val="clear" w:color="auto" w:fill="8E9FA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insideH w:val="single" w:sz="8" w:space="0" w:color="D9D9D6" w:themeColor="accent5"/>
        <w:insideV w:val="single" w:sz="8" w:space="0" w:color="D9D9D6" w:themeColor="accent5"/>
      </w:tblBorders>
    </w:tblPr>
    <w:tcPr>
      <w:shd w:val="clear" w:color="auto" w:fill="F5F5F4" w:themeFill="accent5" w:themeFillTint="3F"/>
    </w:tcPr>
    <w:tblStylePr w:type="firstRow">
      <w:rPr>
        <w:b/>
        <w:bCs/>
        <w:color w:val="000000" w:themeColor="text1"/>
      </w:rPr>
      <w:tblPr/>
      <w:tcPr>
        <w:shd w:val="clear" w:color="auto" w:fill="FBFB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6" w:themeFill="accent5" w:themeFillTint="33"/>
      </w:tcPr>
    </w:tblStylePr>
    <w:tblStylePr w:type="band1Vert">
      <w:tblPr/>
      <w:tcPr>
        <w:shd w:val="clear" w:color="auto" w:fill="ECECEA" w:themeFill="accent5" w:themeFillTint="7F"/>
      </w:tcPr>
    </w:tblStylePr>
    <w:tblStylePr w:type="band1Horz">
      <w:tblPr/>
      <w:tcPr>
        <w:tcBorders>
          <w:insideH w:val="single" w:sz="6" w:space="0" w:color="D9D9D6" w:themeColor="accent5"/>
          <w:insideV w:val="single" w:sz="6" w:space="0" w:color="D9D9D6" w:themeColor="accent5"/>
        </w:tcBorders>
        <w:shd w:val="clear" w:color="auto" w:fill="ECE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insideH w:val="single" w:sz="8" w:space="0" w:color="EFECEA" w:themeColor="accent6"/>
        <w:insideV w:val="single" w:sz="8" w:space="0" w:color="EFECEA" w:themeColor="accent6"/>
      </w:tblBorders>
    </w:tblPr>
    <w:tcPr>
      <w:shd w:val="clear" w:color="auto" w:fill="FBFAF9" w:themeFill="accent6" w:themeFillTint="3F"/>
    </w:tcPr>
    <w:tblStylePr w:type="firstRow">
      <w:rPr>
        <w:b/>
        <w:bCs/>
        <w:color w:val="000000" w:themeColor="text1"/>
      </w:rPr>
      <w:tblPr/>
      <w:tcPr>
        <w:shd w:val="clear" w:color="auto" w:fill="FDFD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BFA" w:themeFill="accent6" w:themeFillTint="33"/>
      </w:tcPr>
    </w:tblStylePr>
    <w:tblStylePr w:type="band1Vert">
      <w:tblPr/>
      <w:tcPr>
        <w:shd w:val="clear" w:color="auto" w:fill="F7F5F4" w:themeFill="accent6" w:themeFillTint="7F"/>
      </w:tcPr>
    </w:tblStylePr>
    <w:tblStylePr w:type="band1Horz">
      <w:tblPr/>
      <w:tcPr>
        <w:tcBorders>
          <w:insideH w:val="single" w:sz="6" w:space="0" w:color="EFECEA" w:themeColor="accent6"/>
          <w:insideV w:val="single" w:sz="6" w:space="0" w:color="EFECEA" w:themeColor="accent6"/>
        </w:tcBorders>
        <w:shd w:val="clear" w:color="auto" w:fill="F7F5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079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079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CF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423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423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423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423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0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09C" w:themeFill="accent1" w:themeFillTint="7F"/>
      </w:tcPr>
    </w:tblStylePr>
  </w:style>
  <w:style w:type="table" w:styleId="MediumGrid3-Accent2">
    <w:name w:val="Medium Grid 3 Accent 2"/>
    <w:basedOn w:val="TableNormal"/>
    <w:uiPriority w:val="69"/>
    <w:semiHidden/>
    <w:unhideWhenUsed/>
    <w:rsid w:val="007079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8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E6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E6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E6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E6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F2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F2F7" w:themeFill="accent2" w:themeFillTint="7F"/>
      </w:tcPr>
    </w:tblStylePr>
  </w:style>
  <w:style w:type="table" w:styleId="MediumGrid3-Accent3">
    <w:name w:val="Medium Grid 3 Accent 3"/>
    <w:basedOn w:val="TableNormal"/>
    <w:uiPriority w:val="69"/>
    <w:semiHidden/>
    <w:unhideWhenUsed/>
    <w:rsid w:val="007079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C9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252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252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252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252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9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93A5" w:themeFill="accent3" w:themeFillTint="7F"/>
      </w:tcPr>
    </w:tblStylePr>
  </w:style>
  <w:style w:type="table" w:styleId="MediumGrid3-Accent4">
    <w:name w:val="Medium Grid 3 Accent 4"/>
    <w:basedOn w:val="TableNormal"/>
    <w:uiPriority w:val="69"/>
    <w:semiHidden/>
    <w:unhideWhenUsed/>
    <w:rsid w:val="007079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FD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E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E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E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E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9FA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9FAF" w:themeFill="accent4" w:themeFillTint="7F"/>
      </w:tcPr>
    </w:tblStylePr>
  </w:style>
  <w:style w:type="table" w:styleId="MediumGrid3-Accent5">
    <w:name w:val="Medium Grid 3 Accent 5"/>
    <w:basedOn w:val="TableNormal"/>
    <w:uiPriority w:val="69"/>
    <w:semiHidden/>
    <w:unhideWhenUsed/>
    <w:rsid w:val="007079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9D9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9D9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9D9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9D9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E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ECEA" w:themeFill="accent5" w:themeFillTint="7F"/>
      </w:tcPr>
    </w:tblStylePr>
  </w:style>
  <w:style w:type="table" w:styleId="MediumGrid3-Accent6">
    <w:name w:val="Medium Grid 3 Accent 6"/>
    <w:basedOn w:val="TableNormal"/>
    <w:uiPriority w:val="69"/>
    <w:semiHidden/>
    <w:unhideWhenUsed/>
    <w:rsid w:val="007079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A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ECE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ECE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ECE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ECE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F5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F5F4" w:themeFill="accent6" w:themeFillTint="7F"/>
      </w:tcPr>
    </w:tblStylePr>
  </w:style>
  <w:style w:type="table" w:styleId="MediumList1">
    <w:name w:val="Medium List 1"/>
    <w:basedOn w:val="TableNormal"/>
    <w:uiPriority w:val="65"/>
    <w:semiHidden/>
    <w:unhideWhenUsed/>
    <w:rsid w:val="007079C8"/>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9423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079C8"/>
    <w:pPr>
      <w:spacing w:line="240" w:lineRule="auto"/>
    </w:pPr>
    <w:rPr>
      <w:color w:val="000000" w:themeColor="text1"/>
    </w:rPr>
    <w:tblPr>
      <w:tblStyleRowBandSize w:val="1"/>
      <w:tblStyleColBandSize w:val="1"/>
      <w:tblBorders>
        <w:top w:val="single" w:sz="8" w:space="0" w:color="F9423A" w:themeColor="accent1"/>
        <w:bottom w:val="single" w:sz="8" w:space="0" w:color="F9423A" w:themeColor="accent1"/>
      </w:tblBorders>
    </w:tblPr>
    <w:tblStylePr w:type="firstRow">
      <w:rPr>
        <w:rFonts w:asciiTheme="majorHAnsi" w:eastAsiaTheme="majorEastAsia" w:hAnsiTheme="majorHAnsi" w:cstheme="majorBidi"/>
      </w:rPr>
      <w:tblPr/>
      <w:tcPr>
        <w:tcBorders>
          <w:top w:val="nil"/>
          <w:bottom w:val="single" w:sz="8" w:space="0" w:color="F9423A" w:themeColor="accent1"/>
        </w:tcBorders>
      </w:tcPr>
    </w:tblStylePr>
    <w:tblStylePr w:type="lastRow">
      <w:rPr>
        <w:b/>
        <w:bCs/>
        <w:color w:val="F9423A" w:themeColor="text2"/>
      </w:rPr>
      <w:tblPr/>
      <w:tcPr>
        <w:tcBorders>
          <w:top w:val="single" w:sz="8" w:space="0" w:color="F9423A" w:themeColor="accent1"/>
          <w:bottom w:val="single" w:sz="8" w:space="0" w:color="F9423A" w:themeColor="accent1"/>
        </w:tcBorders>
      </w:tcPr>
    </w:tblStylePr>
    <w:tblStylePr w:type="firstCol">
      <w:rPr>
        <w:b/>
        <w:bCs/>
      </w:rPr>
    </w:tblStylePr>
    <w:tblStylePr w:type="lastCol">
      <w:rPr>
        <w:b/>
        <w:bCs/>
      </w:rPr>
      <w:tblPr/>
      <w:tcPr>
        <w:tcBorders>
          <w:top w:val="single" w:sz="8" w:space="0" w:color="F9423A" w:themeColor="accent1"/>
          <w:bottom w:val="single" w:sz="8" w:space="0" w:color="F9423A" w:themeColor="accent1"/>
        </w:tcBorders>
      </w:tcPr>
    </w:tblStylePr>
    <w:tblStylePr w:type="band1Vert">
      <w:tblPr/>
      <w:tcPr>
        <w:shd w:val="clear" w:color="auto" w:fill="FDCFCE" w:themeFill="accent1" w:themeFillTint="3F"/>
      </w:tcPr>
    </w:tblStylePr>
    <w:tblStylePr w:type="band1Horz">
      <w:tblPr/>
      <w:tcPr>
        <w:shd w:val="clear" w:color="auto" w:fill="FDCFCE" w:themeFill="accent1" w:themeFillTint="3F"/>
      </w:tcPr>
    </w:tblStylePr>
  </w:style>
  <w:style w:type="table" w:styleId="MediumList1-Accent2">
    <w:name w:val="Medium List 1 Accent 2"/>
    <w:basedOn w:val="TableNormal"/>
    <w:uiPriority w:val="65"/>
    <w:semiHidden/>
    <w:unhideWhenUsed/>
    <w:rsid w:val="007079C8"/>
    <w:pPr>
      <w:spacing w:line="240" w:lineRule="auto"/>
    </w:pPr>
    <w:rPr>
      <w:color w:val="000000" w:themeColor="text1"/>
    </w:rPr>
    <w:tblPr>
      <w:tblStyleRowBandSize w:val="1"/>
      <w:tblStyleColBandSize w:val="1"/>
      <w:tblBorders>
        <w:top w:val="single" w:sz="8" w:space="0" w:color="D8E6F0" w:themeColor="accent2"/>
        <w:bottom w:val="single" w:sz="8" w:space="0" w:color="D8E6F0" w:themeColor="accent2"/>
      </w:tblBorders>
    </w:tblPr>
    <w:tblStylePr w:type="firstRow">
      <w:rPr>
        <w:rFonts w:asciiTheme="majorHAnsi" w:eastAsiaTheme="majorEastAsia" w:hAnsiTheme="majorHAnsi" w:cstheme="majorBidi"/>
      </w:rPr>
      <w:tblPr/>
      <w:tcPr>
        <w:tcBorders>
          <w:top w:val="nil"/>
          <w:bottom w:val="single" w:sz="8" w:space="0" w:color="D8E6F0" w:themeColor="accent2"/>
        </w:tcBorders>
      </w:tcPr>
    </w:tblStylePr>
    <w:tblStylePr w:type="lastRow">
      <w:rPr>
        <w:b/>
        <w:bCs/>
        <w:color w:val="F9423A" w:themeColor="text2"/>
      </w:rPr>
      <w:tblPr/>
      <w:tcPr>
        <w:tcBorders>
          <w:top w:val="single" w:sz="8" w:space="0" w:color="D8E6F0" w:themeColor="accent2"/>
          <w:bottom w:val="single" w:sz="8" w:space="0" w:color="D8E6F0" w:themeColor="accent2"/>
        </w:tcBorders>
      </w:tcPr>
    </w:tblStylePr>
    <w:tblStylePr w:type="firstCol">
      <w:rPr>
        <w:b/>
        <w:bCs/>
      </w:rPr>
    </w:tblStylePr>
    <w:tblStylePr w:type="lastCol">
      <w:rPr>
        <w:b/>
        <w:bCs/>
      </w:rPr>
      <w:tblPr/>
      <w:tcPr>
        <w:tcBorders>
          <w:top w:val="single" w:sz="8" w:space="0" w:color="D8E6F0" w:themeColor="accent2"/>
          <w:bottom w:val="single" w:sz="8" w:space="0" w:color="D8E6F0" w:themeColor="accent2"/>
        </w:tcBorders>
      </w:tcPr>
    </w:tblStylePr>
    <w:tblStylePr w:type="band1Vert">
      <w:tblPr/>
      <w:tcPr>
        <w:shd w:val="clear" w:color="auto" w:fill="F5F8FB" w:themeFill="accent2" w:themeFillTint="3F"/>
      </w:tcPr>
    </w:tblStylePr>
    <w:tblStylePr w:type="band1Horz">
      <w:tblPr/>
      <w:tcPr>
        <w:shd w:val="clear" w:color="auto" w:fill="F5F8FB" w:themeFill="accent2" w:themeFillTint="3F"/>
      </w:tcPr>
    </w:tblStylePr>
  </w:style>
  <w:style w:type="table" w:styleId="MediumList1-Accent3">
    <w:name w:val="Medium List 1 Accent 3"/>
    <w:basedOn w:val="TableNormal"/>
    <w:uiPriority w:val="65"/>
    <w:semiHidden/>
    <w:unhideWhenUsed/>
    <w:rsid w:val="007079C8"/>
    <w:pPr>
      <w:spacing w:line="240" w:lineRule="auto"/>
    </w:pPr>
    <w:rPr>
      <w:color w:val="000000" w:themeColor="text1"/>
    </w:rPr>
    <w:tblPr>
      <w:tblStyleRowBandSize w:val="1"/>
      <w:tblStyleColBandSize w:val="1"/>
      <w:tblBorders>
        <w:top w:val="single" w:sz="8" w:space="0" w:color="1E252B" w:themeColor="accent3"/>
        <w:bottom w:val="single" w:sz="8" w:space="0" w:color="1E252B" w:themeColor="accent3"/>
      </w:tblBorders>
    </w:tblPr>
    <w:tblStylePr w:type="firstRow">
      <w:rPr>
        <w:rFonts w:asciiTheme="majorHAnsi" w:eastAsiaTheme="majorEastAsia" w:hAnsiTheme="majorHAnsi" w:cstheme="majorBidi"/>
      </w:rPr>
      <w:tblPr/>
      <w:tcPr>
        <w:tcBorders>
          <w:top w:val="nil"/>
          <w:bottom w:val="single" w:sz="8" w:space="0" w:color="1E252B" w:themeColor="accent3"/>
        </w:tcBorders>
      </w:tcPr>
    </w:tblStylePr>
    <w:tblStylePr w:type="lastRow">
      <w:rPr>
        <w:b/>
        <w:bCs/>
        <w:color w:val="F9423A" w:themeColor="text2"/>
      </w:rPr>
      <w:tblPr/>
      <w:tcPr>
        <w:tcBorders>
          <w:top w:val="single" w:sz="8" w:space="0" w:color="1E252B" w:themeColor="accent3"/>
          <w:bottom w:val="single" w:sz="8" w:space="0" w:color="1E252B" w:themeColor="accent3"/>
        </w:tcBorders>
      </w:tcPr>
    </w:tblStylePr>
    <w:tblStylePr w:type="firstCol">
      <w:rPr>
        <w:b/>
        <w:bCs/>
      </w:rPr>
    </w:tblStylePr>
    <w:tblStylePr w:type="lastCol">
      <w:rPr>
        <w:b/>
        <w:bCs/>
      </w:rPr>
      <w:tblPr/>
      <w:tcPr>
        <w:tcBorders>
          <w:top w:val="single" w:sz="8" w:space="0" w:color="1E252B" w:themeColor="accent3"/>
          <w:bottom w:val="single" w:sz="8" w:space="0" w:color="1E252B" w:themeColor="accent3"/>
        </w:tcBorders>
      </w:tcPr>
    </w:tblStylePr>
    <w:tblStylePr w:type="band1Vert">
      <w:tblPr/>
      <w:tcPr>
        <w:shd w:val="clear" w:color="auto" w:fill="BFC9D2" w:themeFill="accent3" w:themeFillTint="3F"/>
      </w:tcPr>
    </w:tblStylePr>
    <w:tblStylePr w:type="band1Horz">
      <w:tblPr/>
      <w:tcPr>
        <w:shd w:val="clear" w:color="auto" w:fill="BFC9D2" w:themeFill="accent3" w:themeFillTint="3F"/>
      </w:tcPr>
    </w:tblStylePr>
  </w:style>
  <w:style w:type="table" w:styleId="MediumList1-Accent4">
    <w:name w:val="Medium List 1 Accent 4"/>
    <w:basedOn w:val="TableNormal"/>
    <w:uiPriority w:val="65"/>
    <w:semiHidden/>
    <w:unhideWhenUsed/>
    <w:rsid w:val="007079C8"/>
    <w:pPr>
      <w:spacing w:line="240" w:lineRule="auto"/>
    </w:pPr>
    <w:rPr>
      <w:color w:val="000000" w:themeColor="text1"/>
    </w:rPr>
    <w:tblPr>
      <w:tblStyleRowBandSize w:val="1"/>
      <w:tblStyleColBandSize w:val="1"/>
      <w:tblBorders>
        <w:top w:val="single" w:sz="8" w:space="0" w:color="333E48" w:themeColor="accent4"/>
        <w:bottom w:val="single" w:sz="8" w:space="0" w:color="333E48" w:themeColor="accent4"/>
      </w:tblBorders>
    </w:tblPr>
    <w:tblStylePr w:type="firstRow">
      <w:rPr>
        <w:rFonts w:asciiTheme="majorHAnsi" w:eastAsiaTheme="majorEastAsia" w:hAnsiTheme="majorHAnsi" w:cstheme="majorBidi"/>
      </w:rPr>
      <w:tblPr/>
      <w:tcPr>
        <w:tcBorders>
          <w:top w:val="nil"/>
          <w:bottom w:val="single" w:sz="8" w:space="0" w:color="333E48" w:themeColor="accent4"/>
        </w:tcBorders>
      </w:tcPr>
    </w:tblStylePr>
    <w:tblStylePr w:type="lastRow">
      <w:rPr>
        <w:b/>
        <w:bCs/>
        <w:color w:val="F9423A" w:themeColor="text2"/>
      </w:rPr>
      <w:tblPr/>
      <w:tcPr>
        <w:tcBorders>
          <w:top w:val="single" w:sz="8" w:space="0" w:color="333E48" w:themeColor="accent4"/>
          <w:bottom w:val="single" w:sz="8" w:space="0" w:color="333E48" w:themeColor="accent4"/>
        </w:tcBorders>
      </w:tcPr>
    </w:tblStylePr>
    <w:tblStylePr w:type="firstCol">
      <w:rPr>
        <w:b/>
        <w:bCs/>
      </w:rPr>
    </w:tblStylePr>
    <w:tblStylePr w:type="lastCol">
      <w:rPr>
        <w:b/>
        <w:bCs/>
      </w:rPr>
      <w:tblPr/>
      <w:tcPr>
        <w:tcBorders>
          <w:top w:val="single" w:sz="8" w:space="0" w:color="333E48" w:themeColor="accent4"/>
          <w:bottom w:val="single" w:sz="8" w:space="0" w:color="333E48" w:themeColor="accent4"/>
        </w:tcBorders>
      </w:tcPr>
    </w:tblStylePr>
    <w:tblStylePr w:type="band1Vert">
      <w:tblPr/>
      <w:tcPr>
        <w:shd w:val="clear" w:color="auto" w:fill="C7CFD7" w:themeFill="accent4" w:themeFillTint="3F"/>
      </w:tcPr>
    </w:tblStylePr>
    <w:tblStylePr w:type="band1Horz">
      <w:tblPr/>
      <w:tcPr>
        <w:shd w:val="clear" w:color="auto" w:fill="C7CFD7" w:themeFill="accent4" w:themeFillTint="3F"/>
      </w:tcPr>
    </w:tblStylePr>
  </w:style>
  <w:style w:type="table" w:styleId="MediumList1-Accent5">
    <w:name w:val="Medium List 1 Accent 5"/>
    <w:basedOn w:val="TableNormal"/>
    <w:uiPriority w:val="65"/>
    <w:semiHidden/>
    <w:unhideWhenUsed/>
    <w:rsid w:val="007079C8"/>
    <w:pPr>
      <w:spacing w:line="240" w:lineRule="auto"/>
    </w:pPr>
    <w:rPr>
      <w:color w:val="000000" w:themeColor="text1"/>
    </w:rPr>
    <w:tblPr>
      <w:tblStyleRowBandSize w:val="1"/>
      <w:tblStyleColBandSize w:val="1"/>
      <w:tblBorders>
        <w:top w:val="single" w:sz="8" w:space="0" w:color="D9D9D6" w:themeColor="accent5"/>
        <w:bottom w:val="single" w:sz="8" w:space="0" w:color="D9D9D6" w:themeColor="accent5"/>
      </w:tblBorders>
    </w:tblPr>
    <w:tblStylePr w:type="firstRow">
      <w:rPr>
        <w:rFonts w:asciiTheme="majorHAnsi" w:eastAsiaTheme="majorEastAsia" w:hAnsiTheme="majorHAnsi" w:cstheme="majorBidi"/>
      </w:rPr>
      <w:tblPr/>
      <w:tcPr>
        <w:tcBorders>
          <w:top w:val="nil"/>
          <w:bottom w:val="single" w:sz="8" w:space="0" w:color="D9D9D6" w:themeColor="accent5"/>
        </w:tcBorders>
      </w:tcPr>
    </w:tblStylePr>
    <w:tblStylePr w:type="lastRow">
      <w:rPr>
        <w:b/>
        <w:bCs/>
        <w:color w:val="F9423A" w:themeColor="text2"/>
      </w:rPr>
      <w:tblPr/>
      <w:tcPr>
        <w:tcBorders>
          <w:top w:val="single" w:sz="8" w:space="0" w:color="D9D9D6" w:themeColor="accent5"/>
          <w:bottom w:val="single" w:sz="8" w:space="0" w:color="D9D9D6" w:themeColor="accent5"/>
        </w:tcBorders>
      </w:tcPr>
    </w:tblStylePr>
    <w:tblStylePr w:type="firstCol">
      <w:rPr>
        <w:b/>
        <w:bCs/>
      </w:rPr>
    </w:tblStylePr>
    <w:tblStylePr w:type="lastCol">
      <w:rPr>
        <w:b/>
        <w:bCs/>
      </w:rPr>
      <w:tblPr/>
      <w:tcPr>
        <w:tcBorders>
          <w:top w:val="single" w:sz="8" w:space="0" w:color="D9D9D6" w:themeColor="accent5"/>
          <w:bottom w:val="single" w:sz="8" w:space="0" w:color="D9D9D6" w:themeColor="accent5"/>
        </w:tcBorders>
      </w:tcPr>
    </w:tblStylePr>
    <w:tblStylePr w:type="band1Vert">
      <w:tblPr/>
      <w:tcPr>
        <w:shd w:val="clear" w:color="auto" w:fill="F5F5F4" w:themeFill="accent5" w:themeFillTint="3F"/>
      </w:tcPr>
    </w:tblStylePr>
    <w:tblStylePr w:type="band1Horz">
      <w:tblPr/>
      <w:tcPr>
        <w:shd w:val="clear" w:color="auto" w:fill="F5F5F4" w:themeFill="accent5" w:themeFillTint="3F"/>
      </w:tcPr>
    </w:tblStylePr>
  </w:style>
  <w:style w:type="table" w:styleId="MediumList1-Accent6">
    <w:name w:val="Medium List 1 Accent 6"/>
    <w:basedOn w:val="TableNormal"/>
    <w:uiPriority w:val="65"/>
    <w:semiHidden/>
    <w:unhideWhenUsed/>
    <w:rsid w:val="007079C8"/>
    <w:pPr>
      <w:spacing w:line="240" w:lineRule="auto"/>
    </w:pPr>
    <w:rPr>
      <w:color w:val="000000" w:themeColor="text1"/>
    </w:rPr>
    <w:tblPr>
      <w:tblStyleRowBandSize w:val="1"/>
      <w:tblStyleColBandSize w:val="1"/>
      <w:tblBorders>
        <w:top w:val="single" w:sz="8" w:space="0" w:color="EFECEA" w:themeColor="accent6"/>
        <w:bottom w:val="single" w:sz="8" w:space="0" w:color="EFECEA" w:themeColor="accent6"/>
      </w:tblBorders>
    </w:tblPr>
    <w:tblStylePr w:type="firstRow">
      <w:rPr>
        <w:rFonts w:asciiTheme="majorHAnsi" w:eastAsiaTheme="majorEastAsia" w:hAnsiTheme="majorHAnsi" w:cstheme="majorBidi"/>
      </w:rPr>
      <w:tblPr/>
      <w:tcPr>
        <w:tcBorders>
          <w:top w:val="nil"/>
          <w:bottom w:val="single" w:sz="8" w:space="0" w:color="EFECEA" w:themeColor="accent6"/>
        </w:tcBorders>
      </w:tcPr>
    </w:tblStylePr>
    <w:tblStylePr w:type="lastRow">
      <w:rPr>
        <w:b/>
        <w:bCs/>
        <w:color w:val="F9423A" w:themeColor="text2"/>
      </w:rPr>
      <w:tblPr/>
      <w:tcPr>
        <w:tcBorders>
          <w:top w:val="single" w:sz="8" w:space="0" w:color="EFECEA" w:themeColor="accent6"/>
          <w:bottom w:val="single" w:sz="8" w:space="0" w:color="EFECEA" w:themeColor="accent6"/>
        </w:tcBorders>
      </w:tcPr>
    </w:tblStylePr>
    <w:tblStylePr w:type="firstCol">
      <w:rPr>
        <w:b/>
        <w:bCs/>
      </w:rPr>
    </w:tblStylePr>
    <w:tblStylePr w:type="lastCol">
      <w:rPr>
        <w:b/>
        <w:bCs/>
      </w:rPr>
      <w:tblPr/>
      <w:tcPr>
        <w:tcBorders>
          <w:top w:val="single" w:sz="8" w:space="0" w:color="EFECEA" w:themeColor="accent6"/>
          <w:bottom w:val="single" w:sz="8" w:space="0" w:color="EFECEA" w:themeColor="accent6"/>
        </w:tcBorders>
      </w:tcPr>
    </w:tblStylePr>
    <w:tblStylePr w:type="band1Vert">
      <w:tblPr/>
      <w:tcPr>
        <w:shd w:val="clear" w:color="auto" w:fill="FBFAF9" w:themeFill="accent6" w:themeFillTint="3F"/>
      </w:tcPr>
    </w:tblStylePr>
    <w:tblStylePr w:type="band1Horz">
      <w:tblPr/>
      <w:tcPr>
        <w:shd w:val="clear" w:color="auto" w:fill="FBFAF9" w:themeFill="accent6" w:themeFillTint="3F"/>
      </w:tcPr>
    </w:tblStylePr>
  </w:style>
  <w:style w:type="table" w:styleId="MediumList2">
    <w:name w:val="Medium List 2"/>
    <w:basedOn w:val="TableNormal"/>
    <w:uiPriority w:val="66"/>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rPr>
        <w:sz w:val="24"/>
        <w:szCs w:val="24"/>
      </w:rPr>
      <w:tblPr/>
      <w:tcPr>
        <w:tcBorders>
          <w:top w:val="nil"/>
          <w:left w:val="nil"/>
          <w:bottom w:val="single" w:sz="24" w:space="0" w:color="F9423A" w:themeColor="accent1"/>
          <w:right w:val="nil"/>
          <w:insideH w:val="nil"/>
          <w:insideV w:val="nil"/>
        </w:tcBorders>
        <w:shd w:val="clear" w:color="auto" w:fill="FFFFFF" w:themeFill="background1"/>
      </w:tcPr>
    </w:tblStylePr>
    <w:tblStylePr w:type="lastRow">
      <w:tblPr/>
      <w:tcPr>
        <w:tcBorders>
          <w:top w:val="single" w:sz="8" w:space="0" w:color="F9423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423A" w:themeColor="accent1"/>
          <w:insideH w:val="nil"/>
          <w:insideV w:val="nil"/>
        </w:tcBorders>
        <w:shd w:val="clear" w:color="auto" w:fill="FFFFFF" w:themeFill="background1"/>
      </w:tcPr>
    </w:tblStylePr>
    <w:tblStylePr w:type="lastCol">
      <w:tblPr/>
      <w:tcPr>
        <w:tcBorders>
          <w:top w:val="nil"/>
          <w:left w:val="single" w:sz="8" w:space="0" w:color="F9423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CFCE" w:themeFill="accent1" w:themeFillTint="3F"/>
      </w:tcPr>
    </w:tblStylePr>
    <w:tblStylePr w:type="band1Horz">
      <w:tblPr/>
      <w:tcPr>
        <w:tcBorders>
          <w:top w:val="nil"/>
          <w:bottom w:val="nil"/>
          <w:insideH w:val="nil"/>
          <w:insideV w:val="nil"/>
        </w:tcBorders>
        <w:shd w:val="clear" w:color="auto" w:fill="FDCF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tblBorders>
    </w:tblPr>
    <w:tblStylePr w:type="firstRow">
      <w:rPr>
        <w:sz w:val="24"/>
        <w:szCs w:val="24"/>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tblPr/>
      <w:tcPr>
        <w:tcBorders>
          <w:top w:val="single" w:sz="8" w:space="0" w:color="D8E6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E6F0" w:themeColor="accent2"/>
          <w:insideH w:val="nil"/>
          <w:insideV w:val="nil"/>
        </w:tcBorders>
        <w:shd w:val="clear" w:color="auto" w:fill="FFFFFF" w:themeFill="background1"/>
      </w:tcPr>
    </w:tblStylePr>
    <w:tblStylePr w:type="lastCol">
      <w:tblPr/>
      <w:tcPr>
        <w:tcBorders>
          <w:top w:val="nil"/>
          <w:left w:val="single" w:sz="8" w:space="0" w:color="D8E6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8FB" w:themeFill="accent2" w:themeFillTint="3F"/>
      </w:tcPr>
    </w:tblStylePr>
    <w:tblStylePr w:type="band1Horz">
      <w:tblPr/>
      <w:tcPr>
        <w:tcBorders>
          <w:top w:val="nil"/>
          <w:bottom w:val="nil"/>
          <w:insideH w:val="nil"/>
          <w:insideV w:val="nil"/>
        </w:tcBorders>
        <w:shd w:val="clear" w:color="auto" w:fill="F5F8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tblBorders>
    </w:tblPr>
    <w:tblStylePr w:type="firstRow">
      <w:rPr>
        <w:sz w:val="24"/>
        <w:szCs w:val="24"/>
      </w:rPr>
      <w:tblPr/>
      <w:tcPr>
        <w:tcBorders>
          <w:top w:val="nil"/>
          <w:left w:val="nil"/>
          <w:bottom w:val="single" w:sz="24" w:space="0" w:color="1E252B" w:themeColor="accent3"/>
          <w:right w:val="nil"/>
          <w:insideH w:val="nil"/>
          <w:insideV w:val="nil"/>
        </w:tcBorders>
        <w:shd w:val="clear" w:color="auto" w:fill="FFFFFF" w:themeFill="background1"/>
      </w:tcPr>
    </w:tblStylePr>
    <w:tblStylePr w:type="lastRow">
      <w:tblPr/>
      <w:tcPr>
        <w:tcBorders>
          <w:top w:val="single" w:sz="8" w:space="0" w:color="1E252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252B" w:themeColor="accent3"/>
          <w:insideH w:val="nil"/>
          <w:insideV w:val="nil"/>
        </w:tcBorders>
        <w:shd w:val="clear" w:color="auto" w:fill="FFFFFF" w:themeFill="background1"/>
      </w:tcPr>
    </w:tblStylePr>
    <w:tblStylePr w:type="lastCol">
      <w:tblPr/>
      <w:tcPr>
        <w:tcBorders>
          <w:top w:val="nil"/>
          <w:left w:val="single" w:sz="8" w:space="0" w:color="1E252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C9D2" w:themeFill="accent3" w:themeFillTint="3F"/>
      </w:tcPr>
    </w:tblStylePr>
    <w:tblStylePr w:type="band1Horz">
      <w:tblPr/>
      <w:tcPr>
        <w:tcBorders>
          <w:top w:val="nil"/>
          <w:bottom w:val="nil"/>
          <w:insideH w:val="nil"/>
          <w:insideV w:val="nil"/>
        </w:tcBorders>
        <w:shd w:val="clear" w:color="auto" w:fill="BFC9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tblBorders>
    </w:tblPr>
    <w:tblStylePr w:type="firstRow">
      <w:rPr>
        <w:sz w:val="24"/>
        <w:szCs w:val="24"/>
      </w:rPr>
      <w:tblPr/>
      <w:tcPr>
        <w:tcBorders>
          <w:top w:val="nil"/>
          <w:left w:val="nil"/>
          <w:bottom w:val="single" w:sz="24" w:space="0" w:color="333E48" w:themeColor="accent4"/>
          <w:right w:val="nil"/>
          <w:insideH w:val="nil"/>
          <w:insideV w:val="nil"/>
        </w:tcBorders>
        <w:shd w:val="clear" w:color="auto" w:fill="FFFFFF" w:themeFill="background1"/>
      </w:tcPr>
    </w:tblStylePr>
    <w:tblStylePr w:type="lastRow">
      <w:tblPr/>
      <w:tcPr>
        <w:tcBorders>
          <w:top w:val="single" w:sz="8" w:space="0" w:color="333E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E48" w:themeColor="accent4"/>
          <w:insideH w:val="nil"/>
          <w:insideV w:val="nil"/>
        </w:tcBorders>
        <w:shd w:val="clear" w:color="auto" w:fill="FFFFFF" w:themeFill="background1"/>
      </w:tcPr>
    </w:tblStylePr>
    <w:tblStylePr w:type="lastCol">
      <w:tblPr/>
      <w:tcPr>
        <w:tcBorders>
          <w:top w:val="nil"/>
          <w:left w:val="single" w:sz="8" w:space="0" w:color="333E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FD7" w:themeFill="accent4" w:themeFillTint="3F"/>
      </w:tcPr>
    </w:tblStylePr>
    <w:tblStylePr w:type="band1Horz">
      <w:tblPr/>
      <w:tcPr>
        <w:tcBorders>
          <w:top w:val="nil"/>
          <w:bottom w:val="nil"/>
          <w:insideH w:val="nil"/>
          <w:insideV w:val="nil"/>
        </w:tcBorders>
        <w:shd w:val="clear" w:color="auto" w:fill="C7CF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tblBorders>
    </w:tblPr>
    <w:tblStylePr w:type="firstRow">
      <w:rPr>
        <w:sz w:val="24"/>
        <w:szCs w:val="24"/>
      </w:rPr>
      <w:tblPr/>
      <w:tcPr>
        <w:tcBorders>
          <w:top w:val="nil"/>
          <w:left w:val="nil"/>
          <w:bottom w:val="single" w:sz="24" w:space="0" w:color="D9D9D6" w:themeColor="accent5"/>
          <w:right w:val="nil"/>
          <w:insideH w:val="nil"/>
          <w:insideV w:val="nil"/>
        </w:tcBorders>
        <w:shd w:val="clear" w:color="auto" w:fill="FFFFFF" w:themeFill="background1"/>
      </w:tcPr>
    </w:tblStylePr>
    <w:tblStylePr w:type="lastRow">
      <w:tblPr/>
      <w:tcPr>
        <w:tcBorders>
          <w:top w:val="single" w:sz="8" w:space="0" w:color="D9D9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D9D6" w:themeColor="accent5"/>
          <w:insideH w:val="nil"/>
          <w:insideV w:val="nil"/>
        </w:tcBorders>
        <w:shd w:val="clear" w:color="auto" w:fill="FFFFFF" w:themeFill="background1"/>
      </w:tcPr>
    </w:tblStylePr>
    <w:tblStylePr w:type="lastCol">
      <w:tblPr/>
      <w:tcPr>
        <w:tcBorders>
          <w:top w:val="nil"/>
          <w:left w:val="single" w:sz="8" w:space="0" w:color="D9D9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4" w:themeFill="accent5" w:themeFillTint="3F"/>
      </w:tcPr>
    </w:tblStylePr>
    <w:tblStylePr w:type="band1Horz">
      <w:tblPr/>
      <w:tcPr>
        <w:tcBorders>
          <w:top w:val="nil"/>
          <w:bottom w:val="nil"/>
          <w:insideH w:val="nil"/>
          <w:insideV w:val="nil"/>
        </w:tcBorders>
        <w:shd w:val="clear" w:color="auto" w:fill="F5F5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079C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tblBorders>
    </w:tblPr>
    <w:tblStylePr w:type="firstRow">
      <w:rPr>
        <w:sz w:val="24"/>
        <w:szCs w:val="24"/>
      </w:rPr>
      <w:tblPr/>
      <w:tcPr>
        <w:tcBorders>
          <w:top w:val="nil"/>
          <w:left w:val="nil"/>
          <w:bottom w:val="single" w:sz="24" w:space="0" w:color="EFECEA" w:themeColor="accent6"/>
          <w:right w:val="nil"/>
          <w:insideH w:val="nil"/>
          <w:insideV w:val="nil"/>
        </w:tcBorders>
        <w:shd w:val="clear" w:color="auto" w:fill="FFFFFF" w:themeFill="background1"/>
      </w:tcPr>
    </w:tblStylePr>
    <w:tblStylePr w:type="lastRow">
      <w:tblPr/>
      <w:tcPr>
        <w:tcBorders>
          <w:top w:val="single" w:sz="8" w:space="0" w:color="EFECE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ECEA" w:themeColor="accent6"/>
          <w:insideH w:val="nil"/>
          <w:insideV w:val="nil"/>
        </w:tcBorders>
        <w:shd w:val="clear" w:color="auto" w:fill="FFFFFF" w:themeFill="background1"/>
      </w:tcPr>
    </w:tblStylePr>
    <w:tblStylePr w:type="lastCol">
      <w:tblPr/>
      <w:tcPr>
        <w:tcBorders>
          <w:top w:val="nil"/>
          <w:left w:val="single" w:sz="8" w:space="0" w:color="EFECE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AF9" w:themeFill="accent6" w:themeFillTint="3F"/>
      </w:tcPr>
    </w:tblStylePr>
    <w:tblStylePr w:type="band1Horz">
      <w:tblPr/>
      <w:tcPr>
        <w:tcBorders>
          <w:top w:val="nil"/>
          <w:bottom w:val="nil"/>
          <w:insideH w:val="nil"/>
          <w:insideV w:val="nil"/>
        </w:tcBorders>
        <w:shd w:val="clear" w:color="auto" w:fill="FBFA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079C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079C8"/>
    <w:pPr>
      <w:spacing w:line="240" w:lineRule="auto"/>
    </w:pPr>
    <w:tblPr>
      <w:tblStyleRowBandSize w:val="1"/>
      <w:tblStyleColBandSize w:val="1"/>
      <w:tbl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single" w:sz="8" w:space="0" w:color="FA706B" w:themeColor="accent1" w:themeTint="BF"/>
      </w:tblBorders>
    </w:tblPr>
    <w:tblStylePr w:type="firstRow">
      <w:pPr>
        <w:spacing w:before="0" w:after="0" w:line="240" w:lineRule="auto"/>
      </w:pPr>
      <w:rPr>
        <w:b/>
        <w:bCs/>
        <w:color w:val="FFFFFF" w:themeColor="background1"/>
      </w:rPr>
      <w:tblPr/>
      <w:tcPr>
        <w:tc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nil"/>
          <w:insideV w:val="nil"/>
        </w:tcBorders>
        <w:shd w:val="clear" w:color="auto" w:fill="F9423A" w:themeFill="accent1"/>
      </w:tcPr>
    </w:tblStylePr>
    <w:tblStylePr w:type="lastRow">
      <w:pPr>
        <w:spacing w:before="0" w:after="0" w:line="240" w:lineRule="auto"/>
      </w:pPr>
      <w:rPr>
        <w:b/>
        <w:bCs/>
      </w:rPr>
      <w:tblPr/>
      <w:tcPr>
        <w:tcBorders>
          <w:top w:val="double" w:sz="6"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CFCE" w:themeFill="accent1" w:themeFillTint="3F"/>
      </w:tcPr>
    </w:tblStylePr>
    <w:tblStylePr w:type="band1Horz">
      <w:tblPr/>
      <w:tcPr>
        <w:tcBorders>
          <w:insideH w:val="nil"/>
          <w:insideV w:val="nil"/>
        </w:tcBorders>
        <w:shd w:val="clear" w:color="auto" w:fill="FDCF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079C8"/>
    <w:pPr>
      <w:spacing w:line="240" w:lineRule="auto"/>
    </w:pPr>
    <w:tblPr>
      <w:tblStyleRowBandSize w:val="1"/>
      <w:tblStyleColBandSize w:val="1"/>
      <w:tbl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single" w:sz="8" w:space="0" w:color="E1ECF3" w:themeColor="accent2" w:themeTint="BF"/>
      </w:tblBorders>
    </w:tblPr>
    <w:tblStylePr w:type="firstRow">
      <w:pPr>
        <w:spacing w:before="0" w:after="0" w:line="240" w:lineRule="auto"/>
      </w:pPr>
      <w:rPr>
        <w:b/>
        <w:bCs/>
        <w:color w:val="FFFFFF" w:themeColor="background1"/>
      </w:rPr>
      <w:tblPr/>
      <w:tcPr>
        <w:tc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nil"/>
          <w:insideV w:val="nil"/>
        </w:tcBorders>
        <w:shd w:val="clear" w:color="auto" w:fill="D8E6F0" w:themeFill="accent2"/>
      </w:tcPr>
    </w:tblStylePr>
    <w:tblStylePr w:type="lastRow">
      <w:pPr>
        <w:spacing w:before="0" w:after="0" w:line="240" w:lineRule="auto"/>
      </w:pPr>
      <w:rPr>
        <w:b/>
        <w:bCs/>
      </w:rPr>
      <w:tblPr/>
      <w:tcPr>
        <w:tcBorders>
          <w:top w:val="double" w:sz="6"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5F8FB" w:themeFill="accent2" w:themeFillTint="3F"/>
      </w:tcPr>
    </w:tblStylePr>
    <w:tblStylePr w:type="band1Horz">
      <w:tblPr/>
      <w:tcPr>
        <w:tcBorders>
          <w:insideH w:val="nil"/>
          <w:insideV w:val="nil"/>
        </w:tcBorders>
        <w:shd w:val="clear" w:color="auto" w:fill="F5F8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079C8"/>
    <w:pPr>
      <w:spacing w:line="240" w:lineRule="auto"/>
    </w:pPr>
    <w:tblPr>
      <w:tblStyleRowBandSize w:val="1"/>
      <w:tblStyleColBandSize w:val="1"/>
      <w:tbl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single" w:sz="8" w:space="0" w:color="4B5C6B" w:themeColor="accent3" w:themeTint="BF"/>
      </w:tblBorders>
    </w:tblPr>
    <w:tblStylePr w:type="firstRow">
      <w:pPr>
        <w:spacing w:before="0" w:after="0" w:line="240" w:lineRule="auto"/>
      </w:pPr>
      <w:rPr>
        <w:b/>
        <w:bCs/>
        <w:color w:val="FFFFFF" w:themeColor="background1"/>
      </w:rPr>
      <w:tblPr/>
      <w:tcPr>
        <w:tc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nil"/>
          <w:insideV w:val="nil"/>
        </w:tcBorders>
        <w:shd w:val="clear" w:color="auto" w:fill="1E252B" w:themeFill="accent3"/>
      </w:tcPr>
    </w:tblStylePr>
    <w:tblStylePr w:type="lastRow">
      <w:pPr>
        <w:spacing w:before="0" w:after="0" w:line="240" w:lineRule="auto"/>
      </w:pPr>
      <w:rPr>
        <w:b/>
        <w:bCs/>
      </w:rPr>
      <w:tblPr/>
      <w:tcPr>
        <w:tcBorders>
          <w:top w:val="double" w:sz="6"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BFC9D2" w:themeFill="accent3" w:themeFillTint="3F"/>
      </w:tcPr>
    </w:tblStylePr>
    <w:tblStylePr w:type="band1Horz">
      <w:tblPr/>
      <w:tcPr>
        <w:tcBorders>
          <w:insideH w:val="nil"/>
          <w:insideV w:val="nil"/>
        </w:tcBorders>
        <w:shd w:val="clear" w:color="auto" w:fill="BFC9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079C8"/>
    <w:pPr>
      <w:spacing w:line="240" w:lineRule="auto"/>
    </w:pPr>
    <w:tblPr>
      <w:tblStyleRowBandSize w:val="1"/>
      <w:tblStyleColBandSize w:val="1"/>
      <w:tbl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single" w:sz="8" w:space="0" w:color="5B6E80" w:themeColor="accent4" w:themeTint="BF"/>
      </w:tblBorders>
    </w:tblPr>
    <w:tblStylePr w:type="firstRow">
      <w:pPr>
        <w:spacing w:before="0" w:after="0" w:line="240" w:lineRule="auto"/>
      </w:pPr>
      <w:rPr>
        <w:b/>
        <w:bCs/>
        <w:color w:val="FFFFFF" w:themeColor="background1"/>
      </w:rPr>
      <w:tblPr/>
      <w:tcPr>
        <w:tc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nil"/>
          <w:insideV w:val="nil"/>
        </w:tcBorders>
        <w:shd w:val="clear" w:color="auto" w:fill="333E48" w:themeFill="accent4"/>
      </w:tcPr>
    </w:tblStylePr>
    <w:tblStylePr w:type="lastRow">
      <w:pPr>
        <w:spacing w:before="0" w:after="0" w:line="240" w:lineRule="auto"/>
      </w:pPr>
      <w:rPr>
        <w:b/>
        <w:bCs/>
      </w:rPr>
      <w:tblPr/>
      <w:tcPr>
        <w:tcBorders>
          <w:top w:val="double" w:sz="6"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7CFD7" w:themeFill="accent4" w:themeFillTint="3F"/>
      </w:tcPr>
    </w:tblStylePr>
    <w:tblStylePr w:type="band1Horz">
      <w:tblPr/>
      <w:tcPr>
        <w:tcBorders>
          <w:insideH w:val="nil"/>
          <w:insideV w:val="nil"/>
        </w:tcBorders>
        <w:shd w:val="clear" w:color="auto" w:fill="C7CFD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079C8"/>
    <w:pPr>
      <w:spacing w:line="240" w:lineRule="auto"/>
    </w:pPr>
    <w:tblPr>
      <w:tblStyleRowBandSize w:val="1"/>
      <w:tblStyleColBandSize w:val="1"/>
      <w:tbl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single" w:sz="8" w:space="0" w:color="E2E2E0" w:themeColor="accent5" w:themeTint="BF"/>
      </w:tblBorders>
    </w:tblPr>
    <w:tblStylePr w:type="firstRow">
      <w:pPr>
        <w:spacing w:before="0" w:after="0" w:line="240" w:lineRule="auto"/>
      </w:pPr>
      <w:rPr>
        <w:b/>
        <w:bCs/>
        <w:color w:val="FFFFFF" w:themeColor="background1"/>
      </w:rPr>
      <w:tblPr/>
      <w:tcPr>
        <w:tc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nil"/>
          <w:insideV w:val="nil"/>
        </w:tcBorders>
        <w:shd w:val="clear" w:color="auto" w:fill="D9D9D6" w:themeFill="accent5"/>
      </w:tcPr>
    </w:tblStylePr>
    <w:tblStylePr w:type="lastRow">
      <w:pPr>
        <w:spacing w:before="0" w:after="0" w:line="240" w:lineRule="auto"/>
      </w:pPr>
      <w:rPr>
        <w:b/>
        <w:bCs/>
      </w:rPr>
      <w:tblPr/>
      <w:tcPr>
        <w:tcBorders>
          <w:top w:val="double" w:sz="6"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5F4" w:themeFill="accent5" w:themeFillTint="3F"/>
      </w:tcPr>
    </w:tblStylePr>
    <w:tblStylePr w:type="band1Horz">
      <w:tblPr/>
      <w:tcPr>
        <w:tcBorders>
          <w:insideH w:val="nil"/>
          <w:insideV w:val="nil"/>
        </w:tcBorders>
        <w:shd w:val="clear" w:color="auto" w:fill="F5F5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079C8"/>
    <w:pPr>
      <w:spacing w:line="240" w:lineRule="auto"/>
    </w:pPr>
    <w:tblPr>
      <w:tblStyleRowBandSize w:val="1"/>
      <w:tblStyleColBandSize w:val="1"/>
      <w:tblBorders>
        <w:top w:val="single" w:sz="8"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single" w:sz="8" w:space="0" w:color="F3F0EF" w:themeColor="accent6" w:themeTint="BF"/>
      </w:tblBorders>
    </w:tblPr>
    <w:tblStylePr w:type="firstRow">
      <w:pPr>
        <w:spacing w:before="0" w:after="0" w:line="240" w:lineRule="auto"/>
      </w:pPr>
      <w:rPr>
        <w:b/>
        <w:bCs/>
        <w:color w:val="FFFFFF" w:themeColor="background1"/>
      </w:rPr>
      <w:tblPr/>
      <w:tcPr>
        <w:tcBorders>
          <w:top w:val="single" w:sz="8"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nil"/>
          <w:insideV w:val="nil"/>
        </w:tcBorders>
        <w:shd w:val="clear" w:color="auto" w:fill="EFECEA" w:themeFill="accent6"/>
      </w:tcPr>
    </w:tblStylePr>
    <w:tblStylePr w:type="lastRow">
      <w:pPr>
        <w:spacing w:before="0" w:after="0" w:line="240" w:lineRule="auto"/>
      </w:pPr>
      <w:rPr>
        <w:b/>
        <w:bCs/>
      </w:rPr>
      <w:tblPr/>
      <w:tcPr>
        <w:tcBorders>
          <w:top w:val="double" w:sz="6"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FAF9" w:themeFill="accent6" w:themeFillTint="3F"/>
      </w:tcPr>
    </w:tblStylePr>
    <w:tblStylePr w:type="band1Horz">
      <w:tblPr/>
      <w:tcPr>
        <w:tcBorders>
          <w:insideH w:val="nil"/>
          <w:insideV w:val="nil"/>
        </w:tcBorders>
        <w:shd w:val="clear" w:color="auto" w:fill="FBFAF9"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semiHidden/>
    <w:unhideWhenUsed/>
    <w:rsid w:val="007079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423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423A" w:themeFill="accent1"/>
      </w:tcPr>
    </w:tblStylePr>
    <w:tblStylePr w:type="lastCol">
      <w:rPr>
        <w:b/>
        <w:bCs/>
        <w:color w:val="FFFFFF" w:themeColor="background1"/>
      </w:rPr>
      <w:tblPr/>
      <w:tcPr>
        <w:tcBorders>
          <w:left w:val="nil"/>
          <w:right w:val="nil"/>
          <w:insideH w:val="nil"/>
          <w:insideV w:val="nil"/>
        </w:tcBorders>
        <w:shd w:val="clear" w:color="auto" w:fill="F9423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079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E6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E6F0" w:themeFill="accent2"/>
      </w:tcPr>
    </w:tblStylePr>
    <w:tblStylePr w:type="lastCol">
      <w:rPr>
        <w:b/>
        <w:bCs/>
        <w:color w:val="FFFFFF" w:themeColor="background1"/>
      </w:rPr>
      <w:tblPr/>
      <w:tcPr>
        <w:tcBorders>
          <w:left w:val="nil"/>
          <w:right w:val="nil"/>
          <w:insideH w:val="nil"/>
          <w:insideV w:val="nil"/>
        </w:tcBorders>
        <w:shd w:val="clear" w:color="auto" w:fill="D8E6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079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252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252B" w:themeFill="accent3"/>
      </w:tcPr>
    </w:tblStylePr>
    <w:tblStylePr w:type="lastCol">
      <w:rPr>
        <w:b/>
        <w:bCs/>
        <w:color w:val="FFFFFF" w:themeColor="background1"/>
      </w:rPr>
      <w:tblPr/>
      <w:tcPr>
        <w:tcBorders>
          <w:left w:val="nil"/>
          <w:right w:val="nil"/>
          <w:insideH w:val="nil"/>
          <w:insideV w:val="nil"/>
        </w:tcBorders>
        <w:shd w:val="clear" w:color="auto" w:fill="1E252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079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E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E48" w:themeFill="accent4"/>
      </w:tcPr>
    </w:tblStylePr>
    <w:tblStylePr w:type="lastCol">
      <w:rPr>
        <w:b/>
        <w:bCs/>
        <w:color w:val="FFFFFF" w:themeColor="background1"/>
      </w:rPr>
      <w:tblPr/>
      <w:tcPr>
        <w:tcBorders>
          <w:left w:val="nil"/>
          <w:right w:val="nil"/>
          <w:insideH w:val="nil"/>
          <w:insideV w:val="nil"/>
        </w:tcBorders>
        <w:shd w:val="clear" w:color="auto" w:fill="333E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079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D9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D9D6" w:themeFill="accent5"/>
      </w:tcPr>
    </w:tblStylePr>
    <w:tblStylePr w:type="lastCol">
      <w:rPr>
        <w:b/>
        <w:bCs/>
        <w:color w:val="FFFFFF" w:themeColor="background1"/>
      </w:rPr>
      <w:tblPr/>
      <w:tcPr>
        <w:tcBorders>
          <w:left w:val="nil"/>
          <w:right w:val="nil"/>
          <w:insideH w:val="nil"/>
          <w:insideV w:val="nil"/>
        </w:tcBorders>
        <w:shd w:val="clear" w:color="auto" w:fill="D9D9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079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ECE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ECEA" w:themeFill="accent6"/>
      </w:tcPr>
    </w:tblStylePr>
    <w:tblStylePr w:type="lastCol">
      <w:rPr>
        <w:b/>
        <w:bCs/>
        <w:color w:val="FFFFFF" w:themeColor="background1"/>
      </w:rPr>
      <w:tblPr/>
      <w:tcPr>
        <w:tcBorders>
          <w:left w:val="nil"/>
          <w:right w:val="nil"/>
          <w:insideH w:val="nil"/>
          <w:insideV w:val="nil"/>
        </w:tcBorders>
        <w:shd w:val="clear" w:color="auto" w:fill="EFECE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Indent">
    <w:name w:val="Normal Indent"/>
    <w:basedOn w:val="Normal"/>
    <w:uiPriority w:val="49"/>
    <w:semiHidden/>
    <w:unhideWhenUsed/>
    <w:rsid w:val="007079C8"/>
    <w:pPr>
      <w:ind w:left="720"/>
    </w:pPr>
  </w:style>
  <w:style w:type="character" w:styleId="PageNumber">
    <w:name w:val="page number"/>
    <w:basedOn w:val="DefaultParagraphFont"/>
    <w:semiHidden/>
    <w:unhideWhenUsed/>
    <w:rsid w:val="007079C8"/>
  </w:style>
  <w:style w:type="table" w:styleId="PlainTable1">
    <w:name w:val="Plain Table 1"/>
    <w:basedOn w:val="TableNormal"/>
    <w:uiPriority w:val="41"/>
    <w:rsid w:val="007079C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079C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079C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079C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079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ubtleReference">
    <w:name w:val="Subtle Reference"/>
    <w:basedOn w:val="DefaultParagraphFont"/>
    <w:rsid w:val="007079C8"/>
    <w:rPr>
      <w:smallCaps/>
      <w:color w:val="5A5A5A" w:themeColor="text1" w:themeTint="A5"/>
    </w:rPr>
  </w:style>
  <w:style w:type="table" w:styleId="Table3Deffects1">
    <w:name w:val="Table 3D effects 1"/>
    <w:basedOn w:val="TableNormal"/>
    <w:uiPriority w:val="99"/>
    <w:semiHidden/>
    <w:unhideWhenUsed/>
    <w:rsid w:val="007079C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079C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079C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079C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079C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079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079C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079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079C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079C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079C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079C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079C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079C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079C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079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079C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079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079C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079C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079C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079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079C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079C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079C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079C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079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079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079C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079C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079C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079C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079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079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7079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079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079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079C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079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079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07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079C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079C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079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unhideWhenUsed/>
    <w:rsid w:val="001B08A3"/>
    <w:rPr>
      <w:color w:val="605E5C"/>
      <w:shd w:val="clear" w:color="auto" w:fill="E1DFDD"/>
    </w:rPr>
  </w:style>
  <w:style w:type="paragraph" w:customStyle="1" w:styleId="paragraph">
    <w:name w:val="paragraph"/>
    <w:basedOn w:val="Normal"/>
    <w:rsid w:val="00990BC9"/>
    <w:pPr>
      <w:spacing w:before="100" w:beforeAutospacing="1" w:after="100" w:afterAutospacing="1" w:line="240" w:lineRule="auto"/>
    </w:pPr>
    <w:rPr>
      <w:rFonts w:ascii="Times New Roman" w:hAnsi="Times New Roman"/>
      <w:sz w:val="24"/>
      <w:szCs w:val="24"/>
      <w:lang w:val="en-US"/>
    </w:rPr>
  </w:style>
  <w:style w:type="character" w:customStyle="1" w:styleId="normaltextrun">
    <w:name w:val="normaltextrun"/>
    <w:basedOn w:val="DefaultParagraphFont"/>
    <w:rsid w:val="00990BC9"/>
  </w:style>
  <w:style w:type="character" w:customStyle="1" w:styleId="eop">
    <w:name w:val="eop"/>
    <w:basedOn w:val="DefaultParagraphFont"/>
    <w:rsid w:val="00990BC9"/>
  </w:style>
  <w:style w:type="paragraph" w:styleId="Revision">
    <w:name w:val="Revision"/>
    <w:hidden/>
    <w:uiPriority w:val="99"/>
    <w:semiHidden/>
    <w:rsid w:val="004D47F3"/>
    <w:pPr>
      <w:spacing w:line="240" w:lineRule="auto"/>
    </w:pPr>
    <w:rPr>
      <w:lang w:val="en-AU"/>
    </w:rPr>
  </w:style>
  <w:style w:type="character" w:customStyle="1" w:styleId="Mention1">
    <w:name w:val="Mention1"/>
    <w:basedOn w:val="DefaultParagraphFont"/>
    <w:uiPriority w:val="99"/>
    <w:unhideWhenUsed/>
    <w:rsid w:val="008F4E65"/>
    <w:rPr>
      <w:color w:val="2B579A"/>
      <w:shd w:val="clear" w:color="auto" w:fill="E1DFDD"/>
    </w:rPr>
  </w:style>
  <w:style w:type="character" w:customStyle="1" w:styleId="sts-label">
    <w:name w:val="sts-label"/>
    <w:basedOn w:val="DefaultParagraphFont"/>
    <w:rsid w:val="000E3F7E"/>
  </w:style>
  <w:style w:type="character" w:customStyle="1" w:styleId="TableTextChar">
    <w:name w:val="Table Text Char"/>
    <w:basedOn w:val="DefaultParagraphFont"/>
    <w:link w:val="TableText"/>
    <w:rsid w:val="00E35104"/>
    <w:rPr>
      <w:rFonts w:cs="Arial"/>
      <w:szCs w:val="22"/>
      <w:lang w:val="en-AU"/>
    </w:rPr>
  </w:style>
  <w:style w:type="character" w:customStyle="1" w:styleId="CaptionChar">
    <w:name w:val="Caption Char"/>
    <w:aliases w:val="Figure/Table Char"/>
    <w:basedOn w:val="DefaultParagraphFont"/>
    <w:link w:val="Caption"/>
    <w:qFormat/>
    <w:locked/>
    <w:rsid w:val="00600B02"/>
    <w:rPr>
      <w:rFonts w:asciiTheme="majorHAnsi" w:eastAsiaTheme="minorHAnsi" w:hAnsiTheme="majorHAnsi" w:cstheme="minorBidi"/>
      <w:bCs/>
      <w:color w:val="F9423A" w:themeColor="text2"/>
      <w:sz w:val="18"/>
      <w:lang w:val="en-AU" w:eastAsia="fr-CA"/>
    </w:rPr>
  </w:style>
  <w:style w:type="paragraph" w:customStyle="1" w:styleId="CaptionDescriptiveRight">
    <w:name w:val="Caption Descriptive Right"/>
    <w:basedOn w:val="Normal"/>
    <w:rsid w:val="002F056A"/>
    <w:pPr>
      <w:spacing w:after="60" w:line="200" w:lineRule="atLeast"/>
      <w:jc w:val="right"/>
    </w:pPr>
    <w:rPr>
      <w:i/>
      <w:sz w:val="16"/>
    </w:rPr>
  </w:style>
  <w:style w:type="character" w:customStyle="1" w:styleId="UnresolvedMention2">
    <w:name w:val="Unresolved Mention2"/>
    <w:basedOn w:val="DefaultParagraphFont"/>
    <w:uiPriority w:val="99"/>
    <w:unhideWhenUsed/>
    <w:rsid w:val="001040ED"/>
    <w:rPr>
      <w:color w:val="605E5C"/>
      <w:shd w:val="clear" w:color="auto" w:fill="E1DFDD"/>
    </w:rPr>
  </w:style>
  <w:style w:type="character" w:customStyle="1" w:styleId="Mention2">
    <w:name w:val="Mention2"/>
    <w:basedOn w:val="DefaultParagraphFont"/>
    <w:uiPriority w:val="99"/>
    <w:unhideWhenUsed/>
    <w:rsid w:val="001040ED"/>
    <w:rPr>
      <w:color w:val="2B579A"/>
      <w:shd w:val="clear" w:color="auto" w:fill="E1DFDD"/>
    </w:rPr>
  </w:style>
  <w:style w:type="character" w:styleId="UnresolvedMention">
    <w:name w:val="Unresolved Mention"/>
    <w:basedOn w:val="DefaultParagraphFont"/>
    <w:uiPriority w:val="99"/>
    <w:unhideWhenUsed/>
    <w:rsid w:val="00BB1C6B"/>
    <w:rPr>
      <w:color w:val="605E5C"/>
      <w:shd w:val="clear" w:color="auto" w:fill="E1DFDD"/>
    </w:rPr>
  </w:style>
  <w:style w:type="character" w:styleId="Mention">
    <w:name w:val="Mention"/>
    <w:basedOn w:val="DefaultParagraphFont"/>
    <w:uiPriority w:val="99"/>
    <w:unhideWhenUsed/>
    <w:rsid w:val="00D51F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7546">
      <w:bodyDiv w:val="1"/>
      <w:marLeft w:val="0"/>
      <w:marRight w:val="0"/>
      <w:marTop w:val="0"/>
      <w:marBottom w:val="0"/>
      <w:divBdr>
        <w:top w:val="none" w:sz="0" w:space="0" w:color="auto"/>
        <w:left w:val="none" w:sz="0" w:space="0" w:color="auto"/>
        <w:bottom w:val="none" w:sz="0" w:space="0" w:color="auto"/>
        <w:right w:val="none" w:sz="0" w:space="0" w:color="auto"/>
      </w:divBdr>
    </w:div>
    <w:div w:id="6449173">
      <w:bodyDiv w:val="1"/>
      <w:marLeft w:val="0"/>
      <w:marRight w:val="0"/>
      <w:marTop w:val="0"/>
      <w:marBottom w:val="0"/>
      <w:divBdr>
        <w:top w:val="none" w:sz="0" w:space="0" w:color="auto"/>
        <w:left w:val="none" w:sz="0" w:space="0" w:color="auto"/>
        <w:bottom w:val="none" w:sz="0" w:space="0" w:color="auto"/>
        <w:right w:val="none" w:sz="0" w:space="0" w:color="auto"/>
      </w:divBdr>
    </w:div>
    <w:div w:id="9110042">
      <w:bodyDiv w:val="1"/>
      <w:marLeft w:val="0"/>
      <w:marRight w:val="0"/>
      <w:marTop w:val="0"/>
      <w:marBottom w:val="0"/>
      <w:divBdr>
        <w:top w:val="none" w:sz="0" w:space="0" w:color="auto"/>
        <w:left w:val="none" w:sz="0" w:space="0" w:color="auto"/>
        <w:bottom w:val="none" w:sz="0" w:space="0" w:color="auto"/>
        <w:right w:val="none" w:sz="0" w:space="0" w:color="auto"/>
      </w:divBdr>
    </w:div>
    <w:div w:id="9188223">
      <w:bodyDiv w:val="1"/>
      <w:marLeft w:val="0"/>
      <w:marRight w:val="0"/>
      <w:marTop w:val="0"/>
      <w:marBottom w:val="0"/>
      <w:divBdr>
        <w:top w:val="none" w:sz="0" w:space="0" w:color="auto"/>
        <w:left w:val="none" w:sz="0" w:space="0" w:color="auto"/>
        <w:bottom w:val="none" w:sz="0" w:space="0" w:color="auto"/>
        <w:right w:val="none" w:sz="0" w:space="0" w:color="auto"/>
      </w:divBdr>
    </w:div>
    <w:div w:id="12076172">
      <w:bodyDiv w:val="1"/>
      <w:marLeft w:val="0"/>
      <w:marRight w:val="0"/>
      <w:marTop w:val="0"/>
      <w:marBottom w:val="0"/>
      <w:divBdr>
        <w:top w:val="none" w:sz="0" w:space="0" w:color="auto"/>
        <w:left w:val="none" w:sz="0" w:space="0" w:color="auto"/>
        <w:bottom w:val="none" w:sz="0" w:space="0" w:color="auto"/>
        <w:right w:val="none" w:sz="0" w:space="0" w:color="auto"/>
      </w:divBdr>
    </w:div>
    <w:div w:id="15348477">
      <w:bodyDiv w:val="1"/>
      <w:marLeft w:val="0"/>
      <w:marRight w:val="0"/>
      <w:marTop w:val="0"/>
      <w:marBottom w:val="0"/>
      <w:divBdr>
        <w:top w:val="none" w:sz="0" w:space="0" w:color="auto"/>
        <w:left w:val="none" w:sz="0" w:space="0" w:color="auto"/>
        <w:bottom w:val="none" w:sz="0" w:space="0" w:color="auto"/>
        <w:right w:val="none" w:sz="0" w:space="0" w:color="auto"/>
      </w:divBdr>
    </w:div>
    <w:div w:id="16784689">
      <w:bodyDiv w:val="1"/>
      <w:marLeft w:val="0"/>
      <w:marRight w:val="0"/>
      <w:marTop w:val="0"/>
      <w:marBottom w:val="0"/>
      <w:divBdr>
        <w:top w:val="none" w:sz="0" w:space="0" w:color="auto"/>
        <w:left w:val="none" w:sz="0" w:space="0" w:color="auto"/>
        <w:bottom w:val="none" w:sz="0" w:space="0" w:color="auto"/>
        <w:right w:val="none" w:sz="0" w:space="0" w:color="auto"/>
      </w:divBdr>
    </w:div>
    <w:div w:id="19553773">
      <w:bodyDiv w:val="1"/>
      <w:marLeft w:val="0"/>
      <w:marRight w:val="0"/>
      <w:marTop w:val="0"/>
      <w:marBottom w:val="0"/>
      <w:divBdr>
        <w:top w:val="none" w:sz="0" w:space="0" w:color="auto"/>
        <w:left w:val="none" w:sz="0" w:space="0" w:color="auto"/>
        <w:bottom w:val="none" w:sz="0" w:space="0" w:color="auto"/>
        <w:right w:val="none" w:sz="0" w:space="0" w:color="auto"/>
      </w:divBdr>
    </w:div>
    <w:div w:id="21322197">
      <w:bodyDiv w:val="1"/>
      <w:marLeft w:val="0"/>
      <w:marRight w:val="0"/>
      <w:marTop w:val="0"/>
      <w:marBottom w:val="0"/>
      <w:divBdr>
        <w:top w:val="none" w:sz="0" w:space="0" w:color="auto"/>
        <w:left w:val="none" w:sz="0" w:space="0" w:color="auto"/>
        <w:bottom w:val="none" w:sz="0" w:space="0" w:color="auto"/>
        <w:right w:val="none" w:sz="0" w:space="0" w:color="auto"/>
      </w:divBdr>
    </w:div>
    <w:div w:id="22903427">
      <w:bodyDiv w:val="1"/>
      <w:marLeft w:val="0"/>
      <w:marRight w:val="0"/>
      <w:marTop w:val="0"/>
      <w:marBottom w:val="0"/>
      <w:divBdr>
        <w:top w:val="none" w:sz="0" w:space="0" w:color="auto"/>
        <w:left w:val="none" w:sz="0" w:space="0" w:color="auto"/>
        <w:bottom w:val="none" w:sz="0" w:space="0" w:color="auto"/>
        <w:right w:val="none" w:sz="0" w:space="0" w:color="auto"/>
      </w:divBdr>
    </w:div>
    <w:div w:id="23753600">
      <w:bodyDiv w:val="1"/>
      <w:marLeft w:val="0"/>
      <w:marRight w:val="0"/>
      <w:marTop w:val="0"/>
      <w:marBottom w:val="0"/>
      <w:divBdr>
        <w:top w:val="none" w:sz="0" w:space="0" w:color="auto"/>
        <w:left w:val="none" w:sz="0" w:space="0" w:color="auto"/>
        <w:bottom w:val="none" w:sz="0" w:space="0" w:color="auto"/>
        <w:right w:val="none" w:sz="0" w:space="0" w:color="auto"/>
      </w:divBdr>
    </w:div>
    <w:div w:id="28839040">
      <w:bodyDiv w:val="1"/>
      <w:marLeft w:val="0"/>
      <w:marRight w:val="0"/>
      <w:marTop w:val="0"/>
      <w:marBottom w:val="0"/>
      <w:divBdr>
        <w:top w:val="none" w:sz="0" w:space="0" w:color="auto"/>
        <w:left w:val="none" w:sz="0" w:space="0" w:color="auto"/>
        <w:bottom w:val="none" w:sz="0" w:space="0" w:color="auto"/>
        <w:right w:val="none" w:sz="0" w:space="0" w:color="auto"/>
      </w:divBdr>
    </w:div>
    <w:div w:id="29843306">
      <w:bodyDiv w:val="1"/>
      <w:marLeft w:val="0"/>
      <w:marRight w:val="0"/>
      <w:marTop w:val="0"/>
      <w:marBottom w:val="0"/>
      <w:divBdr>
        <w:top w:val="none" w:sz="0" w:space="0" w:color="auto"/>
        <w:left w:val="none" w:sz="0" w:space="0" w:color="auto"/>
        <w:bottom w:val="none" w:sz="0" w:space="0" w:color="auto"/>
        <w:right w:val="none" w:sz="0" w:space="0" w:color="auto"/>
      </w:divBdr>
    </w:div>
    <w:div w:id="31733178">
      <w:bodyDiv w:val="1"/>
      <w:marLeft w:val="0"/>
      <w:marRight w:val="0"/>
      <w:marTop w:val="0"/>
      <w:marBottom w:val="0"/>
      <w:divBdr>
        <w:top w:val="none" w:sz="0" w:space="0" w:color="auto"/>
        <w:left w:val="none" w:sz="0" w:space="0" w:color="auto"/>
        <w:bottom w:val="none" w:sz="0" w:space="0" w:color="auto"/>
        <w:right w:val="none" w:sz="0" w:space="0" w:color="auto"/>
      </w:divBdr>
    </w:div>
    <w:div w:id="32270865">
      <w:bodyDiv w:val="1"/>
      <w:marLeft w:val="0"/>
      <w:marRight w:val="0"/>
      <w:marTop w:val="0"/>
      <w:marBottom w:val="0"/>
      <w:divBdr>
        <w:top w:val="none" w:sz="0" w:space="0" w:color="auto"/>
        <w:left w:val="none" w:sz="0" w:space="0" w:color="auto"/>
        <w:bottom w:val="none" w:sz="0" w:space="0" w:color="auto"/>
        <w:right w:val="none" w:sz="0" w:space="0" w:color="auto"/>
      </w:divBdr>
    </w:div>
    <w:div w:id="34936645">
      <w:bodyDiv w:val="1"/>
      <w:marLeft w:val="0"/>
      <w:marRight w:val="0"/>
      <w:marTop w:val="0"/>
      <w:marBottom w:val="0"/>
      <w:divBdr>
        <w:top w:val="none" w:sz="0" w:space="0" w:color="auto"/>
        <w:left w:val="none" w:sz="0" w:space="0" w:color="auto"/>
        <w:bottom w:val="none" w:sz="0" w:space="0" w:color="auto"/>
        <w:right w:val="none" w:sz="0" w:space="0" w:color="auto"/>
      </w:divBdr>
    </w:div>
    <w:div w:id="36661164">
      <w:bodyDiv w:val="1"/>
      <w:marLeft w:val="0"/>
      <w:marRight w:val="0"/>
      <w:marTop w:val="0"/>
      <w:marBottom w:val="0"/>
      <w:divBdr>
        <w:top w:val="none" w:sz="0" w:space="0" w:color="auto"/>
        <w:left w:val="none" w:sz="0" w:space="0" w:color="auto"/>
        <w:bottom w:val="none" w:sz="0" w:space="0" w:color="auto"/>
        <w:right w:val="none" w:sz="0" w:space="0" w:color="auto"/>
      </w:divBdr>
    </w:div>
    <w:div w:id="36855722">
      <w:bodyDiv w:val="1"/>
      <w:marLeft w:val="0"/>
      <w:marRight w:val="0"/>
      <w:marTop w:val="0"/>
      <w:marBottom w:val="0"/>
      <w:divBdr>
        <w:top w:val="none" w:sz="0" w:space="0" w:color="auto"/>
        <w:left w:val="none" w:sz="0" w:space="0" w:color="auto"/>
        <w:bottom w:val="none" w:sz="0" w:space="0" w:color="auto"/>
        <w:right w:val="none" w:sz="0" w:space="0" w:color="auto"/>
      </w:divBdr>
    </w:div>
    <w:div w:id="44333840">
      <w:bodyDiv w:val="1"/>
      <w:marLeft w:val="0"/>
      <w:marRight w:val="0"/>
      <w:marTop w:val="0"/>
      <w:marBottom w:val="0"/>
      <w:divBdr>
        <w:top w:val="none" w:sz="0" w:space="0" w:color="auto"/>
        <w:left w:val="none" w:sz="0" w:space="0" w:color="auto"/>
        <w:bottom w:val="none" w:sz="0" w:space="0" w:color="auto"/>
        <w:right w:val="none" w:sz="0" w:space="0" w:color="auto"/>
      </w:divBdr>
    </w:div>
    <w:div w:id="45685725">
      <w:bodyDiv w:val="1"/>
      <w:marLeft w:val="0"/>
      <w:marRight w:val="0"/>
      <w:marTop w:val="0"/>
      <w:marBottom w:val="0"/>
      <w:divBdr>
        <w:top w:val="none" w:sz="0" w:space="0" w:color="auto"/>
        <w:left w:val="none" w:sz="0" w:space="0" w:color="auto"/>
        <w:bottom w:val="none" w:sz="0" w:space="0" w:color="auto"/>
        <w:right w:val="none" w:sz="0" w:space="0" w:color="auto"/>
      </w:divBdr>
    </w:div>
    <w:div w:id="47151841">
      <w:bodyDiv w:val="1"/>
      <w:marLeft w:val="0"/>
      <w:marRight w:val="0"/>
      <w:marTop w:val="0"/>
      <w:marBottom w:val="0"/>
      <w:divBdr>
        <w:top w:val="none" w:sz="0" w:space="0" w:color="auto"/>
        <w:left w:val="none" w:sz="0" w:space="0" w:color="auto"/>
        <w:bottom w:val="none" w:sz="0" w:space="0" w:color="auto"/>
        <w:right w:val="none" w:sz="0" w:space="0" w:color="auto"/>
      </w:divBdr>
    </w:div>
    <w:div w:id="47530988">
      <w:bodyDiv w:val="1"/>
      <w:marLeft w:val="0"/>
      <w:marRight w:val="0"/>
      <w:marTop w:val="0"/>
      <w:marBottom w:val="0"/>
      <w:divBdr>
        <w:top w:val="none" w:sz="0" w:space="0" w:color="auto"/>
        <w:left w:val="none" w:sz="0" w:space="0" w:color="auto"/>
        <w:bottom w:val="none" w:sz="0" w:space="0" w:color="auto"/>
        <w:right w:val="none" w:sz="0" w:space="0" w:color="auto"/>
      </w:divBdr>
    </w:div>
    <w:div w:id="48001113">
      <w:bodyDiv w:val="1"/>
      <w:marLeft w:val="0"/>
      <w:marRight w:val="0"/>
      <w:marTop w:val="0"/>
      <w:marBottom w:val="0"/>
      <w:divBdr>
        <w:top w:val="none" w:sz="0" w:space="0" w:color="auto"/>
        <w:left w:val="none" w:sz="0" w:space="0" w:color="auto"/>
        <w:bottom w:val="none" w:sz="0" w:space="0" w:color="auto"/>
        <w:right w:val="none" w:sz="0" w:space="0" w:color="auto"/>
      </w:divBdr>
    </w:div>
    <w:div w:id="51782479">
      <w:bodyDiv w:val="1"/>
      <w:marLeft w:val="0"/>
      <w:marRight w:val="0"/>
      <w:marTop w:val="0"/>
      <w:marBottom w:val="0"/>
      <w:divBdr>
        <w:top w:val="none" w:sz="0" w:space="0" w:color="auto"/>
        <w:left w:val="none" w:sz="0" w:space="0" w:color="auto"/>
        <w:bottom w:val="none" w:sz="0" w:space="0" w:color="auto"/>
        <w:right w:val="none" w:sz="0" w:space="0" w:color="auto"/>
      </w:divBdr>
    </w:div>
    <w:div w:id="51972332">
      <w:bodyDiv w:val="1"/>
      <w:marLeft w:val="0"/>
      <w:marRight w:val="0"/>
      <w:marTop w:val="0"/>
      <w:marBottom w:val="0"/>
      <w:divBdr>
        <w:top w:val="none" w:sz="0" w:space="0" w:color="auto"/>
        <w:left w:val="none" w:sz="0" w:space="0" w:color="auto"/>
        <w:bottom w:val="none" w:sz="0" w:space="0" w:color="auto"/>
        <w:right w:val="none" w:sz="0" w:space="0" w:color="auto"/>
      </w:divBdr>
    </w:div>
    <w:div w:id="52897536">
      <w:bodyDiv w:val="1"/>
      <w:marLeft w:val="0"/>
      <w:marRight w:val="0"/>
      <w:marTop w:val="0"/>
      <w:marBottom w:val="0"/>
      <w:divBdr>
        <w:top w:val="none" w:sz="0" w:space="0" w:color="auto"/>
        <w:left w:val="none" w:sz="0" w:space="0" w:color="auto"/>
        <w:bottom w:val="none" w:sz="0" w:space="0" w:color="auto"/>
        <w:right w:val="none" w:sz="0" w:space="0" w:color="auto"/>
      </w:divBdr>
    </w:div>
    <w:div w:id="53093014">
      <w:bodyDiv w:val="1"/>
      <w:marLeft w:val="0"/>
      <w:marRight w:val="0"/>
      <w:marTop w:val="0"/>
      <w:marBottom w:val="0"/>
      <w:divBdr>
        <w:top w:val="none" w:sz="0" w:space="0" w:color="auto"/>
        <w:left w:val="none" w:sz="0" w:space="0" w:color="auto"/>
        <w:bottom w:val="none" w:sz="0" w:space="0" w:color="auto"/>
        <w:right w:val="none" w:sz="0" w:space="0" w:color="auto"/>
      </w:divBdr>
    </w:div>
    <w:div w:id="55393570">
      <w:bodyDiv w:val="1"/>
      <w:marLeft w:val="0"/>
      <w:marRight w:val="0"/>
      <w:marTop w:val="0"/>
      <w:marBottom w:val="0"/>
      <w:divBdr>
        <w:top w:val="none" w:sz="0" w:space="0" w:color="auto"/>
        <w:left w:val="none" w:sz="0" w:space="0" w:color="auto"/>
        <w:bottom w:val="none" w:sz="0" w:space="0" w:color="auto"/>
        <w:right w:val="none" w:sz="0" w:space="0" w:color="auto"/>
      </w:divBdr>
    </w:div>
    <w:div w:id="56830181">
      <w:bodyDiv w:val="1"/>
      <w:marLeft w:val="0"/>
      <w:marRight w:val="0"/>
      <w:marTop w:val="0"/>
      <w:marBottom w:val="0"/>
      <w:divBdr>
        <w:top w:val="none" w:sz="0" w:space="0" w:color="auto"/>
        <w:left w:val="none" w:sz="0" w:space="0" w:color="auto"/>
        <w:bottom w:val="none" w:sz="0" w:space="0" w:color="auto"/>
        <w:right w:val="none" w:sz="0" w:space="0" w:color="auto"/>
      </w:divBdr>
    </w:div>
    <w:div w:id="58484861">
      <w:bodyDiv w:val="1"/>
      <w:marLeft w:val="0"/>
      <w:marRight w:val="0"/>
      <w:marTop w:val="0"/>
      <w:marBottom w:val="0"/>
      <w:divBdr>
        <w:top w:val="none" w:sz="0" w:space="0" w:color="auto"/>
        <w:left w:val="none" w:sz="0" w:space="0" w:color="auto"/>
        <w:bottom w:val="none" w:sz="0" w:space="0" w:color="auto"/>
        <w:right w:val="none" w:sz="0" w:space="0" w:color="auto"/>
      </w:divBdr>
    </w:div>
    <w:div w:id="63921831">
      <w:bodyDiv w:val="1"/>
      <w:marLeft w:val="0"/>
      <w:marRight w:val="0"/>
      <w:marTop w:val="0"/>
      <w:marBottom w:val="0"/>
      <w:divBdr>
        <w:top w:val="none" w:sz="0" w:space="0" w:color="auto"/>
        <w:left w:val="none" w:sz="0" w:space="0" w:color="auto"/>
        <w:bottom w:val="none" w:sz="0" w:space="0" w:color="auto"/>
        <w:right w:val="none" w:sz="0" w:space="0" w:color="auto"/>
      </w:divBdr>
    </w:div>
    <w:div w:id="65881114">
      <w:bodyDiv w:val="1"/>
      <w:marLeft w:val="0"/>
      <w:marRight w:val="0"/>
      <w:marTop w:val="0"/>
      <w:marBottom w:val="0"/>
      <w:divBdr>
        <w:top w:val="none" w:sz="0" w:space="0" w:color="auto"/>
        <w:left w:val="none" w:sz="0" w:space="0" w:color="auto"/>
        <w:bottom w:val="none" w:sz="0" w:space="0" w:color="auto"/>
        <w:right w:val="none" w:sz="0" w:space="0" w:color="auto"/>
      </w:divBdr>
    </w:div>
    <w:div w:id="67115978">
      <w:bodyDiv w:val="1"/>
      <w:marLeft w:val="0"/>
      <w:marRight w:val="0"/>
      <w:marTop w:val="0"/>
      <w:marBottom w:val="0"/>
      <w:divBdr>
        <w:top w:val="none" w:sz="0" w:space="0" w:color="auto"/>
        <w:left w:val="none" w:sz="0" w:space="0" w:color="auto"/>
        <w:bottom w:val="none" w:sz="0" w:space="0" w:color="auto"/>
        <w:right w:val="none" w:sz="0" w:space="0" w:color="auto"/>
      </w:divBdr>
    </w:div>
    <w:div w:id="67727704">
      <w:bodyDiv w:val="1"/>
      <w:marLeft w:val="0"/>
      <w:marRight w:val="0"/>
      <w:marTop w:val="0"/>
      <w:marBottom w:val="0"/>
      <w:divBdr>
        <w:top w:val="none" w:sz="0" w:space="0" w:color="auto"/>
        <w:left w:val="none" w:sz="0" w:space="0" w:color="auto"/>
        <w:bottom w:val="none" w:sz="0" w:space="0" w:color="auto"/>
        <w:right w:val="none" w:sz="0" w:space="0" w:color="auto"/>
      </w:divBdr>
    </w:div>
    <w:div w:id="68189859">
      <w:bodyDiv w:val="1"/>
      <w:marLeft w:val="0"/>
      <w:marRight w:val="0"/>
      <w:marTop w:val="0"/>
      <w:marBottom w:val="0"/>
      <w:divBdr>
        <w:top w:val="none" w:sz="0" w:space="0" w:color="auto"/>
        <w:left w:val="none" w:sz="0" w:space="0" w:color="auto"/>
        <w:bottom w:val="none" w:sz="0" w:space="0" w:color="auto"/>
        <w:right w:val="none" w:sz="0" w:space="0" w:color="auto"/>
      </w:divBdr>
    </w:div>
    <w:div w:id="68581441">
      <w:bodyDiv w:val="1"/>
      <w:marLeft w:val="0"/>
      <w:marRight w:val="0"/>
      <w:marTop w:val="0"/>
      <w:marBottom w:val="0"/>
      <w:divBdr>
        <w:top w:val="none" w:sz="0" w:space="0" w:color="auto"/>
        <w:left w:val="none" w:sz="0" w:space="0" w:color="auto"/>
        <w:bottom w:val="none" w:sz="0" w:space="0" w:color="auto"/>
        <w:right w:val="none" w:sz="0" w:space="0" w:color="auto"/>
      </w:divBdr>
    </w:div>
    <w:div w:id="69695188">
      <w:bodyDiv w:val="1"/>
      <w:marLeft w:val="0"/>
      <w:marRight w:val="0"/>
      <w:marTop w:val="0"/>
      <w:marBottom w:val="0"/>
      <w:divBdr>
        <w:top w:val="none" w:sz="0" w:space="0" w:color="auto"/>
        <w:left w:val="none" w:sz="0" w:space="0" w:color="auto"/>
        <w:bottom w:val="none" w:sz="0" w:space="0" w:color="auto"/>
        <w:right w:val="none" w:sz="0" w:space="0" w:color="auto"/>
      </w:divBdr>
    </w:div>
    <w:div w:id="70665612">
      <w:bodyDiv w:val="1"/>
      <w:marLeft w:val="0"/>
      <w:marRight w:val="0"/>
      <w:marTop w:val="0"/>
      <w:marBottom w:val="0"/>
      <w:divBdr>
        <w:top w:val="none" w:sz="0" w:space="0" w:color="auto"/>
        <w:left w:val="none" w:sz="0" w:space="0" w:color="auto"/>
        <w:bottom w:val="none" w:sz="0" w:space="0" w:color="auto"/>
        <w:right w:val="none" w:sz="0" w:space="0" w:color="auto"/>
      </w:divBdr>
    </w:div>
    <w:div w:id="77941357">
      <w:bodyDiv w:val="1"/>
      <w:marLeft w:val="0"/>
      <w:marRight w:val="0"/>
      <w:marTop w:val="0"/>
      <w:marBottom w:val="0"/>
      <w:divBdr>
        <w:top w:val="none" w:sz="0" w:space="0" w:color="auto"/>
        <w:left w:val="none" w:sz="0" w:space="0" w:color="auto"/>
        <w:bottom w:val="none" w:sz="0" w:space="0" w:color="auto"/>
        <w:right w:val="none" w:sz="0" w:space="0" w:color="auto"/>
      </w:divBdr>
    </w:div>
    <w:div w:id="79913701">
      <w:bodyDiv w:val="1"/>
      <w:marLeft w:val="0"/>
      <w:marRight w:val="0"/>
      <w:marTop w:val="0"/>
      <w:marBottom w:val="0"/>
      <w:divBdr>
        <w:top w:val="none" w:sz="0" w:space="0" w:color="auto"/>
        <w:left w:val="none" w:sz="0" w:space="0" w:color="auto"/>
        <w:bottom w:val="none" w:sz="0" w:space="0" w:color="auto"/>
        <w:right w:val="none" w:sz="0" w:space="0" w:color="auto"/>
      </w:divBdr>
    </w:div>
    <w:div w:id="82918129">
      <w:bodyDiv w:val="1"/>
      <w:marLeft w:val="0"/>
      <w:marRight w:val="0"/>
      <w:marTop w:val="0"/>
      <w:marBottom w:val="0"/>
      <w:divBdr>
        <w:top w:val="none" w:sz="0" w:space="0" w:color="auto"/>
        <w:left w:val="none" w:sz="0" w:space="0" w:color="auto"/>
        <w:bottom w:val="none" w:sz="0" w:space="0" w:color="auto"/>
        <w:right w:val="none" w:sz="0" w:space="0" w:color="auto"/>
      </w:divBdr>
    </w:div>
    <w:div w:id="84349392">
      <w:bodyDiv w:val="1"/>
      <w:marLeft w:val="0"/>
      <w:marRight w:val="0"/>
      <w:marTop w:val="0"/>
      <w:marBottom w:val="0"/>
      <w:divBdr>
        <w:top w:val="none" w:sz="0" w:space="0" w:color="auto"/>
        <w:left w:val="none" w:sz="0" w:space="0" w:color="auto"/>
        <w:bottom w:val="none" w:sz="0" w:space="0" w:color="auto"/>
        <w:right w:val="none" w:sz="0" w:space="0" w:color="auto"/>
      </w:divBdr>
    </w:div>
    <w:div w:id="88163687">
      <w:bodyDiv w:val="1"/>
      <w:marLeft w:val="0"/>
      <w:marRight w:val="0"/>
      <w:marTop w:val="0"/>
      <w:marBottom w:val="0"/>
      <w:divBdr>
        <w:top w:val="none" w:sz="0" w:space="0" w:color="auto"/>
        <w:left w:val="none" w:sz="0" w:space="0" w:color="auto"/>
        <w:bottom w:val="none" w:sz="0" w:space="0" w:color="auto"/>
        <w:right w:val="none" w:sz="0" w:space="0" w:color="auto"/>
      </w:divBdr>
    </w:div>
    <w:div w:id="90862015">
      <w:bodyDiv w:val="1"/>
      <w:marLeft w:val="0"/>
      <w:marRight w:val="0"/>
      <w:marTop w:val="0"/>
      <w:marBottom w:val="0"/>
      <w:divBdr>
        <w:top w:val="none" w:sz="0" w:space="0" w:color="auto"/>
        <w:left w:val="none" w:sz="0" w:space="0" w:color="auto"/>
        <w:bottom w:val="none" w:sz="0" w:space="0" w:color="auto"/>
        <w:right w:val="none" w:sz="0" w:space="0" w:color="auto"/>
      </w:divBdr>
    </w:div>
    <w:div w:id="92282346">
      <w:bodyDiv w:val="1"/>
      <w:marLeft w:val="0"/>
      <w:marRight w:val="0"/>
      <w:marTop w:val="0"/>
      <w:marBottom w:val="0"/>
      <w:divBdr>
        <w:top w:val="none" w:sz="0" w:space="0" w:color="auto"/>
        <w:left w:val="none" w:sz="0" w:space="0" w:color="auto"/>
        <w:bottom w:val="none" w:sz="0" w:space="0" w:color="auto"/>
        <w:right w:val="none" w:sz="0" w:space="0" w:color="auto"/>
      </w:divBdr>
    </w:div>
    <w:div w:id="95949320">
      <w:bodyDiv w:val="1"/>
      <w:marLeft w:val="0"/>
      <w:marRight w:val="0"/>
      <w:marTop w:val="0"/>
      <w:marBottom w:val="0"/>
      <w:divBdr>
        <w:top w:val="none" w:sz="0" w:space="0" w:color="auto"/>
        <w:left w:val="none" w:sz="0" w:space="0" w:color="auto"/>
        <w:bottom w:val="none" w:sz="0" w:space="0" w:color="auto"/>
        <w:right w:val="none" w:sz="0" w:space="0" w:color="auto"/>
      </w:divBdr>
    </w:div>
    <w:div w:id="97331792">
      <w:bodyDiv w:val="1"/>
      <w:marLeft w:val="0"/>
      <w:marRight w:val="0"/>
      <w:marTop w:val="0"/>
      <w:marBottom w:val="0"/>
      <w:divBdr>
        <w:top w:val="none" w:sz="0" w:space="0" w:color="auto"/>
        <w:left w:val="none" w:sz="0" w:space="0" w:color="auto"/>
        <w:bottom w:val="none" w:sz="0" w:space="0" w:color="auto"/>
        <w:right w:val="none" w:sz="0" w:space="0" w:color="auto"/>
      </w:divBdr>
    </w:div>
    <w:div w:id="97602891">
      <w:bodyDiv w:val="1"/>
      <w:marLeft w:val="0"/>
      <w:marRight w:val="0"/>
      <w:marTop w:val="0"/>
      <w:marBottom w:val="0"/>
      <w:divBdr>
        <w:top w:val="none" w:sz="0" w:space="0" w:color="auto"/>
        <w:left w:val="none" w:sz="0" w:space="0" w:color="auto"/>
        <w:bottom w:val="none" w:sz="0" w:space="0" w:color="auto"/>
        <w:right w:val="none" w:sz="0" w:space="0" w:color="auto"/>
      </w:divBdr>
    </w:div>
    <w:div w:id="97869462">
      <w:bodyDiv w:val="1"/>
      <w:marLeft w:val="0"/>
      <w:marRight w:val="0"/>
      <w:marTop w:val="0"/>
      <w:marBottom w:val="0"/>
      <w:divBdr>
        <w:top w:val="none" w:sz="0" w:space="0" w:color="auto"/>
        <w:left w:val="none" w:sz="0" w:space="0" w:color="auto"/>
        <w:bottom w:val="none" w:sz="0" w:space="0" w:color="auto"/>
        <w:right w:val="none" w:sz="0" w:space="0" w:color="auto"/>
      </w:divBdr>
    </w:div>
    <w:div w:id="98641888">
      <w:bodyDiv w:val="1"/>
      <w:marLeft w:val="0"/>
      <w:marRight w:val="0"/>
      <w:marTop w:val="0"/>
      <w:marBottom w:val="0"/>
      <w:divBdr>
        <w:top w:val="none" w:sz="0" w:space="0" w:color="auto"/>
        <w:left w:val="none" w:sz="0" w:space="0" w:color="auto"/>
        <w:bottom w:val="none" w:sz="0" w:space="0" w:color="auto"/>
        <w:right w:val="none" w:sz="0" w:space="0" w:color="auto"/>
      </w:divBdr>
    </w:div>
    <w:div w:id="100416109">
      <w:bodyDiv w:val="1"/>
      <w:marLeft w:val="0"/>
      <w:marRight w:val="0"/>
      <w:marTop w:val="0"/>
      <w:marBottom w:val="0"/>
      <w:divBdr>
        <w:top w:val="none" w:sz="0" w:space="0" w:color="auto"/>
        <w:left w:val="none" w:sz="0" w:space="0" w:color="auto"/>
        <w:bottom w:val="none" w:sz="0" w:space="0" w:color="auto"/>
        <w:right w:val="none" w:sz="0" w:space="0" w:color="auto"/>
      </w:divBdr>
    </w:div>
    <w:div w:id="101732546">
      <w:bodyDiv w:val="1"/>
      <w:marLeft w:val="0"/>
      <w:marRight w:val="0"/>
      <w:marTop w:val="0"/>
      <w:marBottom w:val="0"/>
      <w:divBdr>
        <w:top w:val="none" w:sz="0" w:space="0" w:color="auto"/>
        <w:left w:val="none" w:sz="0" w:space="0" w:color="auto"/>
        <w:bottom w:val="none" w:sz="0" w:space="0" w:color="auto"/>
        <w:right w:val="none" w:sz="0" w:space="0" w:color="auto"/>
      </w:divBdr>
    </w:div>
    <w:div w:id="101848981">
      <w:bodyDiv w:val="1"/>
      <w:marLeft w:val="0"/>
      <w:marRight w:val="0"/>
      <w:marTop w:val="0"/>
      <w:marBottom w:val="0"/>
      <w:divBdr>
        <w:top w:val="none" w:sz="0" w:space="0" w:color="auto"/>
        <w:left w:val="none" w:sz="0" w:space="0" w:color="auto"/>
        <w:bottom w:val="none" w:sz="0" w:space="0" w:color="auto"/>
        <w:right w:val="none" w:sz="0" w:space="0" w:color="auto"/>
      </w:divBdr>
    </w:div>
    <w:div w:id="103234192">
      <w:bodyDiv w:val="1"/>
      <w:marLeft w:val="0"/>
      <w:marRight w:val="0"/>
      <w:marTop w:val="0"/>
      <w:marBottom w:val="0"/>
      <w:divBdr>
        <w:top w:val="none" w:sz="0" w:space="0" w:color="auto"/>
        <w:left w:val="none" w:sz="0" w:space="0" w:color="auto"/>
        <w:bottom w:val="none" w:sz="0" w:space="0" w:color="auto"/>
        <w:right w:val="none" w:sz="0" w:space="0" w:color="auto"/>
      </w:divBdr>
    </w:div>
    <w:div w:id="103427566">
      <w:bodyDiv w:val="1"/>
      <w:marLeft w:val="0"/>
      <w:marRight w:val="0"/>
      <w:marTop w:val="0"/>
      <w:marBottom w:val="0"/>
      <w:divBdr>
        <w:top w:val="none" w:sz="0" w:space="0" w:color="auto"/>
        <w:left w:val="none" w:sz="0" w:space="0" w:color="auto"/>
        <w:bottom w:val="none" w:sz="0" w:space="0" w:color="auto"/>
        <w:right w:val="none" w:sz="0" w:space="0" w:color="auto"/>
      </w:divBdr>
    </w:div>
    <w:div w:id="105345046">
      <w:bodyDiv w:val="1"/>
      <w:marLeft w:val="0"/>
      <w:marRight w:val="0"/>
      <w:marTop w:val="0"/>
      <w:marBottom w:val="0"/>
      <w:divBdr>
        <w:top w:val="none" w:sz="0" w:space="0" w:color="auto"/>
        <w:left w:val="none" w:sz="0" w:space="0" w:color="auto"/>
        <w:bottom w:val="none" w:sz="0" w:space="0" w:color="auto"/>
        <w:right w:val="none" w:sz="0" w:space="0" w:color="auto"/>
      </w:divBdr>
    </w:div>
    <w:div w:id="109129526">
      <w:bodyDiv w:val="1"/>
      <w:marLeft w:val="0"/>
      <w:marRight w:val="0"/>
      <w:marTop w:val="0"/>
      <w:marBottom w:val="0"/>
      <w:divBdr>
        <w:top w:val="none" w:sz="0" w:space="0" w:color="auto"/>
        <w:left w:val="none" w:sz="0" w:space="0" w:color="auto"/>
        <w:bottom w:val="none" w:sz="0" w:space="0" w:color="auto"/>
        <w:right w:val="none" w:sz="0" w:space="0" w:color="auto"/>
      </w:divBdr>
    </w:div>
    <w:div w:id="109710090">
      <w:bodyDiv w:val="1"/>
      <w:marLeft w:val="0"/>
      <w:marRight w:val="0"/>
      <w:marTop w:val="0"/>
      <w:marBottom w:val="0"/>
      <w:divBdr>
        <w:top w:val="none" w:sz="0" w:space="0" w:color="auto"/>
        <w:left w:val="none" w:sz="0" w:space="0" w:color="auto"/>
        <w:bottom w:val="none" w:sz="0" w:space="0" w:color="auto"/>
        <w:right w:val="none" w:sz="0" w:space="0" w:color="auto"/>
      </w:divBdr>
    </w:div>
    <w:div w:id="110250348">
      <w:bodyDiv w:val="1"/>
      <w:marLeft w:val="0"/>
      <w:marRight w:val="0"/>
      <w:marTop w:val="0"/>
      <w:marBottom w:val="0"/>
      <w:divBdr>
        <w:top w:val="none" w:sz="0" w:space="0" w:color="auto"/>
        <w:left w:val="none" w:sz="0" w:space="0" w:color="auto"/>
        <w:bottom w:val="none" w:sz="0" w:space="0" w:color="auto"/>
        <w:right w:val="none" w:sz="0" w:space="0" w:color="auto"/>
      </w:divBdr>
    </w:div>
    <w:div w:id="111753970">
      <w:bodyDiv w:val="1"/>
      <w:marLeft w:val="0"/>
      <w:marRight w:val="0"/>
      <w:marTop w:val="0"/>
      <w:marBottom w:val="0"/>
      <w:divBdr>
        <w:top w:val="none" w:sz="0" w:space="0" w:color="auto"/>
        <w:left w:val="none" w:sz="0" w:space="0" w:color="auto"/>
        <w:bottom w:val="none" w:sz="0" w:space="0" w:color="auto"/>
        <w:right w:val="none" w:sz="0" w:space="0" w:color="auto"/>
      </w:divBdr>
    </w:div>
    <w:div w:id="114909680">
      <w:bodyDiv w:val="1"/>
      <w:marLeft w:val="0"/>
      <w:marRight w:val="0"/>
      <w:marTop w:val="0"/>
      <w:marBottom w:val="0"/>
      <w:divBdr>
        <w:top w:val="none" w:sz="0" w:space="0" w:color="auto"/>
        <w:left w:val="none" w:sz="0" w:space="0" w:color="auto"/>
        <w:bottom w:val="none" w:sz="0" w:space="0" w:color="auto"/>
        <w:right w:val="none" w:sz="0" w:space="0" w:color="auto"/>
      </w:divBdr>
    </w:div>
    <w:div w:id="116488032">
      <w:bodyDiv w:val="1"/>
      <w:marLeft w:val="0"/>
      <w:marRight w:val="0"/>
      <w:marTop w:val="0"/>
      <w:marBottom w:val="0"/>
      <w:divBdr>
        <w:top w:val="none" w:sz="0" w:space="0" w:color="auto"/>
        <w:left w:val="none" w:sz="0" w:space="0" w:color="auto"/>
        <w:bottom w:val="none" w:sz="0" w:space="0" w:color="auto"/>
        <w:right w:val="none" w:sz="0" w:space="0" w:color="auto"/>
      </w:divBdr>
    </w:div>
    <w:div w:id="116606679">
      <w:bodyDiv w:val="1"/>
      <w:marLeft w:val="0"/>
      <w:marRight w:val="0"/>
      <w:marTop w:val="0"/>
      <w:marBottom w:val="0"/>
      <w:divBdr>
        <w:top w:val="none" w:sz="0" w:space="0" w:color="auto"/>
        <w:left w:val="none" w:sz="0" w:space="0" w:color="auto"/>
        <w:bottom w:val="none" w:sz="0" w:space="0" w:color="auto"/>
        <w:right w:val="none" w:sz="0" w:space="0" w:color="auto"/>
      </w:divBdr>
    </w:div>
    <w:div w:id="116872654">
      <w:bodyDiv w:val="1"/>
      <w:marLeft w:val="0"/>
      <w:marRight w:val="0"/>
      <w:marTop w:val="0"/>
      <w:marBottom w:val="0"/>
      <w:divBdr>
        <w:top w:val="none" w:sz="0" w:space="0" w:color="auto"/>
        <w:left w:val="none" w:sz="0" w:space="0" w:color="auto"/>
        <w:bottom w:val="none" w:sz="0" w:space="0" w:color="auto"/>
        <w:right w:val="none" w:sz="0" w:space="0" w:color="auto"/>
      </w:divBdr>
    </w:div>
    <w:div w:id="117116148">
      <w:bodyDiv w:val="1"/>
      <w:marLeft w:val="0"/>
      <w:marRight w:val="0"/>
      <w:marTop w:val="0"/>
      <w:marBottom w:val="0"/>
      <w:divBdr>
        <w:top w:val="none" w:sz="0" w:space="0" w:color="auto"/>
        <w:left w:val="none" w:sz="0" w:space="0" w:color="auto"/>
        <w:bottom w:val="none" w:sz="0" w:space="0" w:color="auto"/>
        <w:right w:val="none" w:sz="0" w:space="0" w:color="auto"/>
      </w:divBdr>
    </w:div>
    <w:div w:id="118885880">
      <w:bodyDiv w:val="1"/>
      <w:marLeft w:val="0"/>
      <w:marRight w:val="0"/>
      <w:marTop w:val="0"/>
      <w:marBottom w:val="0"/>
      <w:divBdr>
        <w:top w:val="none" w:sz="0" w:space="0" w:color="auto"/>
        <w:left w:val="none" w:sz="0" w:space="0" w:color="auto"/>
        <w:bottom w:val="none" w:sz="0" w:space="0" w:color="auto"/>
        <w:right w:val="none" w:sz="0" w:space="0" w:color="auto"/>
      </w:divBdr>
      <w:divsChild>
        <w:div w:id="59789262">
          <w:marLeft w:val="274"/>
          <w:marRight w:val="0"/>
          <w:marTop w:val="0"/>
          <w:marBottom w:val="0"/>
          <w:divBdr>
            <w:top w:val="none" w:sz="0" w:space="0" w:color="auto"/>
            <w:left w:val="none" w:sz="0" w:space="0" w:color="auto"/>
            <w:bottom w:val="none" w:sz="0" w:space="0" w:color="auto"/>
            <w:right w:val="none" w:sz="0" w:space="0" w:color="auto"/>
          </w:divBdr>
        </w:div>
        <w:div w:id="131944593">
          <w:marLeft w:val="274"/>
          <w:marRight w:val="0"/>
          <w:marTop w:val="0"/>
          <w:marBottom w:val="0"/>
          <w:divBdr>
            <w:top w:val="none" w:sz="0" w:space="0" w:color="auto"/>
            <w:left w:val="none" w:sz="0" w:space="0" w:color="auto"/>
            <w:bottom w:val="none" w:sz="0" w:space="0" w:color="auto"/>
            <w:right w:val="none" w:sz="0" w:space="0" w:color="auto"/>
          </w:divBdr>
        </w:div>
        <w:div w:id="232396157">
          <w:marLeft w:val="274"/>
          <w:marRight w:val="0"/>
          <w:marTop w:val="0"/>
          <w:marBottom w:val="0"/>
          <w:divBdr>
            <w:top w:val="none" w:sz="0" w:space="0" w:color="auto"/>
            <w:left w:val="none" w:sz="0" w:space="0" w:color="auto"/>
            <w:bottom w:val="none" w:sz="0" w:space="0" w:color="auto"/>
            <w:right w:val="none" w:sz="0" w:space="0" w:color="auto"/>
          </w:divBdr>
        </w:div>
        <w:div w:id="1167135707">
          <w:marLeft w:val="274"/>
          <w:marRight w:val="0"/>
          <w:marTop w:val="0"/>
          <w:marBottom w:val="0"/>
          <w:divBdr>
            <w:top w:val="none" w:sz="0" w:space="0" w:color="auto"/>
            <w:left w:val="none" w:sz="0" w:space="0" w:color="auto"/>
            <w:bottom w:val="none" w:sz="0" w:space="0" w:color="auto"/>
            <w:right w:val="none" w:sz="0" w:space="0" w:color="auto"/>
          </w:divBdr>
        </w:div>
        <w:div w:id="1169710969">
          <w:marLeft w:val="274"/>
          <w:marRight w:val="0"/>
          <w:marTop w:val="0"/>
          <w:marBottom w:val="0"/>
          <w:divBdr>
            <w:top w:val="none" w:sz="0" w:space="0" w:color="auto"/>
            <w:left w:val="none" w:sz="0" w:space="0" w:color="auto"/>
            <w:bottom w:val="none" w:sz="0" w:space="0" w:color="auto"/>
            <w:right w:val="none" w:sz="0" w:space="0" w:color="auto"/>
          </w:divBdr>
        </w:div>
        <w:div w:id="1327711158">
          <w:marLeft w:val="274"/>
          <w:marRight w:val="0"/>
          <w:marTop w:val="0"/>
          <w:marBottom w:val="0"/>
          <w:divBdr>
            <w:top w:val="none" w:sz="0" w:space="0" w:color="auto"/>
            <w:left w:val="none" w:sz="0" w:space="0" w:color="auto"/>
            <w:bottom w:val="none" w:sz="0" w:space="0" w:color="auto"/>
            <w:right w:val="none" w:sz="0" w:space="0" w:color="auto"/>
          </w:divBdr>
        </w:div>
        <w:div w:id="1327906274">
          <w:marLeft w:val="274"/>
          <w:marRight w:val="0"/>
          <w:marTop w:val="0"/>
          <w:marBottom w:val="0"/>
          <w:divBdr>
            <w:top w:val="none" w:sz="0" w:space="0" w:color="auto"/>
            <w:left w:val="none" w:sz="0" w:space="0" w:color="auto"/>
            <w:bottom w:val="none" w:sz="0" w:space="0" w:color="auto"/>
            <w:right w:val="none" w:sz="0" w:space="0" w:color="auto"/>
          </w:divBdr>
        </w:div>
        <w:div w:id="1598247491">
          <w:marLeft w:val="274"/>
          <w:marRight w:val="0"/>
          <w:marTop w:val="0"/>
          <w:marBottom w:val="0"/>
          <w:divBdr>
            <w:top w:val="none" w:sz="0" w:space="0" w:color="auto"/>
            <w:left w:val="none" w:sz="0" w:space="0" w:color="auto"/>
            <w:bottom w:val="none" w:sz="0" w:space="0" w:color="auto"/>
            <w:right w:val="none" w:sz="0" w:space="0" w:color="auto"/>
          </w:divBdr>
        </w:div>
        <w:div w:id="1956521707">
          <w:marLeft w:val="274"/>
          <w:marRight w:val="0"/>
          <w:marTop w:val="0"/>
          <w:marBottom w:val="0"/>
          <w:divBdr>
            <w:top w:val="none" w:sz="0" w:space="0" w:color="auto"/>
            <w:left w:val="none" w:sz="0" w:space="0" w:color="auto"/>
            <w:bottom w:val="none" w:sz="0" w:space="0" w:color="auto"/>
            <w:right w:val="none" w:sz="0" w:space="0" w:color="auto"/>
          </w:divBdr>
        </w:div>
      </w:divsChild>
    </w:div>
    <w:div w:id="119425235">
      <w:bodyDiv w:val="1"/>
      <w:marLeft w:val="0"/>
      <w:marRight w:val="0"/>
      <w:marTop w:val="0"/>
      <w:marBottom w:val="0"/>
      <w:divBdr>
        <w:top w:val="none" w:sz="0" w:space="0" w:color="auto"/>
        <w:left w:val="none" w:sz="0" w:space="0" w:color="auto"/>
        <w:bottom w:val="none" w:sz="0" w:space="0" w:color="auto"/>
        <w:right w:val="none" w:sz="0" w:space="0" w:color="auto"/>
      </w:divBdr>
    </w:div>
    <w:div w:id="119882645">
      <w:bodyDiv w:val="1"/>
      <w:marLeft w:val="0"/>
      <w:marRight w:val="0"/>
      <w:marTop w:val="0"/>
      <w:marBottom w:val="0"/>
      <w:divBdr>
        <w:top w:val="none" w:sz="0" w:space="0" w:color="auto"/>
        <w:left w:val="none" w:sz="0" w:space="0" w:color="auto"/>
        <w:bottom w:val="none" w:sz="0" w:space="0" w:color="auto"/>
        <w:right w:val="none" w:sz="0" w:space="0" w:color="auto"/>
      </w:divBdr>
    </w:div>
    <w:div w:id="123240002">
      <w:bodyDiv w:val="1"/>
      <w:marLeft w:val="0"/>
      <w:marRight w:val="0"/>
      <w:marTop w:val="0"/>
      <w:marBottom w:val="0"/>
      <w:divBdr>
        <w:top w:val="none" w:sz="0" w:space="0" w:color="auto"/>
        <w:left w:val="none" w:sz="0" w:space="0" w:color="auto"/>
        <w:bottom w:val="none" w:sz="0" w:space="0" w:color="auto"/>
        <w:right w:val="none" w:sz="0" w:space="0" w:color="auto"/>
      </w:divBdr>
    </w:div>
    <w:div w:id="123352553">
      <w:bodyDiv w:val="1"/>
      <w:marLeft w:val="0"/>
      <w:marRight w:val="0"/>
      <w:marTop w:val="0"/>
      <w:marBottom w:val="0"/>
      <w:divBdr>
        <w:top w:val="none" w:sz="0" w:space="0" w:color="auto"/>
        <w:left w:val="none" w:sz="0" w:space="0" w:color="auto"/>
        <w:bottom w:val="none" w:sz="0" w:space="0" w:color="auto"/>
        <w:right w:val="none" w:sz="0" w:space="0" w:color="auto"/>
      </w:divBdr>
    </w:div>
    <w:div w:id="124083872">
      <w:bodyDiv w:val="1"/>
      <w:marLeft w:val="0"/>
      <w:marRight w:val="0"/>
      <w:marTop w:val="0"/>
      <w:marBottom w:val="0"/>
      <w:divBdr>
        <w:top w:val="none" w:sz="0" w:space="0" w:color="auto"/>
        <w:left w:val="none" w:sz="0" w:space="0" w:color="auto"/>
        <w:bottom w:val="none" w:sz="0" w:space="0" w:color="auto"/>
        <w:right w:val="none" w:sz="0" w:space="0" w:color="auto"/>
      </w:divBdr>
    </w:div>
    <w:div w:id="124667260">
      <w:bodyDiv w:val="1"/>
      <w:marLeft w:val="0"/>
      <w:marRight w:val="0"/>
      <w:marTop w:val="0"/>
      <w:marBottom w:val="0"/>
      <w:divBdr>
        <w:top w:val="none" w:sz="0" w:space="0" w:color="auto"/>
        <w:left w:val="none" w:sz="0" w:space="0" w:color="auto"/>
        <w:bottom w:val="none" w:sz="0" w:space="0" w:color="auto"/>
        <w:right w:val="none" w:sz="0" w:space="0" w:color="auto"/>
      </w:divBdr>
    </w:div>
    <w:div w:id="126094066">
      <w:bodyDiv w:val="1"/>
      <w:marLeft w:val="0"/>
      <w:marRight w:val="0"/>
      <w:marTop w:val="0"/>
      <w:marBottom w:val="0"/>
      <w:divBdr>
        <w:top w:val="none" w:sz="0" w:space="0" w:color="auto"/>
        <w:left w:val="none" w:sz="0" w:space="0" w:color="auto"/>
        <w:bottom w:val="none" w:sz="0" w:space="0" w:color="auto"/>
        <w:right w:val="none" w:sz="0" w:space="0" w:color="auto"/>
      </w:divBdr>
    </w:div>
    <w:div w:id="126355960">
      <w:bodyDiv w:val="1"/>
      <w:marLeft w:val="0"/>
      <w:marRight w:val="0"/>
      <w:marTop w:val="0"/>
      <w:marBottom w:val="0"/>
      <w:divBdr>
        <w:top w:val="none" w:sz="0" w:space="0" w:color="auto"/>
        <w:left w:val="none" w:sz="0" w:space="0" w:color="auto"/>
        <w:bottom w:val="none" w:sz="0" w:space="0" w:color="auto"/>
        <w:right w:val="none" w:sz="0" w:space="0" w:color="auto"/>
      </w:divBdr>
    </w:div>
    <w:div w:id="127363677">
      <w:bodyDiv w:val="1"/>
      <w:marLeft w:val="0"/>
      <w:marRight w:val="0"/>
      <w:marTop w:val="0"/>
      <w:marBottom w:val="0"/>
      <w:divBdr>
        <w:top w:val="none" w:sz="0" w:space="0" w:color="auto"/>
        <w:left w:val="none" w:sz="0" w:space="0" w:color="auto"/>
        <w:bottom w:val="none" w:sz="0" w:space="0" w:color="auto"/>
        <w:right w:val="none" w:sz="0" w:space="0" w:color="auto"/>
      </w:divBdr>
    </w:div>
    <w:div w:id="128520726">
      <w:bodyDiv w:val="1"/>
      <w:marLeft w:val="0"/>
      <w:marRight w:val="0"/>
      <w:marTop w:val="0"/>
      <w:marBottom w:val="0"/>
      <w:divBdr>
        <w:top w:val="none" w:sz="0" w:space="0" w:color="auto"/>
        <w:left w:val="none" w:sz="0" w:space="0" w:color="auto"/>
        <w:bottom w:val="none" w:sz="0" w:space="0" w:color="auto"/>
        <w:right w:val="none" w:sz="0" w:space="0" w:color="auto"/>
      </w:divBdr>
    </w:div>
    <w:div w:id="130171091">
      <w:bodyDiv w:val="1"/>
      <w:marLeft w:val="0"/>
      <w:marRight w:val="0"/>
      <w:marTop w:val="0"/>
      <w:marBottom w:val="0"/>
      <w:divBdr>
        <w:top w:val="none" w:sz="0" w:space="0" w:color="auto"/>
        <w:left w:val="none" w:sz="0" w:space="0" w:color="auto"/>
        <w:bottom w:val="none" w:sz="0" w:space="0" w:color="auto"/>
        <w:right w:val="none" w:sz="0" w:space="0" w:color="auto"/>
      </w:divBdr>
    </w:div>
    <w:div w:id="132796018">
      <w:bodyDiv w:val="1"/>
      <w:marLeft w:val="0"/>
      <w:marRight w:val="0"/>
      <w:marTop w:val="0"/>
      <w:marBottom w:val="0"/>
      <w:divBdr>
        <w:top w:val="none" w:sz="0" w:space="0" w:color="auto"/>
        <w:left w:val="none" w:sz="0" w:space="0" w:color="auto"/>
        <w:bottom w:val="none" w:sz="0" w:space="0" w:color="auto"/>
        <w:right w:val="none" w:sz="0" w:space="0" w:color="auto"/>
      </w:divBdr>
    </w:div>
    <w:div w:id="132866226">
      <w:bodyDiv w:val="1"/>
      <w:marLeft w:val="0"/>
      <w:marRight w:val="0"/>
      <w:marTop w:val="0"/>
      <w:marBottom w:val="0"/>
      <w:divBdr>
        <w:top w:val="none" w:sz="0" w:space="0" w:color="auto"/>
        <w:left w:val="none" w:sz="0" w:space="0" w:color="auto"/>
        <w:bottom w:val="none" w:sz="0" w:space="0" w:color="auto"/>
        <w:right w:val="none" w:sz="0" w:space="0" w:color="auto"/>
      </w:divBdr>
    </w:div>
    <w:div w:id="133372481">
      <w:bodyDiv w:val="1"/>
      <w:marLeft w:val="0"/>
      <w:marRight w:val="0"/>
      <w:marTop w:val="0"/>
      <w:marBottom w:val="0"/>
      <w:divBdr>
        <w:top w:val="none" w:sz="0" w:space="0" w:color="auto"/>
        <w:left w:val="none" w:sz="0" w:space="0" w:color="auto"/>
        <w:bottom w:val="none" w:sz="0" w:space="0" w:color="auto"/>
        <w:right w:val="none" w:sz="0" w:space="0" w:color="auto"/>
      </w:divBdr>
    </w:div>
    <w:div w:id="134301362">
      <w:bodyDiv w:val="1"/>
      <w:marLeft w:val="0"/>
      <w:marRight w:val="0"/>
      <w:marTop w:val="0"/>
      <w:marBottom w:val="0"/>
      <w:divBdr>
        <w:top w:val="none" w:sz="0" w:space="0" w:color="auto"/>
        <w:left w:val="none" w:sz="0" w:space="0" w:color="auto"/>
        <w:bottom w:val="none" w:sz="0" w:space="0" w:color="auto"/>
        <w:right w:val="none" w:sz="0" w:space="0" w:color="auto"/>
      </w:divBdr>
    </w:div>
    <w:div w:id="134954061">
      <w:bodyDiv w:val="1"/>
      <w:marLeft w:val="0"/>
      <w:marRight w:val="0"/>
      <w:marTop w:val="0"/>
      <w:marBottom w:val="0"/>
      <w:divBdr>
        <w:top w:val="none" w:sz="0" w:space="0" w:color="auto"/>
        <w:left w:val="none" w:sz="0" w:space="0" w:color="auto"/>
        <w:bottom w:val="none" w:sz="0" w:space="0" w:color="auto"/>
        <w:right w:val="none" w:sz="0" w:space="0" w:color="auto"/>
      </w:divBdr>
    </w:div>
    <w:div w:id="134958862">
      <w:bodyDiv w:val="1"/>
      <w:marLeft w:val="0"/>
      <w:marRight w:val="0"/>
      <w:marTop w:val="0"/>
      <w:marBottom w:val="0"/>
      <w:divBdr>
        <w:top w:val="none" w:sz="0" w:space="0" w:color="auto"/>
        <w:left w:val="none" w:sz="0" w:space="0" w:color="auto"/>
        <w:bottom w:val="none" w:sz="0" w:space="0" w:color="auto"/>
        <w:right w:val="none" w:sz="0" w:space="0" w:color="auto"/>
      </w:divBdr>
    </w:div>
    <w:div w:id="135727540">
      <w:bodyDiv w:val="1"/>
      <w:marLeft w:val="0"/>
      <w:marRight w:val="0"/>
      <w:marTop w:val="0"/>
      <w:marBottom w:val="0"/>
      <w:divBdr>
        <w:top w:val="none" w:sz="0" w:space="0" w:color="auto"/>
        <w:left w:val="none" w:sz="0" w:space="0" w:color="auto"/>
        <w:bottom w:val="none" w:sz="0" w:space="0" w:color="auto"/>
        <w:right w:val="none" w:sz="0" w:space="0" w:color="auto"/>
      </w:divBdr>
    </w:div>
    <w:div w:id="137310951">
      <w:bodyDiv w:val="1"/>
      <w:marLeft w:val="0"/>
      <w:marRight w:val="0"/>
      <w:marTop w:val="0"/>
      <w:marBottom w:val="0"/>
      <w:divBdr>
        <w:top w:val="none" w:sz="0" w:space="0" w:color="auto"/>
        <w:left w:val="none" w:sz="0" w:space="0" w:color="auto"/>
        <w:bottom w:val="none" w:sz="0" w:space="0" w:color="auto"/>
        <w:right w:val="none" w:sz="0" w:space="0" w:color="auto"/>
      </w:divBdr>
    </w:div>
    <w:div w:id="138766096">
      <w:bodyDiv w:val="1"/>
      <w:marLeft w:val="0"/>
      <w:marRight w:val="0"/>
      <w:marTop w:val="0"/>
      <w:marBottom w:val="0"/>
      <w:divBdr>
        <w:top w:val="none" w:sz="0" w:space="0" w:color="auto"/>
        <w:left w:val="none" w:sz="0" w:space="0" w:color="auto"/>
        <w:bottom w:val="none" w:sz="0" w:space="0" w:color="auto"/>
        <w:right w:val="none" w:sz="0" w:space="0" w:color="auto"/>
      </w:divBdr>
    </w:div>
    <w:div w:id="139730630">
      <w:bodyDiv w:val="1"/>
      <w:marLeft w:val="0"/>
      <w:marRight w:val="0"/>
      <w:marTop w:val="0"/>
      <w:marBottom w:val="0"/>
      <w:divBdr>
        <w:top w:val="none" w:sz="0" w:space="0" w:color="auto"/>
        <w:left w:val="none" w:sz="0" w:space="0" w:color="auto"/>
        <w:bottom w:val="none" w:sz="0" w:space="0" w:color="auto"/>
        <w:right w:val="none" w:sz="0" w:space="0" w:color="auto"/>
      </w:divBdr>
    </w:div>
    <w:div w:id="143276159">
      <w:bodyDiv w:val="1"/>
      <w:marLeft w:val="0"/>
      <w:marRight w:val="0"/>
      <w:marTop w:val="0"/>
      <w:marBottom w:val="0"/>
      <w:divBdr>
        <w:top w:val="none" w:sz="0" w:space="0" w:color="auto"/>
        <w:left w:val="none" w:sz="0" w:space="0" w:color="auto"/>
        <w:bottom w:val="none" w:sz="0" w:space="0" w:color="auto"/>
        <w:right w:val="none" w:sz="0" w:space="0" w:color="auto"/>
      </w:divBdr>
    </w:div>
    <w:div w:id="143473095">
      <w:bodyDiv w:val="1"/>
      <w:marLeft w:val="0"/>
      <w:marRight w:val="0"/>
      <w:marTop w:val="0"/>
      <w:marBottom w:val="0"/>
      <w:divBdr>
        <w:top w:val="none" w:sz="0" w:space="0" w:color="auto"/>
        <w:left w:val="none" w:sz="0" w:space="0" w:color="auto"/>
        <w:bottom w:val="none" w:sz="0" w:space="0" w:color="auto"/>
        <w:right w:val="none" w:sz="0" w:space="0" w:color="auto"/>
      </w:divBdr>
    </w:div>
    <w:div w:id="144317451">
      <w:bodyDiv w:val="1"/>
      <w:marLeft w:val="0"/>
      <w:marRight w:val="0"/>
      <w:marTop w:val="0"/>
      <w:marBottom w:val="0"/>
      <w:divBdr>
        <w:top w:val="none" w:sz="0" w:space="0" w:color="auto"/>
        <w:left w:val="none" w:sz="0" w:space="0" w:color="auto"/>
        <w:bottom w:val="none" w:sz="0" w:space="0" w:color="auto"/>
        <w:right w:val="none" w:sz="0" w:space="0" w:color="auto"/>
      </w:divBdr>
    </w:div>
    <w:div w:id="144704145">
      <w:bodyDiv w:val="1"/>
      <w:marLeft w:val="0"/>
      <w:marRight w:val="0"/>
      <w:marTop w:val="0"/>
      <w:marBottom w:val="0"/>
      <w:divBdr>
        <w:top w:val="none" w:sz="0" w:space="0" w:color="auto"/>
        <w:left w:val="none" w:sz="0" w:space="0" w:color="auto"/>
        <w:bottom w:val="none" w:sz="0" w:space="0" w:color="auto"/>
        <w:right w:val="none" w:sz="0" w:space="0" w:color="auto"/>
      </w:divBdr>
    </w:div>
    <w:div w:id="148062649">
      <w:bodyDiv w:val="1"/>
      <w:marLeft w:val="0"/>
      <w:marRight w:val="0"/>
      <w:marTop w:val="0"/>
      <w:marBottom w:val="0"/>
      <w:divBdr>
        <w:top w:val="none" w:sz="0" w:space="0" w:color="auto"/>
        <w:left w:val="none" w:sz="0" w:space="0" w:color="auto"/>
        <w:bottom w:val="none" w:sz="0" w:space="0" w:color="auto"/>
        <w:right w:val="none" w:sz="0" w:space="0" w:color="auto"/>
      </w:divBdr>
    </w:div>
    <w:div w:id="148444572">
      <w:bodyDiv w:val="1"/>
      <w:marLeft w:val="0"/>
      <w:marRight w:val="0"/>
      <w:marTop w:val="0"/>
      <w:marBottom w:val="0"/>
      <w:divBdr>
        <w:top w:val="none" w:sz="0" w:space="0" w:color="auto"/>
        <w:left w:val="none" w:sz="0" w:space="0" w:color="auto"/>
        <w:bottom w:val="none" w:sz="0" w:space="0" w:color="auto"/>
        <w:right w:val="none" w:sz="0" w:space="0" w:color="auto"/>
      </w:divBdr>
    </w:div>
    <w:div w:id="148788243">
      <w:bodyDiv w:val="1"/>
      <w:marLeft w:val="0"/>
      <w:marRight w:val="0"/>
      <w:marTop w:val="0"/>
      <w:marBottom w:val="0"/>
      <w:divBdr>
        <w:top w:val="none" w:sz="0" w:space="0" w:color="auto"/>
        <w:left w:val="none" w:sz="0" w:space="0" w:color="auto"/>
        <w:bottom w:val="none" w:sz="0" w:space="0" w:color="auto"/>
        <w:right w:val="none" w:sz="0" w:space="0" w:color="auto"/>
      </w:divBdr>
    </w:div>
    <w:div w:id="149641293">
      <w:bodyDiv w:val="1"/>
      <w:marLeft w:val="0"/>
      <w:marRight w:val="0"/>
      <w:marTop w:val="0"/>
      <w:marBottom w:val="0"/>
      <w:divBdr>
        <w:top w:val="none" w:sz="0" w:space="0" w:color="auto"/>
        <w:left w:val="none" w:sz="0" w:space="0" w:color="auto"/>
        <w:bottom w:val="none" w:sz="0" w:space="0" w:color="auto"/>
        <w:right w:val="none" w:sz="0" w:space="0" w:color="auto"/>
      </w:divBdr>
    </w:div>
    <w:div w:id="151139504">
      <w:bodyDiv w:val="1"/>
      <w:marLeft w:val="0"/>
      <w:marRight w:val="0"/>
      <w:marTop w:val="0"/>
      <w:marBottom w:val="0"/>
      <w:divBdr>
        <w:top w:val="none" w:sz="0" w:space="0" w:color="auto"/>
        <w:left w:val="none" w:sz="0" w:space="0" w:color="auto"/>
        <w:bottom w:val="none" w:sz="0" w:space="0" w:color="auto"/>
        <w:right w:val="none" w:sz="0" w:space="0" w:color="auto"/>
      </w:divBdr>
    </w:div>
    <w:div w:id="152451354">
      <w:bodyDiv w:val="1"/>
      <w:marLeft w:val="0"/>
      <w:marRight w:val="0"/>
      <w:marTop w:val="0"/>
      <w:marBottom w:val="0"/>
      <w:divBdr>
        <w:top w:val="none" w:sz="0" w:space="0" w:color="auto"/>
        <w:left w:val="none" w:sz="0" w:space="0" w:color="auto"/>
        <w:bottom w:val="none" w:sz="0" w:space="0" w:color="auto"/>
        <w:right w:val="none" w:sz="0" w:space="0" w:color="auto"/>
      </w:divBdr>
      <w:divsChild>
        <w:div w:id="144665585">
          <w:marLeft w:val="274"/>
          <w:marRight w:val="0"/>
          <w:marTop w:val="0"/>
          <w:marBottom w:val="0"/>
          <w:divBdr>
            <w:top w:val="none" w:sz="0" w:space="0" w:color="auto"/>
            <w:left w:val="none" w:sz="0" w:space="0" w:color="auto"/>
            <w:bottom w:val="none" w:sz="0" w:space="0" w:color="auto"/>
            <w:right w:val="none" w:sz="0" w:space="0" w:color="auto"/>
          </w:divBdr>
        </w:div>
        <w:div w:id="815025283">
          <w:marLeft w:val="274"/>
          <w:marRight w:val="0"/>
          <w:marTop w:val="0"/>
          <w:marBottom w:val="0"/>
          <w:divBdr>
            <w:top w:val="none" w:sz="0" w:space="0" w:color="auto"/>
            <w:left w:val="none" w:sz="0" w:space="0" w:color="auto"/>
            <w:bottom w:val="none" w:sz="0" w:space="0" w:color="auto"/>
            <w:right w:val="none" w:sz="0" w:space="0" w:color="auto"/>
          </w:divBdr>
        </w:div>
        <w:div w:id="1419213065">
          <w:marLeft w:val="274"/>
          <w:marRight w:val="0"/>
          <w:marTop w:val="0"/>
          <w:marBottom w:val="0"/>
          <w:divBdr>
            <w:top w:val="none" w:sz="0" w:space="0" w:color="auto"/>
            <w:left w:val="none" w:sz="0" w:space="0" w:color="auto"/>
            <w:bottom w:val="none" w:sz="0" w:space="0" w:color="auto"/>
            <w:right w:val="none" w:sz="0" w:space="0" w:color="auto"/>
          </w:divBdr>
        </w:div>
        <w:div w:id="1460958311">
          <w:marLeft w:val="274"/>
          <w:marRight w:val="0"/>
          <w:marTop w:val="0"/>
          <w:marBottom w:val="0"/>
          <w:divBdr>
            <w:top w:val="none" w:sz="0" w:space="0" w:color="auto"/>
            <w:left w:val="none" w:sz="0" w:space="0" w:color="auto"/>
            <w:bottom w:val="none" w:sz="0" w:space="0" w:color="auto"/>
            <w:right w:val="none" w:sz="0" w:space="0" w:color="auto"/>
          </w:divBdr>
        </w:div>
        <w:div w:id="1592664433">
          <w:marLeft w:val="274"/>
          <w:marRight w:val="0"/>
          <w:marTop w:val="0"/>
          <w:marBottom w:val="0"/>
          <w:divBdr>
            <w:top w:val="none" w:sz="0" w:space="0" w:color="auto"/>
            <w:left w:val="none" w:sz="0" w:space="0" w:color="auto"/>
            <w:bottom w:val="none" w:sz="0" w:space="0" w:color="auto"/>
            <w:right w:val="none" w:sz="0" w:space="0" w:color="auto"/>
          </w:divBdr>
        </w:div>
        <w:div w:id="1804077804">
          <w:marLeft w:val="274"/>
          <w:marRight w:val="0"/>
          <w:marTop w:val="0"/>
          <w:marBottom w:val="0"/>
          <w:divBdr>
            <w:top w:val="none" w:sz="0" w:space="0" w:color="auto"/>
            <w:left w:val="none" w:sz="0" w:space="0" w:color="auto"/>
            <w:bottom w:val="none" w:sz="0" w:space="0" w:color="auto"/>
            <w:right w:val="none" w:sz="0" w:space="0" w:color="auto"/>
          </w:divBdr>
        </w:div>
      </w:divsChild>
    </w:div>
    <w:div w:id="154227415">
      <w:bodyDiv w:val="1"/>
      <w:marLeft w:val="0"/>
      <w:marRight w:val="0"/>
      <w:marTop w:val="0"/>
      <w:marBottom w:val="0"/>
      <w:divBdr>
        <w:top w:val="none" w:sz="0" w:space="0" w:color="auto"/>
        <w:left w:val="none" w:sz="0" w:space="0" w:color="auto"/>
        <w:bottom w:val="none" w:sz="0" w:space="0" w:color="auto"/>
        <w:right w:val="none" w:sz="0" w:space="0" w:color="auto"/>
      </w:divBdr>
    </w:div>
    <w:div w:id="154340565">
      <w:bodyDiv w:val="1"/>
      <w:marLeft w:val="0"/>
      <w:marRight w:val="0"/>
      <w:marTop w:val="0"/>
      <w:marBottom w:val="0"/>
      <w:divBdr>
        <w:top w:val="none" w:sz="0" w:space="0" w:color="auto"/>
        <w:left w:val="none" w:sz="0" w:space="0" w:color="auto"/>
        <w:bottom w:val="none" w:sz="0" w:space="0" w:color="auto"/>
        <w:right w:val="none" w:sz="0" w:space="0" w:color="auto"/>
      </w:divBdr>
    </w:div>
    <w:div w:id="158154933">
      <w:bodyDiv w:val="1"/>
      <w:marLeft w:val="0"/>
      <w:marRight w:val="0"/>
      <w:marTop w:val="0"/>
      <w:marBottom w:val="0"/>
      <w:divBdr>
        <w:top w:val="none" w:sz="0" w:space="0" w:color="auto"/>
        <w:left w:val="none" w:sz="0" w:space="0" w:color="auto"/>
        <w:bottom w:val="none" w:sz="0" w:space="0" w:color="auto"/>
        <w:right w:val="none" w:sz="0" w:space="0" w:color="auto"/>
      </w:divBdr>
    </w:div>
    <w:div w:id="159079025">
      <w:bodyDiv w:val="1"/>
      <w:marLeft w:val="0"/>
      <w:marRight w:val="0"/>
      <w:marTop w:val="0"/>
      <w:marBottom w:val="0"/>
      <w:divBdr>
        <w:top w:val="none" w:sz="0" w:space="0" w:color="auto"/>
        <w:left w:val="none" w:sz="0" w:space="0" w:color="auto"/>
        <w:bottom w:val="none" w:sz="0" w:space="0" w:color="auto"/>
        <w:right w:val="none" w:sz="0" w:space="0" w:color="auto"/>
      </w:divBdr>
    </w:div>
    <w:div w:id="159322175">
      <w:bodyDiv w:val="1"/>
      <w:marLeft w:val="0"/>
      <w:marRight w:val="0"/>
      <w:marTop w:val="0"/>
      <w:marBottom w:val="0"/>
      <w:divBdr>
        <w:top w:val="none" w:sz="0" w:space="0" w:color="auto"/>
        <w:left w:val="none" w:sz="0" w:space="0" w:color="auto"/>
        <w:bottom w:val="none" w:sz="0" w:space="0" w:color="auto"/>
        <w:right w:val="none" w:sz="0" w:space="0" w:color="auto"/>
      </w:divBdr>
    </w:div>
    <w:div w:id="160463380">
      <w:bodyDiv w:val="1"/>
      <w:marLeft w:val="0"/>
      <w:marRight w:val="0"/>
      <w:marTop w:val="0"/>
      <w:marBottom w:val="0"/>
      <w:divBdr>
        <w:top w:val="none" w:sz="0" w:space="0" w:color="auto"/>
        <w:left w:val="none" w:sz="0" w:space="0" w:color="auto"/>
        <w:bottom w:val="none" w:sz="0" w:space="0" w:color="auto"/>
        <w:right w:val="none" w:sz="0" w:space="0" w:color="auto"/>
      </w:divBdr>
    </w:div>
    <w:div w:id="161556755">
      <w:bodyDiv w:val="1"/>
      <w:marLeft w:val="0"/>
      <w:marRight w:val="0"/>
      <w:marTop w:val="0"/>
      <w:marBottom w:val="0"/>
      <w:divBdr>
        <w:top w:val="none" w:sz="0" w:space="0" w:color="auto"/>
        <w:left w:val="none" w:sz="0" w:space="0" w:color="auto"/>
        <w:bottom w:val="none" w:sz="0" w:space="0" w:color="auto"/>
        <w:right w:val="none" w:sz="0" w:space="0" w:color="auto"/>
      </w:divBdr>
    </w:div>
    <w:div w:id="161893468">
      <w:bodyDiv w:val="1"/>
      <w:marLeft w:val="0"/>
      <w:marRight w:val="0"/>
      <w:marTop w:val="0"/>
      <w:marBottom w:val="0"/>
      <w:divBdr>
        <w:top w:val="none" w:sz="0" w:space="0" w:color="auto"/>
        <w:left w:val="none" w:sz="0" w:space="0" w:color="auto"/>
        <w:bottom w:val="none" w:sz="0" w:space="0" w:color="auto"/>
        <w:right w:val="none" w:sz="0" w:space="0" w:color="auto"/>
      </w:divBdr>
    </w:div>
    <w:div w:id="166408223">
      <w:bodyDiv w:val="1"/>
      <w:marLeft w:val="0"/>
      <w:marRight w:val="0"/>
      <w:marTop w:val="0"/>
      <w:marBottom w:val="0"/>
      <w:divBdr>
        <w:top w:val="none" w:sz="0" w:space="0" w:color="auto"/>
        <w:left w:val="none" w:sz="0" w:space="0" w:color="auto"/>
        <w:bottom w:val="none" w:sz="0" w:space="0" w:color="auto"/>
        <w:right w:val="none" w:sz="0" w:space="0" w:color="auto"/>
      </w:divBdr>
    </w:div>
    <w:div w:id="167795102">
      <w:bodyDiv w:val="1"/>
      <w:marLeft w:val="0"/>
      <w:marRight w:val="0"/>
      <w:marTop w:val="0"/>
      <w:marBottom w:val="0"/>
      <w:divBdr>
        <w:top w:val="none" w:sz="0" w:space="0" w:color="auto"/>
        <w:left w:val="none" w:sz="0" w:space="0" w:color="auto"/>
        <w:bottom w:val="none" w:sz="0" w:space="0" w:color="auto"/>
        <w:right w:val="none" w:sz="0" w:space="0" w:color="auto"/>
      </w:divBdr>
    </w:div>
    <w:div w:id="167915107">
      <w:bodyDiv w:val="1"/>
      <w:marLeft w:val="0"/>
      <w:marRight w:val="0"/>
      <w:marTop w:val="0"/>
      <w:marBottom w:val="0"/>
      <w:divBdr>
        <w:top w:val="none" w:sz="0" w:space="0" w:color="auto"/>
        <w:left w:val="none" w:sz="0" w:space="0" w:color="auto"/>
        <w:bottom w:val="none" w:sz="0" w:space="0" w:color="auto"/>
        <w:right w:val="none" w:sz="0" w:space="0" w:color="auto"/>
      </w:divBdr>
    </w:div>
    <w:div w:id="168911702">
      <w:bodyDiv w:val="1"/>
      <w:marLeft w:val="0"/>
      <w:marRight w:val="0"/>
      <w:marTop w:val="0"/>
      <w:marBottom w:val="0"/>
      <w:divBdr>
        <w:top w:val="none" w:sz="0" w:space="0" w:color="auto"/>
        <w:left w:val="none" w:sz="0" w:space="0" w:color="auto"/>
        <w:bottom w:val="none" w:sz="0" w:space="0" w:color="auto"/>
        <w:right w:val="none" w:sz="0" w:space="0" w:color="auto"/>
      </w:divBdr>
    </w:div>
    <w:div w:id="170485887">
      <w:bodyDiv w:val="1"/>
      <w:marLeft w:val="0"/>
      <w:marRight w:val="0"/>
      <w:marTop w:val="0"/>
      <w:marBottom w:val="0"/>
      <w:divBdr>
        <w:top w:val="none" w:sz="0" w:space="0" w:color="auto"/>
        <w:left w:val="none" w:sz="0" w:space="0" w:color="auto"/>
        <w:bottom w:val="none" w:sz="0" w:space="0" w:color="auto"/>
        <w:right w:val="none" w:sz="0" w:space="0" w:color="auto"/>
      </w:divBdr>
    </w:div>
    <w:div w:id="170607502">
      <w:bodyDiv w:val="1"/>
      <w:marLeft w:val="0"/>
      <w:marRight w:val="0"/>
      <w:marTop w:val="0"/>
      <w:marBottom w:val="0"/>
      <w:divBdr>
        <w:top w:val="none" w:sz="0" w:space="0" w:color="auto"/>
        <w:left w:val="none" w:sz="0" w:space="0" w:color="auto"/>
        <w:bottom w:val="none" w:sz="0" w:space="0" w:color="auto"/>
        <w:right w:val="none" w:sz="0" w:space="0" w:color="auto"/>
      </w:divBdr>
    </w:div>
    <w:div w:id="172647892">
      <w:bodyDiv w:val="1"/>
      <w:marLeft w:val="0"/>
      <w:marRight w:val="0"/>
      <w:marTop w:val="0"/>
      <w:marBottom w:val="0"/>
      <w:divBdr>
        <w:top w:val="none" w:sz="0" w:space="0" w:color="auto"/>
        <w:left w:val="none" w:sz="0" w:space="0" w:color="auto"/>
        <w:bottom w:val="none" w:sz="0" w:space="0" w:color="auto"/>
        <w:right w:val="none" w:sz="0" w:space="0" w:color="auto"/>
      </w:divBdr>
    </w:div>
    <w:div w:id="174154402">
      <w:bodyDiv w:val="1"/>
      <w:marLeft w:val="0"/>
      <w:marRight w:val="0"/>
      <w:marTop w:val="0"/>
      <w:marBottom w:val="0"/>
      <w:divBdr>
        <w:top w:val="none" w:sz="0" w:space="0" w:color="auto"/>
        <w:left w:val="none" w:sz="0" w:space="0" w:color="auto"/>
        <w:bottom w:val="none" w:sz="0" w:space="0" w:color="auto"/>
        <w:right w:val="none" w:sz="0" w:space="0" w:color="auto"/>
      </w:divBdr>
    </w:div>
    <w:div w:id="175928665">
      <w:bodyDiv w:val="1"/>
      <w:marLeft w:val="0"/>
      <w:marRight w:val="0"/>
      <w:marTop w:val="0"/>
      <w:marBottom w:val="0"/>
      <w:divBdr>
        <w:top w:val="none" w:sz="0" w:space="0" w:color="auto"/>
        <w:left w:val="none" w:sz="0" w:space="0" w:color="auto"/>
        <w:bottom w:val="none" w:sz="0" w:space="0" w:color="auto"/>
        <w:right w:val="none" w:sz="0" w:space="0" w:color="auto"/>
      </w:divBdr>
    </w:div>
    <w:div w:id="178081447">
      <w:bodyDiv w:val="1"/>
      <w:marLeft w:val="0"/>
      <w:marRight w:val="0"/>
      <w:marTop w:val="0"/>
      <w:marBottom w:val="0"/>
      <w:divBdr>
        <w:top w:val="none" w:sz="0" w:space="0" w:color="auto"/>
        <w:left w:val="none" w:sz="0" w:space="0" w:color="auto"/>
        <w:bottom w:val="none" w:sz="0" w:space="0" w:color="auto"/>
        <w:right w:val="none" w:sz="0" w:space="0" w:color="auto"/>
      </w:divBdr>
    </w:div>
    <w:div w:id="178469338">
      <w:bodyDiv w:val="1"/>
      <w:marLeft w:val="0"/>
      <w:marRight w:val="0"/>
      <w:marTop w:val="0"/>
      <w:marBottom w:val="0"/>
      <w:divBdr>
        <w:top w:val="none" w:sz="0" w:space="0" w:color="auto"/>
        <w:left w:val="none" w:sz="0" w:space="0" w:color="auto"/>
        <w:bottom w:val="none" w:sz="0" w:space="0" w:color="auto"/>
        <w:right w:val="none" w:sz="0" w:space="0" w:color="auto"/>
      </w:divBdr>
    </w:div>
    <w:div w:id="178931079">
      <w:bodyDiv w:val="1"/>
      <w:marLeft w:val="0"/>
      <w:marRight w:val="0"/>
      <w:marTop w:val="0"/>
      <w:marBottom w:val="0"/>
      <w:divBdr>
        <w:top w:val="none" w:sz="0" w:space="0" w:color="auto"/>
        <w:left w:val="none" w:sz="0" w:space="0" w:color="auto"/>
        <w:bottom w:val="none" w:sz="0" w:space="0" w:color="auto"/>
        <w:right w:val="none" w:sz="0" w:space="0" w:color="auto"/>
      </w:divBdr>
    </w:div>
    <w:div w:id="180702004">
      <w:bodyDiv w:val="1"/>
      <w:marLeft w:val="0"/>
      <w:marRight w:val="0"/>
      <w:marTop w:val="0"/>
      <w:marBottom w:val="0"/>
      <w:divBdr>
        <w:top w:val="none" w:sz="0" w:space="0" w:color="auto"/>
        <w:left w:val="none" w:sz="0" w:space="0" w:color="auto"/>
        <w:bottom w:val="none" w:sz="0" w:space="0" w:color="auto"/>
        <w:right w:val="none" w:sz="0" w:space="0" w:color="auto"/>
      </w:divBdr>
    </w:div>
    <w:div w:id="181285937">
      <w:bodyDiv w:val="1"/>
      <w:marLeft w:val="0"/>
      <w:marRight w:val="0"/>
      <w:marTop w:val="0"/>
      <w:marBottom w:val="0"/>
      <w:divBdr>
        <w:top w:val="none" w:sz="0" w:space="0" w:color="auto"/>
        <w:left w:val="none" w:sz="0" w:space="0" w:color="auto"/>
        <w:bottom w:val="none" w:sz="0" w:space="0" w:color="auto"/>
        <w:right w:val="none" w:sz="0" w:space="0" w:color="auto"/>
      </w:divBdr>
    </w:div>
    <w:div w:id="181943368">
      <w:bodyDiv w:val="1"/>
      <w:marLeft w:val="0"/>
      <w:marRight w:val="0"/>
      <w:marTop w:val="0"/>
      <w:marBottom w:val="0"/>
      <w:divBdr>
        <w:top w:val="none" w:sz="0" w:space="0" w:color="auto"/>
        <w:left w:val="none" w:sz="0" w:space="0" w:color="auto"/>
        <w:bottom w:val="none" w:sz="0" w:space="0" w:color="auto"/>
        <w:right w:val="none" w:sz="0" w:space="0" w:color="auto"/>
      </w:divBdr>
    </w:div>
    <w:div w:id="185287975">
      <w:bodyDiv w:val="1"/>
      <w:marLeft w:val="0"/>
      <w:marRight w:val="0"/>
      <w:marTop w:val="0"/>
      <w:marBottom w:val="0"/>
      <w:divBdr>
        <w:top w:val="none" w:sz="0" w:space="0" w:color="auto"/>
        <w:left w:val="none" w:sz="0" w:space="0" w:color="auto"/>
        <w:bottom w:val="none" w:sz="0" w:space="0" w:color="auto"/>
        <w:right w:val="none" w:sz="0" w:space="0" w:color="auto"/>
      </w:divBdr>
    </w:div>
    <w:div w:id="186870593">
      <w:bodyDiv w:val="1"/>
      <w:marLeft w:val="0"/>
      <w:marRight w:val="0"/>
      <w:marTop w:val="0"/>
      <w:marBottom w:val="0"/>
      <w:divBdr>
        <w:top w:val="none" w:sz="0" w:space="0" w:color="auto"/>
        <w:left w:val="none" w:sz="0" w:space="0" w:color="auto"/>
        <w:bottom w:val="none" w:sz="0" w:space="0" w:color="auto"/>
        <w:right w:val="none" w:sz="0" w:space="0" w:color="auto"/>
      </w:divBdr>
    </w:div>
    <w:div w:id="191693764">
      <w:bodyDiv w:val="1"/>
      <w:marLeft w:val="0"/>
      <w:marRight w:val="0"/>
      <w:marTop w:val="0"/>
      <w:marBottom w:val="0"/>
      <w:divBdr>
        <w:top w:val="none" w:sz="0" w:space="0" w:color="auto"/>
        <w:left w:val="none" w:sz="0" w:space="0" w:color="auto"/>
        <w:bottom w:val="none" w:sz="0" w:space="0" w:color="auto"/>
        <w:right w:val="none" w:sz="0" w:space="0" w:color="auto"/>
      </w:divBdr>
      <w:divsChild>
        <w:div w:id="1600092072">
          <w:marLeft w:val="547"/>
          <w:marRight w:val="0"/>
          <w:marTop w:val="0"/>
          <w:marBottom w:val="0"/>
          <w:divBdr>
            <w:top w:val="none" w:sz="0" w:space="0" w:color="auto"/>
            <w:left w:val="none" w:sz="0" w:space="0" w:color="auto"/>
            <w:bottom w:val="none" w:sz="0" w:space="0" w:color="auto"/>
            <w:right w:val="none" w:sz="0" w:space="0" w:color="auto"/>
          </w:divBdr>
        </w:div>
      </w:divsChild>
    </w:div>
    <w:div w:id="193077717">
      <w:bodyDiv w:val="1"/>
      <w:marLeft w:val="0"/>
      <w:marRight w:val="0"/>
      <w:marTop w:val="0"/>
      <w:marBottom w:val="0"/>
      <w:divBdr>
        <w:top w:val="none" w:sz="0" w:space="0" w:color="auto"/>
        <w:left w:val="none" w:sz="0" w:space="0" w:color="auto"/>
        <w:bottom w:val="none" w:sz="0" w:space="0" w:color="auto"/>
        <w:right w:val="none" w:sz="0" w:space="0" w:color="auto"/>
      </w:divBdr>
    </w:div>
    <w:div w:id="195167585">
      <w:bodyDiv w:val="1"/>
      <w:marLeft w:val="0"/>
      <w:marRight w:val="0"/>
      <w:marTop w:val="0"/>
      <w:marBottom w:val="0"/>
      <w:divBdr>
        <w:top w:val="none" w:sz="0" w:space="0" w:color="auto"/>
        <w:left w:val="none" w:sz="0" w:space="0" w:color="auto"/>
        <w:bottom w:val="none" w:sz="0" w:space="0" w:color="auto"/>
        <w:right w:val="none" w:sz="0" w:space="0" w:color="auto"/>
      </w:divBdr>
    </w:div>
    <w:div w:id="198471549">
      <w:bodyDiv w:val="1"/>
      <w:marLeft w:val="0"/>
      <w:marRight w:val="0"/>
      <w:marTop w:val="0"/>
      <w:marBottom w:val="0"/>
      <w:divBdr>
        <w:top w:val="none" w:sz="0" w:space="0" w:color="auto"/>
        <w:left w:val="none" w:sz="0" w:space="0" w:color="auto"/>
        <w:bottom w:val="none" w:sz="0" w:space="0" w:color="auto"/>
        <w:right w:val="none" w:sz="0" w:space="0" w:color="auto"/>
      </w:divBdr>
    </w:div>
    <w:div w:id="199710491">
      <w:bodyDiv w:val="1"/>
      <w:marLeft w:val="0"/>
      <w:marRight w:val="0"/>
      <w:marTop w:val="0"/>
      <w:marBottom w:val="0"/>
      <w:divBdr>
        <w:top w:val="none" w:sz="0" w:space="0" w:color="auto"/>
        <w:left w:val="none" w:sz="0" w:space="0" w:color="auto"/>
        <w:bottom w:val="none" w:sz="0" w:space="0" w:color="auto"/>
        <w:right w:val="none" w:sz="0" w:space="0" w:color="auto"/>
      </w:divBdr>
    </w:div>
    <w:div w:id="200826478">
      <w:bodyDiv w:val="1"/>
      <w:marLeft w:val="0"/>
      <w:marRight w:val="0"/>
      <w:marTop w:val="0"/>
      <w:marBottom w:val="0"/>
      <w:divBdr>
        <w:top w:val="none" w:sz="0" w:space="0" w:color="auto"/>
        <w:left w:val="none" w:sz="0" w:space="0" w:color="auto"/>
        <w:bottom w:val="none" w:sz="0" w:space="0" w:color="auto"/>
        <w:right w:val="none" w:sz="0" w:space="0" w:color="auto"/>
      </w:divBdr>
    </w:div>
    <w:div w:id="202862026">
      <w:bodyDiv w:val="1"/>
      <w:marLeft w:val="0"/>
      <w:marRight w:val="0"/>
      <w:marTop w:val="0"/>
      <w:marBottom w:val="0"/>
      <w:divBdr>
        <w:top w:val="none" w:sz="0" w:space="0" w:color="auto"/>
        <w:left w:val="none" w:sz="0" w:space="0" w:color="auto"/>
        <w:bottom w:val="none" w:sz="0" w:space="0" w:color="auto"/>
        <w:right w:val="none" w:sz="0" w:space="0" w:color="auto"/>
      </w:divBdr>
    </w:div>
    <w:div w:id="203950262">
      <w:bodyDiv w:val="1"/>
      <w:marLeft w:val="0"/>
      <w:marRight w:val="0"/>
      <w:marTop w:val="0"/>
      <w:marBottom w:val="0"/>
      <w:divBdr>
        <w:top w:val="none" w:sz="0" w:space="0" w:color="auto"/>
        <w:left w:val="none" w:sz="0" w:space="0" w:color="auto"/>
        <w:bottom w:val="none" w:sz="0" w:space="0" w:color="auto"/>
        <w:right w:val="none" w:sz="0" w:space="0" w:color="auto"/>
      </w:divBdr>
    </w:div>
    <w:div w:id="204216678">
      <w:bodyDiv w:val="1"/>
      <w:marLeft w:val="0"/>
      <w:marRight w:val="0"/>
      <w:marTop w:val="0"/>
      <w:marBottom w:val="0"/>
      <w:divBdr>
        <w:top w:val="none" w:sz="0" w:space="0" w:color="auto"/>
        <w:left w:val="none" w:sz="0" w:space="0" w:color="auto"/>
        <w:bottom w:val="none" w:sz="0" w:space="0" w:color="auto"/>
        <w:right w:val="none" w:sz="0" w:space="0" w:color="auto"/>
      </w:divBdr>
    </w:div>
    <w:div w:id="206576325">
      <w:bodyDiv w:val="1"/>
      <w:marLeft w:val="0"/>
      <w:marRight w:val="0"/>
      <w:marTop w:val="0"/>
      <w:marBottom w:val="0"/>
      <w:divBdr>
        <w:top w:val="none" w:sz="0" w:space="0" w:color="auto"/>
        <w:left w:val="none" w:sz="0" w:space="0" w:color="auto"/>
        <w:bottom w:val="none" w:sz="0" w:space="0" w:color="auto"/>
        <w:right w:val="none" w:sz="0" w:space="0" w:color="auto"/>
      </w:divBdr>
    </w:div>
    <w:div w:id="207886411">
      <w:bodyDiv w:val="1"/>
      <w:marLeft w:val="0"/>
      <w:marRight w:val="0"/>
      <w:marTop w:val="0"/>
      <w:marBottom w:val="0"/>
      <w:divBdr>
        <w:top w:val="none" w:sz="0" w:space="0" w:color="auto"/>
        <w:left w:val="none" w:sz="0" w:space="0" w:color="auto"/>
        <w:bottom w:val="none" w:sz="0" w:space="0" w:color="auto"/>
        <w:right w:val="none" w:sz="0" w:space="0" w:color="auto"/>
      </w:divBdr>
    </w:div>
    <w:div w:id="211842662">
      <w:bodyDiv w:val="1"/>
      <w:marLeft w:val="0"/>
      <w:marRight w:val="0"/>
      <w:marTop w:val="0"/>
      <w:marBottom w:val="0"/>
      <w:divBdr>
        <w:top w:val="none" w:sz="0" w:space="0" w:color="auto"/>
        <w:left w:val="none" w:sz="0" w:space="0" w:color="auto"/>
        <w:bottom w:val="none" w:sz="0" w:space="0" w:color="auto"/>
        <w:right w:val="none" w:sz="0" w:space="0" w:color="auto"/>
      </w:divBdr>
    </w:div>
    <w:div w:id="213855395">
      <w:bodyDiv w:val="1"/>
      <w:marLeft w:val="0"/>
      <w:marRight w:val="0"/>
      <w:marTop w:val="0"/>
      <w:marBottom w:val="0"/>
      <w:divBdr>
        <w:top w:val="none" w:sz="0" w:space="0" w:color="auto"/>
        <w:left w:val="none" w:sz="0" w:space="0" w:color="auto"/>
        <w:bottom w:val="none" w:sz="0" w:space="0" w:color="auto"/>
        <w:right w:val="none" w:sz="0" w:space="0" w:color="auto"/>
      </w:divBdr>
    </w:div>
    <w:div w:id="214707519">
      <w:bodyDiv w:val="1"/>
      <w:marLeft w:val="0"/>
      <w:marRight w:val="0"/>
      <w:marTop w:val="0"/>
      <w:marBottom w:val="0"/>
      <w:divBdr>
        <w:top w:val="none" w:sz="0" w:space="0" w:color="auto"/>
        <w:left w:val="none" w:sz="0" w:space="0" w:color="auto"/>
        <w:bottom w:val="none" w:sz="0" w:space="0" w:color="auto"/>
        <w:right w:val="none" w:sz="0" w:space="0" w:color="auto"/>
      </w:divBdr>
    </w:div>
    <w:div w:id="215434147">
      <w:bodyDiv w:val="1"/>
      <w:marLeft w:val="0"/>
      <w:marRight w:val="0"/>
      <w:marTop w:val="0"/>
      <w:marBottom w:val="0"/>
      <w:divBdr>
        <w:top w:val="none" w:sz="0" w:space="0" w:color="auto"/>
        <w:left w:val="none" w:sz="0" w:space="0" w:color="auto"/>
        <w:bottom w:val="none" w:sz="0" w:space="0" w:color="auto"/>
        <w:right w:val="none" w:sz="0" w:space="0" w:color="auto"/>
      </w:divBdr>
      <w:divsChild>
        <w:div w:id="321472303">
          <w:marLeft w:val="274"/>
          <w:marRight w:val="0"/>
          <w:marTop w:val="0"/>
          <w:marBottom w:val="0"/>
          <w:divBdr>
            <w:top w:val="none" w:sz="0" w:space="0" w:color="auto"/>
            <w:left w:val="none" w:sz="0" w:space="0" w:color="auto"/>
            <w:bottom w:val="none" w:sz="0" w:space="0" w:color="auto"/>
            <w:right w:val="none" w:sz="0" w:space="0" w:color="auto"/>
          </w:divBdr>
        </w:div>
        <w:div w:id="621956386">
          <w:marLeft w:val="274"/>
          <w:marRight w:val="0"/>
          <w:marTop w:val="0"/>
          <w:marBottom w:val="0"/>
          <w:divBdr>
            <w:top w:val="none" w:sz="0" w:space="0" w:color="auto"/>
            <w:left w:val="none" w:sz="0" w:space="0" w:color="auto"/>
            <w:bottom w:val="none" w:sz="0" w:space="0" w:color="auto"/>
            <w:right w:val="none" w:sz="0" w:space="0" w:color="auto"/>
          </w:divBdr>
        </w:div>
        <w:div w:id="956378370">
          <w:marLeft w:val="274"/>
          <w:marRight w:val="0"/>
          <w:marTop w:val="0"/>
          <w:marBottom w:val="0"/>
          <w:divBdr>
            <w:top w:val="none" w:sz="0" w:space="0" w:color="auto"/>
            <w:left w:val="none" w:sz="0" w:space="0" w:color="auto"/>
            <w:bottom w:val="none" w:sz="0" w:space="0" w:color="auto"/>
            <w:right w:val="none" w:sz="0" w:space="0" w:color="auto"/>
          </w:divBdr>
        </w:div>
        <w:div w:id="983702850">
          <w:marLeft w:val="274"/>
          <w:marRight w:val="0"/>
          <w:marTop w:val="0"/>
          <w:marBottom w:val="0"/>
          <w:divBdr>
            <w:top w:val="none" w:sz="0" w:space="0" w:color="auto"/>
            <w:left w:val="none" w:sz="0" w:space="0" w:color="auto"/>
            <w:bottom w:val="none" w:sz="0" w:space="0" w:color="auto"/>
            <w:right w:val="none" w:sz="0" w:space="0" w:color="auto"/>
          </w:divBdr>
        </w:div>
        <w:div w:id="1870951979">
          <w:marLeft w:val="274"/>
          <w:marRight w:val="0"/>
          <w:marTop w:val="0"/>
          <w:marBottom w:val="0"/>
          <w:divBdr>
            <w:top w:val="none" w:sz="0" w:space="0" w:color="auto"/>
            <w:left w:val="none" w:sz="0" w:space="0" w:color="auto"/>
            <w:bottom w:val="none" w:sz="0" w:space="0" w:color="auto"/>
            <w:right w:val="none" w:sz="0" w:space="0" w:color="auto"/>
          </w:divBdr>
        </w:div>
        <w:div w:id="1970698184">
          <w:marLeft w:val="274"/>
          <w:marRight w:val="0"/>
          <w:marTop w:val="0"/>
          <w:marBottom w:val="0"/>
          <w:divBdr>
            <w:top w:val="none" w:sz="0" w:space="0" w:color="auto"/>
            <w:left w:val="none" w:sz="0" w:space="0" w:color="auto"/>
            <w:bottom w:val="none" w:sz="0" w:space="0" w:color="auto"/>
            <w:right w:val="none" w:sz="0" w:space="0" w:color="auto"/>
          </w:divBdr>
        </w:div>
      </w:divsChild>
    </w:div>
    <w:div w:id="215750719">
      <w:bodyDiv w:val="1"/>
      <w:marLeft w:val="0"/>
      <w:marRight w:val="0"/>
      <w:marTop w:val="0"/>
      <w:marBottom w:val="0"/>
      <w:divBdr>
        <w:top w:val="none" w:sz="0" w:space="0" w:color="auto"/>
        <w:left w:val="none" w:sz="0" w:space="0" w:color="auto"/>
        <w:bottom w:val="none" w:sz="0" w:space="0" w:color="auto"/>
        <w:right w:val="none" w:sz="0" w:space="0" w:color="auto"/>
      </w:divBdr>
    </w:div>
    <w:div w:id="216741471">
      <w:bodyDiv w:val="1"/>
      <w:marLeft w:val="0"/>
      <w:marRight w:val="0"/>
      <w:marTop w:val="0"/>
      <w:marBottom w:val="0"/>
      <w:divBdr>
        <w:top w:val="none" w:sz="0" w:space="0" w:color="auto"/>
        <w:left w:val="none" w:sz="0" w:space="0" w:color="auto"/>
        <w:bottom w:val="none" w:sz="0" w:space="0" w:color="auto"/>
        <w:right w:val="none" w:sz="0" w:space="0" w:color="auto"/>
      </w:divBdr>
    </w:div>
    <w:div w:id="218902871">
      <w:bodyDiv w:val="1"/>
      <w:marLeft w:val="0"/>
      <w:marRight w:val="0"/>
      <w:marTop w:val="0"/>
      <w:marBottom w:val="0"/>
      <w:divBdr>
        <w:top w:val="none" w:sz="0" w:space="0" w:color="auto"/>
        <w:left w:val="none" w:sz="0" w:space="0" w:color="auto"/>
        <w:bottom w:val="none" w:sz="0" w:space="0" w:color="auto"/>
        <w:right w:val="none" w:sz="0" w:space="0" w:color="auto"/>
      </w:divBdr>
    </w:div>
    <w:div w:id="221643647">
      <w:bodyDiv w:val="1"/>
      <w:marLeft w:val="0"/>
      <w:marRight w:val="0"/>
      <w:marTop w:val="0"/>
      <w:marBottom w:val="0"/>
      <w:divBdr>
        <w:top w:val="none" w:sz="0" w:space="0" w:color="auto"/>
        <w:left w:val="none" w:sz="0" w:space="0" w:color="auto"/>
        <w:bottom w:val="none" w:sz="0" w:space="0" w:color="auto"/>
        <w:right w:val="none" w:sz="0" w:space="0" w:color="auto"/>
      </w:divBdr>
    </w:div>
    <w:div w:id="228737113">
      <w:bodyDiv w:val="1"/>
      <w:marLeft w:val="0"/>
      <w:marRight w:val="0"/>
      <w:marTop w:val="0"/>
      <w:marBottom w:val="0"/>
      <w:divBdr>
        <w:top w:val="none" w:sz="0" w:space="0" w:color="auto"/>
        <w:left w:val="none" w:sz="0" w:space="0" w:color="auto"/>
        <w:bottom w:val="none" w:sz="0" w:space="0" w:color="auto"/>
        <w:right w:val="none" w:sz="0" w:space="0" w:color="auto"/>
      </w:divBdr>
    </w:div>
    <w:div w:id="236936709">
      <w:bodyDiv w:val="1"/>
      <w:marLeft w:val="0"/>
      <w:marRight w:val="0"/>
      <w:marTop w:val="0"/>
      <w:marBottom w:val="0"/>
      <w:divBdr>
        <w:top w:val="none" w:sz="0" w:space="0" w:color="auto"/>
        <w:left w:val="none" w:sz="0" w:space="0" w:color="auto"/>
        <w:bottom w:val="none" w:sz="0" w:space="0" w:color="auto"/>
        <w:right w:val="none" w:sz="0" w:space="0" w:color="auto"/>
      </w:divBdr>
    </w:div>
    <w:div w:id="238028669">
      <w:bodyDiv w:val="1"/>
      <w:marLeft w:val="0"/>
      <w:marRight w:val="0"/>
      <w:marTop w:val="0"/>
      <w:marBottom w:val="0"/>
      <w:divBdr>
        <w:top w:val="none" w:sz="0" w:space="0" w:color="auto"/>
        <w:left w:val="none" w:sz="0" w:space="0" w:color="auto"/>
        <w:bottom w:val="none" w:sz="0" w:space="0" w:color="auto"/>
        <w:right w:val="none" w:sz="0" w:space="0" w:color="auto"/>
      </w:divBdr>
    </w:div>
    <w:div w:id="238901962">
      <w:bodyDiv w:val="1"/>
      <w:marLeft w:val="0"/>
      <w:marRight w:val="0"/>
      <w:marTop w:val="0"/>
      <w:marBottom w:val="0"/>
      <w:divBdr>
        <w:top w:val="none" w:sz="0" w:space="0" w:color="auto"/>
        <w:left w:val="none" w:sz="0" w:space="0" w:color="auto"/>
        <w:bottom w:val="none" w:sz="0" w:space="0" w:color="auto"/>
        <w:right w:val="none" w:sz="0" w:space="0" w:color="auto"/>
      </w:divBdr>
    </w:div>
    <w:div w:id="240138409">
      <w:bodyDiv w:val="1"/>
      <w:marLeft w:val="0"/>
      <w:marRight w:val="0"/>
      <w:marTop w:val="0"/>
      <w:marBottom w:val="0"/>
      <w:divBdr>
        <w:top w:val="none" w:sz="0" w:space="0" w:color="auto"/>
        <w:left w:val="none" w:sz="0" w:space="0" w:color="auto"/>
        <w:bottom w:val="none" w:sz="0" w:space="0" w:color="auto"/>
        <w:right w:val="none" w:sz="0" w:space="0" w:color="auto"/>
      </w:divBdr>
    </w:div>
    <w:div w:id="242762929">
      <w:bodyDiv w:val="1"/>
      <w:marLeft w:val="0"/>
      <w:marRight w:val="0"/>
      <w:marTop w:val="0"/>
      <w:marBottom w:val="0"/>
      <w:divBdr>
        <w:top w:val="none" w:sz="0" w:space="0" w:color="auto"/>
        <w:left w:val="none" w:sz="0" w:space="0" w:color="auto"/>
        <w:bottom w:val="none" w:sz="0" w:space="0" w:color="auto"/>
        <w:right w:val="none" w:sz="0" w:space="0" w:color="auto"/>
      </w:divBdr>
    </w:div>
    <w:div w:id="244072979">
      <w:bodyDiv w:val="1"/>
      <w:marLeft w:val="0"/>
      <w:marRight w:val="0"/>
      <w:marTop w:val="0"/>
      <w:marBottom w:val="0"/>
      <w:divBdr>
        <w:top w:val="none" w:sz="0" w:space="0" w:color="auto"/>
        <w:left w:val="none" w:sz="0" w:space="0" w:color="auto"/>
        <w:bottom w:val="none" w:sz="0" w:space="0" w:color="auto"/>
        <w:right w:val="none" w:sz="0" w:space="0" w:color="auto"/>
      </w:divBdr>
    </w:div>
    <w:div w:id="245841279">
      <w:bodyDiv w:val="1"/>
      <w:marLeft w:val="0"/>
      <w:marRight w:val="0"/>
      <w:marTop w:val="0"/>
      <w:marBottom w:val="0"/>
      <w:divBdr>
        <w:top w:val="none" w:sz="0" w:space="0" w:color="auto"/>
        <w:left w:val="none" w:sz="0" w:space="0" w:color="auto"/>
        <w:bottom w:val="none" w:sz="0" w:space="0" w:color="auto"/>
        <w:right w:val="none" w:sz="0" w:space="0" w:color="auto"/>
      </w:divBdr>
    </w:div>
    <w:div w:id="245916433">
      <w:bodyDiv w:val="1"/>
      <w:marLeft w:val="0"/>
      <w:marRight w:val="0"/>
      <w:marTop w:val="0"/>
      <w:marBottom w:val="0"/>
      <w:divBdr>
        <w:top w:val="none" w:sz="0" w:space="0" w:color="auto"/>
        <w:left w:val="none" w:sz="0" w:space="0" w:color="auto"/>
        <w:bottom w:val="none" w:sz="0" w:space="0" w:color="auto"/>
        <w:right w:val="none" w:sz="0" w:space="0" w:color="auto"/>
      </w:divBdr>
    </w:div>
    <w:div w:id="247812421">
      <w:bodyDiv w:val="1"/>
      <w:marLeft w:val="0"/>
      <w:marRight w:val="0"/>
      <w:marTop w:val="0"/>
      <w:marBottom w:val="0"/>
      <w:divBdr>
        <w:top w:val="none" w:sz="0" w:space="0" w:color="auto"/>
        <w:left w:val="none" w:sz="0" w:space="0" w:color="auto"/>
        <w:bottom w:val="none" w:sz="0" w:space="0" w:color="auto"/>
        <w:right w:val="none" w:sz="0" w:space="0" w:color="auto"/>
      </w:divBdr>
    </w:div>
    <w:div w:id="248465209">
      <w:bodyDiv w:val="1"/>
      <w:marLeft w:val="0"/>
      <w:marRight w:val="0"/>
      <w:marTop w:val="0"/>
      <w:marBottom w:val="0"/>
      <w:divBdr>
        <w:top w:val="none" w:sz="0" w:space="0" w:color="auto"/>
        <w:left w:val="none" w:sz="0" w:space="0" w:color="auto"/>
        <w:bottom w:val="none" w:sz="0" w:space="0" w:color="auto"/>
        <w:right w:val="none" w:sz="0" w:space="0" w:color="auto"/>
      </w:divBdr>
    </w:div>
    <w:div w:id="250049998">
      <w:bodyDiv w:val="1"/>
      <w:marLeft w:val="0"/>
      <w:marRight w:val="0"/>
      <w:marTop w:val="0"/>
      <w:marBottom w:val="0"/>
      <w:divBdr>
        <w:top w:val="none" w:sz="0" w:space="0" w:color="auto"/>
        <w:left w:val="none" w:sz="0" w:space="0" w:color="auto"/>
        <w:bottom w:val="none" w:sz="0" w:space="0" w:color="auto"/>
        <w:right w:val="none" w:sz="0" w:space="0" w:color="auto"/>
      </w:divBdr>
    </w:div>
    <w:div w:id="250282714">
      <w:bodyDiv w:val="1"/>
      <w:marLeft w:val="0"/>
      <w:marRight w:val="0"/>
      <w:marTop w:val="0"/>
      <w:marBottom w:val="0"/>
      <w:divBdr>
        <w:top w:val="none" w:sz="0" w:space="0" w:color="auto"/>
        <w:left w:val="none" w:sz="0" w:space="0" w:color="auto"/>
        <w:bottom w:val="none" w:sz="0" w:space="0" w:color="auto"/>
        <w:right w:val="none" w:sz="0" w:space="0" w:color="auto"/>
      </w:divBdr>
    </w:div>
    <w:div w:id="255751726">
      <w:bodyDiv w:val="1"/>
      <w:marLeft w:val="0"/>
      <w:marRight w:val="0"/>
      <w:marTop w:val="0"/>
      <w:marBottom w:val="0"/>
      <w:divBdr>
        <w:top w:val="none" w:sz="0" w:space="0" w:color="auto"/>
        <w:left w:val="none" w:sz="0" w:space="0" w:color="auto"/>
        <w:bottom w:val="none" w:sz="0" w:space="0" w:color="auto"/>
        <w:right w:val="none" w:sz="0" w:space="0" w:color="auto"/>
      </w:divBdr>
    </w:div>
    <w:div w:id="257056824">
      <w:bodyDiv w:val="1"/>
      <w:marLeft w:val="0"/>
      <w:marRight w:val="0"/>
      <w:marTop w:val="0"/>
      <w:marBottom w:val="0"/>
      <w:divBdr>
        <w:top w:val="none" w:sz="0" w:space="0" w:color="auto"/>
        <w:left w:val="none" w:sz="0" w:space="0" w:color="auto"/>
        <w:bottom w:val="none" w:sz="0" w:space="0" w:color="auto"/>
        <w:right w:val="none" w:sz="0" w:space="0" w:color="auto"/>
      </w:divBdr>
    </w:div>
    <w:div w:id="266501074">
      <w:bodyDiv w:val="1"/>
      <w:marLeft w:val="0"/>
      <w:marRight w:val="0"/>
      <w:marTop w:val="0"/>
      <w:marBottom w:val="0"/>
      <w:divBdr>
        <w:top w:val="none" w:sz="0" w:space="0" w:color="auto"/>
        <w:left w:val="none" w:sz="0" w:space="0" w:color="auto"/>
        <w:bottom w:val="none" w:sz="0" w:space="0" w:color="auto"/>
        <w:right w:val="none" w:sz="0" w:space="0" w:color="auto"/>
      </w:divBdr>
    </w:div>
    <w:div w:id="267782521">
      <w:bodyDiv w:val="1"/>
      <w:marLeft w:val="0"/>
      <w:marRight w:val="0"/>
      <w:marTop w:val="0"/>
      <w:marBottom w:val="0"/>
      <w:divBdr>
        <w:top w:val="none" w:sz="0" w:space="0" w:color="auto"/>
        <w:left w:val="none" w:sz="0" w:space="0" w:color="auto"/>
        <w:bottom w:val="none" w:sz="0" w:space="0" w:color="auto"/>
        <w:right w:val="none" w:sz="0" w:space="0" w:color="auto"/>
      </w:divBdr>
      <w:divsChild>
        <w:div w:id="950556188">
          <w:marLeft w:val="0"/>
          <w:marRight w:val="0"/>
          <w:marTop w:val="0"/>
          <w:marBottom w:val="0"/>
          <w:divBdr>
            <w:top w:val="none" w:sz="0" w:space="0" w:color="auto"/>
            <w:left w:val="none" w:sz="0" w:space="0" w:color="auto"/>
            <w:bottom w:val="none" w:sz="0" w:space="0" w:color="auto"/>
            <w:right w:val="none" w:sz="0" w:space="0" w:color="auto"/>
          </w:divBdr>
        </w:div>
        <w:div w:id="1194727912">
          <w:marLeft w:val="0"/>
          <w:marRight w:val="0"/>
          <w:marTop w:val="0"/>
          <w:marBottom w:val="0"/>
          <w:divBdr>
            <w:top w:val="none" w:sz="0" w:space="0" w:color="auto"/>
            <w:left w:val="none" w:sz="0" w:space="0" w:color="auto"/>
            <w:bottom w:val="none" w:sz="0" w:space="0" w:color="auto"/>
            <w:right w:val="none" w:sz="0" w:space="0" w:color="auto"/>
          </w:divBdr>
        </w:div>
        <w:div w:id="1904169607">
          <w:marLeft w:val="0"/>
          <w:marRight w:val="0"/>
          <w:marTop w:val="0"/>
          <w:marBottom w:val="0"/>
          <w:divBdr>
            <w:top w:val="none" w:sz="0" w:space="0" w:color="auto"/>
            <w:left w:val="none" w:sz="0" w:space="0" w:color="auto"/>
            <w:bottom w:val="none" w:sz="0" w:space="0" w:color="auto"/>
            <w:right w:val="none" w:sz="0" w:space="0" w:color="auto"/>
          </w:divBdr>
        </w:div>
      </w:divsChild>
    </w:div>
    <w:div w:id="268438191">
      <w:bodyDiv w:val="1"/>
      <w:marLeft w:val="0"/>
      <w:marRight w:val="0"/>
      <w:marTop w:val="0"/>
      <w:marBottom w:val="0"/>
      <w:divBdr>
        <w:top w:val="none" w:sz="0" w:space="0" w:color="auto"/>
        <w:left w:val="none" w:sz="0" w:space="0" w:color="auto"/>
        <w:bottom w:val="none" w:sz="0" w:space="0" w:color="auto"/>
        <w:right w:val="none" w:sz="0" w:space="0" w:color="auto"/>
      </w:divBdr>
    </w:div>
    <w:div w:id="269508952">
      <w:bodyDiv w:val="1"/>
      <w:marLeft w:val="0"/>
      <w:marRight w:val="0"/>
      <w:marTop w:val="0"/>
      <w:marBottom w:val="0"/>
      <w:divBdr>
        <w:top w:val="none" w:sz="0" w:space="0" w:color="auto"/>
        <w:left w:val="none" w:sz="0" w:space="0" w:color="auto"/>
        <w:bottom w:val="none" w:sz="0" w:space="0" w:color="auto"/>
        <w:right w:val="none" w:sz="0" w:space="0" w:color="auto"/>
      </w:divBdr>
    </w:div>
    <w:div w:id="271941484">
      <w:bodyDiv w:val="1"/>
      <w:marLeft w:val="0"/>
      <w:marRight w:val="0"/>
      <w:marTop w:val="0"/>
      <w:marBottom w:val="0"/>
      <w:divBdr>
        <w:top w:val="none" w:sz="0" w:space="0" w:color="auto"/>
        <w:left w:val="none" w:sz="0" w:space="0" w:color="auto"/>
        <w:bottom w:val="none" w:sz="0" w:space="0" w:color="auto"/>
        <w:right w:val="none" w:sz="0" w:space="0" w:color="auto"/>
      </w:divBdr>
    </w:div>
    <w:div w:id="273368411">
      <w:bodyDiv w:val="1"/>
      <w:marLeft w:val="0"/>
      <w:marRight w:val="0"/>
      <w:marTop w:val="0"/>
      <w:marBottom w:val="0"/>
      <w:divBdr>
        <w:top w:val="none" w:sz="0" w:space="0" w:color="auto"/>
        <w:left w:val="none" w:sz="0" w:space="0" w:color="auto"/>
        <w:bottom w:val="none" w:sz="0" w:space="0" w:color="auto"/>
        <w:right w:val="none" w:sz="0" w:space="0" w:color="auto"/>
      </w:divBdr>
    </w:div>
    <w:div w:id="275068199">
      <w:bodyDiv w:val="1"/>
      <w:marLeft w:val="0"/>
      <w:marRight w:val="0"/>
      <w:marTop w:val="0"/>
      <w:marBottom w:val="0"/>
      <w:divBdr>
        <w:top w:val="none" w:sz="0" w:space="0" w:color="auto"/>
        <w:left w:val="none" w:sz="0" w:space="0" w:color="auto"/>
        <w:bottom w:val="none" w:sz="0" w:space="0" w:color="auto"/>
        <w:right w:val="none" w:sz="0" w:space="0" w:color="auto"/>
      </w:divBdr>
    </w:div>
    <w:div w:id="277303589">
      <w:bodyDiv w:val="1"/>
      <w:marLeft w:val="0"/>
      <w:marRight w:val="0"/>
      <w:marTop w:val="0"/>
      <w:marBottom w:val="0"/>
      <w:divBdr>
        <w:top w:val="none" w:sz="0" w:space="0" w:color="auto"/>
        <w:left w:val="none" w:sz="0" w:space="0" w:color="auto"/>
        <w:bottom w:val="none" w:sz="0" w:space="0" w:color="auto"/>
        <w:right w:val="none" w:sz="0" w:space="0" w:color="auto"/>
      </w:divBdr>
    </w:div>
    <w:div w:id="279648774">
      <w:bodyDiv w:val="1"/>
      <w:marLeft w:val="0"/>
      <w:marRight w:val="0"/>
      <w:marTop w:val="0"/>
      <w:marBottom w:val="0"/>
      <w:divBdr>
        <w:top w:val="none" w:sz="0" w:space="0" w:color="auto"/>
        <w:left w:val="none" w:sz="0" w:space="0" w:color="auto"/>
        <w:bottom w:val="none" w:sz="0" w:space="0" w:color="auto"/>
        <w:right w:val="none" w:sz="0" w:space="0" w:color="auto"/>
      </w:divBdr>
    </w:div>
    <w:div w:id="282230174">
      <w:bodyDiv w:val="1"/>
      <w:marLeft w:val="0"/>
      <w:marRight w:val="0"/>
      <w:marTop w:val="0"/>
      <w:marBottom w:val="0"/>
      <w:divBdr>
        <w:top w:val="none" w:sz="0" w:space="0" w:color="auto"/>
        <w:left w:val="none" w:sz="0" w:space="0" w:color="auto"/>
        <w:bottom w:val="none" w:sz="0" w:space="0" w:color="auto"/>
        <w:right w:val="none" w:sz="0" w:space="0" w:color="auto"/>
      </w:divBdr>
    </w:div>
    <w:div w:id="284428291">
      <w:bodyDiv w:val="1"/>
      <w:marLeft w:val="0"/>
      <w:marRight w:val="0"/>
      <w:marTop w:val="0"/>
      <w:marBottom w:val="0"/>
      <w:divBdr>
        <w:top w:val="none" w:sz="0" w:space="0" w:color="auto"/>
        <w:left w:val="none" w:sz="0" w:space="0" w:color="auto"/>
        <w:bottom w:val="none" w:sz="0" w:space="0" w:color="auto"/>
        <w:right w:val="none" w:sz="0" w:space="0" w:color="auto"/>
      </w:divBdr>
    </w:div>
    <w:div w:id="285309147">
      <w:bodyDiv w:val="1"/>
      <w:marLeft w:val="0"/>
      <w:marRight w:val="0"/>
      <w:marTop w:val="0"/>
      <w:marBottom w:val="0"/>
      <w:divBdr>
        <w:top w:val="none" w:sz="0" w:space="0" w:color="auto"/>
        <w:left w:val="none" w:sz="0" w:space="0" w:color="auto"/>
        <w:bottom w:val="none" w:sz="0" w:space="0" w:color="auto"/>
        <w:right w:val="none" w:sz="0" w:space="0" w:color="auto"/>
      </w:divBdr>
    </w:div>
    <w:div w:id="286131242">
      <w:bodyDiv w:val="1"/>
      <w:marLeft w:val="0"/>
      <w:marRight w:val="0"/>
      <w:marTop w:val="0"/>
      <w:marBottom w:val="0"/>
      <w:divBdr>
        <w:top w:val="none" w:sz="0" w:space="0" w:color="auto"/>
        <w:left w:val="none" w:sz="0" w:space="0" w:color="auto"/>
        <w:bottom w:val="none" w:sz="0" w:space="0" w:color="auto"/>
        <w:right w:val="none" w:sz="0" w:space="0" w:color="auto"/>
      </w:divBdr>
    </w:div>
    <w:div w:id="286351271">
      <w:bodyDiv w:val="1"/>
      <w:marLeft w:val="0"/>
      <w:marRight w:val="0"/>
      <w:marTop w:val="0"/>
      <w:marBottom w:val="0"/>
      <w:divBdr>
        <w:top w:val="none" w:sz="0" w:space="0" w:color="auto"/>
        <w:left w:val="none" w:sz="0" w:space="0" w:color="auto"/>
        <w:bottom w:val="none" w:sz="0" w:space="0" w:color="auto"/>
        <w:right w:val="none" w:sz="0" w:space="0" w:color="auto"/>
      </w:divBdr>
      <w:divsChild>
        <w:div w:id="2144425890">
          <w:marLeft w:val="0"/>
          <w:marRight w:val="0"/>
          <w:marTop w:val="100"/>
          <w:marBottom w:val="100"/>
          <w:divBdr>
            <w:top w:val="none" w:sz="0" w:space="0" w:color="auto"/>
            <w:left w:val="single" w:sz="6" w:space="0" w:color="8E8F92"/>
            <w:bottom w:val="none" w:sz="0" w:space="0" w:color="auto"/>
            <w:right w:val="single" w:sz="6" w:space="0" w:color="8E8F92"/>
          </w:divBdr>
          <w:divsChild>
            <w:div w:id="887569909">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287900245">
      <w:bodyDiv w:val="1"/>
      <w:marLeft w:val="0"/>
      <w:marRight w:val="0"/>
      <w:marTop w:val="0"/>
      <w:marBottom w:val="0"/>
      <w:divBdr>
        <w:top w:val="none" w:sz="0" w:space="0" w:color="auto"/>
        <w:left w:val="none" w:sz="0" w:space="0" w:color="auto"/>
        <w:bottom w:val="none" w:sz="0" w:space="0" w:color="auto"/>
        <w:right w:val="none" w:sz="0" w:space="0" w:color="auto"/>
      </w:divBdr>
    </w:div>
    <w:div w:id="288516399">
      <w:bodyDiv w:val="1"/>
      <w:marLeft w:val="0"/>
      <w:marRight w:val="0"/>
      <w:marTop w:val="0"/>
      <w:marBottom w:val="0"/>
      <w:divBdr>
        <w:top w:val="none" w:sz="0" w:space="0" w:color="auto"/>
        <w:left w:val="none" w:sz="0" w:space="0" w:color="auto"/>
        <w:bottom w:val="none" w:sz="0" w:space="0" w:color="auto"/>
        <w:right w:val="none" w:sz="0" w:space="0" w:color="auto"/>
      </w:divBdr>
    </w:div>
    <w:div w:id="289554562">
      <w:bodyDiv w:val="1"/>
      <w:marLeft w:val="0"/>
      <w:marRight w:val="0"/>
      <w:marTop w:val="0"/>
      <w:marBottom w:val="0"/>
      <w:divBdr>
        <w:top w:val="none" w:sz="0" w:space="0" w:color="auto"/>
        <w:left w:val="none" w:sz="0" w:space="0" w:color="auto"/>
        <w:bottom w:val="none" w:sz="0" w:space="0" w:color="auto"/>
        <w:right w:val="none" w:sz="0" w:space="0" w:color="auto"/>
      </w:divBdr>
    </w:div>
    <w:div w:id="290986703">
      <w:bodyDiv w:val="1"/>
      <w:marLeft w:val="0"/>
      <w:marRight w:val="0"/>
      <w:marTop w:val="0"/>
      <w:marBottom w:val="0"/>
      <w:divBdr>
        <w:top w:val="none" w:sz="0" w:space="0" w:color="auto"/>
        <w:left w:val="none" w:sz="0" w:space="0" w:color="auto"/>
        <w:bottom w:val="none" w:sz="0" w:space="0" w:color="auto"/>
        <w:right w:val="none" w:sz="0" w:space="0" w:color="auto"/>
      </w:divBdr>
    </w:div>
    <w:div w:id="291450416">
      <w:bodyDiv w:val="1"/>
      <w:marLeft w:val="0"/>
      <w:marRight w:val="0"/>
      <w:marTop w:val="0"/>
      <w:marBottom w:val="0"/>
      <w:divBdr>
        <w:top w:val="none" w:sz="0" w:space="0" w:color="auto"/>
        <w:left w:val="none" w:sz="0" w:space="0" w:color="auto"/>
        <w:bottom w:val="none" w:sz="0" w:space="0" w:color="auto"/>
        <w:right w:val="none" w:sz="0" w:space="0" w:color="auto"/>
      </w:divBdr>
    </w:div>
    <w:div w:id="292250328">
      <w:bodyDiv w:val="1"/>
      <w:marLeft w:val="0"/>
      <w:marRight w:val="0"/>
      <w:marTop w:val="0"/>
      <w:marBottom w:val="0"/>
      <w:divBdr>
        <w:top w:val="none" w:sz="0" w:space="0" w:color="auto"/>
        <w:left w:val="none" w:sz="0" w:space="0" w:color="auto"/>
        <w:bottom w:val="none" w:sz="0" w:space="0" w:color="auto"/>
        <w:right w:val="none" w:sz="0" w:space="0" w:color="auto"/>
      </w:divBdr>
    </w:div>
    <w:div w:id="293101514">
      <w:bodyDiv w:val="1"/>
      <w:marLeft w:val="0"/>
      <w:marRight w:val="0"/>
      <w:marTop w:val="0"/>
      <w:marBottom w:val="0"/>
      <w:divBdr>
        <w:top w:val="none" w:sz="0" w:space="0" w:color="auto"/>
        <w:left w:val="none" w:sz="0" w:space="0" w:color="auto"/>
        <w:bottom w:val="none" w:sz="0" w:space="0" w:color="auto"/>
        <w:right w:val="none" w:sz="0" w:space="0" w:color="auto"/>
      </w:divBdr>
    </w:div>
    <w:div w:id="293869570">
      <w:bodyDiv w:val="1"/>
      <w:marLeft w:val="0"/>
      <w:marRight w:val="0"/>
      <w:marTop w:val="0"/>
      <w:marBottom w:val="0"/>
      <w:divBdr>
        <w:top w:val="none" w:sz="0" w:space="0" w:color="auto"/>
        <w:left w:val="none" w:sz="0" w:space="0" w:color="auto"/>
        <w:bottom w:val="none" w:sz="0" w:space="0" w:color="auto"/>
        <w:right w:val="none" w:sz="0" w:space="0" w:color="auto"/>
      </w:divBdr>
    </w:div>
    <w:div w:id="295599729">
      <w:bodyDiv w:val="1"/>
      <w:marLeft w:val="0"/>
      <w:marRight w:val="0"/>
      <w:marTop w:val="0"/>
      <w:marBottom w:val="0"/>
      <w:divBdr>
        <w:top w:val="none" w:sz="0" w:space="0" w:color="auto"/>
        <w:left w:val="none" w:sz="0" w:space="0" w:color="auto"/>
        <w:bottom w:val="none" w:sz="0" w:space="0" w:color="auto"/>
        <w:right w:val="none" w:sz="0" w:space="0" w:color="auto"/>
      </w:divBdr>
      <w:divsChild>
        <w:div w:id="1006321188">
          <w:marLeft w:val="547"/>
          <w:marRight w:val="0"/>
          <w:marTop w:val="0"/>
          <w:marBottom w:val="0"/>
          <w:divBdr>
            <w:top w:val="none" w:sz="0" w:space="0" w:color="auto"/>
            <w:left w:val="none" w:sz="0" w:space="0" w:color="auto"/>
            <w:bottom w:val="none" w:sz="0" w:space="0" w:color="auto"/>
            <w:right w:val="none" w:sz="0" w:space="0" w:color="auto"/>
          </w:divBdr>
        </w:div>
      </w:divsChild>
    </w:div>
    <w:div w:id="296883764">
      <w:bodyDiv w:val="1"/>
      <w:marLeft w:val="0"/>
      <w:marRight w:val="0"/>
      <w:marTop w:val="0"/>
      <w:marBottom w:val="0"/>
      <w:divBdr>
        <w:top w:val="none" w:sz="0" w:space="0" w:color="auto"/>
        <w:left w:val="none" w:sz="0" w:space="0" w:color="auto"/>
        <w:bottom w:val="none" w:sz="0" w:space="0" w:color="auto"/>
        <w:right w:val="none" w:sz="0" w:space="0" w:color="auto"/>
      </w:divBdr>
    </w:div>
    <w:div w:id="297610194">
      <w:bodyDiv w:val="1"/>
      <w:marLeft w:val="0"/>
      <w:marRight w:val="0"/>
      <w:marTop w:val="0"/>
      <w:marBottom w:val="0"/>
      <w:divBdr>
        <w:top w:val="none" w:sz="0" w:space="0" w:color="auto"/>
        <w:left w:val="none" w:sz="0" w:space="0" w:color="auto"/>
        <w:bottom w:val="none" w:sz="0" w:space="0" w:color="auto"/>
        <w:right w:val="none" w:sz="0" w:space="0" w:color="auto"/>
      </w:divBdr>
    </w:div>
    <w:div w:id="298460107">
      <w:bodyDiv w:val="1"/>
      <w:marLeft w:val="0"/>
      <w:marRight w:val="0"/>
      <w:marTop w:val="0"/>
      <w:marBottom w:val="0"/>
      <w:divBdr>
        <w:top w:val="none" w:sz="0" w:space="0" w:color="auto"/>
        <w:left w:val="none" w:sz="0" w:space="0" w:color="auto"/>
        <w:bottom w:val="none" w:sz="0" w:space="0" w:color="auto"/>
        <w:right w:val="none" w:sz="0" w:space="0" w:color="auto"/>
      </w:divBdr>
    </w:div>
    <w:div w:id="299043719">
      <w:bodyDiv w:val="1"/>
      <w:marLeft w:val="0"/>
      <w:marRight w:val="0"/>
      <w:marTop w:val="0"/>
      <w:marBottom w:val="0"/>
      <w:divBdr>
        <w:top w:val="none" w:sz="0" w:space="0" w:color="auto"/>
        <w:left w:val="none" w:sz="0" w:space="0" w:color="auto"/>
        <w:bottom w:val="none" w:sz="0" w:space="0" w:color="auto"/>
        <w:right w:val="none" w:sz="0" w:space="0" w:color="auto"/>
      </w:divBdr>
    </w:div>
    <w:div w:id="299043942">
      <w:bodyDiv w:val="1"/>
      <w:marLeft w:val="0"/>
      <w:marRight w:val="0"/>
      <w:marTop w:val="0"/>
      <w:marBottom w:val="0"/>
      <w:divBdr>
        <w:top w:val="none" w:sz="0" w:space="0" w:color="auto"/>
        <w:left w:val="none" w:sz="0" w:space="0" w:color="auto"/>
        <w:bottom w:val="none" w:sz="0" w:space="0" w:color="auto"/>
        <w:right w:val="none" w:sz="0" w:space="0" w:color="auto"/>
      </w:divBdr>
    </w:div>
    <w:div w:id="299500762">
      <w:bodyDiv w:val="1"/>
      <w:marLeft w:val="0"/>
      <w:marRight w:val="0"/>
      <w:marTop w:val="0"/>
      <w:marBottom w:val="0"/>
      <w:divBdr>
        <w:top w:val="none" w:sz="0" w:space="0" w:color="auto"/>
        <w:left w:val="none" w:sz="0" w:space="0" w:color="auto"/>
        <w:bottom w:val="none" w:sz="0" w:space="0" w:color="auto"/>
        <w:right w:val="none" w:sz="0" w:space="0" w:color="auto"/>
      </w:divBdr>
    </w:div>
    <w:div w:id="299501283">
      <w:bodyDiv w:val="1"/>
      <w:marLeft w:val="0"/>
      <w:marRight w:val="0"/>
      <w:marTop w:val="0"/>
      <w:marBottom w:val="0"/>
      <w:divBdr>
        <w:top w:val="none" w:sz="0" w:space="0" w:color="auto"/>
        <w:left w:val="none" w:sz="0" w:space="0" w:color="auto"/>
        <w:bottom w:val="none" w:sz="0" w:space="0" w:color="auto"/>
        <w:right w:val="none" w:sz="0" w:space="0" w:color="auto"/>
      </w:divBdr>
    </w:div>
    <w:div w:id="300041643">
      <w:bodyDiv w:val="1"/>
      <w:marLeft w:val="0"/>
      <w:marRight w:val="0"/>
      <w:marTop w:val="0"/>
      <w:marBottom w:val="0"/>
      <w:divBdr>
        <w:top w:val="none" w:sz="0" w:space="0" w:color="auto"/>
        <w:left w:val="none" w:sz="0" w:space="0" w:color="auto"/>
        <w:bottom w:val="none" w:sz="0" w:space="0" w:color="auto"/>
        <w:right w:val="none" w:sz="0" w:space="0" w:color="auto"/>
      </w:divBdr>
    </w:div>
    <w:div w:id="302657718">
      <w:bodyDiv w:val="1"/>
      <w:marLeft w:val="0"/>
      <w:marRight w:val="0"/>
      <w:marTop w:val="0"/>
      <w:marBottom w:val="0"/>
      <w:divBdr>
        <w:top w:val="none" w:sz="0" w:space="0" w:color="auto"/>
        <w:left w:val="none" w:sz="0" w:space="0" w:color="auto"/>
        <w:bottom w:val="none" w:sz="0" w:space="0" w:color="auto"/>
        <w:right w:val="none" w:sz="0" w:space="0" w:color="auto"/>
      </w:divBdr>
    </w:div>
    <w:div w:id="302932738">
      <w:bodyDiv w:val="1"/>
      <w:marLeft w:val="0"/>
      <w:marRight w:val="0"/>
      <w:marTop w:val="0"/>
      <w:marBottom w:val="0"/>
      <w:divBdr>
        <w:top w:val="none" w:sz="0" w:space="0" w:color="auto"/>
        <w:left w:val="none" w:sz="0" w:space="0" w:color="auto"/>
        <w:bottom w:val="none" w:sz="0" w:space="0" w:color="auto"/>
        <w:right w:val="none" w:sz="0" w:space="0" w:color="auto"/>
      </w:divBdr>
    </w:div>
    <w:div w:id="304749382">
      <w:bodyDiv w:val="1"/>
      <w:marLeft w:val="0"/>
      <w:marRight w:val="0"/>
      <w:marTop w:val="0"/>
      <w:marBottom w:val="0"/>
      <w:divBdr>
        <w:top w:val="none" w:sz="0" w:space="0" w:color="auto"/>
        <w:left w:val="none" w:sz="0" w:space="0" w:color="auto"/>
        <w:bottom w:val="none" w:sz="0" w:space="0" w:color="auto"/>
        <w:right w:val="none" w:sz="0" w:space="0" w:color="auto"/>
      </w:divBdr>
    </w:div>
    <w:div w:id="304967190">
      <w:bodyDiv w:val="1"/>
      <w:marLeft w:val="0"/>
      <w:marRight w:val="0"/>
      <w:marTop w:val="0"/>
      <w:marBottom w:val="0"/>
      <w:divBdr>
        <w:top w:val="none" w:sz="0" w:space="0" w:color="auto"/>
        <w:left w:val="none" w:sz="0" w:space="0" w:color="auto"/>
        <w:bottom w:val="none" w:sz="0" w:space="0" w:color="auto"/>
        <w:right w:val="none" w:sz="0" w:space="0" w:color="auto"/>
      </w:divBdr>
    </w:div>
    <w:div w:id="307589165">
      <w:bodyDiv w:val="1"/>
      <w:marLeft w:val="0"/>
      <w:marRight w:val="0"/>
      <w:marTop w:val="0"/>
      <w:marBottom w:val="0"/>
      <w:divBdr>
        <w:top w:val="none" w:sz="0" w:space="0" w:color="auto"/>
        <w:left w:val="none" w:sz="0" w:space="0" w:color="auto"/>
        <w:bottom w:val="none" w:sz="0" w:space="0" w:color="auto"/>
        <w:right w:val="none" w:sz="0" w:space="0" w:color="auto"/>
      </w:divBdr>
    </w:div>
    <w:div w:id="307976997">
      <w:bodyDiv w:val="1"/>
      <w:marLeft w:val="0"/>
      <w:marRight w:val="0"/>
      <w:marTop w:val="0"/>
      <w:marBottom w:val="0"/>
      <w:divBdr>
        <w:top w:val="none" w:sz="0" w:space="0" w:color="auto"/>
        <w:left w:val="none" w:sz="0" w:space="0" w:color="auto"/>
        <w:bottom w:val="none" w:sz="0" w:space="0" w:color="auto"/>
        <w:right w:val="none" w:sz="0" w:space="0" w:color="auto"/>
      </w:divBdr>
      <w:divsChild>
        <w:div w:id="479469358">
          <w:marLeft w:val="274"/>
          <w:marRight w:val="0"/>
          <w:marTop w:val="0"/>
          <w:marBottom w:val="0"/>
          <w:divBdr>
            <w:top w:val="none" w:sz="0" w:space="0" w:color="auto"/>
            <w:left w:val="none" w:sz="0" w:space="0" w:color="auto"/>
            <w:bottom w:val="none" w:sz="0" w:space="0" w:color="auto"/>
            <w:right w:val="none" w:sz="0" w:space="0" w:color="auto"/>
          </w:divBdr>
        </w:div>
        <w:div w:id="1456481293">
          <w:marLeft w:val="274"/>
          <w:marRight w:val="0"/>
          <w:marTop w:val="0"/>
          <w:marBottom w:val="0"/>
          <w:divBdr>
            <w:top w:val="none" w:sz="0" w:space="0" w:color="auto"/>
            <w:left w:val="none" w:sz="0" w:space="0" w:color="auto"/>
            <w:bottom w:val="none" w:sz="0" w:space="0" w:color="auto"/>
            <w:right w:val="none" w:sz="0" w:space="0" w:color="auto"/>
          </w:divBdr>
        </w:div>
        <w:div w:id="1468738129">
          <w:marLeft w:val="274"/>
          <w:marRight w:val="0"/>
          <w:marTop w:val="0"/>
          <w:marBottom w:val="0"/>
          <w:divBdr>
            <w:top w:val="none" w:sz="0" w:space="0" w:color="auto"/>
            <w:left w:val="none" w:sz="0" w:space="0" w:color="auto"/>
            <w:bottom w:val="none" w:sz="0" w:space="0" w:color="auto"/>
            <w:right w:val="none" w:sz="0" w:space="0" w:color="auto"/>
          </w:divBdr>
        </w:div>
        <w:div w:id="1750499269">
          <w:marLeft w:val="274"/>
          <w:marRight w:val="0"/>
          <w:marTop w:val="0"/>
          <w:marBottom w:val="0"/>
          <w:divBdr>
            <w:top w:val="none" w:sz="0" w:space="0" w:color="auto"/>
            <w:left w:val="none" w:sz="0" w:space="0" w:color="auto"/>
            <w:bottom w:val="none" w:sz="0" w:space="0" w:color="auto"/>
            <w:right w:val="none" w:sz="0" w:space="0" w:color="auto"/>
          </w:divBdr>
        </w:div>
        <w:div w:id="1753962856">
          <w:marLeft w:val="274"/>
          <w:marRight w:val="0"/>
          <w:marTop w:val="0"/>
          <w:marBottom w:val="0"/>
          <w:divBdr>
            <w:top w:val="none" w:sz="0" w:space="0" w:color="auto"/>
            <w:left w:val="none" w:sz="0" w:space="0" w:color="auto"/>
            <w:bottom w:val="none" w:sz="0" w:space="0" w:color="auto"/>
            <w:right w:val="none" w:sz="0" w:space="0" w:color="auto"/>
          </w:divBdr>
        </w:div>
        <w:div w:id="1892032315">
          <w:marLeft w:val="274"/>
          <w:marRight w:val="0"/>
          <w:marTop w:val="0"/>
          <w:marBottom w:val="0"/>
          <w:divBdr>
            <w:top w:val="none" w:sz="0" w:space="0" w:color="auto"/>
            <w:left w:val="none" w:sz="0" w:space="0" w:color="auto"/>
            <w:bottom w:val="none" w:sz="0" w:space="0" w:color="auto"/>
            <w:right w:val="none" w:sz="0" w:space="0" w:color="auto"/>
          </w:divBdr>
        </w:div>
      </w:divsChild>
    </w:div>
    <w:div w:id="308754660">
      <w:bodyDiv w:val="1"/>
      <w:marLeft w:val="0"/>
      <w:marRight w:val="0"/>
      <w:marTop w:val="0"/>
      <w:marBottom w:val="0"/>
      <w:divBdr>
        <w:top w:val="none" w:sz="0" w:space="0" w:color="auto"/>
        <w:left w:val="none" w:sz="0" w:space="0" w:color="auto"/>
        <w:bottom w:val="none" w:sz="0" w:space="0" w:color="auto"/>
        <w:right w:val="none" w:sz="0" w:space="0" w:color="auto"/>
      </w:divBdr>
    </w:div>
    <w:div w:id="310445447">
      <w:bodyDiv w:val="1"/>
      <w:marLeft w:val="0"/>
      <w:marRight w:val="0"/>
      <w:marTop w:val="0"/>
      <w:marBottom w:val="0"/>
      <w:divBdr>
        <w:top w:val="none" w:sz="0" w:space="0" w:color="auto"/>
        <w:left w:val="none" w:sz="0" w:space="0" w:color="auto"/>
        <w:bottom w:val="none" w:sz="0" w:space="0" w:color="auto"/>
        <w:right w:val="none" w:sz="0" w:space="0" w:color="auto"/>
      </w:divBdr>
    </w:div>
    <w:div w:id="313680884">
      <w:bodyDiv w:val="1"/>
      <w:marLeft w:val="0"/>
      <w:marRight w:val="0"/>
      <w:marTop w:val="0"/>
      <w:marBottom w:val="0"/>
      <w:divBdr>
        <w:top w:val="none" w:sz="0" w:space="0" w:color="auto"/>
        <w:left w:val="none" w:sz="0" w:space="0" w:color="auto"/>
        <w:bottom w:val="none" w:sz="0" w:space="0" w:color="auto"/>
        <w:right w:val="none" w:sz="0" w:space="0" w:color="auto"/>
      </w:divBdr>
      <w:divsChild>
        <w:div w:id="1175343367">
          <w:marLeft w:val="446"/>
          <w:marRight w:val="0"/>
          <w:marTop w:val="0"/>
          <w:marBottom w:val="0"/>
          <w:divBdr>
            <w:top w:val="none" w:sz="0" w:space="0" w:color="auto"/>
            <w:left w:val="none" w:sz="0" w:space="0" w:color="auto"/>
            <w:bottom w:val="none" w:sz="0" w:space="0" w:color="auto"/>
            <w:right w:val="none" w:sz="0" w:space="0" w:color="auto"/>
          </w:divBdr>
        </w:div>
      </w:divsChild>
    </w:div>
    <w:div w:id="313949722">
      <w:bodyDiv w:val="1"/>
      <w:marLeft w:val="0"/>
      <w:marRight w:val="0"/>
      <w:marTop w:val="0"/>
      <w:marBottom w:val="0"/>
      <w:divBdr>
        <w:top w:val="none" w:sz="0" w:space="0" w:color="auto"/>
        <w:left w:val="none" w:sz="0" w:space="0" w:color="auto"/>
        <w:bottom w:val="none" w:sz="0" w:space="0" w:color="auto"/>
        <w:right w:val="none" w:sz="0" w:space="0" w:color="auto"/>
      </w:divBdr>
    </w:div>
    <w:div w:id="316804259">
      <w:bodyDiv w:val="1"/>
      <w:marLeft w:val="0"/>
      <w:marRight w:val="0"/>
      <w:marTop w:val="0"/>
      <w:marBottom w:val="0"/>
      <w:divBdr>
        <w:top w:val="none" w:sz="0" w:space="0" w:color="auto"/>
        <w:left w:val="none" w:sz="0" w:space="0" w:color="auto"/>
        <w:bottom w:val="none" w:sz="0" w:space="0" w:color="auto"/>
        <w:right w:val="none" w:sz="0" w:space="0" w:color="auto"/>
      </w:divBdr>
    </w:div>
    <w:div w:id="319507775">
      <w:bodyDiv w:val="1"/>
      <w:marLeft w:val="0"/>
      <w:marRight w:val="0"/>
      <w:marTop w:val="0"/>
      <w:marBottom w:val="0"/>
      <w:divBdr>
        <w:top w:val="none" w:sz="0" w:space="0" w:color="auto"/>
        <w:left w:val="none" w:sz="0" w:space="0" w:color="auto"/>
        <w:bottom w:val="none" w:sz="0" w:space="0" w:color="auto"/>
        <w:right w:val="none" w:sz="0" w:space="0" w:color="auto"/>
      </w:divBdr>
    </w:div>
    <w:div w:id="323582379">
      <w:bodyDiv w:val="1"/>
      <w:marLeft w:val="0"/>
      <w:marRight w:val="0"/>
      <w:marTop w:val="0"/>
      <w:marBottom w:val="0"/>
      <w:divBdr>
        <w:top w:val="none" w:sz="0" w:space="0" w:color="auto"/>
        <w:left w:val="none" w:sz="0" w:space="0" w:color="auto"/>
        <w:bottom w:val="none" w:sz="0" w:space="0" w:color="auto"/>
        <w:right w:val="none" w:sz="0" w:space="0" w:color="auto"/>
      </w:divBdr>
    </w:div>
    <w:div w:id="325206854">
      <w:bodyDiv w:val="1"/>
      <w:marLeft w:val="0"/>
      <w:marRight w:val="0"/>
      <w:marTop w:val="0"/>
      <w:marBottom w:val="0"/>
      <w:divBdr>
        <w:top w:val="none" w:sz="0" w:space="0" w:color="auto"/>
        <w:left w:val="none" w:sz="0" w:space="0" w:color="auto"/>
        <w:bottom w:val="none" w:sz="0" w:space="0" w:color="auto"/>
        <w:right w:val="none" w:sz="0" w:space="0" w:color="auto"/>
      </w:divBdr>
    </w:div>
    <w:div w:id="325402725">
      <w:bodyDiv w:val="1"/>
      <w:marLeft w:val="0"/>
      <w:marRight w:val="0"/>
      <w:marTop w:val="0"/>
      <w:marBottom w:val="0"/>
      <w:divBdr>
        <w:top w:val="none" w:sz="0" w:space="0" w:color="auto"/>
        <w:left w:val="none" w:sz="0" w:space="0" w:color="auto"/>
        <w:bottom w:val="none" w:sz="0" w:space="0" w:color="auto"/>
        <w:right w:val="none" w:sz="0" w:space="0" w:color="auto"/>
      </w:divBdr>
    </w:div>
    <w:div w:id="326371438">
      <w:bodyDiv w:val="1"/>
      <w:marLeft w:val="0"/>
      <w:marRight w:val="0"/>
      <w:marTop w:val="0"/>
      <w:marBottom w:val="0"/>
      <w:divBdr>
        <w:top w:val="none" w:sz="0" w:space="0" w:color="auto"/>
        <w:left w:val="none" w:sz="0" w:space="0" w:color="auto"/>
        <w:bottom w:val="none" w:sz="0" w:space="0" w:color="auto"/>
        <w:right w:val="none" w:sz="0" w:space="0" w:color="auto"/>
      </w:divBdr>
    </w:div>
    <w:div w:id="329529666">
      <w:bodyDiv w:val="1"/>
      <w:marLeft w:val="0"/>
      <w:marRight w:val="0"/>
      <w:marTop w:val="0"/>
      <w:marBottom w:val="0"/>
      <w:divBdr>
        <w:top w:val="none" w:sz="0" w:space="0" w:color="auto"/>
        <w:left w:val="none" w:sz="0" w:space="0" w:color="auto"/>
        <w:bottom w:val="none" w:sz="0" w:space="0" w:color="auto"/>
        <w:right w:val="none" w:sz="0" w:space="0" w:color="auto"/>
      </w:divBdr>
    </w:div>
    <w:div w:id="330836757">
      <w:bodyDiv w:val="1"/>
      <w:marLeft w:val="0"/>
      <w:marRight w:val="0"/>
      <w:marTop w:val="0"/>
      <w:marBottom w:val="0"/>
      <w:divBdr>
        <w:top w:val="none" w:sz="0" w:space="0" w:color="auto"/>
        <w:left w:val="none" w:sz="0" w:space="0" w:color="auto"/>
        <w:bottom w:val="none" w:sz="0" w:space="0" w:color="auto"/>
        <w:right w:val="none" w:sz="0" w:space="0" w:color="auto"/>
      </w:divBdr>
    </w:div>
    <w:div w:id="332881340">
      <w:bodyDiv w:val="1"/>
      <w:marLeft w:val="0"/>
      <w:marRight w:val="0"/>
      <w:marTop w:val="0"/>
      <w:marBottom w:val="0"/>
      <w:divBdr>
        <w:top w:val="none" w:sz="0" w:space="0" w:color="auto"/>
        <w:left w:val="none" w:sz="0" w:space="0" w:color="auto"/>
        <w:bottom w:val="none" w:sz="0" w:space="0" w:color="auto"/>
        <w:right w:val="none" w:sz="0" w:space="0" w:color="auto"/>
      </w:divBdr>
    </w:div>
    <w:div w:id="332993819">
      <w:bodyDiv w:val="1"/>
      <w:marLeft w:val="0"/>
      <w:marRight w:val="0"/>
      <w:marTop w:val="0"/>
      <w:marBottom w:val="0"/>
      <w:divBdr>
        <w:top w:val="none" w:sz="0" w:space="0" w:color="auto"/>
        <w:left w:val="none" w:sz="0" w:space="0" w:color="auto"/>
        <w:bottom w:val="none" w:sz="0" w:space="0" w:color="auto"/>
        <w:right w:val="none" w:sz="0" w:space="0" w:color="auto"/>
      </w:divBdr>
    </w:div>
    <w:div w:id="334384290">
      <w:bodyDiv w:val="1"/>
      <w:marLeft w:val="0"/>
      <w:marRight w:val="0"/>
      <w:marTop w:val="0"/>
      <w:marBottom w:val="0"/>
      <w:divBdr>
        <w:top w:val="none" w:sz="0" w:space="0" w:color="auto"/>
        <w:left w:val="none" w:sz="0" w:space="0" w:color="auto"/>
        <w:bottom w:val="none" w:sz="0" w:space="0" w:color="auto"/>
        <w:right w:val="none" w:sz="0" w:space="0" w:color="auto"/>
      </w:divBdr>
    </w:div>
    <w:div w:id="337469912">
      <w:bodyDiv w:val="1"/>
      <w:marLeft w:val="0"/>
      <w:marRight w:val="0"/>
      <w:marTop w:val="0"/>
      <w:marBottom w:val="0"/>
      <w:divBdr>
        <w:top w:val="none" w:sz="0" w:space="0" w:color="auto"/>
        <w:left w:val="none" w:sz="0" w:space="0" w:color="auto"/>
        <w:bottom w:val="none" w:sz="0" w:space="0" w:color="auto"/>
        <w:right w:val="none" w:sz="0" w:space="0" w:color="auto"/>
      </w:divBdr>
    </w:div>
    <w:div w:id="337969900">
      <w:bodyDiv w:val="1"/>
      <w:marLeft w:val="0"/>
      <w:marRight w:val="0"/>
      <w:marTop w:val="0"/>
      <w:marBottom w:val="0"/>
      <w:divBdr>
        <w:top w:val="none" w:sz="0" w:space="0" w:color="auto"/>
        <w:left w:val="none" w:sz="0" w:space="0" w:color="auto"/>
        <w:bottom w:val="none" w:sz="0" w:space="0" w:color="auto"/>
        <w:right w:val="none" w:sz="0" w:space="0" w:color="auto"/>
      </w:divBdr>
    </w:div>
    <w:div w:id="340015818">
      <w:bodyDiv w:val="1"/>
      <w:marLeft w:val="0"/>
      <w:marRight w:val="0"/>
      <w:marTop w:val="0"/>
      <w:marBottom w:val="0"/>
      <w:divBdr>
        <w:top w:val="none" w:sz="0" w:space="0" w:color="auto"/>
        <w:left w:val="none" w:sz="0" w:space="0" w:color="auto"/>
        <w:bottom w:val="none" w:sz="0" w:space="0" w:color="auto"/>
        <w:right w:val="none" w:sz="0" w:space="0" w:color="auto"/>
      </w:divBdr>
    </w:div>
    <w:div w:id="342318165">
      <w:bodyDiv w:val="1"/>
      <w:marLeft w:val="0"/>
      <w:marRight w:val="0"/>
      <w:marTop w:val="0"/>
      <w:marBottom w:val="0"/>
      <w:divBdr>
        <w:top w:val="none" w:sz="0" w:space="0" w:color="auto"/>
        <w:left w:val="none" w:sz="0" w:space="0" w:color="auto"/>
        <w:bottom w:val="none" w:sz="0" w:space="0" w:color="auto"/>
        <w:right w:val="none" w:sz="0" w:space="0" w:color="auto"/>
      </w:divBdr>
    </w:div>
    <w:div w:id="342900917">
      <w:bodyDiv w:val="1"/>
      <w:marLeft w:val="0"/>
      <w:marRight w:val="0"/>
      <w:marTop w:val="0"/>
      <w:marBottom w:val="0"/>
      <w:divBdr>
        <w:top w:val="none" w:sz="0" w:space="0" w:color="auto"/>
        <w:left w:val="none" w:sz="0" w:space="0" w:color="auto"/>
        <w:bottom w:val="none" w:sz="0" w:space="0" w:color="auto"/>
        <w:right w:val="none" w:sz="0" w:space="0" w:color="auto"/>
      </w:divBdr>
    </w:div>
    <w:div w:id="343895940">
      <w:bodyDiv w:val="1"/>
      <w:marLeft w:val="0"/>
      <w:marRight w:val="0"/>
      <w:marTop w:val="0"/>
      <w:marBottom w:val="0"/>
      <w:divBdr>
        <w:top w:val="none" w:sz="0" w:space="0" w:color="auto"/>
        <w:left w:val="none" w:sz="0" w:space="0" w:color="auto"/>
        <w:bottom w:val="none" w:sz="0" w:space="0" w:color="auto"/>
        <w:right w:val="none" w:sz="0" w:space="0" w:color="auto"/>
      </w:divBdr>
    </w:div>
    <w:div w:id="345058735">
      <w:bodyDiv w:val="1"/>
      <w:marLeft w:val="0"/>
      <w:marRight w:val="0"/>
      <w:marTop w:val="0"/>
      <w:marBottom w:val="0"/>
      <w:divBdr>
        <w:top w:val="none" w:sz="0" w:space="0" w:color="auto"/>
        <w:left w:val="none" w:sz="0" w:space="0" w:color="auto"/>
        <w:bottom w:val="none" w:sz="0" w:space="0" w:color="auto"/>
        <w:right w:val="none" w:sz="0" w:space="0" w:color="auto"/>
      </w:divBdr>
    </w:div>
    <w:div w:id="347830726">
      <w:bodyDiv w:val="1"/>
      <w:marLeft w:val="0"/>
      <w:marRight w:val="0"/>
      <w:marTop w:val="0"/>
      <w:marBottom w:val="0"/>
      <w:divBdr>
        <w:top w:val="none" w:sz="0" w:space="0" w:color="auto"/>
        <w:left w:val="none" w:sz="0" w:space="0" w:color="auto"/>
        <w:bottom w:val="none" w:sz="0" w:space="0" w:color="auto"/>
        <w:right w:val="none" w:sz="0" w:space="0" w:color="auto"/>
      </w:divBdr>
    </w:div>
    <w:div w:id="349182445">
      <w:bodyDiv w:val="1"/>
      <w:marLeft w:val="0"/>
      <w:marRight w:val="0"/>
      <w:marTop w:val="0"/>
      <w:marBottom w:val="0"/>
      <w:divBdr>
        <w:top w:val="none" w:sz="0" w:space="0" w:color="auto"/>
        <w:left w:val="none" w:sz="0" w:space="0" w:color="auto"/>
        <w:bottom w:val="none" w:sz="0" w:space="0" w:color="auto"/>
        <w:right w:val="none" w:sz="0" w:space="0" w:color="auto"/>
      </w:divBdr>
    </w:div>
    <w:div w:id="351230716">
      <w:bodyDiv w:val="1"/>
      <w:marLeft w:val="0"/>
      <w:marRight w:val="0"/>
      <w:marTop w:val="0"/>
      <w:marBottom w:val="0"/>
      <w:divBdr>
        <w:top w:val="none" w:sz="0" w:space="0" w:color="auto"/>
        <w:left w:val="none" w:sz="0" w:space="0" w:color="auto"/>
        <w:bottom w:val="none" w:sz="0" w:space="0" w:color="auto"/>
        <w:right w:val="none" w:sz="0" w:space="0" w:color="auto"/>
      </w:divBdr>
    </w:div>
    <w:div w:id="353002239">
      <w:bodyDiv w:val="1"/>
      <w:marLeft w:val="0"/>
      <w:marRight w:val="0"/>
      <w:marTop w:val="0"/>
      <w:marBottom w:val="0"/>
      <w:divBdr>
        <w:top w:val="none" w:sz="0" w:space="0" w:color="auto"/>
        <w:left w:val="none" w:sz="0" w:space="0" w:color="auto"/>
        <w:bottom w:val="none" w:sz="0" w:space="0" w:color="auto"/>
        <w:right w:val="none" w:sz="0" w:space="0" w:color="auto"/>
      </w:divBdr>
    </w:div>
    <w:div w:id="353651529">
      <w:bodyDiv w:val="1"/>
      <w:marLeft w:val="0"/>
      <w:marRight w:val="0"/>
      <w:marTop w:val="0"/>
      <w:marBottom w:val="0"/>
      <w:divBdr>
        <w:top w:val="none" w:sz="0" w:space="0" w:color="auto"/>
        <w:left w:val="none" w:sz="0" w:space="0" w:color="auto"/>
        <w:bottom w:val="none" w:sz="0" w:space="0" w:color="auto"/>
        <w:right w:val="none" w:sz="0" w:space="0" w:color="auto"/>
      </w:divBdr>
    </w:div>
    <w:div w:id="358094261">
      <w:bodyDiv w:val="1"/>
      <w:marLeft w:val="0"/>
      <w:marRight w:val="0"/>
      <w:marTop w:val="0"/>
      <w:marBottom w:val="0"/>
      <w:divBdr>
        <w:top w:val="none" w:sz="0" w:space="0" w:color="auto"/>
        <w:left w:val="none" w:sz="0" w:space="0" w:color="auto"/>
        <w:bottom w:val="none" w:sz="0" w:space="0" w:color="auto"/>
        <w:right w:val="none" w:sz="0" w:space="0" w:color="auto"/>
      </w:divBdr>
    </w:div>
    <w:div w:id="358703956">
      <w:bodyDiv w:val="1"/>
      <w:marLeft w:val="0"/>
      <w:marRight w:val="0"/>
      <w:marTop w:val="0"/>
      <w:marBottom w:val="0"/>
      <w:divBdr>
        <w:top w:val="none" w:sz="0" w:space="0" w:color="auto"/>
        <w:left w:val="none" w:sz="0" w:space="0" w:color="auto"/>
        <w:bottom w:val="none" w:sz="0" w:space="0" w:color="auto"/>
        <w:right w:val="none" w:sz="0" w:space="0" w:color="auto"/>
      </w:divBdr>
    </w:div>
    <w:div w:id="359939272">
      <w:bodyDiv w:val="1"/>
      <w:marLeft w:val="0"/>
      <w:marRight w:val="0"/>
      <w:marTop w:val="0"/>
      <w:marBottom w:val="0"/>
      <w:divBdr>
        <w:top w:val="none" w:sz="0" w:space="0" w:color="auto"/>
        <w:left w:val="none" w:sz="0" w:space="0" w:color="auto"/>
        <w:bottom w:val="none" w:sz="0" w:space="0" w:color="auto"/>
        <w:right w:val="none" w:sz="0" w:space="0" w:color="auto"/>
      </w:divBdr>
    </w:div>
    <w:div w:id="360010891">
      <w:bodyDiv w:val="1"/>
      <w:marLeft w:val="0"/>
      <w:marRight w:val="0"/>
      <w:marTop w:val="0"/>
      <w:marBottom w:val="0"/>
      <w:divBdr>
        <w:top w:val="none" w:sz="0" w:space="0" w:color="auto"/>
        <w:left w:val="none" w:sz="0" w:space="0" w:color="auto"/>
        <w:bottom w:val="none" w:sz="0" w:space="0" w:color="auto"/>
        <w:right w:val="none" w:sz="0" w:space="0" w:color="auto"/>
      </w:divBdr>
    </w:div>
    <w:div w:id="360281941">
      <w:bodyDiv w:val="1"/>
      <w:marLeft w:val="0"/>
      <w:marRight w:val="0"/>
      <w:marTop w:val="0"/>
      <w:marBottom w:val="0"/>
      <w:divBdr>
        <w:top w:val="none" w:sz="0" w:space="0" w:color="auto"/>
        <w:left w:val="none" w:sz="0" w:space="0" w:color="auto"/>
        <w:bottom w:val="none" w:sz="0" w:space="0" w:color="auto"/>
        <w:right w:val="none" w:sz="0" w:space="0" w:color="auto"/>
      </w:divBdr>
    </w:div>
    <w:div w:id="361639487">
      <w:bodyDiv w:val="1"/>
      <w:marLeft w:val="0"/>
      <w:marRight w:val="0"/>
      <w:marTop w:val="0"/>
      <w:marBottom w:val="0"/>
      <w:divBdr>
        <w:top w:val="none" w:sz="0" w:space="0" w:color="auto"/>
        <w:left w:val="none" w:sz="0" w:space="0" w:color="auto"/>
        <w:bottom w:val="none" w:sz="0" w:space="0" w:color="auto"/>
        <w:right w:val="none" w:sz="0" w:space="0" w:color="auto"/>
      </w:divBdr>
    </w:div>
    <w:div w:id="365720862">
      <w:bodyDiv w:val="1"/>
      <w:marLeft w:val="0"/>
      <w:marRight w:val="0"/>
      <w:marTop w:val="0"/>
      <w:marBottom w:val="0"/>
      <w:divBdr>
        <w:top w:val="none" w:sz="0" w:space="0" w:color="auto"/>
        <w:left w:val="none" w:sz="0" w:space="0" w:color="auto"/>
        <w:bottom w:val="none" w:sz="0" w:space="0" w:color="auto"/>
        <w:right w:val="none" w:sz="0" w:space="0" w:color="auto"/>
      </w:divBdr>
    </w:div>
    <w:div w:id="366024388">
      <w:bodyDiv w:val="1"/>
      <w:marLeft w:val="0"/>
      <w:marRight w:val="0"/>
      <w:marTop w:val="0"/>
      <w:marBottom w:val="0"/>
      <w:divBdr>
        <w:top w:val="none" w:sz="0" w:space="0" w:color="auto"/>
        <w:left w:val="none" w:sz="0" w:space="0" w:color="auto"/>
        <w:bottom w:val="none" w:sz="0" w:space="0" w:color="auto"/>
        <w:right w:val="none" w:sz="0" w:space="0" w:color="auto"/>
      </w:divBdr>
    </w:div>
    <w:div w:id="366806574">
      <w:bodyDiv w:val="1"/>
      <w:marLeft w:val="0"/>
      <w:marRight w:val="0"/>
      <w:marTop w:val="0"/>
      <w:marBottom w:val="0"/>
      <w:divBdr>
        <w:top w:val="none" w:sz="0" w:space="0" w:color="auto"/>
        <w:left w:val="none" w:sz="0" w:space="0" w:color="auto"/>
        <w:bottom w:val="none" w:sz="0" w:space="0" w:color="auto"/>
        <w:right w:val="none" w:sz="0" w:space="0" w:color="auto"/>
      </w:divBdr>
    </w:div>
    <w:div w:id="367293117">
      <w:bodyDiv w:val="1"/>
      <w:marLeft w:val="0"/>
      <w:marRight w:val="0"/>
      <w:marTop w:val="0"/>
      <w:marBottom w:val="0"/>
      <w:divBdr>
        <w:top w:val="none" w:sz="0" w:space="0" w:color="auto"/>
        <w:left w:val="none" w:sz="0" w:space="0" w:color="auto"/>
        <w:bottom w:val="none" w:sz="0" w:space="0" w:color="auto"/>
        <w:right w:val="none" w:sz="0" w:space="0" w:color="auto"/>
      </w:divBdr>
    </w:div>
    <w:div w:id="371074115">
      <w:bodyDiv w:val="1"/>
      <w:marLeft w:val="0"/>
      <w:marRight w:val="0"/>
      <w:marTop w:val="0"/>
      <w:marBottom w:val="0"/>
      <w:divBdr>
        <w:top w:val="none" w:sz="0" w:space="0" w:color="auto"/>
        <w:left w:val="none" w:sz="0" w:space="0" w:color="auto"/>
        <w:bottom w:val="none" w:sz="0" w:space="0" w:color="auto"/>
        <w:right w:val="none" w:sz="0" w:space="0" w:color="auto"/>
      </w:divBdr>
    </w:div>
    <w:div w:id="372851203">
      <w:bodyDiv w:val="1"/>
      <w:marLeft w:val="0"/>
      <w:marRight w:val="0"/>
      <w:marTop w:val="0"/>
      <w:marBottom w:val="0"/>
      <w:divBdr>
        <w:top w:val="none" w:sz="0" w:space="0" w:color="auto"/>
        <w:left w:val="none" w:sz="0" w:space="0" w:color="auto"/>
        <w:bottom w:val="none" w:sz="0" w:space="0" w:color="auto"/>
        <w:right w:val="none" w:sz="0" w:space="0" w:color="auto"/>
      </w:divBdr>
    </w:div>
    <w:div w:id="372966395">
      <w:bodyDiv w:val="1"/>
      <w:marLeft w:val="0"/>
      <w:marRight w:val="0"/>
      <w:marTop w:val="0"/>
      <w:marBottom w:val="0"/>
      <w:divBdr>
        <w:top w:val="none" w:sz="0" w:space="0" w:color="auto"/>
        <w:left w:val="none" w:sz="0" w:space="0" w:color="auto"/>
        <w:bottom w:val="none" w:sz="0" w:space="0" w:color="auto"/>
        <w:right w:val="none" w:sz="0" w:space="0" w:color="auto"/>
      </w:divBdr>
    </w:div>
    <w:div w:id="378747454">
      <w:bodyDiv w:val="1"/>
      <w:marLeft w:val="0"/>
      <w:marRight w:val="0"/>
      <w:marTop w:val="0"/>
      <w:marBottom w:val="0"/>
      <w:divBdr>
        <w:top w:val="none" w:sz="0" w:space="0" w:color="auto"/>
        <w:left w:val="none" w:sz="0" w:space="0" w:color="auto"/>
        <w:bottom w:val="none" w:sz="0" w:space="0" w:color="auto"/>
        <w:right w:val="none" w:sz="0" w:space="0" w:color="auto"/>
      </w:divBdr>
    </w:div>
    <w:div w:id="378748245">
      <w:bodyDiv w:val="1"/>
      <w:marLeft w:val="0"/>
      <w:marRight w:val="0"/>
      <w:marTop w:val="0"/>
      <w:marBottom w:val="0"/>
      <w:divBdr>
        <w:top w:val="none" w:sz="0" w:space="0" w:color="auto"/>
        <w:left w:val="none" w:sz="0" w:space="0" w:color="auto"/>
        <w:bottom w:val="none" w:sz="0" w:space="0" w:color="auto"/>
        <w:right w:val="none" w:sz="0" w:space="0" w:color="auto"/>
      </w:divBdr>
    </w:div>
    <w:div w:id="378944433">
      <w:bodyDiv w:val="1"/>
      <w:marLeft w:val="0"/>
      <w:marRight w:val="0"/>
      <w:marTop w:val="0"/>
      <w:marBottom w:val="0"/>
      <w:divBdr>
        <w:top w:val="none" w:sz="0" w:space="0" w:color="auto"/>
        <w:left w:val="none" w:sz="0" w:space="0" w:color="auto"/>
        <w:bottom w:val="none" w:sz="0" w:space="0" w:color="auto"/>
        <w:right w:val="none" w:sz="0" w:space="0" w:color="auto"/>
      </w:divBdr>
    </w:div>
    <w:div w:id="380249055">
      <w:bodyDiv w:val="1"/>
      <w:marLeft w:val="0"/>
      <w:marRight w:val="0"/>
      <w:marTop w:val="0"/>
      <w:marBottom w:val="0"/>
      <w:divBdr>
        <w:top w:val="none" w:sz="0" w:space="0" w:color="auto"/>
        <w:left w:val="none" w:sz="0" w:space="0" w:color="auto"/>
        <w:bottom w:val="none" w:sz="0" w:space="0" w:color="auto"/>
        <w:right w:val="none" w:sz="0" w:space="0" w:color="auto"/>
      </w:divBdr>
    </w:div>
    <w:div w:id="383261070">
      <w:bodyDiv w:val="1"/>
      <w:marLeft w:val="0"/>
      <w:marRight w:val="0"/>
      <w:marTop w:val="0"/>
      <w:marBottom w:val="0"/>
      <w:divBdr>
        <w:top w:val="none" w:sz="0" w:space="0" w:color="auto"/>
        <w:left w:val="none" w:sz="0" w:space="0" w:color="auto"/>
        <w:bottom w:val="none" w:sz="0" w:space="0" w:color="auto"/>
        <w:right w:val="none" w:sz="0" w:space="0" w:color="auto"/>
      </w:divBdr>
    </w:div>
    <w:div w:id="386489792">
      <w:bodyDiv w:val="1"/>
      <w:marLeft w:val="0"/>
      <w:marRight w:val="0"/>
      <w:marTop w:val="0"/>
      <w:marBottom w:val="0"/>
      <w:divBdr>
        <w:top w:val="none" w:sz="0" w:space="0" w:color="auto"/>
        <w:left w:val="none" w:sz="0" w:space="0" w:color="auto"/>
        <w:bottom w:val="none" w:sz="0" w:space="0" w:color="auto"/>
        <w:right w:val="none" w:sz="0" w:space="0" w:color="auto"/>
      </w:divBdr>
    </w:div>
    <w:div w:id="387652249">
      <w:bodyDiv w:val="1"/>
      <w:marLeft w:val="0"/>
      <w:marRight w:val="0"/>
      <w:marTop w:val="0"/>
      <w:marBottom w:val="0"/>
      <w:divBdr>
        <w:top w:val="none" w:sz="0" w:space="0" w:color="auto"/>
        <w:left w:val="none" w:sz="0" w:space="0" w:color="auto"/>
        <w:bottom w:val="none" w:sz="0" w:space="0" w:color="auto"/>
        <w:right w:val="none" w:sz="0" w:space="0" w:color="auto"/>
      </w:divBdr>
    </w:div>
    <w:div w:id="388771521">
      <w:bodyDiv w:val="1"/>
      <w:marLeft w:val="0"/>
      <w:marRight w:val="0"/>
      <w:marTop w:val="0"/>
      <w:marBottom w:val="0"/>
      <w:divBdr>
        <w:top w:val="none" w:sz="0" w:space="0" w:color="auto"/>
        <w:left w:val="none" w:sz="0" w:space="0" w:color="auto"/>
        <w:bottom w:val="none" w:sz="0" w:space="0" w:color="auto"/>
        <w:right w:val="none" w:sz="0" w:space="0" w:color="auto"/>
      </w:divBdr>
    </w:div>
    <w:div w:id="391083801">
      <w:bodyDiv w:val="1"/>
      <w:marLeft w:val="0"/>
      <w:marRight w:val="0"/>
      <w:marTop w:val="0"/>
      <w:marBottom w:val="0"/>
      <w:divBdr>
        <w:top w:val="none" w:sz="0" w:space="0" w:color="auto"/>
        <w:left w:val="none" w:sz="0" w:space="0" w:color="auto"/>
        <w:bottom w:val="none" w:sz="0" w:space="0" w:color="auto"/>
        <w:right w:val="none" w:sz="0" w:space="0" w:color="auto"/>
      </w:divBdr>
    </w:div>
    <w:div w:id="394159480">
      <w:bodyDiv w:val="1"/>
      <w:marLeft w:val="0"/>
      <w:marRight w:val="0"/>
      <w:marTop w:val="0"/>
      <w:marBottom w:val="0"/>
      <w:divBdr>
        <w:top w:val="none" w:sz="0" w:space="0" w:color="auto"/>
        <w:left w:val="none" w:sz="0" w:space="0" w:color="auto"/>
        <w:bottom w:val="none" w:sz="0" w:space="0" w:color="auto"/>
        <w:right w:val="none" w:sz="0" w:space="0" w:color="auto"/>
      </w:divBdr>
    </w:div>
    <w:div w:id="398796963">
      <w:bodyDiv w:val="1"/>
      <w:marLeft w:val="0"/>
      <w:marRight w:val="0"/>
      <w:marTop w:val="0"/>
      <w:marBottom w:val="0"/>
      <w:divBdr>
        <w:top w:val="none" w:sz="0" w:space="0" w:color="auto"/>
        <w:left w:val="none" w:sz="0" w:space="0" w:color="auto"/>
        <w:bottom w:val="none" w:sz="0" w:space="0" w:color="auto"/>
        <w:right w:val="none" w:sz="0" w:space="0" w:color="auto"/>
      </w:divBdr>
    </w:div>
    <w:div w:id="404182005">
      <w:bodyDiv w:val="1"/>
      <w:marLeft w:val="0"/>
      <w:marRight w:val="0"/>
      <w:marTop w:val="0"/>
      <w:marBottom w:val="0"/>
      <w:divBdr>
        <w:top w:val="none" w:sz="0" w:space="0" w:color="auto"/>
        <w:left w:val="none" w:sz="0" w:space="0" w:color="auto"/>
        <w:bottom w:val="none" w:sz="0" w:space="0" w:color="auto"/>
        <w:right w:val="none" w:sz="0" w:space="0" w:color="auto"/>
      </w:divBdr>
    </w:div>
    <w:div w:id="408310344">
      <w:bodyDiv w:val="1"/>
      <w:marLeft w:val="0"/>
      <w:marRight w:val="0"/>
      <w:marTop w:val="0"/>
      <w:marBottom w:val="0"/>
      <w:divBdr>
        <w:top w:val="none" w:sz="0" w:space="0" w:color="auto"/>
        <w:left w:val="none" w:sz="0" w:space="0" w:color="auto"/>
        <w:bottom w:val="none" w:sz="0" w:space="0" w:color="auto"/>
        <w:right w:val="none" w:sz="0" w:space="0" w:color="auto"/>
      </w:divBdr>
    </w:div>
    <w:div w:id="409155878">
      <w:bodyDiv w:val="1"/>
      <w:marLeft w:val="0"/>
      <w:marRight w:val="0"/>
      <w:marTop w:val="0"/>
      <w:marBottom w:val="0"/>
      <w:divBdr>
        <w:top w:val="none" w:sz="0" w:space="0" w:color="auto"/>
        <w:left w:val="none" w:sz="0" w:space="0" w:color="auto"/>
        <w:bottom w:val="none" w:sz="0" w:space="0" w:color="auto"/>
        <w:right w:val="none" w:sz="0" w:space="0" w:color="auto"/>
      </w:divBdr>
    </w:div>
    <w:div w:id="409156642">
      <w:bodyDiv w:val="1"/>
      <w:marLeft w:val="0"/>
      <w:marRight w:val="0"/>
      <w:marTop w:val="0"/>
      <w:marBottom w:val="0"/>
      <w:divBdr>
        <w:top w:val="none" w:sz="0" w:space="0" w:color="auto"/>
        <w:left w:val="none" w:sz="0" w:space="0" w:color="auto"/>
        <w:bottom w:val="none" w:sz="0" w:space="0" w:color="auto"/>
        <w:right w:val="none" w:sz="0" w:space="0" w:color="auto"/>
      </w:divBdr>
    </w:div>
    <w:div w:id="409469643">
      <w:bodyDiv w:val="1"/>
      <w:marLeft w:val="0"/>
      <w:marRight w:val="0"/>
      <w:marTop w:val="0"/>
      <w:marBottom w:val="0"/>
      <w:divBdr>
        <w:top w:val="none" w:sz="0" w:space="0" w:color="auto"/>
        <w:left w:val="none" w:sz="0" w:space="0" w:color="auto"/>
        <w:bottom w:val="none" w:sz="0" w:space="0" w:color="auto"/>
        <w:right w:val="none" w:sz="0" w:space="0" w:color="auto"/>
      </w:divBdr>
    </w:div>
    <w:div w:id="409541615">
      <w:bodyDiv w:val="1"/>
      <w:marLeft w:val="0"/>
      <w:marRight w:val="0"/>
      <w:marTop w:val="0"/>
      <w:marBottom w:val="0"/>
      <w:divBdr>
        <w:top w:val="none" w:sz="0" w:space="0" w:color="auto"/>
        <w:left w:val="none" w:sz="0" w:space="0" w:color="auto"/>
        <w:bottom w:val="none" w:sz="0" w:space="0" w:color="auto"/>
        <w:right w:val="none" w:sz="0" w:space="0" w:color="auto"/>
      </w:divBdr>
    </w:div>
    <w:div w:id="409698168">
      <w:bodyDiv w:val="1"/>
      <w:marLeft w:val="0"/>
      <w:marRight w:val="0"/>
      <w:marTop w:val="0"/>
      <w:marBottom w:val="0"/>
      <w:divBdr>
        <w:top w:val="none" w:sz="0" w:space="0" w:color="auto"/>
        <w:left w:val="none" w:sz="0" w:space="0" w:color="auto"/>
        <w:bottom w:val="none" w:sz="0" w:space="0" w:color="auto"/>
        <w:right w:val="none" w:sz="0" w:space="0" w:color="auto"/>
      </w:divBdr>
    </w:div>
    <w:div w:id="411007764">
      <w:bodyDiv w:val="1"/>
      <w:marLeft w:val="0"/>
      <w:marRight w:val="0"/>
      <w:marTop w:val="0"/>
      <w:marBottom w:val="0"/>
      <w:divBdr>
        <w:top w:val="none" w:sz="0" w:space="0" w:color="auto"/>
        <w:left w:val="none" w:sz="0" w:space="0" w:color="auto"/>
        <w:bottom w:val="none" w:sz="0" w:space="0" w:color="auto"/>
        <w:right w:val="none" w:sz="0" w:space="0" w:color="auto"/>
      </w:divBdr>
    </w:div>
    <w:div w:id="412623646">
      <w:bodyDiv w:val="1"/>
      <w:marLeft w:val="0"/>
      <w:marRight w:val="0"/>
      <w:marTop w:val="0"/>
      <w:marBottom w:val="0"/>
      <w:divBdr>
        <w:top w:val="none" w:sz="0" w:space="0" w:color="auto"/>
        <w:left w:val="none" w:sz="0" w:space="0" w:color="auto"/>
        <w:bottom w:val="none" w:sz="0" w:space="0" w:color="auto"/>
        <w:right w:val="none" w:sz="0" w:space="0" w:color="auto"/>
      </w:divBdr>
    </w:div>
    <w:div w:id="412749911">
      <w:bodyDiv w:val="1"/>
      <w:marLeft w:val="0"/>
      <w:marRight w:val="0"/>
      <w:marTop w:val="0"/>
      <w:marBottom w:val="0"/>
      <w:divBdr>
        <w:top w:val="none" w:sz="0" w:space="0" w:color="auto"/>
        <w:left w:val="none" w:sz="0" w:space="0" w:color="auto"/>
        <w:bottom w:val="none" w:sz="0" w:space="0" w:color="auto"/>
        <w:right w:val="none" w:sz="0" w:space="0" w:color="auto"/>
      </w:divBdr>
    </w:div>
    <w:div w:id="417602814">
      <w:bodyDiv w:val="1"/>
      <w:marLeft w:val="0"/>
      <w:marRight w:val="0"/>
      <w:marTop w:val="0"/>
      <w:marBottom w:val="0"/>
      <w:divBdr>
        <w:top w:val="none" w:sz="0" w:space="0" w:color="auto"/>
        <w:left w:val="none" w:sz="0" w:space="0" w:color="auto"/>
        <w:bottom w:val="none" w:sz="0" w:space="0" w:color="auto"/>
        <w:right w:val="none" w:sz="0" w:space="0" w:color="auto"/>
      </w:divBdr>
    </w:div>
    <w:div w:id="422185836">
      <w:bodyDiv w:val="1"/>
      <w:marLeft w:val="0"/>
      <w:marRight w:val="0"/>
      <w:marTop w:val="0"/>
      <w:marBottom w:val="0"/>
      <w:divBdr>
        <w:top w:val="none" w:sz="0" w:space="0" w:color="auto"/>
        <w:left w:val="none" w:sz="0" w:space="0" w:color="auto"/>
        <w:bottom w:val="none" w:sz="0" w:space="0" w:color="auto"/>
        <w:right w:val="none" w:sz="0" w:space="0" w:color="auto"/>
      </w:divBdr>
    </w:div>
    <w:div w:id="424574925">
      <w:bodyDiv w:val="1"/>
      <w:marLeft w:val="0"/>
      <w:marRight w:val="0"/>
      <w:marTop w:val="0"/>
      <w:marBottom w:val="0"/>
      <w:divBdr>
        <w:top w:val="none" w:sz="0" w:space="0" w:color="auto"/>
        <w:left w:val="none" w:sz="0" w:space="0" w:color="auto"/>
        <w:bottom w:val="none" w:sz="0" w:space="0" w:color="auto"/>
        <w:right w:val="none" w:sz="0" w:space="0" w:color="auto"/>
      </w:divBdr>
    </w:div>
    <w:div w:id="429011951">
      <w:bodyDiv w:val="1"/>
      <w:marLeft w:val="0"/>
      <w:marRight w:val="0"/>
      <w:marTop w:val="0"/>
      <w:marBottom w:val="0"/>
      <w:divBdr>
        <w:top w:val="none" w:sz="0" w:space="0" w:color="auto"/>
        <w:left w:val="none" w:sz="0" w:space="0" w:color="auto"/>
        <w:bottom w:val="none" w:sz="0" w:space="0" w:color="auto"/>
        <w:right w:val="none" w:sz="0" w:space="0" w:color="auto"/>
      </w:divBdr>
    </w:div>
    <w:div w:id="429080714">
      <w:bodyDiv w:val="1"/>
      <w:marLeft w:val="0"/>
      <w:marRight w:val="0"/>
      <w:marTop w:val="0"/>
      <w:marBottom w:val="0"/>
      <w:divBdr>
        <w:top w:val="none" w:sz="0" w:space="0" w:color="auto"/>
        <w:left w:val="none" w:sz="0" w:space="0" w:color="auto"/>
        <w:bottom w:val="none" w:sz="0" w:space="0" w:color="auto"/>
        <w:right w:val="none" w:sz="0" w:space="0" w:color="auto"/>
      </w:divBdr>
    </w:div>
    <w:div w:id="429591994">
      <w:bodyDiv w:val="1"/>
      <w:marLeft w:val="0"/>
      <w:marRight w:val="0"/>
      <w:marTop w:val="0"/>
      <w:marBottom w:val="0"/>
      <w:divBdr>
        <w:top w:val="none" w:sz="0" w:space="0" w:color="auto"/>
        <w:left w:val="none" w:sz="0" w:space="0" w:color="auto"/>
        <w:bottom w:val="none" w:sz="0" w:space="0" w:color="auto"/>
        <w:right w:val="none" w:sz="0" w:space="0" w:color="auto"/>
      </w:divBdr>
    </w:div>
    <w:div w:id="430053984">
      <w:bodyDiv w:val="1"/>
      <w:marLeft w:val="0"/>
      <w:marRight w:val="0"/>
      <w:marTop w:val="0"/>
      <w:marBottom w:val="0"/>
      <w:divBdr>
        <w:top w:val="none" w:sz="0" w:space="0" w:color="auto"/>
        <w:left w:val="none" w:sz="0" w:space="0" w:color="auto"/>
        <w:bottom w:val="none" w:sz="0" w:space="0" w:color="auto"/>
        <w:right w:val="none" w:sz="0" w:space="0" w:color="auto"/>
      </w:divBdr>
    </w:div>
    <w:div w:id="430395352">
      <w:bodyDiv w:val="1"/>
      <w:marLeft w:val="0"/>
      <w:marRight w:val="0"/>
      <w:marTop w:val="0"/>
      <w:marBottom w:val="0"/>
      <w:divBdr>
        <w:top w:val="none" w:sz="0" w:space="0" w:color="auto"/>
        <w:left w:val="none" w:sz="0" w:space="0" w:color="auto"/>
        <w:bottom w:val="none" w:sz="0" w:space="0" w:color="auto"/>
        <w:right w:val="none" w:sz="0" w:space="0" w:color="auto"/>
      </w:divBdr>
    </w:div>
    <w:div w:id="432749984">
      <w:bodyDiv w:val="1"/>
      <w:marLeft w:val="0"/>
      <w:marRight w:val="0"/>
      <w:marTop w:val="0"/>
      <w:marBottom w:val="0"/>
      <w:divBdr>
        <w:top w:val="none" w:sz="0" w:space="0" w:color="auto"/>
        <w:left w:val="none" w:sz="0" w:space="0" w:color="auto"/>
        <w:bottom w:val="none" w:sz="0" w:space="0" w:color="auto"/>
        <w:right w:val="none" w:sz="0" w:space="0" w:color="auto"/>
      </w:divBdr>
    </w:div>
    <w:div w:id="432940201">
      <w:bodyDiv w:val="1"/>
      <w:marLeft w:val="0"/>
      <w:marRight w:val="0"/>
      <w:marTop w:val="0"/>
      <w:marBottom w:val="0"/>
      <w:divBdr>
        <w:top w:val="none" w:sz="0" w:space="0" w:color="auto"/>
        <w:left w:val="none" w:sz="0" w:space="0" w:color="auto"/>
        <w:bottom w:val="none" w:sz="0" w:space="0" w:color="auto"/>
        <w:right w:val="none" w:sz="0" w:space="0" w:color="auto"/>
      </w:divBdr>
    </w:div>
    <w:div w:id="436608667">
      <w:bodyDiv w:val="1"/>
      <w:marLeft w:val="0"/>
      <w:marRight w:val="0"/>
      <w:marTop w:val="0"/>
      <w:marBottom w:val="0"/>
      <w:divBdr>
        <w:top w:val="none" w:sz="0" w:space="0" w:color="auto"/>
        <w:left w:val="none" w:sz="0" w:space="0" w:color="auto"/>
        <w:bottom w:val="none" w:sz="0" w:space="0" w:color="auto"/>
        <w:right w:val="none" w:sz="0" w:space="0" w:color="auto"/>
      </w:divBdr>
      <w:divsChild>
        <w:div w:id="385297265">
          <w:marLeft w:val="547"/>
          <w:marRight w:val="0"/>
          <w:marTop w:val="0"/>
          <w:marBottom w:val="0"/>
          <w:divBdr>
            <w:top w:val="none" w:sz="0" w:space="0" w:color="auto"/>
            <w:left w:val="none" w:sz="0" w:space="0" w:color="auto"/>
            <w:bottom w:val="none" w:sz="0" w:space="0" w:color="auto"/>
            <w:right w:val="none" w:sz="0" w:space="0" w:color="auto"/>
          </w:divBdr>
        </w:div>
        <w:div w:id="859050450">
          <w:marLeft w:val="547"/>
          <w:marRight w:val="0"/>
          <w:marTop w:val="0"/>
          <w:marBottom w:val="0"/>
          <w:divBdr>
            <w:top w:val="none" w:sz="0" w:space="0" w:color="auto"/>
            <w:left w:val="none" w:sz="0" w:space="0" w:color="auto"/>
            <w:bottom w:val="none" w:sz="0" w:space="0" w:color="auto"/>
            <w:right w:val="none" w:sz="0" w:space="0" w:color="auto"/>
          </w:divBdr>
        </w:div>
      </w:divsChild>
    </w:div>
    <w:div w:id="437722230">
      <w:bodyDiv w:val="1"/>
      <w:marLeft w:val="0"/>
      <w:marRight w:val="0"/>
      <w:marTop w:val="0"/>
      <w:marBottom w:val="0"/>
      <w:divBdr>
        <w:top w:val="none" w:sz="0" w:space="0" w:color="auto"/>
        <w:left w:val="none" w:sz="0" w:space="0" w:color="auto"/>
        <w:bottom w:val="none" w:sz="0" w:space="0" w:color="auto"/>
        <w:right w:val="none" w:sz="0" w:space="0" w:color="auto"/>
      </w:divBdr>
    </w:div>
    <w:div w:id="438573841">
      <w:bodyDiv w:val="1"/>
      <w:marLeft w:val="0"/>
      <w:marRight w:val="0"/>
      <w:marTop w:val="0"/>
      <w:marBottom w:val="0"/>
      <w:divBdr>
        <w:top w:val="none" w:sz="0" w:space="0" w:color="auto"/>
        <w:left w:val="none" w:sz="0" w:space="0" w:color="auto"/>
        <w:bottom w:val="none" w:sz="0" w:space="0" w:color="auto"/>
        <w:right w:val="none" w:sz="0" w:space="0" w:color="auto"/>
      </w:divBdr>
    </w:div>
    <w:div w:id="440227277">
      <w:bodyDiv w:val="1"/>
      <w:marLeft w:val="0"/>
      <w:marRight w:val="0"/>
      <w:marTop w:val="0"/>
      <w:marBottom w:val="0"/>
      <w:divBdr>
        <w:top w:val="none" w:sz="0" w:space="0" w:color="auto"/>
        <w:left w:val="none" w:sz="0" w:space="0" w:color="auto"/>
        <w:bottom w:val="none" w:sz="0" w:space="0" w:color="auto"/>
        <w:right w:val="none" w:sz="0" w:space="0" w:color="auto"/>
      </w:divBdr>
    </w:div>
    <w:div w:id="441538342">
      <w:bodyDiv w:val="1"/>
      <w:marLeft w:val="0"/>
      <w:marRight w:val="0"/>
      <w:marTop w:val="0"/>
      <w:marBottom w:val="0"/>
      <w:divBdr>
        <w:top w:val="none" w:sz="0" w:space="0" w:color="auto"/>
        <w:left w:val="none" w:sz="0" w:space="0" w:color="auto"/>
        <w:bottom w:val="none" w:sz="0" w:space="0" w:color="auto"/>
        <w:right w:val="none" w:sz="0" w:space="0" w:color="auto"/>
      </w:divBdr>
    </w:div>
    <w:div w:id="445664599">
      <w:bodyDiv w:val="1"/>
      <w:marLeft w:val="0"/>
      <w:marRight w:val="0"/>
      <w:marTop w:val="0"/>
      <w:marBottom w:val="0"/>
      <w:divBdr>
        <w:top w:val="none" w:sz="0" w:space="0" w:color="auto"/>
        <w:left w:val="none" w:sz="0" w:space="0" w:color="auto"/>
        <w:bottom w:val="none" w:sz="0" w:space="0" w:color="auto"/>
        <w:right w:val="none" w:sz="0" w:space="0" w:color="auto"/>
      </w:divBdr>
    </w:div>
    <w:div w:id="447436227">
      <w:bodyDiv w:val="1"/>
      <w:marLeft w:val="0"/>
      <w:marRight w:val="0"/>
      <w:marTop w:val="0"/>
      <w:marBottom w:val="0"/>
      <w:divBdr>
        <w:top w:val="none" w:sz="0" w:space="0" w:color="auto"/>
        <w:left w:val="none" w:sz="0" w:space="0" w:color="auto"/>
        <w:bottom w:val="none" w:sz="0" w:space="0" w:color="auto"/>
        <w:right w:val="none" w:sz="0" w:space="0" w:color="auto"/>
      </w:divBdr>
    </w:div>
    <w:div w:id="450510968">
      <w:bodyDiv w:val="1"/>
      <w:marLeft w:val="0"/>
      <w:marRight w:val="0"/>
      <w:marTop w:val="0"/>
      <w:marBottom w:val="0"/>
      <w:divBdr>
        <w:top w:val="none" w:sz="0" w:space="0" w:color="auto"/>
        <w:left w:val="none" w:sz="0" w:space="0" w:color="auto"/>
        <w:bottom w:val="none" w:sz="0" w:space="0" w:color="auto"/>
        <w:right w:val="none" w:sz="0" w:space="0" w:color="auto"/>
      </w:divBdr>
    </w:div>
    <w:div w:id="454301178">
      <w:bodyDiv w:val="1"/>
      <w:marLeft w:val="0"/>
      <w:marRight w:val="0"/>
      <w:marTop w:val="0"/>
      <w:marBottom w:val="0"/>
      <w:divBdr>
        <w:top w:val="none" w:sz="0" w:space="0" w:color="auto"/>
        <w:left w:val="none" w:sz="0" w:space="0" w:color="auto"/>
        <w:bottom w:val="none" w:sz="0" w:space="0" w:color="auto"/>
        <w:right w:val="none" w:sz="0" w:space="0" w:color="auto"/>
      </w:divBdr>
    </w:div>
    <w:div w:id="456068958">
      <w:bodyDiv w:val="1"/>
      <w:marLeft w:val="0"/>
      <w:marRight w:val="0"/>
      <w:marTop w:val="0"/>
      <w:marBottom w:val="0"/>
      <w:divBdr>
        <w:top w:val="none" w:sz="0" w:space="0" w:color="auto"/>
        <w:left w:val="none" w:sz="0" w:space="0" w:color="auto"/>
        <w:bottom w:val="none" w:sz="0" w:space="0" w:color="auto"/>
        <w:right w:val="none" w:sz="0" w:space="0" w:color="auto"/>
      </w:divBdr>
    </w:div>
    <w:div w:id="461659920">
      <w:bodyDiv w:val="1"/>
      <w:marLeft w:val="0"/>
      <w:marRight w:val="0"/>
      <w:marTop w:val="0"/>
      <w:marBottom w:val="0"/>
      <w:divBdr>
        <w:top w:val="none" w:sz="0" w:space="0" w:color="auto"/>
        <w:left w:val="none" w:sz="0" w:space="0" w:color="auto"/>
        <w:bottom w:val="none" w:sz="0" w:space="0" w:color="auto"/>
        <w:right w:val="none" w:sz="0" w:space="0" w:color="auto"/>
      </w:divBdr>
    </w:div>
    <w:div w:id="462235184">
      <w:bodyDiv w:val="1"/>
      <w:marLeft w:val="0"/>
      <w:marRight w:val="0"/>
      <w:marTop w:val="0"/>
      <w:marBottom w:val="0"/>
      <w:divBdr>
        <w:top w:val="none" w:sz="0" w:space="0" w:color="auto"/>
        <w:left w:val="none" w:sz="0" w:space="0" w:color="auto"/>
        <w:bottom w:val="none" w:sz="0" w:space="0" w:color="auto"/>
        <w:right w:val="none" w:sz="0" w:space="0" w:color="auto"/>
      </w:divBdr>
    </w:div>
    <w:div w:id="462623320">
      <w:bodyDiv w:val="1"/>
      <w:marLeft w:val="0"/>
      <w:marRight w:val="0"/>
      <w:marTop w:val="0"/>
      <w:marBottom w:val="0"/>
      <w:divBdr>
        <w:top w:val="none" w:sz="0" w:space="0" w:color="auto"/>
        <w:left w:val="none" w:sz="0" w:space="0" w:color="auto"/>
        <w:bottom w:val="none" w:sz="0" w:space="0" w:color="auto"/>
        <w:right w:val="none" w:sz="0" w:space="0" w:color="auto"/>
      </w:divBdr>
    </w:div>
    <w:div w:id="463933970">
      <w:bodyDiv w:val="1"/>
      <w:marLeft w:val="0"/>
      <w:marRight w:val="0"/>
      <w:marTop w:val="0"/>
      <w:marBottom w:val="0"/>
      <w:divBdr>
        <w:top w:val="none" w:sz="0" w:space="0" w:color="auto"/>
        <w:left w:val="none" w:sz="0" w:space="0" w:color="auto"/>
        <w:bottom w:val="none" w:sz="0" w:space="0" w:color="auto"/>
        <w:right w:val="none" w:sz="0" w:space="0" w:color="auto"/>
      </w:divBdr>
    </w:div>
    <w:div w:id="464662140">
      <w:bodyDiv w:val="1"/>
      <w:marLeft w:val="0"/>
      <w:marRight w:val="0"/>
      <w:marTop w:val="0"/>
      <w:marBottom w:val="0"/>
      <w:divBdr>
        <w:top w:val="none" w:sz="0" w:space="0" w:color="auto"/>
        <w:left w:val="none" w:sz="0" w:space="0" w:color="auto"/>
        <w:bottom w:val="none" w:sz="0" w:space="0" w:color="auto"/>
        <w:right w:val="none" w:sz="0" w:space="0" w:color="auto"/>
      </w:divBdr>
    </w:div>
    <w:div w:id="464852853">
      <w:bodyDiv w:val="1"/>
      <w:marLeft w:val="0"/>
      <w:marRight w:val="0"/>
      <w:marTop w:val="0"/>
      <w:marBottom w:val="0"/>
      <w:divBdr>
        <w:top w:val="none" w:sz="0" w:space="0" w:color="auto"/>
        <w:left w:val="none" w:sz="0" w:space="0" w:color="auto"/>
        <w:bottom w:val="none" w:sz="0" w:space="0" w:color="auto"/>
        <w:right w:val="none" w:sz="0" w:space="0" w:color="auto"/>
      </w:divBdr>
    </w:div>
    <w:div w:id="464978116">
      <w:bodyDiv w:val="1"/>
      <w:marLeft w:val="0"/>
      <w:marRight w:val="0"/>
      <w:marTop w:val="0"/>
      <w:marBottom w:val="0"/>
      <w:divBdr>
        <w:top w:val="none" w:sz="0" w:space="0" w:color="auto"/>
        <w:left w:val="none" w:sz="0" w:space="0" w:color="auto"/>
        <w:bottom w:val="none" w:sz="0" w:space="0" w:color="auto"/>
        <w:right w:val="none" w:sz="0" w:space="0" w:color="auto"/>
      </w:divBdr>
    </w:div>
    <w:div w:id="474681015">
      <w:bodyDiv w:val="1"/>
      <w:marLeft w:val="0"/>
      <w:marRight w:val="0"/>
      <w:marTop w:val="0"/>
      <w:marBottom w:val="0"/>
      <w:divBdr>
        <w:top w:val="none" w:sz="0" w:space="0" w:color="auto"/>
        <w:left w:val="none" w:sz="0" w:space="0" w:color="auto"/>
        <w:bottom w:val="none" w:sz="0" w:space="0" w:color="auto"/>
        <w:right w:val="none" w:sz="0" w:space="0" w:color="auto"/>
      </w:divBdr>
    </w:div>
    <w:div w:id="474874439">
      <w:bodyDiv w:val="1"/>
      <w:marLeft w:val="0"/>
      <w:marRight w:val="0"/>
      <w:marTop w:val="0"/>
      <w:marBottom w:val="0"/>
      <w:divBdr>
        <w:top w:val="none" w:sz="0" w:space="0" w:color="auto"/>
        <w:left w:val="none" w:sz="0" w:space="0" w:color="auto"/>
        <w:bottom w:val="none" w:sz="0" w:space="0" w:color="auto"/>
        <w:right w:val="none" w:sz="0" w:space="0" w:color="auto"/>
      </w:divBdr>
    </w:div>
    <w:div w:id="477692722">
      <w:bodyDiv w:val="1"/>
      <w:marLeft w:val="0"/>
      <w:marRight w:val="0"/>
      <w:marTop w:val="0"/>
      <w:marBottom w:val="0"/>
      <w:divBdr>
        <w:top w:val="none" w:sz="0" w:space="0" w:color="auto"/>
        <w:left w:val="none" w:sz="0" w:space="0" w:color="auto"/>
        <w:bottom w:val="none" w:sz="0" w:space="0" w:color="auto"/>
        <w:right w:val="none" w:sz="0" w:space="0" w:color="auto"/>
      </w:divBdr>
    </w:div>
    <w:div w:id="478573733">
      <w:bodyDiv w:val="1"/>
      <w:marLeft w:val="0"/>
      <w:marRight w:val="0"/>
      <w:marTop w:val="0"/>
      <w:marBottom w:val="0"/>
      <w:divBdr>
        <w:top w:val="none" w:sz="0" w:space="0" w:color="auto"/>
        <w:left w:val="none" w:sz="0" w:space="0" w:color="auto"/>
        <w:bottom w:val="none" w:sz="0" w:space="0" w:color="auto"/>
        <w:right w:val="none" w:sz="0" w:space="0" w:color="auto"/>
      </w:divBdr>
    </w:div>
    <w:div w:id="478811771">
      <w:bodyDiv w:val="1"/>
      <w:marLeft w:val="0"/>
      <w:marRight w:val="0"/>
      <w:marTop w:val="0"/>
      <w:marBottom w:val="0"/>
      <w:divBdr>
        <w:top w:val="none" w:sz="0" w:space="0" w:color="auto"/>
        <w:left w:val="none" w:sz="0" w:space="0" w:color="auto"/>
        <w:bottom w:val="none" w:sz="0" w:space="0" w:color="auto"/>
        <w:right w:val="none" w:sz="0" w:space="0" w:color="auto"/>
      </w:divBdr>
    </w:div>
    <w:div w:id="479545340">
      <w:bodyDiv w:val="1"/>
      <w:marLeft w:val="0"/>
      <w:marRight w:val="0"/>
      <w:marTop w:val="0"/>
      <w:marBottom w:val="0"/>
      <w:divBdr>
        <w:top w:val="none" w:sz="0" w:space="0" w:color="auto"/>
        <w:left w:val="none" w:sz="0" w:space="0" w:color="auto"/>
        <w:bottom w:val="none" w:sz="0" w:space="0" w:color="auto"/>
        <w:right w:val="none" w:sz="0" w:space="0" w:color="auto"/>
      </w:divBdr>
    </w:div>
    <w:div w:id="480927564">
      <w:bodyDiv w:val="1"/>
      <w:marLeft w:val="0"/>
      <w:marRight w:val="0"/>
      <w:marTop w:val="0"/>
      <w:marBottom w:val="0"/>
      <w:divBdr>
        <w:top w:val="none" w:sz="0" w:space="0" w:color="auto"/>
        <w:left w:val="none" w:sz="0" w:space="0" w:color="auto"/>
        <w:bottom w:val="none" w:sz="0" w:space="0" w:color="auto"/>
        <w:right w:val="none" w:sz="0" w:space="0" w:color="auto"/>
      </w:divBdr>
    </w:div>
    <w:div w:id="485441340">
      <w:bodyDiv w:val="1"/>
      <w:marLeft w:val="0"/>
      <w:marRight w:val="0"/>
      <w:marTop w:val="0"/>
      <w:marBottom w:val="0"/>
      <w:divBdr>
        <w:top w:val="none" w:sz="0" w:space="0" w:color="auto"/>
        <w:left w:val="none" w:sz="0" w:space="0" w:color="auto"/>
        <w:bottom w:val="none" w:sz="0" w:space="0" w:color="auto"/>
        <w:right w:val="none" w:sz="0" w:space="0" w:color="auto"/>
      </w:divBdr>
    </w:div>
    <w:div w:id="487356975">
      <w:bodyDiv w:val="1"/>
      <w:marLeft w:val="0"/>
      <w:marRight w:val="0"/>
      <w:marTop w:val="0"/>
      <w:marBottom w:val="0"/>
      <w:divBdr>
        <w:top w:val="none" w:sz="0" w:space="0" w:color="auto"/>
        <w:left w:val="none" w:sz="0" w:space="0" w:color="auto"/>
        <w:bottom w:val="none" w:sz="0" w:space="0" w:color="auto"/>
        <w:right w:val="none" w:sz="0" w:space="0" w:color="auto"/>
      </w:divBdr>
    </w:div>
    <w:div w:id="488375459">
      <w:bodyDiv w:val="1"/>
      <w:marLeft w:val="0"/>
      <w:marRight w:val="0"/>
      <w:marTop w:val="0"/>
      <w:marBottom w:val="0"/>
      <w:divBdr>
        <w:top w:val="none" w:sz="0" w:space="0" w:color="auto"/>
        <w:left w:val="none" w:sz="0" w:space="0" w:color="auto"/>
        <w:bottom w:val="none" w:sz="0" w:space="0" w:color="auto"/>
        <w:right w:val="none" w:sz="0" w:space="0" w:color="auto"/>
      </w:divBdr>
    </w:div>
    <w:div w:id="489449573">
      <w:bodyDiv w:val="1"/>
      <w:marLeft w:val="0"/>
      <w:marRight w:val="0"/>
      <w:marTop w:val="0"/>
      <w:marBottom w:val="0"/>
      <w:divBdr>
        <w:top w:val="none" w:sz="0" w:space="0" w:color="auto"/>
        <w:left w:val="none" w:sz="0" w:space="0" w:color="auto"/>
        <w:bottom w:val="none" w:sz="0" w:space="0" w:color="auto"/>
        <w:right w:val="none" w:sz="0" w:space="0" w:color="auto"/>
      </w:divBdr>
    </w:div>
    <w:div w:id="495416787">
      <w:bodyDiv w:val="1"/>
      <w:marLeft w:val="0"/>
      <w:marRight w:val="0"/>
      <w:marTop w:val="0"/>
      <w:marBottom w:val="0"/>
      <w:divBdr>
        <w:top w:val="none" w:sz="0" w:space="0" w:color="auto"/>
        <w:left w:val="none" w:sz="0" w:space="0" w:color="auto"/>
        <w:bottom w:val="none" w:sz="0" w:space="0" w:color="auto"/>
        <w:right w:val="none" w:sz="0" w:space="0" w:color="auto"/>
      </w:divBdr>
    </w:div>
    <w:div w:id="501505809">
      <w:bodyDiv w:val="1"/>
      <w:marLeft w:val="0"/>
      <w:marRight w:val="0"/>
      <w:marTop w:val="0"/>
      <w:marBottom w:val="0"/>
      <w:divBdr>
        <w:top w:val="none" w:sz="0" w:space="0" w:color="auto"/>
        <w:left w:val="none" w:sz="0" w:space="0" w:color="auto"/>
        <w:bottom w:val="none" w:sz="0" w:space="0" w:color="auto"/>
        <w:right w:val="none" w:sz="0" w:space="0" w:color="auto"/>
      </w:divBdr>
    </w:div>
    <w:div w:id="502362342">
      <w:bodyDiv w:val="1"/>
      <w:marLeft w:val="0"/>
      <w:marRight w:val="0"/>
      <w:marTop w:val="0"/>
      <w:marBottom w:val="0"/>
      <w:divBdr>
        <w:top w:val="none" w:sz="0" w:space="0" w:color="auto"/>
        <w:left w:val="none" w:sz="0" w:space="0" w:color="auto"/>
        <w:bottom w:val="none" w:sz="0" w:space="0" w:color="auto"/>
        <w:right w:val="none" w:sz="0" w:space="0" w:color="auto"/>
      </w:divBdr>
    </w:div>
    <w:div w:id="503251832">
      <w:bodyDiv w:val="1"/>
      <w:marLeft w:val="0"/>
      <w:marRight w:val="0"/>
      <w:marTop w:val="0"/>
      <w:marBottom w:val="0"/>
      <w:divBdr>
        <w:top w:val="none" w:sz="0" w:space="0" w:color="auto"/>
        <w:left w:val="none" w:sz="0" w:space="0" w:color="auto"/>
        <w:bottom w:val="none" w:sz="0" w:space="0" w:color="auto"/>
        <w:right w:val="none" w:sz="0" w:space="0" w:color="auto"/>
      </w:divBdr>
    </w:div>
    <w:div w:id="504251220">
      <w:bodyDiv w:val="1"/>
      <w:marLeft w:val="0"/>
      <w:marRight w:val="0"/>
      <w:marTop w:val="0"/>
      <w:marBottom w:val="0"/>
      <w:divBdr>
        <w:top w:val="none" w:sz="0" w:space="0" w:color="auto"/>
        <w:left w:val="none" w:sz="0" w:space="0" w:color="auto"/>
        <w:bottom w:val="none" w:sz="0" w:space="0" w:color="auto"/>
        <w:right w:val="none" w:sz="0" w:space="0" w:color="auto"/>
      </w:divBdr>
    </w:div>
    <w:div w:id="506142560">
      <w:bodyDiv w:val="1"/>
      <w:marLeft w:val="0"/>
      <w:marRight w:val="0"/>
      <w:marTop w:val="0"/>
      <w:marBottom w:val="0"/>
      <w:divBdr>
        <w:top w:val="none" w:sz="0" w:space="0" w:color="auto"/>
        <w:left w:val="none" w:sz="0" w:space="0" w:color="auto"/>
        <w:bottom w:val="none" w:sz="0" w:space="0" w:color="auto"/>
        <w:right w:val="none" w:sz="0" w:space="0" w:color="auto"/>
      </w:divBdr>
    </w:div>
    <w:div w:id="506943999">
      <w:bodyDiv w:val="1"/>
      <w:marLeft w:val="0"/>
      <w:marRight w:val="0"/>
      <w:marTop w:val="0"/>
      <w:marBottom w:val="0"/>
      <w:divBdr>
        <w:top w:val="none" w:sz="0" w:space="0" w:color="auto"/>
        <w:left w:val="none" w:sz="0" w:space="0" w:color="auto"/>
        <w:bottom w:val="none" w:sz="0" w:space="0" w:color="auto"/>
        <w:right w:val="none" w:sz="0" w:space="0" w:color="auto"/>
      </w:divBdr>
    </w:div>
    <w:div w:id="507140544">
      <w:bodyDiv w:val="1"/>
      <w:marLeft w:val="0"/>
      <w:marRight w:val="0"/>
      <w:marTop w:val="0"/>
      <w:marBottom w:val="0"/>
      <w:divBdr>
        <w:top w:val="none" w:sz="0" w:space="0" w:color="auto"/>
        <w:left w:val="none" w:sz="0" w:space="0" w:color="auto"/>
        <w:bottom w:val="none" w:sz="0" w:space="0" w:color="auto"/>
        <w:right w:val="none" w:sz="0" w:space="0" w:color="auto"/>
      </w:divBdr>
    </w:div>
    <w:div w:id="507600837">
      <w:bodyDiv w:val="1"/>
      <w:marLeft w:val="0"/>
      <w:marRight w:val="0"/>
      <w:marTop w:val="0"/>
      <w:marBottom w:val="0"/>
      <w:divBdr>
        <w:top w:val="none" w:sz="0" w:space="0" w:color="auto"/>
        <w:left w:val="none" w:sz="0" w:space="0" w:color="auto"/>
        <w:bottom w:val="none" w:sz="0" w:space="0" w:color="auto"/>
        <w:right w:val="none" w:sz="0" w:space="0" w:color="auto"/>
      </w:divBdr>
    </w:div>
    <w:div w:id="507713142">
      <w:bodyDiv w:val="1"/>
      <w:marLeft w:val="0"/>
      <w:marRight w:val="0"/>
      <w:marTop w:val="0"/>
      <w:marBottom w:val="0"/>
      <w:divBdr>
        <w:top w:val="none" w:sz="0" w:space="0" w:color="auto"/>
        <w:left w:val="none" w:sz="0" w:space="0" w:color="auto"/>
        <w:bottom w:val="none" w:sz="0" w:space="0" w:color="auto"/>
        <w:right w:val="none" w:sz="0" w:space="0" w:color="auto"/>
      </w:divBdr>
    </w:div>
    <w:div w:id="508106455">
      <w:bodyDiv w:val="1"/>
      <w:marLeft w:val="0"/>
      <w:marRight w:val="0"/>
      <w:marTop w:val="0"/>
      <w:marBottom w:val="0"/>
      <w:divBdr>
        <w:top w:val="none" w:sz="0" w:space="0" w:color="auto"/>
        <w:left w:val="none" w:sz="0" w:space="0" w:color="auto"/>
        <w:bottom w:val="none" w:sz="0" w:space="0" w:color="auto"/>
        <w:right w:val="none" w:sz="0" w:space="0" w:color="auto"/>
      </w:divBdr>
    </w:div>
    <w:div w:id="508445635">
      <w:bodyDiv w:val="1"/>
      <w:marLeft w:val="0"/>
      <w:marRight w:val="0"/>
      <w:marTop w:val="0"/>
      <w:marBottom w:val="0"/>
      <w:divBdr>
        <w:top w:val="none" w:sz="0" w:space="0" w:color="auto"/>
        <w:left w:val="none" w:sz="0" w:space="0" w:color="auto"/>
        <w:bottom w:val="none" w:sz="0" w:space="0" w:color="auto"/>
        <w:right w:val="none" w:sz="0" w:space="0" w:color="auto"/>
      </w:divBdr>
    </w:div>
    <w:div w:id="508910857">
      <w:bodyDiv w:val="1"/>
      <w:marLeft w:val="0"/>
      <w:marRight w:val="0"/>
      <w:marTop w:val="0"/>
      <w:marBottom w:val="0"/>
      <w:divBdr>
        <w:top w:val="none" w:sz="0" w:space="0" w:color="auto"/>
        <w:left w:val="none" w:sz="0" w:space="0" w:color="auto"/>
        <w:bottom w:val="none" w:sz="0" w:space="0" w:color="auto"/>
        <w:right w:val="none" w:sz="0" w:space="0" w:color="auto"/>
      </w:divBdr>
    </w:div>
    <w:div w:id="509296177">
      <w:bodyDiv w:val="1"/>
      <w:marLeft w:val="0"/>
      <w:marRight w:val="0"/>
      <w:marTop w:val="0"/>
      <w:marBottom w:val="0"/>
      <w:divBdr>
        <w:top w:val="none" w:sz="0" w:space="0" w:color="auto"/>
        <w:left w:val="none" w:sz="0" w:space="0" w:color="auto"/>
        <w:bottom w:val="none" w:sz="0" w:space="0" w:color="auto"/>
        <w:right w:val="none" w:sz="0" w:space="0" w:color="auto"/>
      </w:divBdr>
    </w:div>
    <w:div w:id="511917300">
      <w:bodyDiv w:val="1"/>
      <w:marLeft w:val="0"/>
      <w:marRight w:val="0"/>
      <w:marTop w:val="0"/>
      <w:marBottom w:val="0"/>
      <w:divBdr>
        <w:top w:val="none" w:sz="0" w:space="0" w:color="auto"/>
        <w:left w:val="none" w:sz="0" w:space="0" w:color="auto"/>
        <w:bottom w:val="none" w:sz="0" w:space="0" w:color="auto"/>
        <w:right w:val="none" w:sz="0" w:space="0" w:color="auto"/>
      </w:divBdr>
    </w:div>
    <w:div w:id="512837861">
      <w:bodyDiv w:val="1"/>
      <w:marLeft w:val="0"/>
      <w:marRight w:val="0"/>
      <w:marTop w:val="0"/>
      <w:marBottom w:val="0"/>
      <w:divBdr>
        <w:top w:val="none" w:sz="0" w:space="0" w:color="auto"/>
        <w:left w:val="none" w:sz="0" w:space="0" w:color="auto"/>
        <w:bottom w:val="none" w:sz="0" w:space="0" w:color="auto"/>
        <w:right w:val="none" w:sz="0" w:space="0" w:color="auto"/>
      </w:divBdr>
    </w:div>
    <w:div w:id="517504059">
      <w:bodyDiv w:val="1"/>
      <w:marLeft w:val="0"/>
      <w:marRight w:val="0"/>
      <w:marTop w:val="0"/>
      <w:marBottom w:val="0"/>
      <w:divBdr>
        <w:top w:val="none" w:sz="0" w:space="0" w:color="auto"/>
        <w:left w:val="none" w:sz="0" w:space="0" w:color="auto"/>
        <w:bottom w:val="none" w:sz="0" w:space="0" w:color="auto"/>
        <w:right w:val="none" w:sz="0" w:space="0" w:color="auto"/>
      </w:divBdr>
    </w:div>
    <w:div w:id="517963214">
      <w:bodyDiv w:val="1"/>
      <w:marLeft w:val="0"/>
      <w:marRight w:val="0"/>
      <w:marTop w:val="0"/>
      <w:marBottom w:val="0"/>
      <w:divBdr>
        <w:top w:val="none" w:sz="0" w:space="0" w:color="auto"/>
        <w:left w:val="none" w:sz="0" w:space="0" w:color="auto"/>
        <w:bottom w:val="none" w:sz="0" w:space="0" w:color="auto"/>
        <w:right w:val="none" w:sz="0" w:space="0" w:color="auto"/>
      </w:divBdr>
    </w:div>
    <w:div w:id="518391633">
      <w:bodyDiv w:val="1"/>
      <w:marLeft w:val="0"/>
      <w:marRight w:val="0"/>
      <w:marTop w:val="0"/>
      <w:marBottom w:val="0"/>
      <w:divBdr>
        <w:top w:val="none" w:sz="0" w:space="0" w:color="auto"/>
        <w:left w:val="none" w:sz="0" w:space="0" w:color="auto"/>
        <w:bottom w:val="none" w:sz="0" w:space="0" w:color="auto"/>
        <w:right w:val="none" w:sz="0" w:space="0" w:color="auto"/>
      </w:divBdr>
      <w:divsChild>
        <w:div w:id="40793349">
          <w:marLeft w:val="446"/>
          <w:marRight w:val="0"/>
          <w:marTop w:val="0"/>
          <w:marBottom w:val="360"/>
          <w:divBdr>
            <w:top w:val="none" w:sz="0" w:space="0" w:color="auto"/>
            <w:left w:val="none" w:sz="0" w:space="0" w:color="auto"/>
            <w:bottom w:val="none" w:sz="0" w:space="0" w:color="auto"/>
            <w:right w:val="none" w:sz="0" w:space="0" w:color="auto"/>
          </w:divBdr>
        </w:div>
        <w:div w:id="577521107">
          <w:marLeft w:val="446"/>
          <w:marRight w:val="0"/>
          <w:marTop w:val="0"/>
          <w:marBottom w:val="360"/>
          <w:divBdr>
            <w:top w:val="none" w:sz="0" w:space="0" w:color="auto"/>
            <w:left w:val="none" w:sz="0" w:space="0" w:color="auto"/>
            <w:bottom w:val="none" w:sz="0" w:space="0" w:color="auto"/>
            <w:right w:val="none" w:sz="0" w:space="0" w:color="auto"/>
          </w:divBdr>
        </w:div>
        <w:div w:id="775976935">
          <w:marLeft w:val="446"/>
          <w:marRight w:val="0"/>
          <w:marTop w:val="0"/>
          <w:marBottom w:val="360"/>
          <w:divBdr>
            <w:top w:val="none" w:sz="0" w:space="0" w:color="auto"/>
            <w:left w:val="none" w:sz="0" w:space="0" w:color="auto"/>
            <w:bottom w:val="none" w:sz="0" w:space="0" w:color="auto"/>
            <w:right w:val="none" w:sz="0" w:space="0" w:color="auto"/>
          </w:divBdr>
        </w:div>
        <w:div w:id="1725830262">
          <w:marLeft w:val="446"/>
          <w:marRight w:val="0"/>
          <w:marTop w:val="0"/>
          <w:marBottom w:val="360"/>
          <w:divBdr>
            <w:top w:val="none" w:sz="0" w:space="0" w:color="auto"/>
            <w:left w:val="none" w:sz="0" w:space="0" w:color="auto"/>
            <w:bottom w:val="none" w:sz="0" w:space="0" w:color="auto"/>
            <w:right w:val="none" w:sz="0" w:space="0" w:color="auto"/>
          </w:divBdr>
        </w:div>
        <w:div w:id="1729454321">
          <w:marLeft w:val="446"/>
          <w:marRight w:val="0"/>
          <w:marTop w:val="0"/>
          <w:marBottom w:val="360"/>
          <w:divBdr>
            <w:top w:val="none" w:sz="0" w:space="0" w:color="auto"/>
            <w:left w:val="none" w:sz="0" w:space="0" w:color="auto"/>
            <w:bottom w:val="none" w:sz="0" w:space="0" w:color="auto"/>
            <w:right w:val="none" w:sz="0" w:space="0" w:color="auto"/>
          </w:divBdr>
        </w:div>
        <w:div w:id="2146970111">
          <w:marLeft w:val="446"/>
          <w:marRight w:val="0"/>
          <w:marTop w:val="0"/>
          <w:marBottom w:val="360"/>
          <w:divBdr>
            <w:top w:val="none" w:sz="0" w:space="0" w:color="auto"/>
            <w:left w:val="none" w:sz="0" w:space="0" w:color="auto"/>
            <w:bottom w:val="none" w:sz="0" w:space="0" w:color="auto"/>
            <w:right w:val="none" w:sz="0" w:space="0" w:color="auto"/>
          </w:divBdr>
        </w:div>
      </w:divsChild>
    </w:div>
    <w:div w:id="519317009">
      <w:bodyDiv w:val="1"/>
      <w:marLeft w:val="0"/>
      <w:marRight w:val="0"/>
      <w:marTop w:val="0"/>
      <w:marBottom w:val="0"/>
      <w:divBdr>
        <w:top w:val="none" w:sz="0" w:space="0" w:color="auto"/>
        <w:left w:val="none" w:sz="0" w:space="0" w:color="auto"/>
        <w:bottom w:val="none" w:sz="0" w:space="0" w:color="auto"/>
        <w:right w:val="none" w:sz="0" w:space="0" w:color="auto"/>
      </w:divBdr>
    </w:div>
    <w:div w:id="523330842">
      <w:bodyDiv w:val="1"/>
      <w:marLeft w:val="0"/>
      <w:marRight w:val="0"/>
      <w:marTop w:val="0"/>
      <w:marBottom w:val="0"/>
      <w:divBdr>
        <w:top w:val="none" w:sz="0" w:space="0" w:color="auto"/>
        <w:left w:val="none" w:sz="0" w:space="0" w:color="auto"/>
        <w:bottom w:val="none" w:sz="0" w:space="0" w:color="auto"/>
        <w:right w:val="none" w:sz="0" w:space="0" w:color="auto"/>
      </w:divBdr>
    </w:div>
    <w:div w:id="523784406">
      <w:bodyDiv w:val="1"/>
      <w:marLeft w:val="0"/>
      <w:marRight w:val="0"/>
      <w:marTop w:val="0"/>
      <w:marBottom w:val="0"/>
      <w:divBdr>
        <w:top w:val="none" w:sz="0" w:space="0" w:color="auto"/>
        <w:left w:val="none" w:sz="0" w:space="0" w:color="auto"/>
        <w:bottom w:val="none" w:sz="0" w:space="0" w:color="auto"/>
        <w:right w:val="none" w:sz="0" w:space="0" w:color="auto"/>
      </w:divBdr>
    </w:div>
    <w:div w:id="524058407">
      <w:bodyDiv w:val="1"/>
      <w:marLeft w:val="0"/>
      <w:marRight w:val="0"/>
      <w:marTop w:val="0"/>
      <w:marBottom w:val="0"/>
      <w:divBdr>
        <w:top w:val="none" w:sz="0" w:space="0" w:color="auto"/>
        <w:left w:val="none" w:sz="0" w:space="0" w:color="auto"/>
        <w:bottom w:val="none" w:sz="0" w:space="0" w:color="auto"/>
        <w:right w:val="none" w:sz="0" w:space="0" w:color="auto"/>
      </w:divBdr>
    </w:div>
    <w:div w:id="527834603">
      <w:bodyDiv w:val="1"/>
      <w:marLeft w:val="0"/>
      <w:marRight w:val="0"/>
      <w:marTop w:val="0"/>
      <w:marBottom w:val="0"/>
      <w:divBdr>
        <w:top w:val="none" w:sz="0" w:space="0" w:color="auto"/>
        <w:left w:val="none" w:sz="0" w:space="0" w:color="auto"/>
        <w:bottom w:val="none" w:sz="0" w:space="0" w:color="auto"/>
        <w:right w:val="none" w:sz="0" w:space="0" w:color="auto"/>
      </w:divBdr>
    </w:div>
    <w:div w:id="528760088">
      <w:bodyDiv w:val="1"/>
      <w:marLeft w:val="0"/>
      <w:marRight w:val="0"/>
      <w:marTop w:val="0"/>
      <w:marBottom w:val="0"/>
      <w:divBdr>
        <w:top w:val="none" w:sz="0" w:space="0" w:color="auto"/>
        <w:left w:val="none" w:sz="0" w:space="0" w:color="auto"/>
        <w:bottom w:val="none" w:sz="0" w:space="0" w:color="auto"/>
        <w:right w:val="none" w:sz="0" w:space="0" w:color="auto"/>
      </w:divBdr>
    </w:div>
    <w:div w:id="528952241">
      <w:bodyDiv w:val="1"/>
      <w:marLeft w:val="0"/>
      <w:marRight w:val="0"/>
      <w:marTop w:val="0"/>
      <w:marBottom w:val="0"/>
      <w:divBdr>
        <w:top w:val="none" w:sz="0" w:space="0" w:color="auto"/>
        <w:left w:val="none" w:sz="0" w:space="0" w:color="auto"/>
        <w:bottom w:val="none" w:sz="0" w:space="0" w:color="auto"/>
        <w:right w:val="none" w:sz="0" w:space="0" w:color="auto"/>
      </w:divBdr>
    </w:div>
    <w:div w:id="531959341">
      <w:bodyDiv w:val="1"/>
      <w:marLeft w:val="0"/>
      <w:marRight w:val="0"/>
      <w:marTop w:val="0"/>
      <w:marBottom w:val="0"/>
      <w:divBdr>
        <w:top w:val="none" w:sz="0" w:space="0" w:color="auto"/>
        <w:left w:val="none" w:sz="0" w:space="0" w:color="auto"/>
        <w:bottom w:val="none" w:sz="0" w:space="0" w:color="auto"/>
        <w:right w:val="none" w:sz="0" w:space="0" w:color="auto"/>
      </w:divBdr>
    </w:div>
    <w:div w:id="535894702">
      <w:bodyDiv w:val="1"/>
      <w:marLeft w:val="0"/>
      <w:marRight w:val="0"/>
      <w:marTop w:val="0"/>
      <w:marBottom w:val="0"/>
      <w:divBdr>
        <w:top w:val="none" w:sz="0" w:space="0" w:color="auto"/>
        <w:left w:val="none" w:sz="0" w:space="0" w:color="auto"/>
        <w:bottom w:val="none" w:sz="0" w:space="0" w:color="auto"/>
        <w:right w:val="none" w:sz="0" w:space="0" w:color="auto"/>
      </w:divBdr>
    </w:div>
    <w:div w:id="536239227">
      <w:bodyDiv w:val="1"/>
      <w:marLeft w:val="0"/>
      <w:marRight w:val="0"/>
      <w:marTop w:val="0"/>
      <w:marBottom w:val="0"/>
      <w:divBdr>
        <w:top w:val="none" w:sz="0" w:space="0" w:color="auto"/>
        <w:left w:val="none" w:sz="0" w:space="0" w:color="auto"/>
        <w:bottom w:val="none" w:sz="0" w:space="0" w:color="auto"/>
        <w:right w:val="none" w:sz="0" w:space="0" w:color="auto"/>
      </w:divBdr>
    </w:div>
    <w:div w:id="537858301">
      <w:bodyDiv w:val="1"/>
      <w:marLeft w:val="0"/>
      <w:marRight w:val="0"/>
      <w:marTop w:val="0"/>
      <w:marBottom w:val="0"/>
      <w:divBdr>
        <w:top w:val="none" w:sz="0" w:space="0" w:color="auto"/>
        <w:left w:val="none" w:sz="0" w:space="0" w:color="auto"/>
        <w:bottom w:val="none" w:sz="0" w:space="0" w:color="auto"/>
        <w:right w:val="none" w:sz="0" w:space="0" w:color="auto"/>
      </w:divBdr>
      <w:divsChild>
        <w:div w:id="370687402">
          <w:marLeft w:val="274"/>
          <w:marRight w:val="0"/>
          <w:marTop w:val="0"/>
          <w:marBottom w:val="0"/>
          <w:divBdr>
            <w:top w:val="none" w:sz="0" w:space="0" w:color="auto"/>
            <w:left w:val="none" w:sz="0" w:space="0" w:color="auto"/>
            <w:bottom w:val="none" w:sz="0" w:space="0" w:color="auto"/>
            <w:right w:val="none" w:sz="0" w:space="0" w:color="auto"/>
          </w:divBdr>
        </w:div>
        <w:div w:id="638649552">
          <w:marLeft w:val="274"/>
          <w:marRight w:val="0"/>
          <w:marTop w:val="0"/>
          <w:marBottom w:val="0"/>
          <w:divBdr>
            <w:top w:val="none" w:sz="0" w:space="0" w:color="auto"/>
            <w:left w:val="none" w:sz="0" w:space="0" w:color="auto"/>
            <w:bottom w:val="none" w:sz="0" w:space="0" w:color="auto"/>
            <w:right w:val="none" w:sz="0" w:space="0" w:color="auto"/>
          </w:divBdr>
        </w:div>
        <w:div w:id="1277908378">
          <w:marLeft w:val="274"/>
          <w:marRight w:val="0"/>
          <w:marTop w:val="0"/>
          <w:marBottom w:val="0"/>
          <w:divBdr>
            <w:top w:val="none" w:sz="0" w:space="0" w:color="auto"/>
            <w:left w:val="none" w:sz="0" w:space="0" w:color="auto"/>
            <w:bottom w:val="none" w:sz="0" w:space="0" w:color="auto"/>
            <w:right w:val="none" w:sz="0" w:space="0" w:color="auto"/>
          </w:divBdr>
        </w:div>
        <w:div w:id="1816024007">
          <w:marLeft w:val="274"/>
          <w:marRight w:val="0"/>
          <w:marTop w:val="0"/>
          <w:marBottom w:val="0"/>
          <w:divBdr>
            <w:top w:val="none" w:sz="0" w:space="0" w:color="auto"/>
            <w:left w:val="none" w:sz="0" w:space="0" w:color="auto"/>
            <w:bottom w:val="none" w:sz="0" w:space="0" w:color="auto"/>
            <w:right w:val="none" w:sz="0" w:space="0" w:color="auto"/>
          </w:divBdr>
        </w:div>
        <w:div w:id="1911648471">
          <w:marLeft w:val="274"/>
          <w:marRight w:val="0"/>
          <w:marTop w:val="0"/>
          <w:marBottom w:val="0"/>
          <w:divBdr>
            <w:top w:val="none" w:sz="0" w:space="0" w:color="auto"/>
            <w:left w:val="none" w:sz="0" w:space="0" w:color="auto"/>
            <w:bottom w:val="none" w:sz="0" w:space="0" w:color="auto"/>
            <w:right w:val="none" w:sz="0" w:space="0" w:color="auto"/>
          </w:divBdr>
        </w:div>
        <w:div w:id="1929531964">
          <w:marLeft w:val="274"/>
          <w:marRight w:val="0"/>
          <w:marTop w:val="0"/>
          <w:marBottom w:val="0"/>
          <w:divBdr>
            <w:top w:val="none" w:sz="0" w:space="0" w:color="auto"/>
            <w:left w:val="none" w:sz="0" w:space="0" w:color="auto"/>
            <w:bottom w:val="none" w:sz="0" w:space="0" w:color="auto"/>
            <w:right w:val="none" w:sz="0" w:space="0" w:color="auto"/>
          </w:divBdr>
        </w:div>
      </w:divsChild>
    </w:div>
    <w:div w:id="538511552">
      <w:bodyDiv w:val="1"/>
      <w:marLeft w:val="0"/>
      <w:marRight w:val="0"/>
      <w:marTop w:val="0"/>
      <w:marBottom w:val="0"/>
      <w:divBdr>
        <w:top w:val="none" w:sz="0" w:space="0" w:color="auto"/>
        <w:left w:val="none" w:sz="0" w:space="0" w:color="auto"/>
        <w:bottom w:val="none" w:sz="0" w:space="0" w:color="auto"/>
        <w:right w:val="none" w:sz="0" w:space="0" w:color="auto"/>
      </w:divBdr>
    </w:div>
    <w:div w:id="538858013">
      <w:bodyDiv w:val="1"/>
      <w:marLeft w:val="0"/>
      <w:marRight w:val="0"/>
      <w:marTop w:val="0"/>
      <w:marBottom w:val="0"/>
      <w:divBdr>
        <w:top w:val="none" w:sz="0" w:space="0" w:color="auto"/>
        <w:left w:val="none" w:sz="0" w:space="0" w:color="auto"/>
        <w:bottom w:val="none" w:sz="0" w:space="0" w:color="auto"/>
        <w:right w:val="none" w:sz="0" w:space="0" w:color="auto"/>
      </w:divBdr>
    </w:div>
    <w:div w:id="538863161">
      <w:bodyDiv w:val="1"/>
      <w:marLeft w:val="0"/>
      <w:marRight w:val="0"/>
      <w:marTop w:val="0"/>
      <w:marBottom w:val="0"/>
      <w:divBdr>
        <w:top w:val="none" w:sz="0" w:space="0" w:color="auto"/>
        <w:left w:val="none" w:sz="0" w:space="0" w:color="auto"/>
        <w:bottom w:val="none" w:sz="0" w:space="0" w:color="auto"/>
        <w:right w:val="none" w:sz="0" w:space="0" w:color="auto"/>
      </w:divBdr>
    </w:div>
    <w:div w:id="540554914">
      <w:bodyDiv w:val="1"/>
      <w:marLeft w:val="0"/>
      <w:marRight w:val="0"/>
      <w:marTop w:val="0"/>
      <w:marBottom w:val="0"/>
      <w:divBdr>
        <w:top w:val="none" w:sz="0" w:space="0" w:color="auto"/>
        <w:left w:val="none" w:sz="0" w:space="0" w:color="auto"/>
        <w:bottom w:val="none" w:sz="0" w:space="0" w:color="auto"/>
        <w:right w:val="none" w:sz="0" w:space="0" w:color="auto"/>
      </w:divBdr>
    </w:div>
    <w:div w:id="542592720">
      <w:bodyDiv w:val="1"/>
      <w:marLeft w:val="0"/>
      <w:marRight w:val="0"/>
      <w:marTop w:val="0"/>
      <w:marBottom w:val="0"/>
      <w:divBdr>
        <w:top w:val="none" w:sz="0" w:space="0" w:color="auto"/>
        <w:left w:val="none" w:sz="0" w:space="0" w:color="auto"/>
        <w:bottom w:val="none" w:sz="0" w:space="0" w:color="auto"/>
        <w:right w:val="none" w:sz="0" w:space="0" w:color="auto"/>
      </w:divBdr>
    </w:div>
    <w:div w:id="543180659">
      <w:bodyDiv w:val="1"/>
      <w:marLeft w:val="0"/>
      <w:marRight w:val="0"/>
      <w:marTop w:val="0"/>
      <w:marBottom w:val="0"/>
      <w:divBdr>
        <w:top w:val="none" w:sz="0" w:space="0" w:color="auto"/>
        <w:left w:val="none" w:sz="0" w:space="0" w:color="auto"/>
        <w:bottom w:val="none" w:sz="0" w:space="0" w:color="auto"/>
        <w:right w:val="none" w:sz="0" w:space="0" w:color="auto"/>
      </w:divBdr>
    </w:div>
    <w:div w:id="545872924">
      <w:bodyDiv w:val="1"/>
      <w:marLeft w:val="0"/>
      <w:marRight w:val="0"/>
      <w:marTop w:val="0"/>
      <w:marBottom w:val="0"/>
      <w:divBdr>
        <w:top w:val="none" w:sz="0" w:space="0" w:color="auto"/>
        <w:left w:val="none" w:sz="0" w:space="0" w:color="auto"/>
        <w:bottom w:val="none" w:sz="0" w:space="0" w:color="auto"/>
        <w:right w:val="none" w:sz="0" w:space="0" w:color="auto"/>
      </w:divBdr>
    </w:div>
    <w:div w:id="550456906">
      <w:bodyDiv w:val="1"/>
      <w:marLeft w:val="0"/>
      <w:marRight w:val="0"/>
      <w:marTop w:val="0"/>
      <w:marBottom w:val="0"/>
      <w:divBdr>
        <w:top w:val="none" w:sz="0" w:space="0" w:color="auto"/>
        <w:left w:val="none" w:sz="0" w:space="0" w:color="auto"/>
        <w:bottom w:val="none" w:sz="0" w:space="0" w:color="auto"/>
        <w:right w:val="none" w:sz="0" w:space="0" w:color="auto"/>
      </w:divBdr>
    </w:div>
    <w:div w:id="551696404">
      <w:bodyDiv w:val="1"/>
      <w:marLeft w:val="0"/>
      <w:marRight w:val="0"/>
      <w:marTop w:val="0"/>
      <w:marBottom w:val="0"/>
      <w:divBdr>
        <w:top w:val="none" w:sz="0" w:space="0" w:color="auto"/>
        <w:left w:val="none" w:sz="0" w:space="0" w:color="auto"/>
        <w:bottom w:val="none" w:sz="0" w:space="0" w:color="auto"/>
        <w:right w:val="none" w:sz="0" w:space="0" w:color="auto"/>
      </w:divBdr>
    </w:div>
    <w:div w:id="555626882">
      <w:bodyDiv w:val="1"/>
      <w:marLeft w:val="0"/>
      <w:marRight w:val="0"/>
      <w:marTop w:val="0"/>
      <w:marBottom w:val="0"/>
      <w:divBdr>
        <w:top w:val="none" w:sz="0" w:space="0" w:color="auto"/>
        <w:left w:val="none" w:sz="0" w:space="0" w:color="auto"/>
        <w:bottom w:val="none" w:sz="0" w:space="0" w:color="auto"/>
        <w:right w:val="none" w:sz="0" w:space="0" w:color="auto"/>
      </w:divBdr>
    </w:div>
    <w:div w:id="559250259">
      <w:bodyDiv w:val="1"/>
      <w:marLeft w:val="0"/>
      <w:marRight w:val="0"/>
      <w:marTop w:val="0"/>
      <w:marBottom w:val="0"/>
      <w:divBdr>
        <w:top w:val="none" w:sz="0" w:space="0" w:color="auto"/>
        <w:left w:val="none" w:sz="0" w:space="0" w:color="auto"/>
        <w:bottom w:val="none" w:sz="0" w:space="0" w:color="auto"/>
        <w:right w:val="none" w:sz="0" w:space="0" w:color="auto"/>
      </w:divBdr>
    </w:div>
    <w:div w:id="560868962">
      <w:bodyDiv w:val="1"/>
      <w:marLeft w:val="0"/>
      <w:marRight w:val="0"/>
      <w:marTop w:val="0"/>
      <w:marBottom w:val="0"/>
      <w:divBdr>
        <w:top w:val="none" w:sz="0" w:space="0" w:color="auto"/>
        <w:left w:val="none" w:sz="0" w:space="0" w:color="auto"/>
        <w:bottom w:val="none" w:sz="0" w:space="0" w:color="auto"/>
        <w:right w:val="none" w:sz="0" w:space="0" w:color="auto"/>
      </w:divBdr>
    </w:div>
    <w:div w:id="560871726">
      <w:bodyDiv w:val="1"/>
      <w:marLeft w:val="0"/>
      <w:marRight w:val="0"/>
      <w:marTop w:val="0"/>
      <w:marBottom w:val="0"/>
      <w:divBdr>
        <w:top w:val="none" w:sz="0" w:space="0" w:color="auto"/>
        <w:left w:val="none" w:sz="0" w:space="0" w:color="auto"/>
        <w:bottom w:val="none" w:sz="0" w:space="0" w:color="auto"/>
        <w:right w:val="none" w:sz="0" w:space="0" w:color="auto"/>
      </w:divBdr>
    </w:div>
    <w:div w:id="565261266">
      <w:bodyDiv w:val="1"/>
      <w:marLeft w:val="0"/>
      <w:marRight w:val="0"/>
      <w:marTop w:val="0"/>
      <w:marBottom w:val="0"/>
      <w:divBdr>
        <w:top w:val="none" w:sz="0" w:space="0" w:color="auto"/>
        <w:left w:val="none" w:sz="0" w:space="0" w:color="auto"/>
        <w:bottom w:val="none" w:sz="0" w:space="0" w:color="auto"/>
        <w:right w:val="none" w:sz="0" w:space="0" w:color="auto"/>
      </w:divBdr>
    </w:div>
    <w:div w:id="566039676">
      <w:bodyDiv w:val="1"/>
      <w:marLeft w:val="0"/>
      <w:marRight w:val="0"/>
      <w:marTop w:val="0"/>
      <w:marBottom w:val="0"/>
      <w:divBdr>
        <w:top w:val="none" w:sz="0" w:space="0" w:color="auto"/>
        <w:left w:val="none" w:sz="0" w:space="0" w:color="auto"/>
        <w:bottom w:val="none" w:sz="0" w:space="0" w:color="auto"/>
        <w:right w:val="none" w:sz="0" w:space="0" w:color="auto"/>
      </w:divBdr>
    </w:div>
    <w:div w:id="568685546">
      <w:bodyDiv w:val="1"/>
      <w:marLeft w:val="0"/>
      <w:marRight w:val="0"/>
      <w:marTop w:val="0"/>
      <w:marBottom w:val="0"/>
      <w:divBdr>
        <w:top w:val="none" w:sz="0" w:space="0" w:color="auto"/>
        <w:left w:val="none" w:sz="0" w:space="0" w:color="auto"/>
        <w:bottom w:val="none" w:sz="0" w:space="0" w:color="auto"/>
        <w:right w:val="none" w:sz="0" w:space="0" w:color="auto"/>
      </w:divBdr>
    </w:div>
    <w:div w:id="569001839">
      <w:bodyDiv w:val="1"/>
      <w:marLeft w:val="0"/>
      <w:marRight w:val="0"/>
      <w:marTop w:val="0"/>
      <w:marBottom w:val="0"/>
      <w:divBdr>
        <w:top w:val="none" w:sz="0" w:space="0" w:color="auto"/>
        <w:left w:val="none" w:sz="0" w:space="0" w:color="auto"/>
        <w:bottom w:val="none" w:sz="0" w:space="0" w:color="auto"/>
        <w:right w:val="none" w:sz="0" w:space="0" w:color="auto"/>
      </w:divBdr>
    </w:div>
    <w:div w:id="570847060">
      <w:bodyDiv w:val="1"/>
      <w:marLeft w:val="0"/>
      <w:marRight w:val="0"/>
      <w:marTop w:val="0"/>
      <w:marBottom w:val="0"/>
      <w:divBdr>
        <w:top w:val="none" w:sz="0" w:space="0" w:color="auto"/>
        <w:left w:val="none" w:sz="0" w:space="0" w:color="auto"/>
        <w:bottom w:val="none" w:sz="0" w:space="0" w:color="auto"/>
        <w:right w:val="none" w:sz="0" w:space="0" w:color="auto"/>
      </w:divBdr>
    </w:div>
    <w:div w:id="572085801">
      <w:bodyDiv w:val="1"/>
      <w:marLeft w:val="0"/>
      <w:marRight w:val="0"/>
      <w:marTop w:val="0"/>
      <w:marBottom w:val="0"/>
      <w:divBdr>
        <w:top w:val="none" w:sz="0" w:space="0" w:color="auto"/>
        <w:left w:val="none" w:sz="0" w:space="0" w:color="auto"/>
        <w:bottom w:val="none" w:sz="0" w:space="0" w:color="auto"/>
        <w:right w:val="none" w:sz="0" w:space="0" w:color="auto"/>
      </w:divBdr>
    </w:div>
    <w:div w:id="575936113">
      <w:bodyDiv w:val="1"/>
      <w:marLeft w:val="0"/>
      <w:marRight w:val="0"/>
      <w:marTop w:val="0"/>
      <w:marBottom w:val="0"/>
      <w:divBdr>
        <w:top w:val="none" w:sz="0" w:space="0" w:color="auto"/>
        <w:left w:val="none" w:sz="0" w:space="0" w:color="auto"/>
        <w:bottom w:val="none" w:sz="0" w:space="0" w:color="auto"/>
        <w:right w:val="none" w:sz="0" w:space="0" w:color="auto"/>
      </w:divBdr>
    </w:div>
    <w:div w:id="576205760">
      <w:bodyDiv w:val="1"/>
      <w:marLeft w:val="0"/>
      <w:marRight w:val="0"/>
      <w:marTop w:val="0"/>
      <w:marBottom w:val="0"/>
      <w:divBdr>
        <w:top w:val="none" w:sz="0" w:space="0" w:color="auto"/>
        <w:left w:val="none" w:sz="0" w:space="0" w:color="auto"/>
        <w:bottom w:val="none" w:sz="0" w:space="0" w:color="auto"/>
        <w:right w:val="none" w:sz="0" w:space="0" w:color="auto"/>
      </w:divBdr>
    </w:div>
    <w:div w:id="576863499">
      <w:bodyDiv w:val="1"/>
      <w:marLeft w:val="0"/>
      <w:marRight w:val="0"/>
      <w:marTop w:val="0"/>
      <w:marBottom w:val="0"/>
      <w:divBdr>
        <w:top w:val="none" w:sz="0" w:space="0" w:color="auto"/>
        <w:left w:val="none" w:sz="0" w:space="0" w:color="auto"/>
        <w:bottom w:val="none" w:sz="0" w:space="0" w:color="auto"/>
        <w:right w:val="none" w:sz="0" w:space="0" w:color="auto"/>
      </w:divBdr>
    </w:div>
    <w:div w:id="577137636">
      <w:bodyDiv w:val="1"/>
      <w:marLeft w:val="0"/>
      <w:marRight w:val="0"/>
      <w:marTop w:val="0"/>
      <w:marBottom w:val="0"/>
      <w:divBdr>
        <w:top w:val="none" w:sz="0" w:space="0" w:color="auto"/>
        <w:left w:val="none" w:sz="0" w:space="0" w:color="auto"/>
        <w:bottom w:val="none" w:sz="0" w:space="0" w:color="auto"/>
        <w:right w:val="none" w:sz="0" w:space="0" w:color="auto"/>
      </w:divBdr>
    </w:div>
    <w:div w:id="578097863">
      <w:bodyDiv w:val="1"/>
      <w:marLeft w:val="0"/>
      <w:marRight w:val="0"/>
      <w:marTop w:val="0"/>
      <w:marBottom w:val="0"/>
      <w:divBdr>
        <w:top w:val="none" w:sz="0" w:space="0" w:color="auto"/>
        <w:left w:val="none" w:sz="0" w:space="0" w:color="auto"/>
        <w:bottom w:val="none" w:sz="0" w:space="0" w:color="auto"/>
        <w:right w:val="none" w:sz="0" w:space="0" w:color="auto"/>
      </w:divBdr>
    </w:div>
    <w:div w:id="581988989">
      <w:bodyDiv w:val="1"/>
      <w:marLeft w:val="0"/>
      <w:marRight w:val="0"/>
      <w:marTop w:val="0"/>
      <w:marBottom w:val="0"/>
      <w:divBdr>
        <w:top w:val="none" w:sz="0" w:space="0" w:color="auto"/>
        <w:left w:val="none" w:sz="0" w:space="0" w:color="auto"/>
        <w:bottom w:val="none" w:sz="0" w:space="0" w:color="auto"/>
        <w:right w:val="none" w:sz="0" w:space="0" w:color="auto"/>
      </w:divBdr>
    </w:div>
    <w:div w:id="585111037">
      <w:bodyDiv w:val="1"/>
      <w:marLeft w:val="0"/>
      <w:marRight w:val="0"/>
      <w:marTop w:val="0"/>
      <w:marBottom w:val="0"/>
      <w:divBdr>
        <w:top w:val="none" w:sz="0" w:space="0" w:color="auto"/>
        <w:left w:val="none" w:sz="0" w:space="0" w:color="auto"/>
        <w:bottom w:val="none" w:sz="0" w:space="0" w:color="auto"/>
        <w:right w:val="none" w:sz="0" w:space="0" w:color="auto"/>
      </w:divBdr>
    </w:div>
    <w:div w:id="591085743">
      <w:bodyDiv w:val="1"/>
      <w:marLeft w:val="0"/>
      <w:marRight w:val="0"/>
      <w:marTop w:val="0"/>
      <w:marBottom w:val="0"/>
      <w:divBdr>
        <w:top w:val="none" w:sz="0" w:space="0" w:color="auto"/>
        <w:left w:val="none" w:sz="0" w:space="0" w:color="auto"/>
        <w:bottom w:val="none" w:sz="0" w:space="0" w:color="auto"/>
        <w:right w:val="none" w:sz="0" w:space="0" w:color="auto"/>
      </w:divBdr>
    </w:div>
    <w:div w:id="592054924">
      <w:bodyDiv w:val="1"/>
      <w:marLeft w:val="0"/>
      <w:marRight w:val="0"/>
      <w:marTop w:val="0"/>
      <w:marBottom w:val="0"/>
      <w:divBdr>
        <w:top w:val="none" w:sz="0" w:space="0" w:color="auto"/>
        <w:left w:val="none" w:sz="0" w:space="0" w:color="auto"/>
        <w:bottom w:val="none" w:sz="0" w:space="0" w:color="auto"/>
        <w:right w:val="none" w:sz="0" w:space="0" w:color="auto"/>
      </w:divBdr>
    </w:div>
    <w:div w:id="593169657">
      <w:bodyDiv w:val="1"/>
      <w:marLeft w:val="0"/>
      <w:marRight w:val="0"/>
      <w:marTop w:val="0"/>
      <w:marBottom w:val="0"/>
      <w:divBdr>
        <w:top w:val="none" w:sz="0" w:space="0" w:color="auto"/>
        <w:left w:val="none" w:sz="0" w:space="0" w:color="auto"/>
        <w:bottom w:val="none" w:sz="0" w:space="0" w:color="auto"/>
        <w:right w:val="none" w:sz="0" w:space="0" w:color="auto"/>
      </w:divBdr>
    </w:div>
    <w:div w:id="593319487">
      <w:bodyDiv w:val="1"/>
      <w:marLeft w:val="0"/>
      <w:marRight w:val="0"/>
      <w:marTop w:val="0"/>
      <w:marBottom w:val="0"/>
      <w:divBdr>
        <w:top w:val="none" w:sz="0" w:space="0" w:color="auto"/>
        <w:left w:val="none" w:sz="0" w:space="0" w:color="auto"/>
        <w:bottom w:val="none" w:sz="0" w:space="0" w:color="auto"/>
        <w:right w:val="none" w:sz="0" w:space="0" w:color="auto"/>
      </w:divBdr>
    </w:div>
    <w:div w:id="593901182">
      <w:bodyDiv w:val="1"/>
      <w:marLeft w:val="0"/>
      <w:marRight w:val="0"/>
      <w:marTop w:val="0"/>
      <w:marBottom w:val="0"/>
      <w:divBdr>
        <w:top w:val="none" w:sz="0" w:space="0" w:color="auto"/>
        <w:left w:val="none" w:sz="0" w:space="0" w:color="auto"/>
        <w:bottom w:val="none" w:sz="0" w:space="0" w:color="auto"/>
        <w:right w:val="none" w:sz="0" w:space="0" w:color="auto"/>
      </w:divBdr>
    </w:div>
    <w:div w:id="596334264">
      <w:bodyDiv w:val="1"/>
      <w:marLeft w:val="0"/>
      <w:marRight w:val="0"/>
      <w:marTop w:val="0"/>
      <w:marBottom w:val="0"/>
      <w:divBdr>
        <w:top w:val="none" w:sz="0" w:space="0" w:color="auto"/>
        <w:left w:val="none" w:sz="0" w:space="0" w:color="auto"/>
        <w:bottom w:val="none" w:sz="0" w:space="0" w:color="auto"/>
        <w:right w:val="none" w:sz="0" w:space="0" w:color="auto"/>
      </w:divBdr>
    </w:div>
    <w:div w:id="600649878">
      <w:bodyDiv w:val="1"/>
      <w:marLeft w:val="0"/>
      <w:marRight w:val="0"/>
      <w:marTop w:val="0"/>
      <w:marBottom w:val="0"/>
      <w:divBdr>
        <w:top w:val="none" w:sz="0" w:space="0" w:color="auto"/>
        <w:left w:val="none" w:sz="0" w:space="0" w:color="auto"/>
        <w:bottom w:val="none" w:sz="0" w:space="0" w:color="auto"/>
        <w:right w:val="none" w:sz="0" w:space="0" w:color="auto"/>
      </w:divBdr>
    </w:div>
    <w:div w:id="602997374">
      <w:bodyDiv w:val="1"/>
      <w:marLeft w:val="0"/>
      <w:marRight w:val="0"/>
      <w:marTop w:val="0"/>
      <w:marBottom w:val="0"/>
      <w:divBdr>
        <w:top w:val="none" w:sz="0" w:space="0" w:color="auto"/>
        <w:left w:val="none" w:sz="0" w:space="0" w:color="auto"/>
        <w:bottom w:val="none" w:sz="0" w:space="0" w:color="auto"/>
        <w:right w:val="none" w:sz="0" w:space="0" w:color="auto"/>
      </w:divBdr>
    </w:div>
    <w:div w:id="603538141">
      <w:bodyDiv w:val="1"/>
      <w:marLeft w:val="0"/>
      <w:marRight w:val="0"/>
      <w:marTop w:val="0"/>
      <w:marBottom w:val="0"/>
      <w:divBdr>
        <w:top w:val="none" w:sz="0" w:space="0" w:color="auto"/>
        <w:left w:val="none" w:sz="0" w:space="0" w:color="auto"/>
        <w:bottom w:val="none" w:sz="0" w:space="0" w:color="auto"/>
        <w:right w:val="none" w:sz="0" w:space="0" w:color="auto"/>
      </w:divBdr>
    </w:div>
    <w:div w:id="603612355">
      <w:bodyDiv w:val="1"/>
      <w:marLeft w:val="0"/>
      <w:marRight w:val="0"/>
      <w:marTop w:val="0"/>
      <w:marBottom w:val="0"/>
      <w:divBdr>
        <w:top w:val="none" w:sz="0" w:space="0" w:color="auto"/>
        <w:left w:val="none" w:sz="0" w:space="0" w:color="auto"/>
        <w:bottom w:val="none" w:sz="0" w:space="0" w:color="auto"/>
        <w:right w:val="none" w:sz="0" w:space="0" w:color="auto"/>
      </w:divBdr>
    </w:div>
    <w:div w:id="611323042">
      <w:bodyDiv w:val="1"/>
      <w:marLeft w:val="0"/>
      <w:marRight w:val="0"/>
      <w:marTop w:val="0"/>
      <w:marBottom w:val="0"/>
      <w:divBdr>
        <w:top w:val="none" w:sz="0" w:space="0" w:color="auto"/>
        <w:left w:val="none" w:sz="0" w:space="0" w:color="auto"/>
        <w:bottom w:val="none" w:sz="0" w:space="0" w:color="auto"/>
        <w:right w:val="none" w:sz="0" w:space="0" w:color="auto"/>
      </w:divBdr>
    </w:div>
    <w:div w:id="613948045">
      <w:bodyDiv w:val="1"/>
      <w:marLeft w:val="0"/>
      <w:marRight w:val="0"/>
      <w:marTop w:val="0"/>
      <w:marBottom w:val="0"/>
      <w:divBdr>
        <w:top w:val="none" w:sz="0" w:space="0" w:color="auto"/>
        <w:left w:val="none" w:sz="0" w:space="0" w:color="auto"/>
        <w:bottom w:val="none" w:sz="0" w:space="0" w:color="auto"/>
        <w:right w:val="none" w:sz="0" w:space="0" w:color="auto"/>
      </w:divBdr>
    </w:div>
    <w:div w:id="614557374">
      <w:bodyDiv w:val="1"/>
      <w:marLeft w:val="0"/>
      <w:marRight w:val="0"/>
      <w:marTop w:val="0"/>
      <w:marBottom w:val="0"/>
      <w:divBdr>
        <w:top w:val="none" w:sz="0" w:space="0" w:color="auto"/>
        <w:left w:val="none" w:sz="0" w:space="0" w:color="auto"/>
        <w:bottom w:val="none" w:sz="0" w:space="0" w:color="auto"/>
        <w:right w:val="none" w:sz="0" w:space="0" w:color="auto"/>
      </w:divBdr>
    </w:div>
    <w:div w:id="615720197">
      <w:bodyDiv w:val="1"/>
      <w:marLeft w:val="0"/>
      <w:marRight w:val="0"/>
      <w:marTop w:val="0"/>
      <w:marBottom w:val="0"/>
      <w:divBdr>
        <w:top w:val="none" w:sz="0" w:space="0" w:color="auto"/>
        <w:left w:val="none" w:sz="0" w:space="0" w:color="auto"/>
        <w:bottom w:val="none" w:sz="0" w:space="0" w:color="auto"/>
        <w:right w:val="none" w:sz="0" w:space="0" w:color="auto"/>
      </w:divBdr>
    </w:div>
    <w:div w:id="619917035">
      <w:bodyDiv w:val="1"/>
      <w:marLeft w:val="0"/>
      <w:marRight w:val="0"/>
      <w:marTop w:val="0"/>
      <w:marBottom w:val="0"/>
      <w:divBdr>
        <w:top w:val="none" w:sz="0" w:space="0" w:color="auto"/>
        <w:left w:val="none" w:sz="0" w:space="0" w:color="auto"/>
        <w:bottom w:val="none" w:sz="0" w:space="0" w:color="auto"/>
        <w:right w:val="none" w:sz="0" w:space="0" w:color="auto"/>
      </w:divBdr>
    </w:div>
    <w:div w:id="620381272">
      <w:bodyDiv w:val="1"/>
      <w:marLeft w:val="0"/>
      <w:marRight w:val="0"/>
      <w:marTop w:val="0"/>
      <w:marBottom w:val="0"/>
      <w:divBdr>
        <w:top w:val="none" w:sz="0" w:space="0" w:color="auto"/>
        <w:left w:val="none" w:sz="0" w:space="0" w:color="auto"/>
        <w:bottom w:val="none" w:sz="0" w:space="0" w:color="auto"/>
        <w:right w:val="none" w:sz="0" w:space="0" w:color="auto"/>
      </w:divBdr>
    </w:div>
    <w:div w:id="623511344">
      <w:bodyDiv w:val="1"/>
      <w:marLeft w:val="0"/>
      <w:marRight w:val="0"/>
      <w:marTop w:val="0"/>
      <w:marBottom w:val="0"/>
      <w:divBdr>
        <w:top w:val="none" w:sz="0" w:space="0" w:color="auto"/>
        <w:left w:val="none" w:sz="0" w:space="0" w:color="auto"/>
        <w:bottom w:val="none" w:sz="0" w:space="0" w:color="auto"/>
        <w:right w:val="none" w:sz="0" w:space="0" w:color="auto"/>
      </w:divBdr>
    </w:div>
    <w:div w:id="623850692">
      <w:bodyDiv w:val="1"/>
      <w:marLeft w:val="0"/>
      <w:marRight w:val="0"/>
      <w:marTop w:val="0"/>
      <w:marBottom w:val="0"/>
      <w:divBdr>
        <w:top w:val="none" w:sz="0" w:space="0" w:color="auto"/>
        <w:left w:val="none" w:sz="0" w:space="0" w:color="auto"/>
        <w:bottom w:val="none" w:sz="0" w:space="0" w:color="auto"/>
        <w:right w:val="none" w:sz="0" w:space="0" w:color="auto"/>
      </w:divBdr>
    </w:div>
    <w:div w:id="624238701">
      <w:bodyDiv w:val="1"/>
      <w:marLeft w:val="0"/>
      <w:marRight w:val="0"/>
      <w:marTop w:val="0"/>
      <w:marBottom w:val="0"/>
      <w:divBdr>
        <w:top w:val="none" w:sz="0" w:space="0" w:color="auto"/>
        <w:left w:val="none" w:sz="0" w:space="0" w:color="auto"/>
        <w:bottom w:val="none" w:sz="0" w:space="0" w:color="auto"/>
        <w:right w:val="none" w:sz="0" w:space="0" w:color="auto"/>
      </w:divBdr>
    </w:div>
    <w:div w:id="624703014">
      <w:bodyDiv w:val="1"/>
      <w:marLeft w:val="0"/>
      <w:marRight w:val="0"/>
      <w:marTop w:val="0"/>
      <w:marBottom w:val="0"/>
      <w:divBdr>
        <w:top w:val="none" w:sz="0" w:space="0" w:color="auto"/>
        <w:left w:val="none" w:sz="0" w:space="0" w:color="auto"/>
        <w:bottom w:val="none" w:sz="0" w:space="0" w:color="auto"/>
        <w:right w:val="none" w:sz="0" w:space="0" w:color="auto"/>
      </w:divBdr>
    </w:div>
    <w:div w:id="626350199">
      <w:bodyDiv w:val="1"/>
      <w:marLeft w:val="0"/>
      <w:marRight w:val="0"/>
      <w:marTop w:val="0"/>
      <w:marBottom w:val="0"/>
      <w:divBdr>
        <w:top w:val="none" w:sz="0" w:space="0" w:color="auto"/>
        <w:left w:val="none" w:sz="0" w:space="0" w:color="auto"/>
        <w:bottom w:val="none" w:sz="0" w:space="0" w:color="auto"/>
        <w:right w:val="none" w:sz="0" w:space="0" w:color="auto"/>
      </w:divBdr>
    </w:div>
    <w:div w:id="630478999">
      <w:bodyDiv w:val="1"/>
      <w:marLeft w:val="0"/>
      <w:marRight w:val="0"/>
      <w:marTop w:val="0"/>
      <w:marBottom w:val="0"/>
      <w:divBdr>
        <w:top w:val="none" w:sz="0" w:space="0" w:color="auto"/>
        <w:left w:val="none" w:sz="0" w:space="0" w:color="auto"/>
        <w:bottom w:val="none" w:sz="0" w:space="0" w:color="auto"/>
        <w:right w:val="none" w:sz="0" w:space="0" w:color="auto"/>
      </w:divBdr>
    </w:div>
    <w:div w:id="632096382">
      <w:bodyDiv w:val="1"/>
      <w:marLeft w:val="0"/>
      <w:marRight w:val="0"/>
      <w:marTop w:val="0"/>
      <w:marBottom w:val="0"/>
      <w:divBdr>
        <w:top w:val="none" w:sz="0" w:space="0" w:color="auto"/>
        <w:left w:val="none" w:sz="0" w:space="0" w:color="auto"/>
        <w:bottom w:val="none" w:sz="0" w:space="0" w:color="auto"/>
        <w:right w:val="none" w:sz="0" w:space="0" w:color="auto"/>
      </w:divBdr>
    </w:div>
    <w:div w:id="633878003">
      <w:bodyDiv w:val="1"/>
      <w:marLeft w:val="0"/>
      <w:marRight w:val="0"/>
      <w:marTop w:val="0"/>
      <w:marBottom w:val="0"/>
      <w:divBdr>
        <w:top w:val="none" w:sz="0" w:space="0" w:color="auto"/>
        <w:left w:val="none" w:sz="0" w:space="0" w:color="auto"/>
        <w:bottom w:val="none" w:sz="0" w:space="0" w:color="auto"/>
        <w:right w:val="none" w:sz="0" w:space="0" w:color="auto"/>
      </w:divBdr>
    </w:div>
    <w:div w:id="636571107">
      <w:bodyDiv w:val="1"/>
      <w:marLeft w:val="0"/>
      <w:marRight w:val="0"/>
      <w:marTop w:val="0"/>
      <w:marBottom w:val="0"/>
      <w:divBdr>
        <w:top w:val="none" w:sz="0" w:space="0" w:color="auto"/>
        <w:left w:val="none" w:sz="0" w:space="0" w:color="auto"/>
        <w:bottom w:val="none" w:sz="0" w:space="0" w:color="auto"/>
        <w:right w:val="none" w:sz="0" w:space="0" w:color="auto"/>
      </w:divBdr>
      <w:divsChild>
        <w:div w:id="50273620">
          <w:marLeft w:val="446"/>
          <w:marRight w:val="0"/>
          <w:marTop w:val="0"/>
          <w:marBottom w:val="0"/>
          <w:divBdr>
            <w:top w:val="none" w:sz="0" w:space="0" w:color="auto"/>
            <w:left w:val="none" w:sz="0" w:space="0" w:color="auto"/>
            <w:bottom w:val="none" w:sz="0" w:space="0" w:color="auto"/>
            <w:right w:val="none" w:sz="0" w:space="0" w:color="auto"/>
          </w:divBdr>
        </w:div>
      </w:divsChild>
    </w:div>
    <w:div w:id="639186261">
      <w:bodyDiv w:val="1"/>
      <w:marLeft w:val="0"/>
      <w:marRight w:val="0"/>
      <w:marTop w:val="0"/>
      <w:marBottom w:val="0"/>
      <w:divBdr>
        <w:top w:val="none" w:sz="0" w:space="0" w:color="auto"/>
        <w:left w:val="none" w:sz="0" w:space="0" w:color="auto"/>
        <w:bottom w:val="none" w:sz="0" w:space="0" w:color="auto"/>
        <w:right w:val="none" w:sz="0" w:space="0" w:color="auto"/>
      </w:divBdr>
    </w:div>
    <w:div w:id="643195208">
      <w:bodyDiv w:val="1"/>
      <w:marLeft w:val="0"/>
      <w:marRight w:val="0"/>
      <w:marTop w:val="0"/>
      <w:marBottom w:val="0"/>
      <w:divBdr>
        <w:top w:val="none" w:sz="0" w:space="0" w:color="auto"/>
        <w:left w:val="none" w:sz="0" w:space="0" w:color="auto"/>
        <w:bottom w:val="none" w:sz="0" w:space="0" w:color="auto"/>
        <w:right w:val="none" w:sz="0" w:space="0" w:color="auto"/>
      </w:divBdr>
    </w:div>
    <w:div w:id="643240991">
      <w:bodyDiv w:val="1"/>
      <w:marLeft w:val="0"/>
      <w:marRight w:val="0"/>
      <w:marTop w:val="0"/>
      <w:marBottom w:val="0"/>
      <w:divBdr>
        <w:top w:val="none" w:sz="0" w:space="0" w:color="auto"/>
        <w:left w:val="none" w:sz="0" w:space="0" w:color="auto"/>
        <w:bottom w:val="none" w:sz="0" w:space="0" w:color="auto"/>
        <w:right w:val="none" w:sz="0" w:space="0" w:color="auto"/>
      </w:divBdr>
    </w:div>
    <w:div w:id="647049239">
      <w:bodyDiv w:val="1"/>
      <w:marLeft w:val="0"/>
      <w:marRight w:val="0"/>
      <w:marTop w:val="0"/>
      <w:marBottom w:val="0"/>
      <w:divBdr>
        <w:top w:val="none" w:sz="0" w:space="0" w:color="auto"/>
        <w:left w:val="none" w:sz="0" w:space="0" w:color="auto"/>
        <w:bottom w:val="none" w:sz="0" w:space="0" w:color="auto"/>
        <w:right w:val="none" w:sz="0" w:space="0" w:color="auto"/>
      </w:divBdr>
    </w:div>
    <w:div w:id="647396783">
      <w:bodyDiv w:val="1"/>
      <w:marLeft w:val="0"/>
      <w:marRight w:val="0"/>
      <w:marTop w:val="0"/>
      <w:marBottom w:val="0"/>
      <w:divBdr>
        <w:top w:val="none" w:sz="0" w:space="0" w:color="auto"/>
        <w:left w:val="none" w:sz="0" w:space="0" w:color="auto"/>
        <w:bottom w:val="none" w:sz="0" w:space="0" w:color="auto"/>
        <w:right w:val="none" w:sz="0" w:space="0" w:color="auto"/>
      </w:divBdr>
      <w:divsChild>
        <w:div w:id="851530579">
          <w:marLeft w:val="0"/>
          <w:marRight w:val="0"/>
          <w:marTop w:val="100"/>
          <w:marBottom w:val="100"/>
          <w:divBdr>
            <w:top w:val="none" w:sz="0" w:space="0" w:color="auto"/>
            <w:left w:val="single" w:sz="6" w:space="0" w:color="8E8F92"/>
            <w:bottom w:val="none" w:sz="0" w:space="0" w:color="auto"/>
            <w:right w:val="single" w:sz="6" w:space="0" w:color="8E8F92"/>
          </w:divBdr>
          <w:divsChild>
            <w:div w:id="619650461">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650982489">
      <w:bodyDiv w:val="1"/>
      <w:marLeft w:val="0"/>
      <w:marRight w:val="0"/>
      <w:marTop w:val="0"/>
      <w:marBottom w:val="0"/>
      <w:divBdr>
        <w:top w:val="none" w:sz="0" w:space="0" w:color="auto"/>
        <w:left w:val="none" w:sz="0" w:space="0" w:color="auto"/>
        <w:bottom w:val="none" w:sz="0" w:space="0" w:color="auto"/>
        <w:right w:val="none" w:sz="0" w:space="0" w:color="auto"/>
      </w:divBdr>
    </w:div>
    <w:div w:id="654577392">
      <w:bodyDiv w:val="1"/>
      <w:marLeft w:val="0"/>
      <w:marRight w:val="0"/>
      <w:marTop w:val="0"/>
      <w:marBottom w:val="0"/>
      <w:divBdr>
        <w:top w:val="none" w:sz="0" w:space="0" w:color="auto"/>
        <w:left w:val="none" w:sz="0" w:space="0" w:color="auto"/>
        <w:bottom w:val="none" w:sz="0" w:space="0" w:color="auto"/>
        <w:right w:val="none" w:sz="0" w:space="0" w:color="auto"/>
      </w:divBdr>
    </w:div>
    <w:div w:id="654841303">
      <w:bodyDiv w:val="1"/>
      <w:marLeft w:val="0"/>
      <w:marRight w:val="0"/>
      <w:marTop w:val="0"/>
      <w:marBottom w:val="0"/>
      <w:divBdr>
        <w:top w:val="none" w:sz="0" w:space="0" w:color="auto"/>
        <w:left w:val="none" w:sz="0" w:space="0" w:color="auto"/>
        <w:bottom w:val="none" w:sz="0" w:space="0" w:color="auto"/>
        <w:right w:val="none" w:sz="0" w:space="0" w:color="auto"/>
      </w:divBdr>
    </w:div>
    <w:div w:id="658733294">
      <w:bodyDiv w:val="1"/>
      <w:marLeft w:val="0"/>
      <w:marRight w:val="0"/>
      <w:marTop w:val="0"/>
      <w:marBottom w:val="0"/>
      <w:divBdr>
        <w:top w:val="none" w:sz="0" w:space="0" w:color="auto"/>
        <w:left w:val="none" w:sz="0" w:space="0" w:color="auto"/>
        <w:bottom w:val="none" w:sz="0" w:space="0" w:color="auto"/>
        <w:right w:val="none" w:sz="0" w:space="0" w:color="auto"/>
      </w:divBdr>
    </w:div>
    <w:div w:id="660160492">
      <w:bodyDiv w:val="1"/>
      <w:marLeft w:val="0"/>
      <w:marRight w:val="0"/>
      <w:marTop w:val="0"/>
      <w:marBottom w:val="0"/>
      <w:divBdr>
        <w:top w:val="none" w:sz="0" w:space="0" w:color="auto"/>
        <w:left w:val="none" w:sz="0" w:space="0" w:color="auto"/>
        <w:bottom w:val="none" w:sz="0" w:space="0" w:color="auto"/>
        <w:right w:val="none" w:sz="0" w:space="0" w:color="auto"/>
      </w:divBdr>
    </w:div>
    <w:div w:id="661543815">
      <w:bodyDiv w:val="1"/>
      <w:marLeft w:val="0"/>
      <w:marRight w:val="0"/>
      <w:marTop w:val="0"/>
      <w:marBottom w:val="0"/>
      <w:divBdr>
        <w:top w:val="none" w:sz="0" w:space="0" w:color="auto"/>
        <w:left w:val="none" w:sz="0" w:space="0" w:color="auto"/>
        <w:bottom w:val="none" w:sz="0" w:space="0" w:color="auto"/>
        <w:right w:val="none" w:sz="0" w:space="0" w:color="auto"/>
      </w:divBdr>
      <w:divsChild>
        <w:div w:id="602341530">
          <w:marLeft w:val="0"/>
          <w:marRight w:val="0"/>
          <w:marTop w:val="100"/>
          <w:marBottom w:val="100"/>
          <w:divBdr>
            <w:top w:val="none" w:sz="0" w:space="0" w:color="auto"/>
            <w:left w:val="single" w:sz="6" w:space="0" w:color="8E8F92"/>
            <w:bottom w:val="none" w:sz="0" w:space="0" w:color="auto"/>
            <w:right w:val="single" w:sz="6" w:space="0" w:color="8E8F92"/>
          </w:divBdr>
          <w:divsChild>
            <w:div w:id="1010913396">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663437117">
      <w:bodyDiv w:val="1"/>
      <w:marLeft w:val="0"/>
      <w:marRight w:val="0"/>
      <w:marTop w:val="0"/>
      <w:marBottom w:val="0"/>
      <w:divBdr>
        <w:top w:val="none" w:sz="0" w:space="0" w:color="auto"/>
        <w:left w:val="none" w:sz="0" w:space="0" w:color="auto"/>
        <w:bottom w:val="none" w:sz="0" w:space="0" w:color="auto"/>
        <w:right w:val="none" w:sz="0" w:space="0" w:color="auto"/>
      </w:divBdr>
    </w:div>
    <w:div w:id="663702073">
      <w:bodyDiv w:val="1"/>
      <w:marLeft w:val="0"/>
      <w:marRight w:val="0"/>
      <w:marTop w:val="0"/>
      <w:marBottom w:val="0"/>
      <w:divBdr>
        <w:top w:val="none" w:sz="0" w:space="0" w:color="auto"/>
        <w:left w:val="none" w:sz="0" w:space="0" w:color="auto"/>
        <w:bottom w:val="none" w:sz="0" w:space="0" w:color="auto"/>
        <w:right w:val="none" w:sz="0" w:space="0" w:color="auto"/>
      </w:divBdr>
    </w:div>
    <w:div w:id="664170717">
      <w:bodyDiv w:val="1"/>
      <w:marLeft w:val="0"/>
      <w:marRight w:val="0"/>
      <w:marTop w:val="0"/>
      <w:marBottom w:val="0"/>
      <w:divBdr>
        <w:top w:val="none" w:sz="0" w:space="0" w:color="auto"/>
        <w:left w:val="none" w:sz="0" w:space="0" w:color="auto"/>
        <w:bottom w:val="none" w:sz="0" w:space="0" w:color="auto"/>
        <w:right w:val="none" w:sz="0" w:space="0" w:color="auto"/>
      </w:divBdr>
    </w:div>
    <w:div w:id="664623370">
      <w:bodyDiv w:val="1"/>
      <w:marLeft w:val="0"/>
      <w:marRight w:val="0"/>
      <w:marTop w:val="0"/>
      <w:marBottom w:val="0"/>
      <w:divBdr>
        <w:top w:val="none" w:sz="0" w:space="0" w:color="auto"/>
        <w:left w:val="none" w:sz="0" w:space="0" w:color="auto"/>
        <w:bottom w:val="none" w:sz="0" w:space="0" w:color="auto"/>
        <w:right w:val="none" w:sz="0" w:space="0" w:color="auto"/>
      </w:divBdr>
    </w:div>
    <w:div w:id="668026990">
      <w:bodyDiv w:val="1"/>
      <w:marLeft w:val="0"/>
      <w:marRight w:val="0"/>
      <w:marTop w:val="0"/>
      <w:marBottom w:val="0"/>
      <w:divBdr>
        <w:top w:val="none" w:sz="0" w:space="0" w:color="auto"/>
        <w:left w:val="none" w:sz="0" w:space="0" w:color="auto"/>
        <w:bottom w:val="none" w:sz="0" w:space="0" w:color="auto"/>
        <w:right w:val="none" w:sz="0" w:space="0" w:color="auto"/>
      </w:divBdr>
      <w:divsChild>
        <w:div w:id="1270426111">
          <w:marLeft w:val="547"/>
          <w:marRight w:val="0"/>
          <w:marTop w:val="0"/>
          <w:marBottom w:val="0"/>
          <w:divBdr>
            <w:top w:val="none" w:sz="0" w:space="0" w:color="auto"/>
            <w:left w:val="none" w:sz="0" w:space="0" w:color="auto"/>
            <w:bottom w:val="none" w:sz="0" w:space="0" w:color="auto"/>
            <w:right w:val="none" w:sz="0" w:space="0" w:color="auto"/>
          </w:divBdr>
        </w:div>
      </w:divsChild>
    </w:div>
    <w:div w:id="674041110">
      <w:bodyDiv w:val="1"/>
      <w:marLeft w:val="0"/>
      <w:marRight w:val="0"/>
      <w:marTop w:val="0"/>
      <w:marBottom w:val="0"/>
      <w:divBdr>
        <w:top w:val="none" w:sz="0" w:space="0" w:color="auto"/>
        <w:left w:val="none" w:sz="0" w:space="0" w:color="auto"/>
        <w:bottom w:val="none" w:sz="0" w:space="0" w:color="auto"/>
        <w:right w:val="none" w:sz="0" w:space="0" w:color="auto"/>
      </w:divBdr>
      <w:divsChild>
        <w:div w:id="186650272">
          <w:marLeft w:val="274"/>
          <w:marRight w:val="0"/>
          <w:marTop w:val="0"/>
          <w:marBottom w:val="0"/>
          <w:divBdr>
            <w:top w:val="none" w:sz="0" w:space="0" w:color="auto"/>
            <w:left w:val="none" w:sz="0" w:space="0" w:color="auto"/>
            <w:bottom w:val="none" w:sz="0" w:space="0" w:color="auto"/>
            <w:right w:val="none" w:sz="0" w:space="0" w:color="auto"/>
          </w:divBdr>
        </w:div>
        <w:div w:id="1222600698">
          <w:marLeft w:val="274"/>
          <w:marRight w:val="0"/>
          <w:marTop w:val="0"/>
          <w:marBottom w:val="0"/>
          <w:divBdr>
            <w:top w:val="none" w:sz="0" w:space="0" w:color="auto"/>
            <w:left w:val="none" w:sz="0" w:space="0" w:color="auto"/>
            <w:bottom w:val="none" w:sz="0" w:space="0" w:color="auto"/>
            <w:right w:val="none" w:sz="0" w:space="0" w:color="auto"/>
          </w:divBdr>
        </w:div>
        <w:div w:id="1825391187">
          <w:marLeft w:val="274"/>
          <w:marRight w:val="0"/>
          <w:marTop w:val="0"/>
          <w:marBottom w:val="0"/>
          <w:divBdr>
            <w:top w:val="none" w:sz="0" w:space="0" w:color="auto"/>
            <w:left w:val="none" w:sz="0" w:space="0" w:color="auto"/>
            <w:bottom w:val="none" w:sz="0" w:space="0" w:color="auto"/>
            <w:right w:val="none" w:sz="0" w:space="0" w:color="auto"/>
          </w:divBdr>
        </w:div>
      </w:divsChild>
    </w:div>
    <w:div w:id="674497913">
      <w:bodyDiv w:val="1"/>
      <w:marLeft w:val="0"/>
      <w:marRight w:val="0"/>
      <w:marTop w:val="0"/>
      <w:marBottom w:val="0"/>
      <w:divBdr>
        <w:top w:val="none" w:sz="0" w:space="0" w:color="auto"/>
        <w:left w:val="none" w:sz="0" w:space="0" w:color="auto"/>
        <w:bottom w:val="none" w:sz="0" w:space="0" w:color="auto"/>
        <w:right w:val="none" w:sz="0" w:space="0" w:color="auto"/>
      </w:divBdr>
    </w:div>
    <w:div w:id="676151883">
      <w:bodyDiv w:val="1"/>
      <w:marLeft w:val="0"/>
      <w:marRight w:val="0"/>
      <w:marTop w:val="0"/>
      <w:marBottom w:val="0"/>
      <w:divBdr>
        <w:top w:val="none" w:sz="0" w:space="0" w:color="auto"/>
        <w:left w:val="none" w:sz="0" w:space="0" w:color="auto"/>
        <w:bottom w:val="none" w:sz="0" w:space="0" w:color="auto"/>
        <w:right w:val="none" w:sz="0" w:space="0" w:color="auto"/>
      </w:divBdr>
    </w:div>
    <w:div w:id="676158002">
      <w:bodyDiv w:val="1"/>
      <w:marLeft w:val="0"/>
      <w:marRight w:val="0"/>
      <w:marTop w:val="0"/>
      <w:marBottom w:val="0"/>
      <w:divBdr>
        <w:top w:val="none" w:sz="0" w:space="0" w:color="auto"/>
        <w:left w:val="none" w:sz="0" w:space="0" w:color="auto"/>
        <w:bottom w:val="none" w:sz="0" w:space="0" w:color="auto"/>
        <w:right w:val="none" w:sz="0" w:space="0" w:color="auto"/>
      </w:divBdr>
    </w:div>
    <w:div w:id="676736842">
      <w:bodyDiv w:val="1"/>
      <w:marLeft w:val="0"/>
      <w:marRight w:val="0"/>
      <w:marTop w:val="0"/>
      <w:marBottom w:val="0"/>
      <w:divBdr>
        <w:top w:val="none" w:sz="0" w:space="0" w:color="auto"/>
        <w:left w:val="none" w:sz="0" w:space="0" w:color="auto"/>
        <w:bottom w:val="none" w:sz="0" w:space="0" w:color="auto"/>
        <w:right w:val="none" w:sz="0" w:space="0" w:color="auto"/>
      </w:divBdr>
    </w:div>
    <w:div w:id="682828068">
      <w:bodyDiv w:val="1"/>
      <w:marLeft w:val="0"/>
      <w:marRight w:val="0"/>
      <w:marTop w:val="0"/>
      <w:marBottom w:val="0"/>
      <w:divBdr>
        <w:top w:val="none" w:sz="0" w:space="0" w:color="auto"/>
        <w:left w:val="none" w:sz="0" w:space="0" w:color="auto"/>
        <w:bottom w:val="none" w:sz="0" w:space="0" w:color="auto"/>
        <w:right w:val="none" w:sz="0" w:space="0" w:color="auto"/>
      </w:divBdr>
    </w:div>
    <w:div w:id="685209751">
      <w:bodyDiv w:val="1"/>
      <w:marLeft w:val="0"/>
      <w:marRight w:val="0"/>
      <w:marTop w:val="0"/>
      <w:marBottom w:val="0"/>
      <w:divBdr>
        <w:top w:val="none" w:sz="0" w:space="0" w:color="auto"/>
        <w:left w:val="none" w:sz="0" w:space="0" w:color="auto"/>
        <w:bottom w:val="none" w:sz="0" w:space="0" w:color="auto"/>
        <w:right w:val="none" w:sz="0" w:space="0" w:color="auto"/>
      </w:divBdr>
    </w:div>
    <w:div w:id="686520603">
      <w:bodyDiv w:val="1"/>
      <w:marLeft w:val="0"/>
      <w:marRight w:val="0"/>
      <w:marTop w:val="0"/>
      <w:marBottom w:val="0"/>
      <w:divBdr>
        <w:top w:val="none" w:sz="0" w:space="0" w:color="auto"/>
        <w:left w:val="none" w:sz="0" w:space="0" w:color="auto"/>
        <w:bottom w:val="none" w:sz="0" w:space="0" w:color="auto"/>
        <w:right w:val="none" w:sz="0" w:space="0" w:color="auto"/>
      </w:divBdr>
    </w:div>
    <w:div w:id="686712580">
      <w:bodyDiv w:val="1"/>
      <w:marLeft w:val="0"/>
      <w:marRight w:val="0"/>
      <w:marTop w:val="0"/>
      <w:marBottom w:val="0"/>
      <w:divBdr>
        <w:top w:val="none" w:sz="0" w:space="0" w:color="auto"/>
        <w:left w:val="none" w:sz="0" w:space="0" w:color="auto"/>
        <w:bottom w:val="none" w:sz="0" w:space="0" w:color="auto"/>
        <w:right w:val="none" w:sz="0" w:space="0" w:color="auto"/>
      </w:divBdr>
    </w:div>
    <w:div w:id="686829597">
      <w:bodyDiv w:val="1"/>
      <w:marLeft w:val="0"/>
      <w:marRight w:val="0"/>
      <w:marTop w:val="0"/>
      <w:marBottom w:val="0"/>
      <w:divBdr>
        <w:top w:val="none" w:sz="0" w:space="0" w:color="auto"/>
        <w:left w:val="none" w:sz="0" w:space="0" w:color="auto"/>
        <w:bottom w:val="none" w:sz="0" w:space="0" w:color="auto"/>
        <w:right w:val="none" w:sz="0" w:space="0" w:color="auto"/>
      </w:divBdr>
    </w:div>
    <w:div w:id="687682134">
      <w:bodyDiv w:val="1"/>
      <w:marLeft w:val="0"/>
      <w:marRight w:val="0"/>
      <w:marTop w:val="0"/>
      <w:marBottom w:val="0"/>
      <w:divBdr>
        <w:top w:val="none" w:sz="0" w:space="0" w:color="auto"/>
        <w:left w:val="none" w:sz="0" w:space="0" w:color="auto"/>
        <w:bottom w:val="none" w:sz="0" w:space="0" w:color="auto"/>
        <w:right w:val="none" w:sz="0" w:space="0" w:color="auto"/>
      </w:divBdr>
    </w:div>
    <w:div w:id="693653823">
      <w:bodyDiv w:val="1"/>
      <w:marLeft w:val="0"/>
      <w:marRight w:val="0"/>
      <w:marTop w:val="0"/>
      <w:marBottom w:val="0"/>
      <w:divBdr>
        <w:top w:val="none" w:sz="0" w:space="0" w:color="auto"/>
        <w:left w:val="none" w:sz="0" w:space="0" w:color="auto"/>
        <w:bottom w:val="none" w:sz="0" w:space="0" w:color="auto"/>
        <w:right w:val="none" w:sz="0" w:space="0" w:color="auto"/>
      </w:divBdr>
    </w:div>
    <w:div w:id="696202864">
      <w:bodyDiv w:val="1"/>
      <w:marLeft w:val="0"/>
      <w:marRight w:val="0"/>
      <w:marTop w:val="0"/>
      <w:marBottom w:val="0"/>
      <w:divBdr>
        <w:top w:val="none" w:sz="0" w:space="0" w:color="auto"/>
        <w:left w:val="none" w:sz="0" w:space="0" w:color="auto"/>
        <w:bottom w:val="none" w:sz="0" w:space="0" w:color="auto"/>
        <w:right w:val="none" w:sz="0" w:space="0" w:color="auto"/>
      </w:divBdr>
    </w:div>
    <w:div w:id="700742108">
      <w:bodyDiv w:val="1"/>
      <w:marLeft w:val="0"/>
      <w:marRight w:val="0"/>
      <w:marTop w:val="0"/>
      <w:marBottom w:val="0"/>
      <w:divBdr>
        <w:top w:val="none" w:sz="0" w:space="0" w:color="auto"/>
        <w:left w:val="none" w:sz="0" w:space="0" w:color="auto"/>
        <w:bottom w:val="none" w:sz="0" w:space="0" w:color="auto"/>
        <w:right w:val="none" w:sz="0" w:space="0" w:color="auto"/>
      </w:divBdr>
    </w:div>
    <w:div w:id="700787732">
      <w:bodyDiv w:val="1"/>
      <w:marLeft w:val="0"/>
      <w:marRight w:val="0"/>
      <w:marTop w:val="0"/>
      <w:marBottom w:val="0"/>
      <w:divBdr>
        <w:top w:val="none" w:sz="0" w:space="0" w:color="auto"/>
        <w:left w:val="none" w:sz="0" w:space="0" w:color="auto"/>
        <w:bottom w:val="none" w:sz="0" w:space="0" w:color="auto"/>
        <w:right w:val="none" w:sz="0" w:space="0" w:color="auto"/>
      </w:divBdr>
    </w:div>
    <w:div w:id="702094865">
      <w:bodyDiv w:val="1"/>
      <w:marLeft w:val="0"/>
      <w:marRight w:val="0"/>
      <w:marTop w:val="0"/>
      <w:marBottom w:val="0"/>
      <w:divBdr>
        <w:top w:val="none" w:sz="0" w:space="0" w:color="auto"/>
        <w:left w:val="none" w:sz="0" w:space="0" w:color="auto"/>
        <w:bottom w:val="none" w:sz="0" w:space="0" w:color="auto"/>
        <w:right w:val="none" w:sz="0" w:space="0" w:color="auto"/>
      </w:divBdr>
    </w:div>
    <w:div w:id="704060641">
      <w:bodyDiv w:val="1"/>
      <w:marLeft w:val="0"/>
      <w:marRight w:val="0"/>
      <w:marTop w:val="0"/>
      <w:marBottom w:val="0"/>
      <w:divBdr>
        <w:top w:val="none" w:sz="0" w:space="0" w:color="auto"/>
        <w:left w:val="none" w:sz="0" w:space="0" w:color="auto"/>
        <w:bottom w:val="none" w:sz="0" w:space="0" w:color="auto"/>
        <w:right w:val="none" w:sz="0" w:space="0" w:color="auto"/>
      </w:divBdr>
    </w:div>
    <w:div w:id="705302347">
      <w:bodyDiv w:val="1"/>
      <w:marLeft w:val="0"/>
      <w:marRight w:val="0"/>
      <w:marTop w:val="0"/>
      <w:marBottom w:val="0"/>
      <w:divBdr>
        <w:top w:val="none" w:sz="0" w:space="0" w:color="auto"/>
        <w:left w:val="none" w:sz="0" w:space="0" w:color="auto"/>
        <w:bottom w:val="none" w:sz="0" w:space="0" w:color="auto"/>
        <w:right w:val="none" w:sz="0" w:space="0" w:color="auto"/>
      </w:divBdr>
    </w:div>
    <w:div w:id="708065183">
      <w:bodyDiv w:val="1"/>
      <w:marLeft w:val="0"/>
      <w:marRight w:val="0"/>
      <w:marTop w:val="0"/>
      <w:marBottom w:val="0"/>
      <w:divBdr>
        <w:top w:val="none" w:sz="0" w:space="0" w:color="auto"/>
        <w:left w:val="none" w:sz="0" w:space="0" w:color="auto"/>
        <w:bottom w:val="none" w:sz="0" w:space="0" w:color="auto"/>
        <w:right w:val="none" w:sz="0" w:space="0" w:color="auto"/>
      </w:divBdr>
      <w:divsChild>
        <w:div w:id="359169652">
          <w:marLeft w:val="274"/>
          <w:marRight w:val="0"/>
          <w:marTop w:val="0"/>
          <w:marBottom w:val="0"/>
          <w:divBdr>
            <w:top w:val="none" w:sz="0" w:space="0" w:color="auto"/>
            <w:left w:val="none" w:sz="0" w:space="0" w:color="auto"/>
            <w:bottom w:val="none" w:sz="0" w:space="0" w:color="auto"/>
            <w:right w:val="none" w:sz="0" w:space="0" w:color="auto"/>
          </w:divBdr>
        </w:div>
        <w:div w:id="422653391">
          <w:marLeft w:val="274"/>
          <w:marRight w:val="0"/>
          <w:marTop w:val="0"/>
          <w:marBottom w:val="0"/>
          <w:divBdr>
            <w:top w:val="none" w:sz="0" w:space="0" w:color="auto"/>
            <w:left w:val="none" w:sz="0" w:space="0" w:color="auto"/>
            <w:bottom w:val="none" w:sz="0" w:space="0" w:color="auto"/>
            <w:right w:val="none" w:sz="0" w:space="0" w:color="auto"/>
          </w:divBdr>
        </w:div>
        <w:div w:id="1052656768">
          <w:marLeft w:val="274"/>
          <w:marRight w:val="0"/>
          <w:marTop w:val="0"/>
          <w:marBottom w:val="0"/>
          <w:divBdr>
            <w:top w:val="none" w:sz="0" w:space="0" w:color="auto"/>
            <w:left w:val="none" w:sz="0" w:space="0" w:color="auto"/>
            <w:bottom w:val="none" w:sz="0" w:space="0" w:color="auto"/>
            <w:right w:val="none" w:sz="0" w:space="0" w:color="auto"/>
          </w:divBdr>
        </w:div>
        <w:div w:id="1199197751">
          <w:marLeft w:val="274"/>
          <w:marRight w:val="0"/>
          <w:marTop w:val="0"/>
          <w:marBottom w:val="0"/>
          <w:divBdr>
            <w:top w:val="none" w:sz="0" w:space="0" w:color="auto"/>
            <w:left w:val="none" w:sz="0" w:space="0" w:color="auto"/>
            <w:bottom w:val="none" w:sz="0" w:space="0" w:color="auto"/>
            <w:right w:val="none" w:sz="0" w:space="0" w:color="auto"/>
          </w:divBdr>
        </w:div>
        <w:div w:id="1491167688">
          <w:marLeft w:val="274"/>
          <w:marRight w:val="0"/>
          <w:marTop w:val="0"/>
          <w:marBottom w:val="0"/>
          <w:divBdr>
            <w:top w:val="none" w:sz="0" w:space="0" w:color="auto"/>
            <w:left w:val="none" w:sz="0" w:space="0" w:color="auto"/>
            <w:bottom w:val="none" w:sz="0" w:space="0" w:color="auto"/>
            <w:right w:val="none" w:sz="0" w:space="0" w:color="auto"/>
          </w:divBdr>
        </w:div>
        <w:div w:id="1548642302">
          <w:marLeft w:val="274"/>
          <w:marRight w:val="0"/>
          <w:marTop w:val="0"/>
          <w:marBottom w:val="0"/>
          <w:divBdr>
            <w:top w:val="none" w:sz="0" w:space="0" w:color="auto"/>
            <w:left w:val="none" w:sz="0" w:space="0" w:color="auto"/>
            <w:bottom w:val="none" w:sz="0" w:space="0" w:color="auto"/>
            <w:right w:val="none" w:sz="0" w:space="0" w:color="auto"/>
          </w:divBdr>
        </w:div>
      </w:divsChild>
    </w:div>
    <w:div w:id="710542691">
      <w:bodyDiv w:val="1"/>
      <w:marLeft w:val="0"/>
      <w:marRight w:val="0"/>
      <w:marTop w:val="0"/>
      <w:marBottom w:val="0"/>
      <w:divBdr>
        <w:top w:val="none" w:sz="0" w:space="0" w:color="auto"/>
        <w:left w:val="none" w:sz="0" w:space="0" w:color="auto"/>
        <w:bottom w:val="none" w:sz="0" w:space="0" w:color="auto"/>
        <w:right w:val="none" w:sz="0" w:space="0" w:color="auto"/>
      </w:divBdr>
    </w:div>
    <w:div w:id="710764259">
      <w:bodyDiv w:val="1"/>
      <w:marLeft w:val="0"/>
      <w:marRight w:val="0"/>
      <w:marTop w:val="0"/>
      <w:marBottom w:val="0"/>
      <w:divBdr>
        <w:top w:val="none" w:sz="0" w:space="0" w:color="auto"/>
        <w:left w:val="none" w:sz="0" w:space="0" w:color="auto"/>
        <w:bottom w:val="none" w:sz="0" w:space="0" w:color="auto"/>
        <w:right w:val="none" w:sz="0" w:space="0" w:color="auto"/>
      </w:divBdr>
    </w:div>
    <w:div w:id="711343033">
      <w:bodyDiv w:val="1"/>
      <w:marLeft w:val="0"/>
      <w:marRight w:val="0"/>
      <w:marTop w:val="0"/>
      <w:marBottom w:val="0"/>
      <w:divBdr>
        <w:top w:val="none" w:sz="0" w:space="0" w:color="auto"/>
        <w:left w:val="none" w:sz="0" w:space="0" w:color="auto"/>
        <w:bottom w:val="none" w:sz="0" w:space="0" w:color="auto"/>
        <w:right w:val="none" w:sz="0" w:space="0" w:color="auto"/>
      </w:divBdr>
    </w:div>
    <w:div w:id="711853085">
      <w:bodyDiv w:val="1"/>
      <w:marLeft w:val="0"/>
      <w:marRight w:val="0"/>
      <w:marTop w:val="0"/>
      <w:marBottom w:val="0"/>
      <w:divBdr>
        <w:top w:val="none" w:sz="0" w:space="0" w:color="auto"/>
        <w:left w:val="none" w:sz="0" w:space="0" w:color="auto"/>
        <w:bottom w:val="none" w:sz="0" w:space="0" w:color="auto"/>
        <w:right w:val="none" w:sz="0" w:space="0" w:color="auto"/>
      </w:divBdr>
    </w:div>
    <w:div w:id="711997246">
      <w:bodyDiv w:val="1"/>
      <w:marLeft w:val="0"/>
      <w:marRight w:val="0"/>
      <w:marTop w:val="0"/>
      <w:marBottom w:val="0"/>
      <w:divBdr>
        <w:top w:val="none" w:sz="0" w:space="0" w:color="auto"/>
        <w:left w:val="none" w:sz="0" w:space="0" w:color="auto"/>
        <w:bottom w:val="none" w:sz="0" w:space="0" w:color="auto"/>
        <w:right w:val="none" w:sz="0" w:space="0" w:color="auto"/>
      </w:divBdr>
    </w:div>
    <w:div w:id="713116030">
      <w:bodyDiv w:val="1"/>
      <w:marLeft w:val="0"/>
      <w:marRight w:val="0"/>
      <w:marTop w:val="0"/>
      <w:marBottom w:val="0"/>
      <w:divBdr>
        <w:top w:val="none" w:sz="0" w:space="0" w:color="auto"/>
        <w:left w:val="none" w:sz="0" w:space="0" w:color="auto"/>
        <w:bottom w:val="none" w:sz="0" w:space="0" w:color="auto"/>
        <w:right w:val="none" w:sz="0" w:space="0" w:color="auto"/>
      </w:divBdr>
    </w:div>
    <w:div w:id="714542425">
      <w:bodyDiv w:val="1"/>
      <w:marLeft w:val="0"/>
      <w:marRight w:val="0"/>
      <w:marTop w:val="0"/>
      <w:marBottom w:val="0"/>
      <w:divBdr>
        <w:top w:val="none" w:sz="0" w:space="0" w:color="auto"/>
        <w:left w:val="none" w:sz="0" w:space="0" w:color="auto"/>
        <w:bottom w:val="none" w:sz="0" w:space="0" w:color="auto"/>
        <w:right w:val="none" w:sz="0" w:space="0" w:color="auto"/>
      </w:divBdr>
    </w:div>
    <w:div w:id="716516727">
      <w:bodyDiv w:val="1"/>
      <w:marLeft w:val="0"/>
      <w:marRight w:val="0"/>
      <w:marTop w:val="0"/>
      <w:marBottom w:val="0"/>
      <w:divBdr>
        <w:top w:val="none" w:sz="0" w:space="0" w:color="auto"/>
        <w:left w:val="none" w:sz="0" w:space="0" w:color="auto"/>
        <w:bottom w:val="none" w:sz="0" w:space="0" w:color="auto"/>
        <w:right w:val="none" w:sz="0" w:space="0" w:color="auto"/>
      </w:divBdr>
    </w:div>
    <w:div w:id="721028184">
      <w:bodyDiv w:val="1"/>
      <w:marLeft w:val="0"/>
      <w:marRight w:val="0"/>
      <w:marTop w:val="0"/>
      <w:marBottom w:val="0"/>
      <w:divBdr>
        <w:top w:val="none" w:sz="0" w:space="0" w:color="auto"/>
        <w:left w:val="none" w:sz="0" w:space="0" w:color="auto"/>
        <w:bottom w:val="none" w:sz="0" w:space="0" w:color="auto"/>
        <w:right w:val="none" w:sz="0" w:space="0" w:color="auto"/>
      </w:divBdr>
    </w:div>
    <w:div w:id="721439121">
      <w:bodyDiv w:val="1"/>
      <w:marLeft w:val="0"/>
      <w:marRight w:val="0"/>
      <w:marTop w:val="0"/>
      <w:marBottom w:val="0"/>
      <w:divBdr>
        <w:top w:val="none" w:sz="0" w:space="0" w:color="auto"/>
        <w:left w:val="none" w:sz="0" w:space="0" w:color="auto"/>
        <w:bottom w:val="none" w:sz="0" w:space="0" w:color="auto"/>
        <w:right w:val="none" w:sz="0" w:space="0" w:color="auto"/>
      </w:divBdr>
    </w:div>
    <w:div w:id="722289999">
      <w:bodyDiv w:val="1"/>
      <w:marLeft w:val="0"/>
      <w:marRight w:val="0"/>
      <w:marTop w:val="0"/>
      <w:marBottom w:val="0"/>
      <w:divBdr>
        <w:top w:val="none" w:sz="0" w:space="0" w:color="auto"/>
        <w:left w:val="none" w:sz="0" w:space="0" w:color="auto"/>
        <w:bottom w:val="none" w:sz="0" w:space="0" w:color="auto"/>
        <w:right w:val="none" w:sz="0" w:space="0" w:color="auto"/>
      </w:divBdr>
    </w:div>
    <w:div w:id="722755946">
      <w:bodyDiv w:val="1"/>
      <w:marLeft w:val="0"/>
      <w:marRight w:val="0"/>
      <w:marTop w:val="0"/>
      <w:marBottom w:val="0"/>
      <w:divBdr>
        <w:top w:val="none" w:sz="0" w:space="0" w:color="auto"/>
        <w:left w:val="none" w:sz="0" w:space="0" w:color="auto"/>
        <w:bottom w:val="none" w:sz="0" w:space="0" w:color="auto"/>
        <w:right w:val="none" w:sz="0" w:space="0" w:color="auto"/>
      </w:divBdr>
    </w:div>
    <w:div w:id="723986122">
      <w:bodyDiv w:val="1"/>
      <w:marLeft w:val="0"/>
      <w:marRight w:val="0"/>
      <w:marTop w:val="0"/>
      <w:marBottom w:val="0"/>
      <w:divBdr>
        <w:top w:val="none" w:sz="0" w:space="0" w:color="auto"/>
        <w:left w:val="none" w:sz="0" w:space="0" w:color="auto"/>
        <w:bottom w:val="none" w:sz="0" w:space="0" w:color="auto"/>
        <w:right w:val="none" w:sz="0" w:space="0" w:color="auto"/>
      </w:divBdr>
    </w:div>
    <w:div w:id="724067441">
      <w:bodyDiv w:val="1"/>
      <w:marLeft w:val="0"/>
      <w:marRight w:val="0"/>
      <w:marTop w:val="0"/>
      <w:marBottom w:val="0"/>
      <w:divBdr>
        <w:top w:val="none" w:sz="0" w:space="0" w:color="auto"/>
        <w:left w:val="none" w:sz="0" w:space="0" w:color="auto"/>
        <w:bottom w:val="none" w:sz="0" w:space="0" w:color="auto"/>
        <w:right w:val="none" w:sz="0" w:space="0" w:color="auto"/>
      </w:divBdr>
    </w:div>
    <w:div w:id="724834741">
      <w:bodyDiv w:val="1"/>
      <w:marLeft w:val="0"/>
      <w:marRight w:val="0"/>
      <w:marTop w:val="0"/>
      <w:marBottom w:val="0"/>
      <w:divBdr>
        <w:top w:val="none" w:sz="0" w:space="0" w:color="auto"/>
        <w:left w:val="none" w:sz="0" w:space="0" w:color="auto"/>
        <w:bottom w:val="none" w:sz="0" w:space="0" w:color="auto"/>
        <w:right w:val="none" w:sz="0" w:space="0" w:color="auto"/>
      </w:divBdr>
    </w:div>
    <w:div w:id="724915672">
      <w:bodyDiv w:val="1"/>
      <w:marLeft w:val="0"/>
      <w:marRight w:val="0"/>
      <w:marTop w:val="0"/>
      <w:marBottom w:val="0"/>
      <w:divBdr>
        <w:top w:val="none" w:sz="0" w:space="0" w:color="auto"/>
        <w:left w:val="none" w:sz="0" w:space="0" w:color="auto"/>
        <w:bottom w:val="none" w:sz="0" w:space="0" w:color="auto"/>
        <w:right w:val="none" w:sz="0" w:space="0" w:color="auto"/>
      </w:divBdr>
    </w:div>
    <w:div w:id="725571510">
      <w:bodyDiv w:val="1"/>
      <w:marLeft w:val="0"/>
      <w:marRight w:val="0"/>
      <w:marTop w:val="0"/>
      <w:marBottom w:val="0"/>
      <w:divBdr>
        <w:top w:val="none" w:sz="0" w:space="0" w:color="auto"/>
        <w:left w:val="none" w:sz="0" w:space="0" w:color="auto"/>
        <w:bottom w:val="none" w:sz="0" w:space="0" w:color="auto"/>
        <w:right w:val="none" w:sz="0" w:space="0" w:color="auto"/>
      </w:divBdr>
    </w:div>
    <w:div w:id="726148777">
      <w:bodyDiv w:val="1"/>
      <w:marLeft w:val="0"/>
      <w:marRight w:val="0"/>
      <w:marTop w:val="0"/>
      <w:marBottom w:val="0"/>
      <w:divBdr>
        <w:top w:val="none" w:sz="0" w:space="0" w:color="auto"/>
        <w:left w:val="none" w:sz="0" w:space="0" w:color="auto"/>
        <w:bottom w:val="none" w:sz="0" w:space="0" w:color="auto"/>
        <w:right w:val="none" w:sz="0" w:space="0" w:color="auto"/>
      </w:divBdr>
    </w:div>
    <w:div w:id="727529876">
      <w:bodyDiv w:val="1"/>
      <w:marLeft w:val="0"/>
      <w:marRight w:val="0"/>
      <w:marTop w:val="0"/>
      <w:marBottom w:val="0"/>
      <w:divBdr>
        <w:top w:val="none" w:sz="0" w:space="0" w:color="auto"/>
        <w:left w:val="none" w:sz="0" w:space="0" w:color="auto"/>
        <w:bottom w:val="none" w:sz="0" w:space="0" w:color="auto"/>
        <w:right w:val="none" w:sz="0" w:space="0" w:color="auto"/>
      </w:divBdr>
      <w:divsChild>
        <w:div w:id="277372906">
          <w:marLeft w:val="274"/>
          <w:marRight w:val="0"/>
          <w:marTop w:val="0"/>
          <w:marBottom w:val="0"/>
          <w:divBdr>
            <w:top w:val="none" w:sz="0" w:space="0" w:color="auto"/>
            <w:left w:val="none" w:sz="0" w:space="0" w:color="auto"/>
            <w:bottom w:val="none" w:sz="0" w:space="0" w:color="auto"/>
            <w:right w:val="none" w:sz="0" w:space="0" w:color="auto"/>
          </w:divBdr>
        </w:div>
        <w:div w:id="602538006">
          <w:marLeft w:val="274"/>
          <w:marRight w:val="0"/>
          <w:marTop w:val="0"/>
          <w:marBottom w:val="0"/>
          <w:divBdr>
            <w:top w:val="none" w:sz="0" w:space="0" w:color="auto"/>
            <w:left w:val="none" w:sz="0" w:space="0" w:color="auto"/>
            <w:bottom w:val="none" w:sz="0" w:space="0" w:color="auto"/>
            <w:right w:val="none" w:sz="0" w:space="0" w:color="auto"/>
          </w:divBdr>
        </w:div>
        <w:div w:id="783158434">
          <w:marLeft w:val="274"/>
          <w:marRight w:val="0"/>
          <w:marTop w:val="0"/>
          <w:marBottom w:val="0"/>
          <w:divBdr>
            <w:top w:val="none" w:sz="0" w:space="0" w:color="auto"/>
            <w:left w:val="none" w:sz="0" w:space="0" w:color="auto"/>
            <w:bottom w:val="none" w:sz="0" w:space="0" w:color="auto"/>
            <w:right w:val="none" w:sz="0" w:space="0" w:color="auto"/>
          </w:divBdr>
        </w:div>
        <w:div w:id="1654984023">
          <w:marLeft w:val="274"/>
          <w:marRight w:val="0"/>
          <w:marTop w:val="0"/>
          <w:marBottom w:val="0"/>
          <w:divBdr>
            <w:top w:val="none" w:sz="0" w:space="0" w:color="auto"/>
            <w:left w:val="none" w:sz="0" w:space="0" w:color="auto"/>
            <w:bottom w:val="none" w:sz="0" w:space="0" w:color="auto"/>
            <w:right w:val="none" w:sz="0" w:space="0" w:color="auto"/>
          </w:divBdr>
        </w:div>
        <w:div w:id="2063746308">
          <w:marLeft w:val="274"/>
          <w:marRight w:val="0"/>
          <w:marTop w:val="0"/>
          <w:marBottom w:val="0"/>
          <w:divBdr>
            <w:top w:val="none" w:sz="0" w:space="0" w:color="auto"/>
            <w:left w:val="none" w:sz="0" w:space="0" w:color="auto"/>
            <w:bottom w:val="none" w:sz="0" w:space="0" w:color="auto"/>
            <w:right w:val="none" w:sz="0" w:space="0" w:color="auto"/>
          </w:divBdr>
        </w:div>
      </w:divsChild>
    </w:div>
    <w:div w:id="727726256">
      <w:bodyDiv w:val="1"/>
      <w:marLeft w:val="0"/>
      <w:marRight w:val="0"/>
      <w:marTop w:val="0"/>
      <w:marBottom w:val="0"/>
      <w:divBdr>
        <w:top w:val="none" w:sz="0" w:space="0" w:color="auto"/>
        <w:left w:val="none" w:sz="0" w:space="0" w:color="auto"/>
        <w:bottom w:val="none" w:sz="0" w:space="0" w:color="auto"/>
        <w:right w:val="none" w:sz="0" w:space="0" w:color="auto"/>
      </w:divBdr>
    </w:div>
    <w:div w:id="727998129">
      <w:bodyDiv w:val="1"/>
      <w:marLeft w:val="0"/>
      <w:marRight w:val="0"/>
      <w:marTop w:val="0"/>
      <w:marBottom w:val="0"/>
      <w:divBdr>
        <w:top w:val="none" w:sz="0" w:space="0" w:color="auto"/>
        <w:left w:val="none" w:sz="0" w:space="0" w:color="auto"/>
        <w:bottom w:val="none" w:sz="0" w:space="0" w:color="auto"/>
        <w:right w:val="none" w:sz="0" w:space="0" w:color="auto"/>
      </w:divBdr>
      <w:divsChild>
        <w:div w:id="270623508">
          <w:marLeft w:val="0"/>
          <w:marRight w:val="0"/>
          <w:marTop w:val="150"/>
          <w:marBottom w:val="150"/>
          <w:divBdr>
            <w:top w:val="none" w:sz="0" w:space="0" w:color="auto"/>
            <w:left w:val="none" w:sz="0" w:space="0" w:color="auto"/>
            <w:bottom w:val="none" w:sz="0" w:space="0" w:color="auto"/>
            <w:right w:val="none" w:sz="0" w:space="0" w:color="auto"/>
          </w:divBdr>
        </w:div>
        <w:div w:id="367679189">
          <w:marLeft w:val="0"/>
          <w:marRight w:val="0"/>
          <w:marTop w:val="150"/>
          <w:marBottom w:val="150"/>
          <w:divBdr>
            <w:top w:val="none" w:sz="0" w:space="0" w:color="auto"/>
            <w:left w:val="none" w:sz="0" w:space="0" w:color="auto"/>
            <w:bottom w:val="none" w:sz="0" w:space="0" w:color="auto"/>
            <w:right w:val="none" w:sz="0" w:space="0" w:color="auto"/>
          </w:divBdr>
        </w:div>
        <w:div w:id="1157768265">
          <w:marLeft w:val="0"/>
          <w:marRight w:val="0"/>
          <w:marTop w:val="150"/>
          <w:marBottom w:val="150"/>
          <w:divBdr>
            <w:top w:val="none" w:sz="0" w:space="0" w:color="auto"/>
            <w:left w:val="none" w:sz="0" w:space="0" w:color="auto"/>
            <w:bottom w:val="none" w:sz="0" w:space="0" w:color="auto"/>
            <w:right w:val="none" w:sz="0" w:space="0" w:color="auto"/>
          </w:divBdr>
        </w:div>
        <w:div w:id="1541086446">
          <w:marLeft w:val="0"/>
          <w:marRight w:val="0"/>
          <w:marTop w:val="150"/>
          <w:marBottom w:val="150"/>
          <w:divBdr>
            <w:top w:val="none" w:sz="0" w:space="0" w:color="auto"/>
            <w:left w:val="none" w:sz="0" w:space="0" w:color="auto"/>
            <w:bottom w:val="none" w:sz="0" w:space="0" w:color="auto"/>
            <w:right w:val="none" w:sz="0" w:space="0" w:color="auto"/>
          </w:divBdr>
        </w:div>
        <w:div w:id="1681857692">
          <w:marLeft w:val="0"/>
          <w:marRight w:val="0"/>
          <w:marTop w:val="150"/>
          <w:marBottom w:val="150"/>
          <w:divBdr>
            <w:top w:val="none" w:sz="0" w:space="0" w:color="auto"/>
            <w:left w:val="none" w:sz="0" w:space="0" w:color="auto"/>
            <w:bottom w:val="none" w:sz="0" w:space="0" w:color="auto"/>
            <w:right w:val="none" w:sz="0" w:space="0" w:color="auto"/>
          </w:divBdr>
        </w:div>
        <w:div w:id="1708019044">
          <w:marLeft w:val="0"/>
          <w:marRight w:val="0"/>
          <w:marTop w:val="150"/>
          <w:marBottom w:val="150"/>
          <w:divBdr>
            <w:top w:val="none" w:sz="0" w:space="0" w:color="auto"/>
            <w:left w:val="none" w:sz="0" w:space="0" w:color="auto"/>
            <w:bottom w:val="none" w:sz="0" w:space="0" w:color="auto"/>
            <w:right w:val="none" w:sz="0" w:space="0" w:color="auto"/>
          </w:divBdr>
        </w:div>
      </w:divsChild>
    </w:div>
    <w:div w:id="729380225">
      <w:bodyDiv w:val="1"/>
      <w:marLeft w:val="0"/>
      <w:marRight w:val="0"/>
      <w:marTop w:val="0"/>
      <w:marBottom w:val="0"/>
      <w:divBdr>
        <w:top w:val="none" w:sz="0" w:space="0" w:color="auto"/>
        <w:left w:val="none" w:sz="0" w:space="0" w:color="auto"/>
        <w:bottom w:val="none" w:sz="0" w:space="0" w:color="auto"/>
        <w:right w:val="none" w:sz="0" w:space="0" w:color="auto"/>
      </w:divBdr>
    </w:div>
    <w:div w:id="730078022">
      <w:bodyDiv w:val="1"/>
      <w:marLeft w:val="0"/>
      <w:marRight w:val="0"/>
      <w:marTop w:val="0"/>
      <w:marBottom w:val="0"/>
      <w:divBdr>
        <w:top w:val="none" w:sz="0" w:space="0" w:color="auto"/>
        <w:left w:val="none" w:sz="0" w:space="0" w:color="auto"/>
        <w:bottom w:val="none" w:sz="0" w:space="0" w:color="auto"/>
        <w:right w:val="none" w:sz="0" w:space="0" w:color="auto"/>
      </w:divBdr>
    </w:div>
    <w:div w:id="730343747">
      <w:bodyDiv w:val="1"/>
      <w:marLeft w:val="0"/>
      <w:marRight w:val="0"/>
      <w:marTop w:val="0"/>
      <w:marBottom w:val="0"/>
      <w:divBdr>
        <w:top w:val="none" w:sz="0" w:space="0" w:color="auto"/>
        <w:left w:val="none" w:sz="0" w:space="0" w:color="auto"/>
        <w:bottom w:val="none" w:sz="0" w:space="0" w:color="auto"/>
        <w:right w:val="none" w:sz="0" w:space="0" w:color="auto"/>
      </w:divBdr>
    </w:div>
    <w:div w:id="732967955">
      <w:bodyDiv w:val="1"/>
      <w:marLeft w:val="0"/>
      <w:marRight w:val="0"/>
      <w:marTop w:val="0"/>
      <w:marBottom w:val="0"/>
      <w:divBdr>
        <w:top w:val="none" w:sz="0" w:space="0" w:color="auto"/>
        <w:left w:val="none" w:sz="0" w:space="0" w:color="auto"/>
        <w:bottom w:val="none" w:sz="0" w:space="0" w:color="auto"/>
        <w:right w:val="none" w:sz="0" w:space="0" w:color="auto"/>
      </w:divBdr>
    </w:div>
    <w:div w:id="735205095">
      <w:bodyDiv w:val="1"/>
      <w:marLeft w:val="0"/>
      <w:marRight w:val="0"/>
      <w:marTop w:val="0"/>
      <w:marBottom w:val="0"/>
      <w:divBdr>
        <w:top w:val="none" w:sz="0" w:space="0" w:color="auto"/>
        <w:left w:val="none" w:sz="0" w:space="0" w:color="auto"/>
        <w:bottom w:val="none" w:sz="0" w:space="0" w:color="auto"/>
        <w:right w:val="none" w:sz="0" w:space="0" w:color="auto"/>
      </w:divBdr>
    </w:div>
    <w:div w:id="736325475">
      <w:bodyDiv w:val="1"/>
      <w:marLeft w:val="0"/>
      <w:marRight w:val="0"/>
      <w:marTop w:val="0"/>
      <w:marBottom w:val="0"/>
      <w:divBdr>
        <w:top w:val="none" w:sz="0" w:space="0" w:color="auto"/>
        <w:left w:val="none" w:sz="0" w:space="0" w:color="auto"/>
        <w:bottom w:val="none" w:sz="0" w:space="0" w:color="auto"/>
        <w:right w:val="none" w:sz="0" w:space="0" w:color="auto"/>
      </w:divBdr>
    </w:div>
    <w:div w:id="741682925">
      <w:bodyDiv w:val="1"/>
      <w:marLeft w:val="0"/>
      <w:marRight w:val="0"/>
      <w:marTop w:val="0"/>
      <w:marBottom w:val="0"/>
      <w:divBdr>
        <w:top w:val="none" w:sz="0" w:space="0" w:color="auto"/>
        <w:left w:val="none" w:sz="0" w:space="0" w:color="auto"/>
        <w:bottom w:val="none" w:sz="0" w:space="0" w:color="auto"/>
        <w:right w:val="none" w:sz="0" w:space="0" w:color="auto"/>
      </w:divBdr>
    </w:div>
    <w:div w:id="742334027">
      <w:bodyDiv w:val="1"/>
      <w:marLeft w:val="0"/>
      <w:marRight w:val="0"/>
      <w:marTop w:val="0"/>
      <w:marBottom w:val="0"/>
      <w:divBdr>
        <w:top w:val="none" w:sz="0" w:space="0" w:color="auto"/>
        <w:left w:val="none" w:sz="0" w:space="0" w:color="auto"/>
        <w:bottom w:val="none" w:sz="0" w:space="0" w:color="auto"/>
        <w:right w:val="none" w:sz="0" w:space="0" w:color="auto"/>
      </w:divBdr>
    </w:div>
    <w:div w:id="744448715">
      <w:bodyDiv w:val="1"/>
      <w:marLeft w:val="0"/>
      <w:marRight w:val="0"/>
      <w:marTop w:val="0"/>
      <w:marBottom w:val="0"/>
      <w:divBdr>
        <w:top w:val="none" w:sz="0" w:space="0" w:color="auto"/>
        <w:left w:val="none" w:sz="0" w:space="0" w:color="auto"/>
        <w:bottom w:val="none" w:sz="0" w:space="0" w:color="auto"/>
        <w:right w:val="none" w:sz="0" w:space="0" w:color="auto"/>
      </w:divBdr>
    </w:div>
    <w:div w:id="746077869">
      <w:bodyDiv w:val="1"/>
      <w:marLeft w:val="0"/>
      <w:marRight w:val="0"/>
      <w:marTop w:val="0"/>
      <w:marBottom w:val="0"/>
      <w:divBdr>
        <w:top w:val="none" w:sz="0" w:space="0" w:color="auto"/>
        <w:left w:val="none" w:sz="0" w:space="0" w:color="auto"/>
        <w:bottom w:val="none" w:sz="0" w:space="0" w:color="auto"/>
        <w:right w:val="none" w:sz="0" w:space="0" w:color="auto"/>
      </w:divBdr>
    </w:div>
    <w:div w:id="747000134">
      <w:bodyDiv w:val="1"/>
      <w:marLeft w:val="0"/>
      <w:marRight w:val="0"/>
      <w:marTop w:val="0"/>
      <w:marBottom w:val="0"/>
      <w:divBdr>
        <w:top w:val="none" w:sz="0" w:space="0" w:color="auto"/>
        <w:left w:val="none" w:sz="0" w:space="0" w:color="auto"/>
        <w:bottom w:val="none" w:sz="0" w:space="0" w:color="auto"/>
        <w:right w:val="none" w:sz="0" w:space="0" w:color="auto"/>
      </w:divBdr>
    </w:div>
    <w:div w:id="747074149">
      <w:bodyDiv w:val="1"/>
      <w:marLeft w:val="0"/>
      <w:marRight w:val="0"/>
      <w:marTop w:val="0"/>
      <w:marBottom w:val="0"/>
      <w:divBdr>
        <w:top w:val="none" w:sz="0" w:space="0" w:color="auto"/>
        <w:left w:val="none" w:sz="0" w:space="0" w:color="auto"/>
        <w:bottom w:val="none" w:sz="0" w:space="0" w:color="auto"/>
        <w:right w:val="none" w:sz="0" w:space="0" w:color="auto"/>
      </w:divBdr>
    </w:div>
    <w:div w:id="747308641">
      <w:bodyDiv w:val="1"/>
      <w:marLeft w:val="0"/>
      <w:marRight w:val="0"/>
      <w:marTop w:val="0"/>
      <w:marBottom w:val="0"/>
      <w:divBdr>
        <w:top w:val="none" w:sz="0" w:space="0" w:color="auto"/>
        <w:left w:val="none" w:sz="0" w:space="0" w:color="auto"/>
        <w:bottom w:val="none" w:sz="0" w:space="0" w:color="auto"/>
        <w:right w:val="none" w:sz="0" w:space="0" w:color="auto"/>
      </w:divBdr>
    </w:div>
    <w:div w:id="747388133">
      <w:bodyDiv w:val="1"/>
      <w:marLeft w:val="0"/>
      <w:marRight w:val="0"/>
      <w:marTop w:val="0"/>
      <w:marBottom w:val="0"/>
      <w:divBdr>
        <w:top w:val="none" w:sz="0" w:space="0" w:color="auto"/>
        <w:left w:val="none" w:sz="0" w:space="0" w:color="auto"/>
        <w:bottom w:val="none" w:sz="0" w:space="0" w:color="auto"/>
        <w:right w:val="none" w:sz="0" w:space="0" w:color="auto"/>
      </w:divBdr>
    </w:div>
    <w:div w:id="749815439">
      <w:bodyDiv w:val="1"/>
      <w:marLeft w:val="0"/>
      <w:marRight w:val="0"/>
      <w:marTop w:val="0"/>
      <w:marBottom w:val="0"/>
      <w:divBdr>
        <w:top w:val="none" w:sz="0" w:space="0" w:color="auto"/>
        <w:left w:val="none" w:sz="0" w:space="0" w:color="auto"/>
        <w:bottom w:val="none" w:sz="0" w:space="0" w:color="auto"/>
        <w:right w:val="none" w:sz="0" w:space="0" w:color="auto"/>
      </w:divBdr>
    </w:div>
    <w:div w:id="756636034">
      <w:bodyDiv w:val="1"/>
      <w:marLeft w:val="0"/>
      <w:marRight w:val="0"/>
      <w:marTop w:val="0"/>
      <w:marBottom w:val="0"/>
      <w:divBdr>
        <w:top w:val="none" w:sz="0" w:space="0" w:color="auto"/>
        <w:left w:val="none" w:sz="0" w:space="0" w:color="auto"/>
        <w:bottom w:val="none" w:sz="0" w:space="0" w:color="auto"/>
        <w:right w:val="none" w:sz="0" w:space="0" w:color="auto"/>
      </w:divBdr>
    </w:div>
    <w:div w:id="756706646">
      <w:bodyDiv w:val="1"/>
      <w:marLeft w:val="0"/>
      <w:marRight w:val="0"/>
      <w:marTop w:val="0"/>
      <w:marBottom w:val="0"/>
      <w:divBdr>
        <w:top w:val="none" w:sz="0" w:space="0" w:color="auto"/>
        <w:left w:val="none" w:sz="0" w:space="0" w:color="auto"/>
        <w:bottom w:val="none" w:sz="0" w:space="0" w:color="auto"/>
        <w:right w:val="none" w:sz="0" w:space="0" w:color="auto"/>
      </w:divBdr>
    </w:div>
    <w:div w:id="757292872">
      <w:bodyDiv w:val="1"/>
      <w:marLeft w:val="0"/>
      <w:marRight w:val="0"/>
      <w:marTop w:val="0"/>
      <w:marBottom w:val="0"/>
      <w:divBdr>
        <w:top w:val="none" w:sz="0" w:space="0" w:color="auto"/>
        <w:left w:val="none" w:sz="0" w:space="0" w:color="auto"/>
        <w:bottom w:val="none" w:sz="0" w:space="0" w:color="auto"/>
        <w:right w:val="none" w:sz="0" w:space="0" w:color="auto"/>
      </w:divBdr>
    </w:div>
    <w:div w:id="757561178">
      <w:bodyDiv w:val="1"/>
      <w:marLeft w:val="0"/>
      <w:marRight w:val="0"/>
      <w:marTop w:val="0"/>
      <w:marBottom w:val="0"/>
      <w:divBdr>
        <w:top w:val="none" w:sz="0" w:space="0" w:color="auto"/>
        <w:left w:val="none" w:sz="0" w:space="0" w:color="auto"/>
        <w:bottom w:val="none" w:sz="0" w:space="0" w:color="auto"/>
        <w:right w:val="none" w:sz="0" w:space="0" w:color="auto"/>
      </w:divBdr>
    </w:div>
    <w:div w:id="758601034">
      <w:bodyDiv w:val="1"/>
      <w:marLeft w:val="0"/>
      <w:marRight w:val="0"/>
      <w:marTop w:val="0"/>
      <w:marBottom w:val="0"/>
      <w:divBdr>
        <w:top w:val="none" w:sz="0" w:space="0" w:color="auto"/>
        <w:left w:val="none" w:sz="0" w:space="0" w:color="auto"/>
        <w:bottom w:val="none" w:sz="0" w:space="0" w:color="auto"/>
        <w:right w:val="none" w:sz="0" w:space="0" w:color="auto"/>
      </w:divBdr>
    </w:div>
    <w:div w:id="762454967">
      <w:bodyDiv w:val="1"/>
      <w:marLeft w:val="0"/>
      <w:marRight w:val="0"/>
      <w:marTop w:val="0"/>
      <w:marBottom w:val="0"/>
      <w:divBdr>
        <w:top w:val="none" w:sz="0" w:space="0" w:color="auto"/>
        <w:left w:val="none" w:sz="0" w:space="0" w:color="auto"/>
        <w:bottom w:val="none" w:sz="0" w:space="0" w:color="auto"/>
        <w:right w:val="none" w:sz="0" w:space="0" w:color="auto"/>
      </w:divBdr>
    </w:div>
    <w:div w:id="768155990">
      <w:bodyDiv w:val="1"/>
      <w:marLeft w:val="0"/>
      <w:marRight w:val="0"/>
      <w:marTop w:val="0"/>
      <w:marBottom w:val="0"/>
      <w:divBdr>
        <w:top w:val="none" w:sz="0" w:space="0" w:color="auto"/>
        <w:left w:val="none" w:sz="0" w:space="0" w:color="auto"/>
        <w:bottom w:val="none" w:sz="0" w:space="0" w:color="auto"/>
        <w:right w:val="none" w:sz="0" w:space="0" w:color="auto"/>
      </w:divBdr>
    </w:div>
    <w:div w:id="768546504">
      <w:bodyDiv w:val="1"/>
      <w:marLeft w:val="0"/>
      <w:marRight w:val="0"/>
      <w:marTop w:val="0"/>
      <w:marBottom w:val="0"/>
      <w:divBdr>
        <w:top w:val="none" w:sz="0" w:space="0" w:color="auto"/>
        <w:left w:val="none" w:sz="0" w:space="0" w:color="auto"/>
        <w:bottom w:val="none" w:sz="0" w:space="0" w:color="auto"/>
        <w:right w:val="none" w:sz="0" w:space="0" w:color="auto"/>
      </w:divBdr>
    </w:div>
    <w:div w:id="771049171">
      <w:bodyDiv w:val="1"/>
      <w:marLeft w:val="0"/>
      <w:marRight w:val="0"/>
      <w:marTop w:val="0"/>
      <w:marBottom w:val="0"/>
      <w:divBdr>
        <w:top w:val="none" w:sz="0" w:space="0" w:color="auto"/>
        <w:left w:val="none" w:sz="0" w:space="0" w:color="auto"/>
        <w:bottom w:val="none" w:sz="0" w:space="0" w:color="auto"/>
        <w:right w:val="none" w:sz="0" w:space="0" w:color="auto"/>
      </w:divBdr>
    </w:div>
    <w:div w:id="771753190">
      <w:bodyDiv w:val="1"/>
      <w:marLeft w:val="0"/>
      <w:marRight w:val="0"/>
      <w:marTop w:val="0"/>
      <w:marBottom w:val="0"/>
      <w:divBdr>
        <w:top w:val="none" w:sz="0" w:space="0" w:color="auto"/>
        <w:left w:val="none" w:sz="0" w:space="0" w:color="auto"/>
        <w:bottom w:val="none" w:sz="0" w:space="0" w:color="auto"/>
        <w:right w:val="none" w:sz="0" w:space="0" w:color="auto"/>
      </w:divBdr>
    </w:div>
    <w:div w:id="771898688">
      <w:bodyDiv w:val="1"/>
      <w:marLeft w:val="0"/>
      <w:marRight w:val="0"/>
      <w:marTop w:val="0"/>
      <w:marBottom w:val="0"/>
      <w:divBdr>
        <w:top w:val="none" w:sz="0" w:space="0" w:color="auto"/>
        <w:left w:val="none" w:sz="0" w:space="0" w:color="auto"/>
        <w:bottom w:val="none" w:sz="0" w:space="0" w:color="auto"/>
        <w:right w:val="none" w:sz="0" w:space="0" w:color="auto"/>
      </w:divBdr>
    </w:div>
    <w:div w:id="772094369">
      <w:bodyDiv w:val="1"/>
      <w:marLeft w:val="0"/>
      <w:marRight w:val="0"/>
      <w:marTop w:val="0"/>
      <w:marBottom w:val="0"/>
      <w:divBdr>
        <w:top w:val="none" w:sz="0" w:space="0" w:color="auto"/>
        <w:left w:val="none" w:sz="0" w:space="0" w:color="auto"/>
        <w:bottom w:val="none" w:sz="0" w:space="0" w:color="auto"/>
        <w:right w:val="none" w:sz="0" w:space="0" w:color="auto"/>
      </w:divBdr>
    </w:div>
    <w:div w:id="774326185">
      <w:bodyDiv w:val="1"/>
      <w:marLeft w:val="0"/>
      <w:marRight w:val="0"/>
      <w:marTop w:val="0"/>
      <w:marBottom w:val="0"/>
      <w:divBdr>
        <w:top w:val="none" w:sz="0" w:space="0" w:color="auto"/>
        <w:left w:val="none" w:sz="0" w:space="0" w:color="auto"/>
        <w:bottom w:val="none" w:sz="0" w:space="0" w:color="auto"/>
        <w:right w:val="none" w:sz="0" w:space="0" w:color="auto"/>
      </w:divBdr>
    </w:div>
    <w:div w:id="777872688">
      <w:bodyDiv w:val="1"/>
      <w:marLeft w:val="0"/>
      <w:marRight w:val="0"/>
      <w:marTop w:val="0"/>
      <w:marBottom w:val="0"/>
      <w:divBdr>
        <w:top w:val="none" w:sz="0" w:space="0" w:color="auto"/>
        <w:left w:val="none" w:sz="0" w:space="0" w:color="auto"/>
        <w:bottom w:val="none" w:sz="0" w:space="0" w:color="auto"/>
        <w:right w:val="none" w:sz="0" w:space="0" w:color="auto"/>
      </w:divBdr>
    </w:div>
    <w:div w:id="778332667">
      <w:bodyDiv w:val="1"/>
      <w:marLeft w:val="0"/>
      <w:marRight w:val="0"/>
      <w:marTop w:val="0"/>
      <w:marBottom w:val="0"/>
      <w:divBdr>
        <w:top w:val="none" w:sz="0" w:space="0" w:color="auto"/>
        <w:left w:val="none" w:sz="0" w:space="0" w:color="auto"/>
        <w:bottom w:val="none" w:sz="0" w:space="0" w:color="auto"/>
        <w:right w:val="none" w:sz="0" w:space="0" w:color="auto"/>
      </w:divBdr>
    </w:div>
    <w:div w:id="781266999">
      <w:bodyDiv w:val="1"/>
      <w:marLeft w:val="0"/>
      <w:marRight w:val="0"/>
      <w:marTop w:val="0"/>
      <w:marBottom w:val="0"/>
      <w:divBdr>
        <w:top w:val="none" w:sz="0" w:space="0" w:color="auto"/>
        <w:left w:val="none" w:sz="0" w:space="0" w:color="auto"/>
        <w:bottom w:val="none" w:sz="0" w:space="0" w:color="auto"/>
        <w:right w:val="none" w:sz="0" w:space="0" w:color="auto"/>
      </w:divBdr>
    </w:div>
    <w:div w:id="782772302">
      <w:bodyDiv w:val="1"/>
      <w:marLeft w:val="0"/>
      <w:marRight w:val="0"/>
      <w:marTop w:val="0"/>
      <w:marBottom w:val="0"/>
      <w:divBdr>
        <w:top w:val="none" w:sz="0" w:space="0" w:color="auto"/>
        <w:left w:val="none" w:sz="0" w:space="0" w:color="auto"/>
        <w:bottom w:val="none" w:sz="0" w:space="0" w:color="auto"/>
        <w:right w:val="none" w:sz="0" w:space="0" w:color="auto"/>
      </w:divBdr>
    </w:div>
    <w:div w:id="784036334">
      <w:bodyDiv w:val="1"/>
      <w:marLeft w:val="0"/>
      <w:marRight w:val="0"/>
      <w:marTop w:val="0"/>
      <w:marBottom w:val="0"/>
      <w:divBdr>
        <w:top w:val="none" w:sz="0" w:space="0" w:color="auto"/>
        <w:left w:val="none" w:sz="0" w:space="0" w:color="auto"/>
        <w:bottom w:val="none" w:sz="0" w:space="0" w:color="auto"/>
        <w:right w:val="none" w:sz="0" w:space="0" w:color="auto"/>
      </w:divBdr>
    </w:div>
    <w:div w:id="784085034">
      <w:bodyDiv w:val="1"/>
      <w:marLeft w:val="0"/>
      <w:marRight w:val="0"/>
      <w:marTop w:val="0"/>
      <w:marBottom w:val="0"/>
      <w:divBdr>
        <w:top w:val="none" w:sz="0" w:space="0" w:color="auto"/>
        <w:left w:val="none" w:sz="0" w:space="0" w:color="auto"/>
        <w:bottom w:val="none" w:sz="0" w:space="0" w:color="auto"/>
        <w:right w:val="none" w:sz="0" w:space="0" w:color="auto"/>
      </w:divBdr>
    </w:div>
    <w:div w:id="784542143">
      <w:bodyDiv w:val="1"/>
      <w:marLeft w:val="0"/>
      <w:marRight w:val="0"/>
      <w:marTop w:val="0"/>
      <w:marBottom w:val="0"/>
      <w:divBdr>
        <w:top w:val="none" w:sz="0" w:space="0" w:color="auto"/>
        <w:left w:val="none" w:sz="0" w:space="0" w:color="auto"/>
        <w:bottom w:val="none" w:sz="0" w:space="0" w:color="auto"/>
        <w:right w:val="none" w:sz="0" w:space="0" w:color="auto"/>
      </w:divBdr>
    </w:div>
    <w:div w:id="785806063">
      <w:bodyDiv w:val="1"/>
      <w:marLeft w:val="0"/>
      <w:marRight w:val="0"/>
      <w:marTop w:val="0"/>
      <w:marBottom w:val="0"/>
      <w:divBdr>
        <w:top w:val="none" w:sz="0" w:space="0" w:color="auto"/>
        <w:left w:val="none" w:sz="0" w:space="0" w:color="auto"/>
        <w:bottom w:val="none" w:sz="0" w:space="0" w:color="auto"/>
        <w:right w:val="none" w:sz="0" w:space="0" w:color="auto"/>
      </w:divBdr>
    </w:div>
    <w:div w:id="786894533">
      <w:bodyDiv w:val="1"/>
      <w:marLeft w:val="0"/>
      <w:marRight w:val="0"/>
      <w:marTop w:val="0"/>
      <w:marBottom w:val="0"/>
      <w:divBdr>
        <w:top w:val="none" w:sz="0" w:space="0" w:color="auto"/>
        <w:left w:val="none" w:sz="0" w:space="0" w:color="auto"/>
        <w:bottom w:val="none" w:sz="0" w:space="0" w:color="auto"/>
        <w:right w:val="none" w:sz="0" w:space="0" w:color="auto"/>
      </w:divBdr>
    </w:div>
    <w:div w:id="787164008">
      <w:bodyDiv w:val="1"/>
      <w:marLeft w:val="0"/>
      <w:marRight w:val="0"/>
      <w:marTop w:val="0"/>
      <w:marBottom w:val="0"/>
      <w:divBdr>
        <w:top w:val="none" w:sz="0" w:space="0" w:color="auto"/>
        <w:left w:val="none" w:sz="0" w:space="0" w:color="auto"/>
        <w:bottom w:val="none" w:sz="0" w:space="0" w:color="auto"/>
        <w:right w:val="none" w:sz="0" w:space="0" w:color="auto"/>
      </w:divBdr>
    </w:div>
    <w:div w:id="793673072">
      <w:bodyDiv w:val="1"/>
      <w:marLeft w:val="0"/>
      <w:marRight w:val="0"/>
      <w:marTop w:val="0"/>
      <w:marBottom w:val="0"/>
      <w:divBdr>
        <w:top w:val="none" w:sz="0" w:space="0" w:color="auto"/>
        <w:left w:val="none" w:sz="0" w:space="0" w:color="auto"/>
        <w:bottom w:val="none" w:sz="0" w:space="0" w:color="auto"/>
        <w:right w:val="none" w:sz="0" w:space="0" w:color="auto"/>
      </w:divBdr>
    </w:div>
    <w:div w:id="793866949">
      <w:bodyDiv w:val="1"/>
      <w:marLeft w:val="0"/>
      <w:marRight w:val="0"/>
      <w:marTop w:val="0"/>
      <w:marBottom w:val="0"/>
      <w:divBdr>
        <w:top w:val="none" w:sz="0" w:space="0" w:color="auto"/>
        <w:left w:val="none" w:sz="0" w:space="0" w:color="auto"/>
        <w:bottom w:val="none" w:sz="0" w:space="0" w:color="auto"/>
        <w:right w:val="none" w:sz="0" w:space="0" w:color="auto"/>
      </w:divBdr>
    </w:div>
    <w:div w:id="795872963">
      <w:bodyDiv w:val="1"/>
      <w:marLeft w:val="0"/>
      <w:marRight w:val="0"/>
      <w:marTop w:val="0"/>
      <w:marBottom w:val="0"/>
      <w:divBdr>
        <w:top w:val="none" w:sz="0" w:space="0" w:color="auto"/>
        <w:left w:val="none" w:sz="0" w:space="0" w:color="auto"/>
        <w:bottom w:val="none" w:sz="0" w:space="0" w:color="auto"/>
        <w:right w:val="none" w:sz="0" w:space="0" w:color="auto"/>
      </w:divBdr>
    </w:div>
    <w:div w:id="797988801">
      <w:bodyDiv w:val="1"/>
      <w:marLeft w:val="0"/>
      <w:marRight w:val="0"/>
      <w:marTop w:val="0"/>
      <w:marBottom w:val="0"/>
      <w:divBdr>
        <w:top w:val="none" w:sz="0" w:space="0" w:color="auto"/>
        <w:left w:val="none" w:sz="0" w:space="0" w:color="auto"/>
        <w:bottom w:val="none" w:sz="0" w:space="0" w:color="auto"/>
        <w:right w:val="none" w:sz="0" w:space="0" w:color="auto"/>
      </w:divBdr>
    </w:div>
    <w:div w:id="798187689">
      <w:bodyDiv w:val="1"/>
      <w:marLeft w:val="0"/>
      <w:marRight w:val="0"/>
      <w:marTop w:val="0"/>
      <w:marBottom w:val="0"/>
      <w:divBdr>
        <w:top w:val="none" w:sz="0" w:space="0" w:color="auto"/>
        <w:left w:val="none" w:sz="0" w:space="0" w:color="auto"/>
        <w:bottom w:val="none" w:sz="0" w:space="0" w:color="auto"/>
        <w:right w:val="none" w:sz="0" w:space="0" w:color="auto"/>
      </w:divBdr>
    </w:div>
    <w:div w:id="800462772">
      <w:bodyDiv w:val="1"/>
      <w:marLeft w:val="0"/>
      <w:marRight w:val="0"/>
      <w:marTop w:val="0"/>
      <w:marBottom w:val="0"/>
      <w:divBdr>
        <w:top w:val="none" w:sz="0" w:space="0" w:color="auto"/>
        <w:left w:val="none" w:sz="0" w:space="0" w:color="auto"/>
        <w:bottom w:val="none" w:sz="0" w:space="0" w:color="auto"/>
        <w:right w:val="none" w:sz="0" w:space="0" w:color="auto"/>
      </w:divBdr>
    </w:div>
    <w:div w:id="801003927">
      <w:bodyDiv w:val="1"/>
      <w:marLeft w:val="0"/>
      <w:marRight w:val="0"/>
      <w:marTop w:val="0"/>
      <w:marBottom w:val="0"/>
      <w:divBdr>
        <w:top w:val="none" w:sz="0" w:space="0" w:color="auto"/>
        <w:left w:val="none" w:sz="0" w:space="0" w:color="auto"/>
        <w:bottom w:val="none" w:sz="0" w:space="0" w:color="auto"/>
        <w:right w:val="none" w:sz="0" w:space="0" w:color="auto"/>
      </w:divBdr>
      <w:divsChild>
        <w:div w:id="717778886">
          <w:marLeft w:val="274"/>
          <w:marRight w:val="0"/>
          <w:marTop w:val="0"/>
          <w:marBottom w:val="0"/>
          <w:divBdr>
            <w:top w:val="none" w:sz="0" w:space="0" w:color="auto"/>
            <w:left w:val="none" w:sz="0" w:space="0" w:color="auto"/>
            <w:bottom w:val="none" w:sz="0" w:space="0" w:color="auto"/>
            <w:right w:val="none" w:sz="0" w:space="0" w:color="auto"/>
          </w:divBdr>
        </w:div>
        <w:div w:id="873077013">
          <w:marLeft w:val="274"/>
          <w:marRight w:val="0"/>
          <w:marTop w:val="0"/>
          <w:marBottom w:val="0"/>
          <w:divBdr>
            <w:top w:val="none" w:sz="0" w:space="0" w:color="auto"/>
            <w:left w:val="none" w:sz="0" w:space="0" w:color="auto"/>
            <w:bottom w:val="none" w:sz="0" w:space="0" w:color="auto"/>
            <w:right w:val="none" w:sz="0" w:space="0" w:color="auto"/>
          </w:divBdr>
        </w:div>
        <w:div w:id="1234856753">
          <w:marLeft w:val="274"/>
          <w:marRight w:val="0"/>
          <w:marTop w:val="0"/>
          <w:marBottom w:val="0"/>
          <w:divBdr>
            <w:top w:val="none" w:sz="0" w:space="0" w:color="auto"/>
            <w:left w:val="none" w:sz="0" w:space="0" w:color="auto"/>
            <w:bottom w:val="none" w:sz="0" w:space="0" w:color="auto"/>
            <w:right w:val="none" w:sz="0" w:space="0" w:color="auto"/>
          </w:divBdr>
        </w:div>
        <w:div w:id="1662848617">
          <w:marLeft w:val="274"/>
          <w:marRight w:val="0"/>
          <w:marTop w:val="0"/>
          <w:marBottom w:val="0"/>
          <w:divBdr>
            <w:top w:val="none" w:sz="0" w:space="0" w:color="auto"/>
            <w:left w:val="none" w:sz="0" w:space="0" w:color="auto"/>
            <w:bottom w:val="none" w:sz="0" w:space="0" w:color="auto"/>
            <w:right w:val="none" w:sz="0" w:space="0" w:color="auto"/>
          </w:divBdr>
        </w:div>
        <w:div w:id="1742831177">
          <w:marLeft w:val="274"/>
          <w:marRight w:val="0"/>
          <w:marTop w:val="0"/>
          <w:marBottom w:val="0"/>
          <w:divBdr>
            <w:top w:val="none" w:sz="0" w:space="0" w:color="auto"/>
            <w:left w:val="none" w:sz="0" w:space="0" w:color="auto"/>
            <w:bottom w:val="none" w:sz="0" w:space="0" w:color="auto"/>
            <w:right w:val="none" w:sz="0" w:space="0" w:color="auto"/>
          </w:divBdr>
        </w:div>
        <w:div w:id="1937668973">
          <w:marLeft w:val="274"/>
          <w:marRight w:val="0"/>
          <w:marTop w:val="0"/>
          <w:marBottom w:val="0"/>
          <w:divBdr>
            <w:top w:val="none" w:sz="0" w:space="0" w:color="auto"/>
            <w:left w:val="none" w:sz="0" w:space="0" w:color="auto"/>
            <w:bottom w:val="none" w:sz="0" w:space="0" w:color="auto"/>
            <w:right w:val="none" w:sz="0" w:space="0" w:color="auto"/>
          </w:divBdr>
        </w:div>
      </w:divsChild>
    </w:div>
    <w:div w:id="802885901">
      <w:bodyDiv w:val="1"/>
      <w:marLeft w:val="0"/>
      <w:marRight w:val="0"/>
      <w:marTop w:val="0"/>
      <w:marBottom w:val="0"/>
      <w:divBdr>
        <w:top w:val="none" w:sz="0" w:space="0" w:color="auto"/>
        <w:left w:val="none" w:sz="0" w:space="0" w:color="auto"/>
        <w:bottom w:val="none" w:sz="0" w:space="0" w:color="auto"/>
        <w:right w:val="none" w:sz="0" w:space="0" w:color="auto"/>
      </w:divBdr>
    </w:div>
    <w:div w:id="803423272">
      <w:bodyDiv w:val="1"/>
      <w:marLeft w:val="0"/>
      <w:marRight w:val="0"/>
      <w:marTop w:val="0"/>
      <w:marBottom w:val="0"/>
      <w:divBdr>
        <w:top w:val="none" w:sz="0" w:space="0" w:color="auto"/>
        <w:left w:val="none" w:sz="0" w:space="0" w:color="auto"/>
        <w:bottom w:val="none" w:sz="0" w:space="0" w:color="auto"/>
        <w:right w:val="none" w:sz="0" w:space="0" w:color="auto"/>
      </w:divBdr>
    </w:div>
    <w:div w:id="804472975">
      <w:bodyDiv w:val="1"/>
      <w:marLeft w:val="0"/>
      <w:marRight w:val="0"/>
      <w:marTop w:val="0"/>
      <w:marBottom w:val="0"/>
      <w:divBdr>
        <w:top w:val="none" w:sz="0" w:space="0" w:color="auto"/>
        <w:left w:val="none" w:sz="0" w:space="0" w:color="auto"/>
        <w:bottom w:val="none" w:sz="0" w:space="0" w:color="auto"/>
        <w:right w:val="none" w:sz="0" w:space="0" w:color="auto"/>
      </w:divBdr>
    </w:div>
    <w:div w:id="811286553">
      <w:bodyDiv w:val="1"/>
      <w:marLeft w:val="0"/>
      <w:marRight w:val="0"/>
      <w:marTop w:val="0"/>
      <w:marBottom w:val="0"/>
      <w:divBdr>
        <w:top w:val="none" w:sz="0" w:space="0" w:color="auto"/>
        <w:left w:val="none" w:sz="0" w:space="0" w:color="auto"/>
        <w:bottom w:val="none" w:sz="0" w:space="0" w:color="auto"/>
        <w:right w:val="none" w:sz="0" w:space="0" w:color="auto"/>
      </w:divBdr>
    </w:div>
    <w:div w:id="811406540">
      <w:bodyDiv w:val="1"/>
      <w:marLeft w:val="0"/>
      <w:marRight w:val="0"/>
      <w:marTop w:val="0"/>
      <w:marBottom w:val="0"/>
      <w:divBdr>
        <w:top w:val="none" w:sz="0" w:space="0" w:color="auto"/>
        <w:left w:val="none" w:sz="0" w:space="0" w:color="auto"/>
        <w:bottom w:val="none" w:sz="0" w:space="0" w:color="auto"/>
        <w:right w:val="none" w:sz="0" w:space="0" w:color="auto"/>
      </w:divBdr>
    </w:div>
    <w:div w:id="813254466">
      <w:bodyDiv w:val="1"/>
      <w:marLeft w:val="0"/>
      <w:marRight w:val="0"/>
      <w:marTop w:val="0"/>
      <w:marBottom w:val="0"/>
      <w:divBdr>
        <w:top w:val="none" w:sz="0" w:space="0" w:color="auto"/>
        <w:left w:val="none" w:sz="0" w:space="0" w:color="auto"/>
        <w:bottom w:val="none" w:sz="0" w:space="0" w:color="auto"/>
        <w:right w:val="none" w:sz="0" w:space="0" w:color="auto"/>
      </w:divBdr>
    </w:div>
    <w:div w:id="813303595">
      <w:bodyDiv w:val="1"/>
      <w:marLeft w:val="0"/>
      <w:marRight w:val="0"/>
      <w:marTop w:val="0"/>
      <w:marBottom w:val="0"/>
      <w:divBdr>
        <w:top w:val="none" w:sz="0" w:space="0" w:color="auto"/>
        <w:left w:val="none" w:sz="0" w:space="0" w:color="auto"/>
        <w:bottom w:val="none" w:sz="0" w:space="0" w:color="auto"/>
        <w:right w:val="none" w:sz="0" w:space="0" w:color="auto"/>
      </w:divBdr>
      <w:divsChild>
        <w:div w:id="2039352969">
          <w:marLeft w:val="547"/>
          <w:marRight w:val="0"/>
          <w:marTop w:val="0"/>
          <w:marBottom w:val="0"/>
          <w:divBdr>
            <w:top w:val="none" w:sz="0" w:space="0" w:color="auto"/>
            <w:left w:val="none" w:sz="0" w:space="0" w:color="auto"/>
            <w:bottom w:val="none" w:sz="0" w:space="0" w:color="auto"/>
            <w:right w:val="none" w:sz="0" w:space="0" w:color="auto"/>
          </w:divBdr>
        </w:div>
      </w:divsChild>
    </w:div>
    <w:div w:id="815101768">
      <w:bodyDiv w:val="1"/>
      <w:marLeft w:val="0"/>
      <w:marRight w:val="0"/>
      <w:marTop w:val="0"/>
      <w:marBottom w:val="0"/>
      <w:divBdr>
        <w:top w:val="none" w:sz="0" w:space="0" w:color="auto"/>
        <w:left w:val="none" w:sz="0" w:space="0" w:color="auto"/>
        <w:bottom w:val="none" w:sz="0" w:space="0" w:color="auto"/>
        <w:right w:val="none" w:sz="0" w:space="0" w:color="auto"/>
      </w:divBdr>
    </w:div>
    <w:div w:id="816844774">
      <w:bodyDiv w:val="1"/>
      <w:marLeft w:val="0"/>
      <w:marRight w:val="0"/>
      <w:marTop w:val="0"/>
      <w:marBottom w:val="0"/>
      <w:divBdr>
        <w:top w:val="none" w:sz="0" w:space="0" w:color="auto"/>
        <w:left w:val="none" w:sz="0" w:space="0" w:color="auto"/>
        <w:bottom w:val="none" w:sz="0" w:space="0" w:color="auto"/>
        <w:right w:val="none" w:sz="0" w:space="0" w:color="auto"/>
      </w:divBdr>
    </w:div>
    <w:div w:id="816845846">
      <w:bodyDiv w:val="1"/>
      <w:marLeft w:val="0"/>
      <w:marRight w:val="0"/>
      <w:marTop w:val="0"/>
      <w:marBottom w:val="0"/>
      <w:divBdr>
        <w:top w:val="none" w:sz="0" w:space="0" w:color="auto"/>
        <w:left w:val="none" w:sz="0" w:space="0" w:color="auto"/>
        <w:bottom w:val="none" w:sz="0" w:space="0" w:color="auto"/>
        <w:right w:val="none" w:sz="0" w:space="0" w:color="auto"/>
      </w:divBdr>
    </w:div>
    <w:div w:id="818768956">
      <w:bodyDiv w:val="1"/>
      <w:marLeft w:val="0"/>
      <w:marRight w:val="0"/>
      <w:marTop w:val="0"/>
      <w:marBottom w:val="0"/>
      <w:divBdr>
        <w:top w:val="none" w:sz="0" w:space="0" w:color="auto"/>
        <w:left w:val="none" w:sz="0" w:space="0" w:color="auto"/>
        <w:bottom w:val="none" w:sz="0" w:space="0" w:color="auto"/>
        <w:right w:val="none" w:sz="0" w:space="0" w:color="auto"/>
      </w:divBdr>
    </w:div>
    <w:div w:id="819157591">
      <w:bodyDiv w:val="1"/>
      <w:marLeft w:val="0"/>
      <w:marRight w:val="0"/>
      <w:marTop w:val="0"/>
      <w:marBottom w:val="0"/>
      <w:divBdr>
        <w:top w:val="none" w:sz="0" w:space="0" w:color="auto"/>
        <w:left w:val="none" w:sz="0" w:space="0" w:color="auto"/>
        <w:bottom w:val="none" w:sz="0" w:space="0" w:color="auto"/>
        <w:right w:val="none" w:sz="0" w:space="0" w:color="auto"/>
      </w:divBdr>
    </w:div>
    <w:div w:id="820538917">
      <w:bodyDiv w:val="1"/>
      <w:marLeft w:val="0"/>
      <w:marRight w:val="0"/>
      <w:marTop w:val="0"/>
      <w:marBottom w:val="0"/>
      <w:divBdr>
        <w:top w:val="none" w:sz="0" w:space="0" w:color="auto"/>
        <w:left w:val="none" w:sz="0" w:space="0" w:color="auto"/>
        <w:bottom w:val="none" w:sz="0" w:space="0" w:color="auto"/>
        <w:right w:val="none" w:sz="0" w:space="0" w:color="auto"/>
      </w:divBdr>
    </w:div>
    <w:div w:id="824054936">
      <w:bodyDiv w:val="1"/>
      <w:marLeft w:val="0"/>
      <w:marRight w:val="0"/>
      <w:marTop w:val="0"/>
      <w:marBottom w:val="0"/>
      <w:divBdr>
        <w:top w:val="none" w:sz="0" w:space="0" w:color="auto"/>
        <w:left w:val="none" w:sz="0" w:space="0" w:color="auto"/>
        <w:bottom w:val="none" w:sz="0" w:space="0" w:color="auto"/>
        <w:right w:val="none" w:sz="0" w:space="0" w:color="auto"/>
      </w:divBdr>
    </w:div>
    <w:div w:id="824978734">
      <w:bodyDiv w:val="1"/>
      <w:marLeft w:val="0"/>
      <w:marRight w:val="0"/>
      <w:marTop w:val="0"/>
      <w:marBottom w:val="0"/>
      <w:divBdr>
        <w:top w:val="none" w:sz="0" w:space="0" w:color="auto"/>
        <w:left w:val="none" w:sz="0" w:space="0" w:color="auto"/>
        <w:bottom w:val="none" w:sz="0" w:space="0" w:color="auto"/>
        <w:right w:val="none" w:sz="0" w:space="0" w:color="auto"/>
      </w:divBdr>
    </w:div>
    <w:div w:id="825785324">
      <w:bodyDiv w:val="1"/>
      <w:marLeft w:val="0"/>
      <w:marRight w:val="0"/>
      <w:marTop w:val="0"/>
      <w:marBottom w:val="0"/>
      <w:divBdr>
        <w:top w:val="none" w:sz="0" w:space="0" w:color="auto"/>
        <w:left w:val="none" w:sz="0" w:space="0" w:color="auto"/>
        <w:bottom w:val="none" w:sz="0" w:space="0" w:color="auto"/>
        <w:right w:val="none" w:sz="0" w:space="0" w:color="auto"/>
      </w:divBdr>
    </w:div>
    <w:div w:id="825826229">
      <w:bodyDiv w:val="1"/>
      <w:marLeft w:val="0"/>
      <w:marRight w:val="0"/>
      <w:marTop w:val="0"/>
      <w:marBottom w:val="0"/>
      <w:divBdr>
        <w:top w:val="none" w:sz="0" w:space="0" w:color="auto"/>
        <w:left w:val="none" w:sz="0" w:space="0" w:color="auto"/>
        <w:bottom w:val="none" w:sz="0" w:space="0" w:color="auto"/>
        <w:right w:val="none" w:sz="0" w:space="0" w:color="auto"/>
      </w:divBdr>
    </w:div>
    <w:div w:id="827358778">
      <w:bodyDiv w:val="1"/>
      <w:marLeft w:val="0"/>
      <w:marRight w:val="0"/>
      <w:marTop w:val="0"/>
      <w:marBottom w:val="0"/>
      <w:divBdr>
        <w:top w:val="none" w:sz="0" w:space="0" w:color="auto"/>
        <w:left w:val="none" w:sz="0" w:space="0" w:color="auto"/>
        <w:bottom w:val="none" w:sz="0" w:space="0" w:color="auto"/>
        <w:right w:val="none" w:sz="0" w:space="0" w:color="auto"/>
      </w:divBdr>
    </w:div>
    <w:div w:id="828249065">
      <w:bodyDiv w:val="1"/>
      <w:marLeft w:val="0"/>
      <w:marRight w:val="0"/>
      <w:marTop w:val="0"/>
      <w:marBottom w:val="0"/>
      <w:divBdr>
        <w:top w:val="none" w:sz="0" w:space="0" w:color="auto"/>
        <w:left w:val="none" w:sz="0" w:space="0" w:color="auto"/>
        <w:bottom w:val="none" w:sz="0" w:space="0" w:color="auto"/>
        <w:right w:val="none" w:sz="0" w:space="0" w:color="auto"/>
      </w:divBdr>
    </w:div>
    <w:div w:id="831524624">
      <w:bodyDiv w:val="1"/>
      <w:marLeft w:val="0"/>
      <w:marRight w:val="0"/>
      <w:marTop w:val="0"/>
      <w:marBottom w:val="0"/>
      <w:divBdr>
        <w:top w:val="none" w:sz="0" w:space="0" w:color="auto"/>
        <w:left w:val="none" w:sz="0" w:space="0" w:color="auto"/>
        <w:bottom w:val="none" w:sz="0" w:space="0" w:color="auto"/>
        <w:right w:val="none" w:sz="0" w:space="0" w:color="auto"/>
      </w:divBdr>
    </w:div>
    <w:div w:id="832183318">
      <w:bodyDiv w:val="1"/>
      <w:marLeft w:val="0"/>
      <w:marRight w:val="0"/>
      <w:marTop w:val="0"/>
      <w:marBottom w:val="0"/>
      <w:divBdr>
        <w:top w:val="none" w:sz="0" w:space="0" w:color="auto"/>
        <w:left w:val="none" w:sz="0" w:space="0" w:color="auto"/>
        <w:bottom w:val="none" w:sz="0" w:space="0" w:color="auto"/>
        <w:right w:val="none" w:sz="0" w:space="0" w:color="auto"/>
      </w:divBdr>
    </w:div>
    <w:div w:id="833643422">
      <w:bodyDiv w:val="1"/>
      <w:marLeft w:val="0"/>
      <w:marRight w:val="0"/>
      <w:marTop w:val="0"/>
      <w:marBottom w:val="0"/>
      <w:divBdr>
        <w:top w:val="none" w:sz="0" w:space="0" w:color="auto"/>
        <w:left w:val="none" w:sz="0" w:space="0" w:color="auto"/>
        <w:bottom w:val="none" w:sz="0" w:space="0" w:color="auto"/>
        <w:right w:val="none" w:sz="0" w:space="0" w:color="auto"/>
      </w:divBdr>
    </w:div>
    <w:div w:id="833961124">
      <w:bodyDiv w:val="1"/>
      <w:marLeft w:val="0"/>
      <w:marRight w:val="0"/>
      <w:marTop w:val="0"/>
      <w:marBottom w:val="0"/>
      <w:divBdr>
        <w:top w:val="none" w:sz="0" w:space="0" w:color="auto"/>
        <w:left w:val="none" w:sz="0" w:space="0" w:color="auto"/>
        <w:bottom w:val="none" w:sz="0" w:space="0" w:color="auto"/>
        <w:right w:val="none" w:sz="0" w:space="0" w:color="auto"/>
      </w:divBdr>
    </w:div>
    <w:div w:id="835191583">
      <w:bodyDiv w:val="1"/>
      <w:marLeft w:val="0"/>
      <w:marRight w:val="0"/>
      <w:marTop w:val="0"/>
      <w:marBottom w:val="0"/>
      <w:divBdr>
        <w:top w:val="none" w:sz="0" w:space="0" w:color="auto"/>
        <w:left w:val="none" w:sz="0" w:space="0" w:color="auto"/>
        <w:bottom w:val="none" w:sz="0" w:space="0" w:color="auto"/>
        <w:right w:val="none" w:sz="0" w:space="0" w:color="auto"/>
      </w:divBdr>
    </w:div>
    <w:div w:id="837842178">
      <w:bodyDiv w:val="1"/>
      <w:marLeft w:val="0"/>
      <w:marRight w:val="0"/>
      <w:marTop w:val="0"/>
      <w:marBottom w:val="0"/>
      <w:divBdr>
        <w:top w:val="none" w:sz="0" w:space="0" w:color="auto"/>
        <w:left w:val="none" w:sz="0" w:space="0" w:color="auto"/>
        <w:bottom w:val="none" w:sz="0" w:space="0" w:color="auto"/>
        <w:right w:val="none" w:sz="0" w:space="0" w:color="auto"/>
      </w:divBdr>
    </w:div>
    <w:div w:id="841703378">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3282887">
      <w:bodyDiv w:val="1"/>
      <w:marLeft w:val="0"/>
      <w:marRight w:val="0"/>
      <w:marTop w:val="0"/>
      <w:marBottom w:val="0"/>
      <w:divBdr>
        <w:top w:val="none" w:sz="0" w:space="0" w:color="auto"/>
        <w:left w:val="none" w:sz="0" w:space="0" w:color="auto"/>
        <w:bottom w:val="none" w:sz="0" w:space="0" w:color="auto"/>
        <w:right w:val="none" w:sz="0" w:space="0" w:color="auto"/>
      </w:divBdr>
    </w:div>
    <w:div w:id="843936479">
      <w:bodyDiv w:val="1"/>
      <w:marLeft w:val="0"/>
      <w:marRight w:val="0"/>
      <w:marTop w:val="0"/>
      <w:marBottom w:val="0"/>
      <w:divBdr>
        <w:top w:val="none" w:sz="0" w:space="0" w:color="auto"/>
        <w:left w:val="none" w:sz="0" w:space="0" w:color="auto"/>
        <w:bottom w:val="none" w:sz="0" w:space="0" w:color="auto"/>
        <w:right w:val="none" w:sz="0" w:space="0" w:color="auto"/>
      </w:divBdr>
    </w:div>
    <w:div w:id="844245715">
      <w:bodyDiv w:val="1"/>
      <w:marLeft w:val="0"/>
      <w:marRight w:val="0"/>
      <w:marTop w:val="0"/>
      <w:marBottom w:val="0"/>
      <w:divBdr>
        <w:top w:val="none" w:sz="0" w:space="0" w:color="auto"/>
        <w:left w:val="none" w:sz="0" w:space="0" w:color="auto"/>
        <w:bottom w:val="none" w:sz="0" w:space="0" w:color="auto"/>
        <w:right w:val="none" w:sz="0" w:space="0" w:color="auto"/>
      </w:divBdr>
    </w:div>
    <w:div w:id="844782561">
      <w:bodyDiv w:val="1"/>
      <w:marLeft w:val="0"/>
      <w:marRight w:val="0"/>
      <w:marTop w:val="0"/>
      <w:marBottom w:val="0"/>
      <w:divBdr>
        <w:top w:val="none" w:sz="0" w:space="0" w:color="auto"/>
        <w:left w:val="none" w:sz="0" w:space="0" w:color="auto"/>
        <w:bottom w:val="none" w:sz="0" w:space="0" w:color="auto"/>
        <w:right w:val="none" w:sz="0" w:space="0" w:color="auto"/>
      </w:divBdr>
    </w:div>
    <w:div w:id="844789485">
      <w:bodyDiv w:val="1"/>
      <w:marLeft w:val="0"/>
      <w:marRight w:val="0"/>
      <w:marTop w:val="0"/>
      <w:marBottom w:val="0"/>
      <w:divBdr>
        <w:top w:val="none" w:sz="0" w:space="0" w:color="auto"/>
        <w:left w:val="none" w:sz="0" w:space="0" w:color="auto"/>
        <w:bottom w:val="none" w:sz="0" w:space="0" w:color="auto"/>
        <w:right w:val="none" w:sz="0" w:space="0" w:color="auto"/>
      </w:divBdr>
    </w:div>
    <w:div w:id="845285940">
      <w:bodyDiv w:val="1"/>
      <w:marLeft w:val="0"/>
      <w:marRight w:val="0"/>
      <w:marTop w:val="0"/>
      <w:marBottom w:val="0"/>
      <w:divBdr>
        <w:top w:val="none" w:sz="0" w:space="0" w:color="auto"/>
        <w:left w:val="none" w:sz="0" w:space="0" w:color="auto"/>
        <w:bottom w:val="none" w:sz="0" w:space="0" w:color="auto"/>
        <w:right w:val="none" w:sz="0" w:space="0" w:color="auto"/>
      </w:divBdr>
    </w:div>
    <w:div w:id="845824980">
      <w:bodyDiv w:val="1"/>
      <w:marLeft w:val="0"/>
      <w:marRight w:val="0"/>
      <w:marTop w:val="0"/>
      <w:marBottom w:val="0"/>
      <w:divBdr>
        <w:top w:val="none" w:sz="0" w:space="0" w:color="auto"/>
        <w:left w:val="none" w:sz="0" w:space="0" w:color="auto"/>
        <w:bottom w:val="none" w:sz="0" w:space="0" w:color="auto"/>
        <w:right w:val="none" w:sz="0" w:space="0" w:color="auto"/>
      </w:divBdr>
    </w:div>
    <w:div w:id="846401684">
      <w:bodyDiv w:val="1"/>
      <w:marLeft w:val="0"/>
      <w:marRight w:val="0"/>
      <w:marTop w:val="0"/>
      <w:marBottom w:val="0"/>
      <w:divBdr>
        <w:top w:val="none" w:sz="0" w:space="0" w:color="auto"/>
        <w:left w:val="none" w:sz="0" w:space="0" w:color="auto"/>
        <w:bottom w:val="none" w:sz="0" w:space="0" w:color="auto"/>
        <w:right w:val="none" w:sz="0" w:space="0" w:color="auto"/>
      </w:divBdr>
    </w:div>
    <w:div w:id="846403507">
      <w:bodyDiv w:val="1"/>
      <w:marLeft w:val="0"/>
      <w:marRight w:val="0"/>
      <w:marTop w:val="0"/>
      <w:marBottom w:val="0"/>
      <w:divBdr>
        <w:top w:val="none" w:sz="0" w:space="0" w:color="auto"/>
        <w:left w:val="none" w:sz="0" w:space="0" w:color="auto"/>
        <w:bottom w:val="none" w:sz="0" w:space="0" w:color="auto"/>
        <w:right w:val="none" w:sz="0" w:space="0" w:color="auto"/>
      </w:divBdr>
    </w:div>
    <w:div w:id="846554750">
      <w:bodyDiv w:val="1"/>
      <w:marLeft w:val="0"/>
      <w:marRight w:val="0"/>
      <w:marTop w:val="0"/>
      <w:marBottom w:val="0"/>
      <w:divBdr>
        <w:top w:val="none" w:sz="0" w:space="0" w:color="auto"/>
        <w:left w:val="none" w:sz="0" w:space="0" w:color="auto"/>
        <w:bottom w:val="none" w:sz="0" w:space="0" w:color="auto"/>
        <w:right w:val="none" w:sz="0" w:space="0" w:color="auto"/>
      </w:divBdr>
    </w:div>
    <w:div w:id="851647570">
      <w:bodyDiv w:val="1"/>
      <w:marLeft w:val="0"/>
      <w:marRight w:val="0"/>
      <w:marTop w:val="0"/>
      <w:marBottom w:val="0"/>
      <w:divBdr>
        <w:top w:val="none" w:sz="0" w:space="0" w:color="auto"/>
        <w:left w:val="none" w:sz="0" w:space="0" w:color="auto"/>
        <w:bottom w:val="none" w:sz="0" w:space="0" w:color="auto"/>
        <w:right w:val="none" w:sz="0" w:space="0" w:color="auto"/>
      </w:divBdr>
    </w:div>
    <w:div w:id="853304218">
      <w:bodyDiv w:val="1"/>
      <w:marLeft w:val="0"/>
      <w:marRight w:val="0"/>
      <w:marTop w:val="0"/>
      <w:marBottom w:val="0"/>
      <w:divBdr>
        <w:top w:val="none" w:sz="0" w:space="0" w:color="auto"/>
        <w:left w:val="none" w:sz="0" w:space="0" w:color="auto"/>
        <w:bottom w:val="none" w:sz="0" w:space="0" w:color="auto"/>
        <w:right w:val="none" w:sz="0" w:space="0" w:color="auto"/>
      </w:divBdr>
    </w:div>
    <w:div w:id="853347297">
      <w:bodyDiv w:val="1"/>
      <w:marLeft w:val="0"/>
      <w:marRight w:val="0"/>
      <w:marTop w:val="0"/>
      <w:marBottom w:val="0"/>
      <w:divBdr>
        <w:top w:val="none" w:sz="0" w:space="0" w:color="auto"/>
        <w:left w:val="none" w:sz="0" w:space="0" w:color="auto"/>
        <w:bottom w:val="none" w:sz="0" w:space="0" w:color="auto"/>
        <w:right w:val="none" w:sz="0" w:space="0" w:color="auto"/>
      </w:divBdr>
    </w:div>
    <w:div w:id="854270986">
      <w:bodyDiv w:val="1"/>
      <w:marLeft w:val="0"/>
      <w:marRight w:val="0"/>
      <w:marTop w:val="0"/>
      <w:marBottom w:val="0"/>
      <w:divBdr>
        <w:top w:val="none" w:sz="0" w:space="0" w:color="auto"/>
        <w:left w:val="none" w:sz="0" w:space="0" w:color="auto"/>
        <w:bottom w:val="none" w:sz="0" w:space="0" w:color="auto"/>
        <w:right w:val="none" w:sz="0" w:space="0" w:color="auto"/>
      </w:divBdr>
    </w:div>
    <w:div w:id="856621291">
      <w:bodyDiv w:val="1"/>
      <w:marLeft w:val="0"/>
      <w:marRight w:val="0"/>
      <w:marTop w:val="0"/>
      <w:marBottom w:val="0"/>
      <w:divBdr>
        <w:top w:val="none" w:sz="0" w:space="0" w:color="auto"/>
        <w:left w:val="none" w:sz="0" w:space="0" w:color="auto"/>
        <w:bottom w:val="none" w:sz="0" w:space="0" w:color="auto"/>
        <w:right w:val="none" w:sz="0" w:space="0" w:color="auto"/>
      </w:divBdr>
    </w:div>
    <w:div w:id="861213631">
      <w:bodyDiv w:val="1"/>
      <w:marLeft w:val="0"/>
      <w:marRight w:val="0"/>
      <w:marTop w:val="0"/>
      <w:marBottom w:val="0"/>
      <w:divBdr>
        <w:top w:val="none" w:sz="0" w:space="0" w:color="auto"/>
        <w:left w:val="none" w:sz="0" w:space="0" w:color="auto"/>
        <w:bottom w:val="none" w:sz="0" w:space="0" w:color="auto"/>
        <w:right w:val="none" w:sz="0" w:space="0" w:color="auto"/>
      </w:divBdr>
    </w:div>
    <w:div w:id="861631225">
      <w:bodyDiv w:val="1"/>
      <w:marLeft w:val="0"/>
      <w:marRight w:val="0"/>
      <w:marTop w:val="0"/>
      <w:marBottom w:val="0"/>
      <w:divBdr>
        <w:top w:val="none" w:sz="0" w:space="0" w:color="auto"/>
        <w:left w:val="none" w:sz="0" w:space="0" w:color="auto"/>
        <w:bottom w:val="none" w:sz="0" w:space="0" w:color="auto"/>
        <w:right w:val="none" w:sz="0" w:space="0" w:color="auto"/>
      </w:divBdr>
    </w:div>
    <w:div w:id="861699048">
      <w:bodyDiv w:val="1"/>
      <w:marLeft w:val="0"/>
      <w:marRight w:val="0"/>
      <w:marTop w:val="0"/>
      <w:marBottom w:val="0"/>
      <w:divBdr>
        <w:top w:val="none" w:sz="0" w:space="0" w:color="auto"/>
        <w:left w:val="none" w:sz="0" w:space="0" w:color="auto"/>
        <w:bottom w:val="none" w:sz="0" w:space="0" w:color="auto"/>
        <w:right w:val="none" w:sz="0" w:space="0" w:color="auto"/>
      </w:divBdr>
    </w:div>
    <w:div w:id="862940175">
      <w:bodyDiv w:val="1"/>
      <w:marLeft w:val="0"/>
      <w:marRight w:val="0"/>
      <w:marTop w:val="0"/>
      <w:marBottom w:val="0"/>
      <w:divBdr>
        <w:top w:val="none" w:sz="0" w:space="0" w:color="auto"/>
        <w:left w:val="none" w:sz="0" w:space="0" w:color="auto"/>
        <w:bottom w:val="none" w:sz="0" w:space="0" w:color="auto"/>
        <w:right w:val="none" w:sz="0" w:space="0" w:color="auto"/>
      </w:divBdr>
    </w:div>
    <w:div w:id="866454478">
      <w:bodyDiv w:val="1"/>
      <w:marLeft w:val="0"/>
      <w:marRight w:val="0"/>
      <w:marTop w:val="0"/>
      <w:marBottom w:val="0"/>
      <w:divBdr>
        <w:top w:val="none" w:sz="0" w:space="0" w:color="auto"/>
        <w:left w:val="none" w:sz="0" w:space="0" w:color="auto"/>
        <w:bottom w:val="none" w:sz="0" w:space="0" w:color="auto"/>
        <w:right w:val="none" w:sz="0" w:space="0" w:color="auto"/>
      </w:divBdr>
    </w:div>
    <w:div w:id="869033363">
      <w:bodyDiv w:val="1"/>
      <w:marLeft w:val="0"/>
      <w:marRight w:val="0"/>
      <w:marTop w:val="0"/>
      <w:marBottom w:val="0"/>
      <w:divBdr>
        <w:top w:val="none" w:sz="0" w:space="0" w:color="auto"/>
        <w:left w:val="none" w:sz="0" w:space="0" w:color="auto"/>
        <w:bottom w:val="none" w:sz="0" w:space="0" w:color="auto"/>
        <w:right w:val="none" w:sz="0" w:space="0" w:color="auto"/>
      </w:divBdr>
    </w:div>
    <w:div w:id="869681229">
      <w:bodyDiv w:val="1"/>
      <w:marLeft w:val="0"/>
      <w:marRight w:val="0"/>
      <w:marTop w:val="0"/>
      <w:marBottom w:val="0"/>
      <w:divBdr>
        <w:top w:val="none" w:sz="0" w:space="0" w:color="auto"/>
        <w:left w:val="none" w:sz="0" w:space="0" w:color="auto"/>
        <w:bottom w:val="none" w:sz="0" w:space="0" w:color="auto"/>
        <w:right w:val="none" w:sz="0" w:space="0" w:color="auto"/>
      </w:divBdr>
    </w:div>
    <w:div w:id="872116323">
      <w:bodyDiv w:val="1"/>
      <w:marLeft w:val="0"/>
      <w:marRight w:val="0"/>
      <w:marTop w:val="0"/>
      <w:marBottom w:val="0"/>
      <w:divBdr>
        <w:top w:val="none" w:sz="0" w:space="0" w:color="auto"/>
        <w:left w:val="none" w:sz="0" w:space="0" w:color="auto"/>
        <w:bottom w:val="none" w:sz="0" w:space="0" w:color="auto"/>
        <w:right w:val="none" w:sz="0" w:space="0" w:color="auto"/>
      </w:divBdr>
    </w:div>
    <w:div w:id="876892169">
      <w:bodyDiv w:val="1"/>
      <w:marLeft w:val="0"/>
      <w:marRight w:val="0"/>
      <w:marTop w:val="0"/>
      <w:marBottom w:val="0"/>
      <w:divBdr>
        <w:top w:val="none" w:sz="0" w:space="0" w:color="auto"/>
        <w:left w:val="none" w:sz="0" w:space="0" w:color="auto"/>
        <w:bottom w:val="none" w:sz="0" w:space="0" w:color="auto"/>
        <w:right w:val="none" w:sz="0" w:space="0" w:color="auto"/>
      </w:divBdr>
    </w:div>
    <w:div w:id="877157227">
      <w:bodyDiv w:val="1"/>
      <w:marLeft w:val="0"/>
      <w:marRight w:val="0"/>
      <w:marTop w:val="0"/>
      <w:marBottom w:val="0"/>
      <w:divBdr>
        <w:top w:val="none" w:sz="0" w:space="0" w:color="auto"/>
        <w:left w:val="none" w:sz="0" w:space="0" w:color="auto"/>
        <w:bottom w:val="none" w:sz="0" w:space="0" w:color="auto"/>
        <w:right w:val="none" w:sz="0" w:space="0" w:color="auto"/>
      </w:divBdr>
    </w:div>
    <w:div w:id="880557286">
      <w:bodyDiv w:val="1"/>
      <w:marLeft w:val="0"/>
      <w:marRight w:val="0"/>
      <w:marTop w:val="0"/>
      <w:marBottom w:val="0"/>
      <w:divBdr>
        <w:top w:val="none" w:sz="0" w:space="0" w:color="auto"/>
        <w:left w:val="none" w:sz="0" w:space="0" w:color="auto"/>
        <w:bottom w:val="none" w:sz="0" w:space="0" w:color="auto"/>
        <w:right w:val="none" w:sz="0" w:space="0" w:color="auto"/>
      </w:divBdr>
    </w:div>
    <w:div w:id="881018114">
      <w:bodyDiv w:val="1"/>
      <w:marLeft w:val="0"/>
      <w:marRight w:val="0"/>
      <w:marTop w:val="0"/>
      <w:marBottom w:val="0"/>
      <w:divBdr>
        <w:top w:val="none" w:sz="0" w:space="0" w:color="auto"/>
        <w:left w:val="none" w:sz="0" w:space="0" w:color="auto"/>
        <w:bottom w:val="none" w:sz="0" w:space="0" w:color="auto"/>
        <w:right w:val="none" w:sz="0" w:space="0" w:color="auto"/>
      </w:divBdr>
    </w:div>
    <w:div w:id="882713674">
      <w:bodyDiv w:val="1"/>
      <w:marLeft w:val="0"/>
      <w:marRight w:val="0"/>
      <w:marTop w:val="0"/>
      <w:marBottom w:val="0"/>
      <w:divBdr>
        <w:top w:val="none" w:sz="0" w:space="0" w:color="auto"/>
        <w:left w:val="none" w:sz="0" w:space="0" w:color="auto"/>
        <w:bottom w:val="none" w:sz="0" w:space="0" w:color="auto"/>
        <w:right w:val="none" w:sz="0" w:space="0" w:color="auto"/>
      </w:divBdr>
    </w:div>
    <w:div w:id="882788763">
      <w:bodyDiv w:val="1"/>
      <w:marLeft w:val="0"/>
      <w:marRight w:val="0"/>
      <w:marTop w:val="0"/>
      <w:marBottom w:val="0"/>
      <w:divBdr>
        <w:top w:val="none" w:sz="0" w:space="0" w:color="auto"/>
        <w:left w:val="none" w:sz="0" w:space="0" w:color="auto"/>
        <w:bottom w:val="none" w:sz="0" w:space="0" w:color="auto"/>
        <w:right w:val="none" w:sz="0" w:space="0" w:color="auto"/>
      </w:divBdr>
    </w:div>
    <w:div w:id="884679653">
      <w:bodyDiv w:val="1"/>
      <w:marLeft w:val="0"/>
      <w:marRight w:val="0"/>
      <w:marTop w:val="0"/>
      <w:marBottom w:val="0"/>
      <w:divBdr>
        <w:top w:val="none" w:sz="0" w:space="0" w:color="auto"/>
        <w:left w:val="none" w:sz="0" w:space="0" w:color="auto"/>
        <w:bottom w:val="none" w:sz="0" w:space="0" w:color="auto"/>
        <w:right w:val="none" w:sz="0" w:space="0" w:color="auto"/>
      </w:divBdr>
    </w:div>
    <w:div w:id="886643556">
      <w:bodyDiv w:val="1"/>
      <w:marLeft w:val="0"/>
      <w:marRight w:val="0"/>
      <w:marTop w:val="0"/>
      <w:marBottom w:val="0"/>
      <w:divBdr>
        <w:top w:val="none" w:sz="0" w:space="0" w:color="auto"/>
        <w:left w:val="none" w:sz="0" w:space="0" w:color="auto"/>
        <w:bottom w:val="none" w:sz="0" w:space="0" w:color="auto"/>
        <w:right w:val="none" w:sz="0" w:space="0" w:color="auto"/>
      </w:divBdr>
    </w:div>
    <w:div w:id="887912937">
      <w:bodyDiv w:val="1"/>
      <w:marLeft w:val="0"/>
      <w:marRight w:val="0"/>
      <w:marTop w:val="0"/>
      <w:marBottom w:val="0"/>
      <w:divBdr>
        <w:top w:val="none" w:sz="0" w:space="0" w:color="auto"/>
        <w:left w:val="none" w:sz="0" w:space="0" w:color="auto"/>
        <w:bottom w:val="none" w:sz="0" w:space="0" w:color="auto"/>
        <w:right w:val="none" w:sz="0" w:space="0" w:color="auto"/>
      </w:divBdr>
    </w:div>
    <w:div w:id="888029371">
      <w:bodyDiv w:val="1"/>
      <w:marLeft w:val="0"/>
      <w:marRight w:val="0"/>
      <w:marTop w:val="0"/>
      <w:marBottom w:val="0"/>
      <w:divBdr>
        <w:top w:val="none" w:sz="0" w:space="0" w:color="auto"/>
        <w:left w:val="none" w:sz="0" w:space="0" w:color="auto"/>
        <w:bottom w:val="none" w:sz="0" w:space="0" w:color="auto"/>
        <w:right w:val="none" w:sz="0" w:space="0" w:color="auto"/>
      </w:divBdr>
    </w:div>
    <w:div w:id="889145718">
      <w:bodyDiv w:val="1"/>
      <w:marLeft w:val="0"/>
      <w:marRight w:val="0"/>
      <w:marTop w:val="0"/>
      <w:marBottom w:val="0"/>
      <w:divBdr>
        <w:top w:val="none" w:sz="0" w:space="0" w:color="auto"/>
        <w:left w:val="none" w:sz="0" w:space="0" w:color="auto"/>
        <w:bottom w:val="none" w:sz="0" w:space="0" w:color="auto"/>
        <w:right w:val="none" w:sz="0" w:space="0" w:color="auto"/>
      </w:divBdr>
    </w:div>
    <w:div w:id="891617750">
      <w:bodyDiv w:val="1"/>
      <w:marLeft w:val="0"/>
      <w:marRight w:val="0"/>
      <w:marTop w:val="0"/>
      <w:marBottom w:val="0"/>
      <w:divBdr>
        <w:top w:val="none" w:sz="0" w:space="0" w:color="auto"/>
        <w:left w:val="none" w:sz="0" w:space="0" w:color="auto"/>
        <w:bottom w:val="none" w:sz="0" w:space="0" w:color="auto"/>
        <w:right w:val="none" w:sz="0" w:space="0" w:color="auto"/>
      </w:divBdr>
    </w:div>
    <w:div w:id="892928103">
      <w:bodyDiv w:val="1"/>
      <w:marLeft w:val="0"/>
      <w:marRight w:val="0"/>
      <w:marTop w:val="0"/>
      <w:marBottom w:val="0"/>
      <w:divBdr>
        <w:top w:val="none" w:sz="0" w:space="0" w:color="auto"/>
        <w:left w:val="none" w:sz="0" w:space="0" w:color="auto"/>
        <w:bottom w:val="none" w:sz="0" w:space="0" w:color="auto"/>
        <w:right w:val="none" w:sz="0" w:space="0" w:color="auto"/>
      </w:divBdr>
    </w:div>
    <w:div w:id="895436970">
      <w:bodyDiv w:val="1"/>
      <w:marLeft w:val="0"/>
      <w:marRight w:val="0"/>
      <w:marTop w:val="0"/>
      <w:marBottom w:val="0"/>
      <w:divBdr>
        <w:top w:val="none" w:sz="0" w:space="0" w:color="auto"/>
        <w:left w:val="none" w:sz="0" w:space="0" w:color="auto"/>
        <w:bottom w:val="none" w:sz="0" w:space="0" w:color="auto"/>
        <w:right w:val="none" w:sz="0" w:space="0" w:color="auto"/>
      </w:divBdr>
    </w:div>
    <w:div w:id="896084559">
      <w:bodyDiv w:val="1"/>
      <w:marLeft w:val="0"/>
      <w:marRight w:val="0"/>
      <w:marTop w:val="0"/>
      <w:marBottom w:val="0"/>
      <w:divBdr>
        <w:top w:val="none" w:sz="0" w:space="0" w:color="auto"/>
        <w:left w:val="none" w:sz="0" w:space="0" w:color="auto"/>
        <w:bottom w:val="none" w:sz="0" w:space="0" w:color="auto"/>
        <w:right w:val="none" w:sz="0" w:space="0" w:color="auto"/>
      </w:divBdr>
    </w:div>
    <w:div w:id="896354566">
      <w:bodyDiv w:val="1"/>
      <w:marLeft w:val="0"/>
      <w:marRight w:val="0"/>
      <w:marTop w:val="0"/>
      <w:marBottom w:val="0"/>
      <w:divBdr>
        <w:top w:val="none" w:sz="0" w:space="0" w:color="auto"/>
        <w:left w:val="none" w:sz="0" w:space="0" w:color="auto"/>
        <w:bottom w:val="none" w:sz="0" w:space="0" w:color="auto"/>
        <w:right w:val="none" w:sz="0" w:space="0" w:color="auto"/>
      </w:divBdr>
    </w:div>
    <w:div w:id="896356106">
      <w:bodyDiv w:val="1"/>
      <w:marLeft w:val="0"/>
      <w:marRight w:val="0"/>
      <w:marTop w:val="0"/>
      <w:marBottom w:val="0"/>
      <w:divBdr>
        <w:top w:val="none" w:sz="0" w:space="0" w:color="auto"/>
        <w:left w:val="none" w:sz="0" w:space="0" w:color="auto"/>
        <w:bottom w:val="none" w:sz="0" w:space="0" w:color="auto"/>
        <w:right w:val="none" w:sz="0" w:space="0" w:color="auto"/>
      </w:divBdr>
    </w:div>
    <w:div w:id="897666978">
      <w:bodyDiv w:val="1"/>
      <w:marLeft w:val="0"/>
      <w:marRight w:val="0"/>
      <w:marTop w:val="0"/>
      <w:marBottom w:val="0"/>
      <w:divBdr>
        <w:top w:val="none" w:sz="0" w:space="0" w:color="auto"/>
        <w:left w:val="none" w:sz="0" w:space="0" w:color="auto"/>
        <w:bottom w:val="none" w:sz="0" w:space="0" w:color="auto"/>
        <w:right w:val="none" w:sz="0" w:space="0" w:color="auto"/>
      </w:divBdr>
    </w:div>
    <w:div w:id="898398282">
      <w:bodyDiv w:val="1"/>
      <w:marLeft w:val="0"/>
      <w:marRight w:val="0"/>
      <w:marTop w:val="0"/>
      <w:marBottom w:val="0"/>
      <w:divBdr>
        <w:top w:val="none" w:sz="0" w:space="0" w:color="auto"/>
        <w:left w:val="none" w:sz="0" w:space="0" w:color="auto"/>
        <w:bottom w:val="none" w:sz="0" w:space="0" w:color="auto"/>
        <w:right w:val="none" w:sz="0" w:space="0" w:color="auto"/>
      </w:divBdr>
    </w:div>
    <w:div w:id="899705479">
      <w:bodyDiv w:val="1"/>
      <w:marLeft w:val="0"/>
      <w:marRight w:val="0"/>
      <w:marTop w:val="0"/>
      <w:marBottom w:val="0"/>
      <w:divBdr>
        <w:top w:val="none" w:sz="0" w:space="0" w:color="auto"/>
        <w:left w:val="none" w:sz="0" w:space="0" w:color="auto"/>
        <w:bottom w:val="none" w:sz="0" w:space="0" w:color="auto"/>
        <w:right w:val="none" w:sz="0" w:space="0" w:color="auto"/>
      </w:divBdr>
    </w:div>
    <w:div w:id="902259133">
      <w:bodyDiv w:val="1"/>
      <w:marLeft w:val="0"/>
      <w:marRight w:val="0"/>
      <w:marTop w:val="0"/>
      <w:marBottom w:val="0"/>
      <w:divBdr>
        <w:top w:val="none" w:sz="0" w:space="0" w:color="auto"/>
        <w:left w:val="none" w:sz="0" w:space="0" w:color="auto"/>
        <w:bottom w:val="none" w:sz="0" w:space="0" w:color="auto"/>
        <w:right w:val="none" w:sz="0" w:space="0" w:color="auto"/>
      </w:divBdr>
    </w:div>
    <w:div w:id="906182485">
      <w:bodyDiv w:val="1"/>
      <w:marLeft w:val="0"/>
      <w:marRight w:val="0"/>
      <w:marTop w:val="0"/>
      <w:marBottom w:val="0"/>
      <w:divBdr>
        <w:top w:val="none" w:sz="0" w:space="0" w:color="auto"/>
        <w:left w:val="none" w:sz="0" w:space="0" w:color="auto"/>
        <w:bottom w:val="none" w:sz="0" w:space="0" w:color="auto"/>
        <w:right w:val="none" w:sz="0" w:space="0" w:color="auto"/>
      </w:divBdr>
    </w:div>
    <w:div w:id="906574167">
      <w:bodyDiv w:val="1"/>
      <w:marLeft w:val="0"/>
      <w:marRight w:val="0"/>
      <w:marTop w:val="0"/>
      <w:marBottom w:val="0"/>
      <w:divBdr>
        <w:top w:val="none" w:sz="0" w:space="0" w:color="auto"/>
        <w:left w:val="none" w:sz="0" w:space="0" w:color="auto"/>
        <w:bottom w:val="none" w:sz="0" w:space="0" w:color="auto"/>
        <w:right w:val="none" w:sz="0" w:space="0" w:color="auto"/>
      </w:divBdr>
    </w:div>
    <w:div w:id="909119209">
      <w:bodyDiv w:val="1"/>
      <w:marLeft w:val="0"/>
      <w:marRight w:val="0"/>
      <w:marTop w:val="0"/>
      <w:marBottom w:val="0"/>
      <w:divBdr>
        <w:top w:val="none" w:sz="0" w:space="0" w:color="auto"/>
        <w:left w:val="none" w:sz="0" w:space="0" w:color="auto"/>
        <w:bottom w:val="none" w:sz="0" w:space="0" w:color="auto"/>
        <w:right w:val="none" w:sz="0" w:space="0" w:color="auto"/>
      </w:divBdr>
    </w:div>
    <w:div w:id="912736850">
      <w:bodyDiv w:val="1"/>
      <w:marLeft w:val="0"/>
      <w:marRight w:val="0"/>
      <w:marTop w:val="0"/>
      <w:marBottom w:val="0"/>
      <w:divBdr>
        <w:top w:val="none" w:sz="0" w:space="0" w:color="auto"/>
        <w:left w:val="none" w:sz="0" w:space="0" w:color="auto"/>
        <w:bottom w:val="none" w:sz="0" w:space="0" w:color="auto"/>
        <w:right w:val="none" w:sz="0" w:space="0" w:color="auto"/>
      </w:divBdr>
    </w:div>
    <w:div w:id="912858454">
      <w:bodyDiv w:val="1"/>
      <w:marLeft w:val="0"/>
      <w:marRight w:val="0"/>
      <w:marTop w:val="0"/>
      <w:marBottom w:val="0"/>
      <w:divBdr>
        <w:top w:val="none" w:sz="0" w:space="0" w:color="auto"/>
        <w:left w:val="none" w:sz="0" w:space="0" w:color="auto"/>
        <w:bottom w:val="none" w:sz="0" w:space="0" w:color="auto"/>
        <w:right w:val="none" w:sz="0" w:space="0" w:color="auto"/>
      </w:divBdr>
    </w:div>
    <w:div w:id="913205423">
      <w:bodyDiv w:val="1"/>
      <w:marLeft w:val="0"/>
      <w:marRight w:val="0"/>
      <w:marTop w:val="0"/>
      <w:marBottom w:val="0"/>
      <w:divBdr>
        <w:top w:val="none" w:sz="0" w:space="0" w:color="auto"/>
        <w:left w:val="none" w:sz="0" w:space="0" w:color="auto"/>
        <w:bottom w:val="none" w:sz="0" w:space="0" w:color="auto"/>
        <w:right w:val="none" w:sz="0" w:space="0" w:color="auto"/>
      </w:divBdr>
    </w:div>
    <w:div w:id="914626138">
      <w:bodyDiv w:val="1"/>
      <w:marLeft w:val="0"/>
      <w:marRight w:val="0"/>
      <w:marTop w:val="0"/>
      <w:marBottom w:val="0"/>
      <w:divBdr>
        <w:top w:val="none" w:sz="0" w:space="0" w:color="auto"/>
        <w:left w:val="none" w:sz="0" w:space="0" w:color="auto"/>
        <w:bottom w:val="none" w:sz="0" w:space="0" w:color="auto"/>
        <w:right w:val="none" w:sz="0" w:space="0" w:color="auto"/>
      </w:divBdr>
    </w:div>
    <w:div w:id="915016831">
      <w:bodyDiv w:val="1"/>
      <w:marLeft w:val="0"/>
      <w:marRight w:val="0"/>
      <w:marTop w:val="0"/>
      <w:marBottom w:val="0"/>
      <w:divBdr>
        <w:top w:val="none" w:sz="0" w:space="0" w:color="auto"/>
        <w:left w:val="none" w:sz="0" w:space="0" w:color="auto"/>
        <w:bottom w:val="none" w:sz="0" w:space="0" w:color="auto"/>
        <w:right w:val="none" w:sz="0" w:space="0" w:color="auto"/>
      </w:divBdr>
    </w:div>
    <w:div w:id="920798286">
      <w:bodyDiv w:val="1"/>
      <w:marLeft w:val="0"/>
      <w:marRight w:val="0"/>
      <w:marTop w:val="0"/>
      <w:marBottom w:val="0"/>
      <w:divBdr>
        <w:top w:val="none" w:sz="0" w:space="0" w:color="auto"/>
        <w:left w:val="none" w:sz="0" w:space="0" w:color="auto"/>
        <w:bottom w:val="none" w:sz="0" w:space="0" w:color="auto"/>
        <w:right w:val="none" w:sz="0" w:space="0" w:color="auto"/>
      </w:divBdr>
    </w:div>
    <w:div w:id="922027867">
      <w:bodyDiv w:val="1"/>
      <w:marLeft w:val="0"/>
      <w:marRight w:val="0"/>
      <w:marTop w:val="0"/>
      <w:marBottom w:val="0"/>
      <w:divBdr>
        <w:top w:val="none" w:sz="0" w:space="0" w:color="auto"/>
        <w:left w:val="none" w:sz="0" w:space="0" w:color="auto"/>
        <w:bottom w:val="none" w:sz="0" w:space="0" w:color="auto"/>
        <w:right w:val="none" w:sz="0" w:space="0" w:color="auto"/>
      </w:divBdr>
    </w:div>
    <w:div w:id="922644730">
      <w:bodyDiv w:val="1"/>
      <w:marLeft w:val="0"/>
      <w:marRight w:val="0"/>
      <w:marTop w:val="0"/>
      <w:marBottom w:val="0"/>
      <w:divBdr>
        <w:top w:val="none" w:sz="0" w:space="0" w:color="auto"/>
        <w:left w:val="none" w:sz="0" w:space="0" w:color="auto"/>
        <w:bottom w:val="none" w:sz="0" w:space="0" w:color="auto"/>
        <w:right w:val="none" w:sz="0" w:space="0" w:color="auto"/>
      </w:divBdr>
    </w:div>
    <w:div w:id="923341182">
      <w:bodyDiv w:val="1"/>
      <w:marLeft w:val="0"/>
      <w:marRight w:val="0"/>
      <w:marTop w:val="0"/>
      <w:marBottom w:val="0"/>
      <w:divBdr>
        <w:top w:val="none" w:sz="0" w:space="0" w:color="auto"/>
        <w:left w:val="none" w:sz="0" w:space="0" w:color="auto"/>
        <w:bottom w:val="none" w:sz="0" w:space="0" w:color="auto"/>
        <w:right w:val="none" w:sz="0" w:space="0" w:color="auto"/>
      </w:divBdr>
    </w:div>
    <w:div w:id="923610035">
      <w:bodyDiv w:val="1"/>
      <w:marLeft w:val="0"/>
      <w:marRight w:val="0"/>
      <w:marTop w:val="0"/>
      <w:marBottom w:val="0"/>
      <w:divBdr>
        <w:top w:val="none" w:sz="0" w:space="0" w:color="auto"/>
        <w:left w:val="none" w:sz="0" w:space="0" w:color="auto"/>
        <w:bottom w:val="none" w:sz="0" w:space="0" w:color="auto"/>
        <w:right w:val="none" w:sz="0" w:space="0" w:color="auto"/>
      </w:divBdr>
    </w:div>
    <w:div w:id="924530211">
      <w:bodyDiv w:val="1"/>
      <w:marLeft w:val="0"/>
      <w:marRight w:val="0"/>
      <w:marTop w:val="0"/>
      <w:marBottom w:val="0"/>
      <w:divBdr>
        <w:top w:val="none" w:sz="0" w:space="0" w:color="auto"/>
        <w:left w:val="none" w:sz="0" w:space="0" w:color="auto"/>
        <w:bottom w:val="none" w:sz="0" w:space="0" w:color="auto"/>
        <w:right w:val="none" w:sz="0" w:space="0" w:color="auto"/>
      </w:divBdr>
    </w:div>
    <w:div w:id="926038396">
      <w:bodyDiv w:val="1"/>
      <w:marLeft w:val="0"/>
      <w:marRight w:val="0"/>
      <w:marTop w:val="0"/>
      <w:marBottom w:val="0"/>
      <w:divBdr>
        <w:top w:val="none" w:sz="0" w:space="0" w:color="auto"/>
        <w:left w:val="none" w:sz="0" w:space="0" w:color="auto"/>
        <w:bottom w:val="none" w:sz="0" w:space="0" w:color="auto"/>
        <w:right w:val="none" w:sz="0" w:space="0" w:color="auto"/>
      </w:divBdr>
    </w:div>
    <w:div w:id="926691129">
      <w:bodyDiv w:val="1"/>
      <w:marLeft w:val="0"/>
      <w:marRight w:val="0"/>
      <w:marTop w:val="0"/>
      <w:marBottom w:val="0"/>
      <w:divBdr>
        <w:top w:val="none" w:sz="0" w:space="0" w:color="auto"/>
        <w:left w:val="none" w:sz="0" w:space="0" w:color="auto"/>
        <w:bottom w:val="none" w:sz="0" w:space="0" w:color="auto"/>
        <w:right w:val="none" w:sz="0" w:space="0" w:color="auto"/>
      </w:divBdr>
    </w:div>
    <w:div w:id="926884786">
      <w:bodyDiv w:val="1"/>
      <w:marLeft w:val="0"/>
      <w:marRight w:val="0"/>
      <w:marTop w:val="0"/>
      <w:marBottom w:val="0"/>
      <w:divBdr>
        <w:top w:val="none" w:sz="0" w:space="0" w:color="auto"/>
        <w:left w:val="none" w:sz="0" w:space="0" w:color="auto"/>
        <w:bottom w:val="none" w:sz="0" w:space="0" w:color="auto"/>
        <w:right w:val="none" w:sz="0" w:space="0" w:color="auto"/>
      </w:divBdr>
    </w:div>
    <w:div w:id="927468044">
      <w:bodyDiv w:val="1"/>
      <w:marLeft w:val="0"/>
      <w:marRight w:val="0"/>
      <w:marTop w:val="0"/>
      <w:marBottom w:val="0"/>
      <w:divBdr>
        <w:top w:val="none" w:sz="0" w:space="0" w:color="auto"/>
        <w:left w:val="none" w:sz="0" w:space="0" w:color="auto"/>
        <w:bottom w:val="none" w:sz="0" w:space="0" w:color="auto"/>
        <w:right w:val="none" w:sz="0" w:space="0" w:color="auto"/>
      </w:divBdr>
    </w:div>
    <w:div w:id="927694613">
      <w:bodyDiv w:val="1"/>
      <w:marLeft w:val="0"/>
      <w:marRight w:val="0"/>
      <w:marTop w:val="0"/>
      <w:marBottom w:val="0"/>
      <w:divBdr>
        <w:top w:val="none" w:sz="0" w:space="0" w:color="auto"/>
        <w:left w:val="none" w:sz="0" w:space="0" w:color="auto"/>
        <w:bottom w:val="none" w:sz="0" w:space="0" w:color="auto"/>
        <w:right w:val="none" w:sz="0" w:space="0" w:color="auto"/>
      </w:divBdr>
    </w:div>
    <w:div w:id="929780117">
      <w:bodyDiv w:val="1"/>
      <w:marLeft w:val="0"/>
      <w:marRight w:val="0"/>
      <w:marTop w:val="0"/>
      <w:marBottom w:val="0"/>
      <w:divBdr>
        <w:top w:val="none" w:sz="0" w:space="0" w:color="auto"/>
        <w:left w:val="none" w:sz="0" w:space="0" w:color="auto"/>
        <w:bottom w:val="none" w:sz="0" w:space="0" w:color="auto"/>
        <w:right w:val="none" w:sz="0" w:space="0" w:color="auto"/>
      </w:divBdr>
    </w:div>
    <w:div w:id="932394296">
      <w:bodyDiv w:val="1"/>
      <w:marLeft w:val="0"/>
      <w:marRight w:val="0"/>
      <w:marTop w:val="0"/>
      <w:marBottom w:val="0"/>
      <w:divBdr>
        <w:top w:val="none" w:sz="0" w:space="0" w:color="auto"/>
        <w:left w:val="none" w:sz="0" w:space="0" w:color="auto"/>
        <w:bottom w:val="none" w:sz="0" w:space="0" w:color="auto"/>
        <w:right w:val="none" w:sz="0" w:space="0" w:color="auto"/>
      </w:divBdr>
    </w:div>
    <w:div w:id="935790509">
      <w:bodyDiv w:val="1"/>
      <w:marLeft w:val="0"/>
      <w:marRight w:val="0"/>
      <w:marTop w:val="0"/>
      <w:marBottom w:val="0"/>
      <w:divBdr>
        <w:top w:val="none" w:sz="0" w:space="0" w:color="auto"/>
        <w:left w:val="none" w:sz="0" w:space="0" w:color="auto"/>
        <w:bottom w:val="none" w:sz="0" w:space="0" w:color="auto"/>
        <w:right w:val="none" w:sz="0" w:space="0" w:color="auto"/>
      </w:divBdr>
    </w:div>
    <w:div w:id="939067992">
      <w:bodyDiv w:val="1"/>
      <w:marLeft w:val="0"/>
      <w:marRight w:val="0"/>
      <w:marTop w:val="0"/>
      <w:marBottom w:val="0"/>
      <w:divBdr>
        <w:top w:val="none" w:sz="0" w:space="0" w:color="auto"/>
        <w:left w:val="none" w:sz="0" w:space="0" w:color="auto"/>
        <w:bottom w:val="none" w:sz="0" w:space="0" w:color="auto"/>
        <w:right w:val="none" w:sz="0" w:space="0" w:color="auto"/>
      </w:divBdr>
    </w:div>
    <w:div w:id="941765338">
      <w:bodyDiv w:val="1"/>
      <w:marLeft w:val="0"/>
      <w:marRight w:val="0"/>
      <w:marTop w:val="0"/>
      <w:marBottom w:val="0"/>
      <w:divBdr>
        <w:top w:val="none" w:sz="0" w:space="0" w:color="auto"/>
        <w:left w:val="none" w:sz="0" w:space="0" w:color="auto"/>
        <w:bottom w:val="none" w:sz="0" w:space="0" w:color="auto"/>
        <w:right w:val="none" w:sz="0" w:space="0" w:color="auto"/>
      </w:divBdr>
    </w:div>
    <w:div w:id="948778585">
      <w:bodyDiv w:val="1"/>
      <w:marLeft w:val="0"/>
      <w:marRight w:val="0"/>
      <w:marTop w:val="0"/>
      <w:marBottom w:val="0"/>
      <w:divBdr>
        <w:top w:val="none" w:sz="0" w:space="0" w:color="auto"/>
        <w:left w:val="none" w:sz="0" w:space="0" w:color="auto"/>
        <w:bottom w:val="none" w:sz="0" w:space="0" w:color="auto"/>
        <w:right w:val="none" w:sz="0" w:space="0" w:color="auto"/>
      </w:divBdr>
    </w:div>
    <w:div w:id="950429996">
      <w:bodyDiv w:val="1"/>
      <w:marLeft w:val="0"/>
      <w:marRight w:val="0"/>
      <w:marTop w:val="0"/>
      <w:marBottom w:val="0"/>
      <w:divBdr>
        <w:top w:val="none" w:sz="0" w:space="0" w:color="auto"/>
        <w:left w:val="none" w:sz="0" w:space="0" w:color="auto"/>
        <w:bottom w:val="none" w:sz="0" w:space="0" w:color="auto"/>
        <w:right w:val="none" w:sz="0" w:space="0" w:color="auto"/>
      </w:divBdr>
    </w:div>
    <w:div w:id="953900918">
      <w:bodyDiv w:val="1"/>
      <w:marLeft w:val="0"/>
      <w:marRight w:val="0"/>
      <w:marTop w:val="0"/>
      <w:marBottom w:val="0"/>
      <w:divBdr>
        <w:top w:val="none" w:sz="0" w:space="0" w:color="auto"/>
        <w:left w:val="none" w:sz="0" w:space="0" w:color="auto"/>
        <w:bottom w:val="none" w:sz="0" w:space="0" w:color="auto"/>
        <w:right w:val="none" w:sz="0" w:space="0" w:color="auto"/>
      </w:divBdr>
    </w:div>
    <w:div w:id="955218765">
      <w:bodyDiv w:val="1"/>
      <w:marLeft w:val="0"/>
      <w:marRight w:val="0"/>
      <w:marTop w:val="0"/>
      <w:marBottom w:val="0"/>
      <w:divBdr>
        <w:top w:val="none" w:sz="0" w:space="0" w:color="auto"/>
        <w:left w:val="none" w:sz="0" w:space="0" w:color="auto"/>
        <w:bottom w:val="none" w:sz="0" w:space="0" w:color="auto"/>
        <w:right w:val="none" w:sz="0" w:space="0" w:color="auto"/>
      </w:divBdr>
    </w:div>
    <w:div w:id="956988562">
      <w:bodyDiv w:val="1"/>
      <w:marLeft w:val="0"/>
      <w:marRight w:val="0"/>
      <w:marTop w:val="0"/>
      <w:marBottom w:val="0"/>
      <w:divBdr>
        <w:top w:val="none" w:sz="0" w:space="0" w:color="auto"/>
        <w:left w:val="none" w:sz="0" w:space="0" w:color="auto"/>
        <w:bottom w:val="none" w:sz="0" w:space="0" w:color="auto"/>
        <w:right w:val="none" w:sz="0" w:space="0" w:color="auto"/>
      </w:divBdr>
    </w:div>
    <w:div w:id="957371563">
      <w:bodyDiv w:val="1"/>
      <w:marLeft w:val="0"/>
      <w:marRight w:val="0"/>
      <w:marTop w:val="0"/>
      <w:marBottom w:val="0"/>
      <w:divBdr>
        <w:top w:val="none" w:sz="0" w:space="0" w:color="auto"/>
        <w:left w:val="none" w:sz="0" w:space="0" w:color="auto"/>
        <w:bottom w:val="none" w:sz="0" w:space="0" w:color="auto"/>
        <w:right w:val="none" w:sz="0" w:space="0" w:color="auto"/>
      </w:divBdr>
    </w:div>
    <w:div w:id="958726465">
      <w:bodyDiv w:val="1"/>
      <w:marLeft w:val="0"/>
      <w:marRight w:val="0"/>
      <w:marTop w:val="0"/>
      <w:marBottom w:val="0"/>
      <w:divBdr>
        <w:top w:val="none" w:sz="0" w:space="0" w:color="auto"/>
        <w:left w:val="none" w:sz="0" w:space="0" w:color="auto"/>
        <w:bottom w:val="none" w:sz="0" w:space="0" w:color="auto"/>
        <w:right w:val="none" w:sz="0" w:space="0" w:color="auto"/>
      </w:divBdr>
    </w:div>
    <w:div w:id="966548747">
      <w:bodyDiv w:val="1"/>
      <w:marLeft w:val="0"/>
      <w:marRight w:val="0"/>
      <w:marTop w:val="0"/>
      <w:marBottom w:val="0"/>
      <w:divBdr>
        <w:top w:val="none" w:sz="0" w:space="0" w:color="auto"/>
        <w:left w:val="none" w:sz="0" w:space="0" w:color="auto"/>
        <w:bottom w:val="none" w:sz="0" w:space="0" w:color="auto"/>
        <w:right w:val="none" w:sz="0" w:space="0" w:color="auto"/>
      </w:divBdr>
    </w:div>
    <w:div w:id="966787458">
      <w:bodyDiv w:val="1"/>
      <w:marLeft w:val="0"/>
      <w:marRight w:val="0"/>
      <w:marTop w:val="0"/>
      <w:marBottom w:val="0"/>
      <w:divBdr>
        <w:top w:val="none" w:sz="0" w:space="0" w:color="auto"/>
        <w:left w:val="none" w:sz="0" w:space="0" w:color="auto"/>
        <w:bottom w:val="none" w:sz="0" w:space="0" w:color="auto"/>
        <w:right w:val="none" w:sz="0" w:space="0" w:color="auto"/>
      </w:divBdr>
    </w:div>
    <w:div w:id="968361587">
      <w:bodyDiv w:val="1"/>
      <w:marLeft w:val="0"/>
      <w:marRight w:val="0"/>
      <w:marTop w:val="0"/>
      <w:marBottom w:val="0"/>
      <w:divBdr>
        <w:top w:val="none" w:sz="0" w:space="0" w:color="auto"/>
        <w:left w:val="none" w:sz="0" w:space="0" w:color="auto"/>
        <w:bottom w:val="none" w:sz="0" w:space="0" w:color="auto"/>
        <w:right w:val="none" w:sz="0" w:space="0" w:color="auto"/>
      </w:divBdr>
    </w:div>
    <w:div w:id="969240924">
      <w:bodyDiv w:val="1"/>
      <w:marLeft w:val="0"/>
      <w:marRight w:val="0"/>
      <w:marTop w:val="0"/>
      <w:marBottom w:val="0"/>
      <w:divBdr>
        <w:top w:val="none" w:sz="0" w:space="0" w:color="auto"/>
        <w:left w:val="none" w:sz="0" w:space="0" w:color="auto"/>
        <w:bottom w:val="none" w:sz="0" w:space="0" w:color="auto"/>
        <w:right w:val="none" w:sz="0" w:space="0" w:color="auto"/>
      </w:divBdr>
    </w:div>
    <w:div w:id="970282937">
      <w:bodyDiv w:val="1"/>
      <w:marLeft w:val="0"/>
      <w:marRight w:val="0"/>
      <w:marTop w:val="0"/>
      <w:marBottom w:val="0"/>
      <w:divBdr>
        <w:top w:val="none" w:sz="0" w:space="0" w:color="auto"/>
        <w:left w:val="none" w:sz="0" w:space="0" w:color="auto"/>
        <w:bottom w:val="none" w:sz="0" w:space="0" w:color="auto"/>
        <w:right w:val="none" w:sz="0" w:space="0" w:color="auto"/>
      </w:divBdr>
    </w:div>
    <w:div w:id="971793235">
      <w:bodyDiv w:val="1"/>
      <w:marLeft w:val="0"/>
      <w:marRight w:val="0"/>
      <w:marTop w:val="0"/>
      <w:marBottom w:val="0"/>
      <w:divBdr>
        <w:top w:val="none" w:sz="0" w:space="0" w:color="auto"/>
        <w:left w:val="none" w:sz="0" w:space="0" w:color="auto"/>
        <w:bottom w:val="none" w:sz="0" w:space="0" w:color="auto"/>
        <w:right w:val="none" w:sz="0" w:space="0" w:color="auto"/>
      </w:divBdr>
    </w:div>
    <w:div w:id="972978126">
      <w:bodyDiv w:val="1"/>
      <w:marLeft w:val="0"/>
      <w:marRight w:val="0"/>
      <w:marTop w:val="0"/>
      <w:marBottom w:val="0"/>
      <w:divBdr>
        <w:top w:val="none" w:sz="0" w:space="0" w:color="auto"/>
        <w:left w:val="none" w:sz="0" w:space="0" w:color="auto"/>
        <w:bottom w:val="none" w:sz="0" w:space="0" w:color="auto"/>
        <w:right w:val="none" w:sz="0" w:space="0" w:color="auto"/>
      </w:divBdr>
    </w:div>
    <w:div w:id="976378808">
      <w:bodyDiv w:val="1"/>
      <w:marLeft w:val="0"/>
      <w:marRight w:val="0"/>
      <w:marTop w:val="0"/>
      <w:marBottom w:val="0"/>
      <w:divBdr>
        <w:top w:val="none" w:sz="0" w:space="0" w:color="auto"/>
        <w:left w:val="none" w:sz="0" w:space="0" w:color="auto"/>
        <w:bottom w:val="none" w:sz="0" w:space="0" w:color="auto"/>
        <w:right w:val="none" w:sz="0" w:space="0" w:color="auto"/>
      </w:divBdr>
    </w:div>
    <w:div w:id="976565319">
      <w:bodyDiv w:val="1"/>
      <w:marLeft w:val="0"/>
      <w:marRight w:val="0"/>
      <w:marTop w:val="0"/>
      <w:marBottom w:val="0"/>
      <w:divBdr>
        <w:top w:val="none" w:sz="0" w:space="0" w:color="auto"/>
        <w:left w:val="none" w:sz="0" w:space="0" w:color="auto"/>
        <w:bottom w:val="none" w:sz="0" w:space="0" w:color="auto"/>
        <w:right w:val="none" w:sz="0" w:space="0" w:color="auto"/>
      </w:divBdr>
    </w:div>
    <w:div w:id="976912155">
      <w:bodyDiv w:val="1"/>
      <w:marLeft w:val="0"/>
      <w:marRight w:val="0"/>
      <w:marTop w:val="0"/>
      <w:marBottom w:val="0"/>
      <w:divBdr>
        <w:top w:val="none" w:sz="0" w:space="0" w:color="auto"/>
        <w:left w:val="none" w:sz="0" w:space="0" w:color="auto"/>
        <w:bottom w:val="none" w:sz="0" w:space="0" w:color="auto"/>
        <w:right w:val="none" w:sz="0" w:space="0" w:color="auto"/>
      </w:divBdr>
    </w:div>
    <w:div w:id="976953169">
      <w:bodyDiv w:val="1"/>
      <w:marLeft w:val="0"/>
      <w:marRight w:val="0"/>
      <w:marTop w:val="0"/>
      <w:marBottom w:val="0"/>
      <w:divBdr>
        <w:top w:val="none" w:sz="0" w:space="0" w:color="auto"/>
        <w:left w:val="none" w:sz="0" w:space="0" w:color="auto"/>
        <w:bottom w:val="none" w:sz="0" w:space="0" w:color="auto"/>
        <w:right w:val="none" w:sz="0" w:space="0" w:color="auto"/>
      </w:divBdr>
    </w:div>
    <w:div w:id="978460792">
      <w:bodyDiv w:val="1"/>
      <w:marLeft w:val="0"/>
      <w:marRight w:val="0"/>
      <w:marTop w:val="0"/>
      <w:marBottom w:val="0"/>
      <w:divBdr>
        <w:top w:val="none" w:sz="0" w:space="0" w:color="auto"/>
        <w:left w:val="none" w:sz="0" w:space="0" w:color="auto"/>
        <w:bottom w:val="none" w:sz="0" w:space="0" w:color="auto"/>
        <w:right w:val="none" w:sz="0" w:space="0" w:color="auto"/>
      </w:divBdr>
    </w:div>
    <w:div w:id="979579636">
      <w:bodyDiv w:val="1"/>
      <w:marLeft w:val="0"/>
      <w:marRight w:val="0"/>
      <w:marTop w:val="0"/>
      <w:marBottom w:val="0"/>
      <w:divBdr>
        <w:top w:val="none" w:sz="0" w:space="0" w:color="auto"/>
        <w:left w:val="none" w:sz="0" w:space="0" w:color="auto"/>
        <w:bottom w:val="none" w:sz="0" w:space="0" w:color="auto"/>
        <w:right w:val="none" w:sz="0" w:space="0" w:color="auto"/>
      </w:divBdr>
    </w:div>
    <w:div w:id="980886052">
      <w:bodyDiv w:val="1"/>
      <w:marLeft w:val="0"/>
      <w:marRight w:val="0"/>
      <w:marTop w:val="0"/>
      <w:marBottom w:val="0"/>
      <w:divBdr>
        <w:top w:val="none" w:sz="0" w:space="0" w:color="auto"/>
        <w:left w:val="none" w:sz="0" w:space="0" w:color="auto"/>
        <w:bottom w:val="none" w:sz="0" w:space="0" w:color="auto"/>
        <w:right w:val="none" w:sz="0" w:space="0" w:color="auto"/>
      </w:divBdr>
    </w:div>
    <w:div w:id="982857323">
      <w:bodyDiv w:val="1"/>
      <w:marLeft w:val="0"/>
      <w:marRight w:val="0"/>
      <w:marTop w:val="0"/>
      <w:marBottom w:val="0"/>
      <w:divBdr>
        <w:top w:val="none" w:sz="0" w:space="0" w:color="auto"/>
        <w:left w:val="none" w:sz="0" w:space="0" w:color="auto"/>
        <w:bottom w:val="none" w:sz="0" w:space="0" w:color="auto"/>
        <w:right w:val="none" w:sz="0" w:space="0" w:color="auto"/>
      </w:divBdr>
      <w:divsChild>
        <w:div w:id="1524898853">
          <w:marLeft w:val="547"/>
          <w:marRight w:val="0"/>
          <w:marTop w:val="200"/>
          <w:marBottom w:val="0"/>
          <w:divBdr>
            <w:top w:val="none" w:sz="0" w:space="0" w:color="auto"/>
            <w:left w:val="none" w:sz="0" w:space="0" w:color="auto"/>
            <w:bottom w:val="none" w:sz="0" w:space="0" w:color="auto"/>
            <w:right w:val="none" w:sz="0" w:space="0" w:color="auto"/>
          </w:divBdr>
        </w:div>
      </w:divsChild>
    </w:div>
    <w:div w:id="986670130">
      <w:bodyDiv w:val="1"/>
      <w:marLeft w:val="0"/>
      <w:marRight w:val="0"/>
      <w:marTop w:val="0"/>
      <w:marBottom w:val="0"/>
      <w:divBdr>
        <w:top w:val="none" w:sz="0" w:space="0" w:color="auto"/>
        <w:left w:val="none" w:sz="0" w:space="0" w:color="auto"/>
        <w:bottom w:val="none" w:sz="0" w:space="0" w:color="auto"/>
        <w:right w:val="none" w:sz="0" w:space="0" w:color="auto"/>
      </w:divBdr>
    </w:div>
    <w:div w:id="986935476">
      <w:bodyDiv w:val="1"/>
      <w:marLeft w:val="0"/>
      <w:marRight w:val="0"/>
      <w:marTop w:val="0"/>
      <w:marBottom w:val="0"/>
      <w:divBdr>
        <w:top w:val="none" w:sz="0" w:space="0" w:color="auto"/>
        <w:left w:val="none" w:sz="0" w:space="0" w:color="auto"/>
        <w:bottom w:val="none" w:sz="0" w:space="0" w:color="auto"/>
        <w:right w:val="none" w:sz="0" w:space="0" w:color="auto"/>
      </w:divBdr>
    </w:div>
    <w:div w:id="987050595">
      <w:bodyDiv w:val="1"/>
      <w:marLeft w:val="0"/>
      <w:marRight w:val="0"/>
      <w:marTop w:val="0"/>
      <w:marBottom w:val="0"/>
      <w:divBdr>
        <w:top w:val="none" w:sz="0" w:space="0" w:color="auto"/>
        <w:left w:val="none" w:sz="0" w:space="0" w:color="auto"/>
        <w:bottom w:val="none" w:sz="0" w:space="0" w:color="auto"/>
        <w:right w:val="none" w:sz="0" w:space="0" w:color="auto"/>
      </w:divBdr>
    </w:div>
    <w:div w:id="988244095">
      <w:bodyDiv w:val="1"/>
      <w:marLeft w:val="0"/>
      <w:marRight w:val="0"/>
      <w:marTop w:val="0"/>
      <w:marBottom w:val="0"/>
      <w:divBdr>
        <w:top w:val="none" w:sz="0" w:space="0" w:color="auto"/>
        <w:left w:val="none" w:sz="0" w:space="0" w:color="auto"/>
        <w:bottom w:val="none" w:sz="0" w:space="0" w:color="auto"/>
        <w:right w:val="none" w:sz="0" w:space="0" w:color="auto"/>
      </w:divBdr>
    </w:div>
    <w:div w:id="989211897">
      <w:bodyDiv w:val="1"/>
      <w:marLeft w:val="0"/>
      <w:marRight w:val="0"/>
      <w:marTop w:val="0"/>
      <w:marBottom w:val="0"/>
      <w:divBdr>
        <w:top w:val="none" w:sz="0" w:space="0" w:color="auto"/>
        <w:left w:val="none" w:sz="0" w:space="0" w:color="auto"/>
        <w:bottom w:val="none" w:sz="0" w:space="0" w:color="auto"/>
        <w:right w:val="none" w:sz="0" w:space="0" w:color="auto"/>
      </w:divBdr>
    </w:div>
    <w:div w:id="991980935">
      <w:bodyDiv w:val="1"/>
      <w:marLeft w:val="0"/>
      <w:marRight w:val="0"/>
      <w:marTop w:val="0"/>
      <w:marBottom w:val="0"/>
      <w:divBdr>
        <w:top w:val="none" w:sz="0" w:space="0" w:color="auto"/>
        <w:left w:val="none" w:sz="0" w:space="0" w:color="auto"/>
        <w:bottom w:val="none" w:sz="0" w:space="0" w:color="auto"/>
        <w:right w:val="none" w:sz="0" w:space="0" w:color="auto"/>
      </w:divBdr>
      <w:divsChild>
        <w:div w:id="498690991">
          <w:marLeft w:val="547"/>
          <w:marRight w:val="0"/>
          <w:marTop w:val="0"/>
          <w:marBottom w:val="0"/>
          <w:divBdr>
            <w:top w:val="none" w:sz="0" w:space="0" w:color="auto"/>
            <w:left w:val="none" w:sz="0" w:space="0" w:color="auto"/>
            <w:bottom w:val="none" w:sz="0" w:space="0" w:color="auto"/>
            <w:right w:val="none" w:sz="0" w:space="0" w:color="auto"/>
          </w:divBdr>
        </w:div>
        <w:div w:id="911889652">
          <w:marLeft w:val="547"/>
          <w:marRight w:val="0"/>
          <w:marTop w:val="0"/>
          <w:marBottom w:val="0"/>
          <w:divBdr>
            <w:top w:val="none" w:sz="0" w:space="0" w:color="auto"/>
            <w:left w:val="none" w:sz="0" w:space="0" w:color="auto"/>
            <w:bottom w:val="none" w:sz="0" w:space="0" w:color="auto"/>
            <w:right w:val="none" w:sz="0" w:space="0" w:color="auto"/>
          </w:divBdr>
        </w:div>
        <w:div w:id="1146314285">
          <w:marLeft w:val="547"/>
          <w:marRight w:val="0"/>
          <w:marTop w:val="0"/>
          <w:marBottom w:val="0"/>
          <w:divBdr>
            <w:top w:val="none" w:sz="0" w:space="0" w:color="auto"/>
            <w:left w:val="none" w:sz="0" w:space="0" w:color="auto"/>
            <w:bottom w:val="none" w:sz="0" w:space="0" w:color="auto"/>
            <w:right w:val="none" w:sz="0" w:space="0" w:color="auto"/>
          </w:divBdr>
        </w:div>
        <w:div w:id="1241451154">
          <w:marLeft w:val="547"/>
          <w:marRight w:val="0"/>
          <w:marTop w:val="0"/>
          <w:marBottom w:val="0"/>
          <w:divBdr>
            <w:top w:val="none" w:sz="0" w:space="0" w:color="auto"/>
            <w:left w:val="none" w:sz="0" w:space="0" w:color="auto"/>
            <w:bottom w:val="none" w:sz="0" w:space="0" w:color="auto"/>
            <w:right w:val="none" w:sz="0" w:space="0" w:color="auto"/>
          </w:divBdr>
        </w:div>
        <w:div w:id="1673218238">
          <w:marLeft w:val="547"/>
          <w:marRight w:val="0"/>
          <w:marTop w:val="0"/>
          <w:marBottom w:val="0"/>
          <w:divBdr>
            <w:top w:val="none" w:sz="0" w:space="0" w:color="auto"/>
            <w:left w:val="none" w:sz="0" w:space="0" w:color="auto"/>
            <w:bottom w:val="none" w:sz="0" w:space="0" w:color="auto"/>
            <w:right w:val="none" w:sz="0" w:space="0" w:color="auto"/>
          </w:divBdr>
        </w:div>
      </w:divsChild>
    </w:div>
    <w:div w:id="992871830">
      <w:bodyDiv w:val="1"/>
      <w:marLeft w:val="0"/>
      <w:marRight w:val="0"/>
      <w:marTop w:val="0"/>
      <w:marBottom w:val="0"/>
      <w:divBdr>
        <w:top w:val="none" w:sz="0" w:space="0" w:color="auto"/>
        <w:left w:val="none" w:sz="0" w:space="0" w:color="auto"/>
        <w:bottom w:val="none" w:sz="0" w:space="0" w:color="auto"/>
        <w:right w:val="none" w:sz="0" w:space="0" w:color="auto"/>
      </w:divBdr>
    </w:div>
    <w:div w:id="993142917">
      <w:bodyDiv w:val="1"/>
      <w:marLeft w:val="0"/>
      <w:marRight w:val="0"/>
      <w:marTop w:val="0"/>
      <w:marBottom w:val="0"/>
      <w:divBdr>
        <w:top w:val="none" w:sz="0" w:space="0" w:color="auto"/>
        <w:left w:val="none" w:sz="0" w:space="0" w:color="auto"/>
        <w:bottom w:val="none" w:sz="0" w:space="0" w:color="auto"/>
        <w:right w:val="none" w:sz="0" w:space="0" w:color="auto"/>
      </w:divBdr>
    </w:div>
    <w:div w:id="994143156">
      <w:bodyDiv w:val="1"/>
      <w:marLeft w:val="0"/>
      <w:marRight w:val="0"/>
      <w:marTop w:val="0"/>
      <w:marBottom w:val="0"/>
      <w:divBdr>
        <w:top w:val="none" w:sz="0" w:space="0" w:color="auto"/>
        <w:left w:val="none" w:sz="0" w:space="0" w:color="auto"/>
        <w:bottom w:val="none" w:sz="0" w:space="0" w:color="auto"/>
        <w:right w:val="none" w:sz="0" w:space="0" w:color="auto"/>
      </w:divBdr>
    </w:div>
    <w:div w:id="995961794">
      <w:bodyDiv w:val="1"/>
      <w:marLeft w:val="0"/>
      <w:marRight w:val="0"/>
      <w:marTop w:val="0"/>
      <w:marBottom w:val="0"/>
      <w:divBdr>
        <w:top w:val="none" w:sz="0" w:space="0" w:color="auto"/>
        <w:left w:val="none" w:sz="0" w:space="0" w:color="auto"/>
        <w:bottom w:val="none" w:sz="0" w:space="0" w:color="auto"/>
        <w:right w:val="none" w:sz="0" w:space="0" w:color="auto"/>
      </w:divBdr>
    </w:div>
    <w:div w:id="998735074">
      <w:bodyDiv w:val="1"/>
      <w:marLeft w:val="0"/>
      <w:marRight w:val="0"/>
      <w:marTop w:val="0"/>
      <w:marBottom w:val="0"/>
      <w:divBdr>
        <w:top w:val="none" w:sz="0" w:space="0" w:color="auto"/>
        <w:left w:val="none" w:sz="0" w:space="0" w:color="auto"/>
        <w:bottom w:val="none" w:sz="0" w:space="0" w:color="auto"/>
        <w:right w:val="none" w:sz="0" w:space="0" w:color="auto"/>
      </w:divBdr>
    </w:div>
    <w:div w:id="1004819850">
      <w:bodyDiv w:val="1"/>
      <w:marLeft w:val="0"/>
      <w:marRight w:val="0"/>
      <w:marTop w:val="0"/>
      <w:marBottom w:val="0"/>
      <w:divBdr>
        <w:top w:val="none" w:sz="0" w:space="0" w:color="auto"/>
        <w:left w:val="none" w:sz="0" w:space="0" w:color="auto"/>
        <w:bottom w:val="none" w:sz="0" w:space="0" w:color="auto"/>
        <w:right w:val="none" w:sz="0" w:space="0" w:color="auto"/>
      </w:divBdr>
    </w:div>
    <w:div w:id="1009409069">
      <w:bodyDiv w:val="1"/>
      <w:marLeft w:val="0"/>
      <w:marRight w:val="0"/>
      <w:marTop w:val="0"/>
      <w:marBottom w:val="0"/>
      <w:divBdr>
        <w:top w:val="none" w:sz="0" w:space="0" w:color="auto"/>
        <w:left w:val="none" w:sz="0" w:space="0" w:color="auto"/>
        <w:bottom w:val="none" w:sz="0" w:space="0" w:color="auto"/>
        <w:right w:val="none" w:sz="0" w:space="0" w:color="auto"/>
      </w:divBdr>
    </w:div>
    <w:div w:id="1009719725">
      <w:bodyDiv w:val="1"/>
      <w:marLeft w:val="0"/>
      <w:marRight w:val="0"/>
      <w:marTop w:val="0"/>
      <w:marBottom w:val="0"/>
      <w:divBdr>
        <w:top w:val="none" w:sz="0" w:space="0" w:color="auto"/>
        <w:left w:val="none" w:sz="0" w:space="0" w:color="auto"/>
        <w:bottom w:val="none" w:sz="0" w:space="0" w:color="auto"/>
        <w:right w:val="none" w:sz="0" w:space="0" w:color="auto"/>
      </w:divBdr>
    </w:div>
    <w:div w:id="1011030136">
      <w:bodyDiv w:val="1"/>
      <w:marLeft w:val="0"/>
      <w:marRight w:val="0"/>
      <w:marTop w:val="0"/>
      <w:marBottom w:val="0"/>
      <w:divBdr>
        <w:top w:val="none" w:sz="0" w:space="0" w:color="auto"/>
        <w:left w:val="none" w:sz="0" w:space="0" w:color="auto"/>
        <w:bottom w:val="none" w:sz="0" w:space="0" w:color="auto"/>
        <w:right w:val="none" w:sz="0" w:space="0" w:color="auto"/>
      </w:divBdr>
    </w:div>
    <w:div w:id="1011641313">
      <w:bodyDiv w:val="1"/>
      <w:marLeft w:val="0"/>
      <w:marRight w:val="0"/>
      <w:marTop w:val="0"/>
      <w:marBottom w:val="0"/>
      <w:divBdr>
        <w:top w:val="none" w:sz="0" w:space="0" w:color="auto"/>
        <w:left w:val="none" w:sz="0" w:space="0" w:color="auto"/>
        <w:bottom w:val="none" w:sz="0" w:space="0" w:color="auto"/>
        <w:right w:val="none" w:sz="0" w:space="0" w:color="auto"/>
      </w:divBdr>
    </w:div>
    <w:div w:id="1011879830">
      <w:bodyDiv w:val="1"/>
      <w:marLeft w:val="0"/>
      <w:marRight w:val="0"/>
      <w:marTop w:val="0"/>
      <w:marBottom w:val="0"/>
      <w:divBdr>
        <w:top w:val="none" w:sz="0" w:space="0" w:color="auto"/>
        <w:left w:val="none" w:sz="0" w:space="0" w:color="auto"/>
        <w:bottom w:val="none" w:sz="0" w:space="0" w:color="auto"/>
        <w:right w:val="none" w:sz="0" w:space="0" w:color="auto"/>
      </w:divBdr>
    </w:div>
    <w:div w:id="1012028248">
      <w:bodyDiv w:val="1"/>
      <w:marLeft w:val="0"/>
      <w:marRight w:val="0"/>
      <w:marTop w:val="0"/>
      <w:marBottom w:val="0"/>
      <w:divBdr>
        <w:top w:val="none" w:sz="0" w:space="0" w:color="auto"/>
        <w:left w:val="none" w:sz="0" w:space="0" w:color="auto"/>
        <w:bottom w:val="none" w:sz="0" w:space="0" w:color="auto"/>
        <w:right w:val="none" w:sz="0" w:space="0" w:color="auto"/>
      </w:divBdr>
    </w:div>
    <w:div w:id="1012032007">
      <w:bodyDiv w:val="1"/>
      <w:marLeft w:val="0"/>
      <w:marRight w:val="0"/>
      <w:marTop w:val="0"/>
      <w:marBottom w:val="0"/>
      <w:divBdr>
        <w:top w:val="none" w:sz="0" w:space="0" w:color="auto"/>
        <w:left w:val="none" w:sz="0" w:space="0" w:color="auto"/>
        <w:bottom w:val="none" w:sz="0" w:space="0" w:color="auto"/>
        <w:right w:val="none" w:sz="0" w:space="0" w:color="auto"/>
      </w:divBdr>
    </w:div>
    <w:div w:id="1012998696">
      <w:bodyDiv w:val="1"/>
      <w:marLeft w:val="0"/>
      <w:marRight w:val="0"/>
      <w:marTop w:val="0"/>
      <w:marBottom w:val="0"/>
      <w:divBdr>
        <w:top w:val="none" w:sz="0" w:space="0" w:color="auto"/>
        <w:left w:val="none" w:sz="0" w:space="0" w:color="auto"/>
        <w:bottom w:val="none" w:sz="0" w:space="0" w:color="auto"/>
        <w:right w:val="none" w:sz="0" w:space="0" w:color="auto"/>
      </w:divBdr>
    </w:div>
    <w:div w:id="1015426085">
      <w:bodyDiv w:val="1"/>
      <w:marLeft w:val="0"/>
      <w:marRight w:val="0"/>
      <w:marTop w:val="0"/>
      <w:marBottom w:val="0"/>
      <w:divBdr>
        <w:top w:val="none" w:sz="0" w:space="0" w:color="auto"/>
        <w:left w:val="none" w:sz="0" w:space="0" w:color="auto"/>
        <w:bottom w:val="none" w:sz="0" w:space="0" w:color="auto"/>
        <w:right w:val="none" w:sz="0" w:space="0" w:color="auto"/>
      </w:divBdr>
    </w:div>
    <w:div w:id="1016468948">
      <w:bodyDiv w:val="1"/>
      <w:marLeft w:val="0"/>
      <w:marRight w:val="0"/>
      <w:marTop w:val="0"/>
      <w:marBottom w:val="0"/>
      <w:divBdr>
        <w:top w:val="none" w:sz="0" w:space="0" w:color="auto"/>
        <w:left w:val="none" w:sz="0" w:space="0" w:color="auto"/>
        <w:bottom w:val="none" w:sz="0" w:space="0" w:color="auto"/>
        <w:right w:val="none" w:sz="0" w:space="0" w:color="auto"/>
      </w:divBdr>
    </w:div>
    <w:div w:id="1016811076">
      <w:bodyDiv w:val="1"/>
      <w:marLeft w:val="0"/>
      <w:marRight w:val="0"/>
      <w:marTop w:val="0"/>
      <w:marBottom w:val="0"/>
      <w:divBdr>
        <w:top w:val="none" w:sz="0" w:space="0" w:color="auto"/>
        <w:left w:val="none" w:sz="0" w:space="0" w:color="auto"/>
        <w:bottom w:val="none" w:sz="0" w:space="0" w:color="auto"/>
        <w:right w:val="none" w:sz="0" w:space="0" w:color="auto"/>
      </w:divBdr>
    </w:div>
    <w:div w:id="1017191180">
      <w:bodyDiv w:val="1"/>
      <w:marLeft w:val="0"/>
      <w:marRight w:val="0"/>
      <w:marTop w:val="0"/>
      <w:marBottom w:val="0"/>
      <w:divBdr>
        <w:top w:val="none" w:sz="0" w:space="0" w:color="auto"/>
        <w:left w:val="none" w:sz="0" w:space="0" w:color="auto"/>
        <w:bottom w:val="none" w:sz="0" w:space="0" w:color="auto"/>
        <w:right w:val="none" w:sz="0" w:space="0" w:color="auto"/>
      </w:divBdr>
    </w:div>
    <w:div w:id="1017315848">
      <w:bodyDiv w:val="1"/>
      <w:marLeft w:val="0"/>
      <w:marRight w:val="0"/>
      <w:marTop w:val="0"/>
      <w:marBottom w:val="0"/>
      <w:divBdr>
        <w:top w:val="none" w:sz="0" w:space="0" w:color="auto"/>
        <w:left w:val="none" w:sz="0" w:space="0" w:color="auto"/>
        <w:bottom w:val="none" w:sz="0" w:space="0" w:color="auto"/>
        <w:right w:val="none" w:sz="0" w:space="0" w:color="auto"/>
      </w:divBdr>
    </w:div>
    <w:div w:id="1017463666">
      <w:bodyDiv w:val="1"/>
      <w:marLeft w:val="0"/>
      <w:marRight w:val="0"/>
      <w:marTop w:val="0"/>
      <w:marBottom w:val="0"/>
      <w:divBdr>
        <w:top w:val="none" w:sz="0" w:space="0" w:color="auto"/>
        <w:left w:val="none" w:sz="0" w:space="0" w:color="auto"/>
        <w:bottom w:val="none" w:sz="0" w:space="0" w:color="auto"/>
        <w:right w:val="none" w:sz="0" w:space="0" w:color="auto"/>
      </w:divBdr>
    </w:div>
    <w:div w:id="1018049209">
      <w:bodyDiv w:val="1"/>
      <w:marLeft w:val="0"/>
      <w:marRight w:val="0"/>
      <w:marTop w:val="0"/>
      <w:marBottom w:val="0"/>
      <w:divBdr>
        <w:top w:val="none" w:sz="0" w:space="0" w:color="auto"/>
        <w:left w:val="none" w:sz="0" w:space="0" w:color="auto"/>
        <w:bottom w:val="none" w:sz="0" w:space="0" w:color="auto"/>
        <w:right w:val="none" w:sz="0" w:space="0" w:color="auto"/>
      </w:divBdr>
    </w:div>
    <w:div w:id="1018654863">
      <w:bodyDiv w:val="1"/>
      <w:marLeft w:val="0"/>
      <w:marRight w:val="0"/>
      <w:marTop w:val="0"/>
      <w:marBottom w:val="0"/>
      <w:divBdr>
        <w:top w:val="none" w:sz="0" w:space="0" w:color="auto"/>
        <w:left w:val="none" w:sz="0" w:space="0" w:color="auto"/>
        <w:bottom w:val="none" w:sz="0" w:space="0" w:color="auto"/>
        <w:right w:val="none" w:sz="0" w:space="0" w:color="auto"/>
      </w:divBdr>
    </w:div>
    <w:div w:id="1019358629">
      <w:bodyDiv w:val="1"/>
      <w:marLeft w:val="0"/>
      <w:marRight w:val="0"/>
      <w:marTop w:val="0"/>
      <w:marBottom w:val="0"/>
      <w:divBdr>
        <w:top w:val="none" w:sz="0" w:space="0" w:color="auto"/>
        <w:left w:val="none" w:sz="0" w:space="0" w:color="auto"/>
        <w:bottom w:val="none" w:sz="0" w:space="0" w:color="auto"/>
        <w:right w:val="none" w:sz="0" w:space="0" w:color="auto"/>
      </w:divBdr>
    </w:div>
    <w:div w:id="1020737016">
      <w:bodyDiv w:val="1"/>
      <w:marLeft w:val="0"/>
      <w:marRight w:val="0"/>
      <w:marTop w:val="0"/>
      <w:marBottom w:val="0"/>
      <w:divBdr>
        <w:top w:val="none" w:sz="0" w:space="0" w:color="auto"/>
        <w:left w:val="none" w:sz="0" w:space="0" w:color="auto"/>
        <w:bottom w:val="none" w:sz="0" w:space="0" w:color="auto"/>
        <w:right w:val="none" w:sz="0" w:space="0" w:color="auto"/>
      </w:divBdr>
    </w:div>
    <w:div w:id="1022442163">
      <w:bodyDiv w:val="1"/>
      <w:marLeft w:val="0"/>
      <w:marRight w:val="0"/>
      <w:marTop w:val="0"/>
      <w:marBottom w:val="0"/>
      <w:divBdr>
        <w:top w:val="none" w:sz="0" w:space="0" w:color="auto"/>
        <w:left w:val="none" w:sz="0" w:space="0" w:color="auto"/>
        <w:bottom w:val="none" w:sz="0" w:space="0" w:color="auto"/>
        <w:right w:val="none" w:sz="0" w:space="0" w:color="auto"/>
      </w:divBdr>
    </w:div>
    <w:div w:id="1024676330">
      <w:bodyDiv w:val="1"/>
      <w:marLeft w:val="0"/>
      <w:marRight w:val="0"/>
      <w:marTop w:val="0"/>
      <w:marBottom w:val="0"/>
      <w:divBdr>
        <w:top w:val="none" w:sz="0" w:space="0" w:color="auto"/>
        <w:left w:val="none" w:sz="0" w:space="0" w:color="auto"/>
        <w:bottom w:val="none" w:sz="0" w:space="0" w:color="auto"/>
        <w:right w:val="none" w:sz="0" w:space="0" w:color="auto"/>
      </w:divBdr>
    </w:div>
    <w:div w:id="1026635387">
      <w:bodyDiv w:val="1"/>
      <w:marLeft w:val="0"/>
      <w:marRight w:val="0"/>
      <w:marTop w:val="0"/>
      <w:marBottom w:val="0"/>
      <w:divBdr>
        <w:top w:val="none" w:sz="0" w:space="0" w:color="auto"/>
        <w:left w:val="none" w:sz="0" w:space="0" w:color="auto"/>
        <w:bottom w:val="none" w:sz="0" w:space="0" w:color="auto"/>
        <w:right w:val="none" w:sz="0" w:space="0" w:color="auto"/>
      </w:divBdr>
    </w:div>
    <w:div w:id="1026760199">
      <w:bodyDiv w:val="1"/>
      <w:marLeft w:val="0"/>
      <w:marRight w:val="0"/>
      <w:marTop w:val="0"/>
      <w:marBottom w:val="0"/>
      <w:divBdr>
        <w:top w:val="none" w:sz="0" w:space="0" w:color="auto"/>
        <w:left w:val="none" w:sz="0" w:space="0" w:color="auto"/>
        <w:bottom w:val="none" w:sz="0" w:space="0" w:color="auto"/>
        <w:right w:val="none" w:sz="0" w:space="0" w:color="auto"/>
      </w:divBdr>
      <w:divsChild>
        <w:div w:id="210190579">
          <w:marLeft w:val="0"/>
          <w:marRight w:val="0"/>
          <w:marTop w:val="100"/>
          <w:marBottom w:val="100"/>
          <w:divBdr>
            <w:top w:val="none" w:sz="0" w:space="0" w:color="auto"/>
            <w:left w:val="single" w:sz="6" w:space="0" w:color="8E8F92"/>
            <w:bottom w:val="none" w:sz="0" w:space="0" w:color="auto"/>
            <w:right w:val="single" w:sz="6" w:space="0" w:color="8E8F92"/>
          </w:divBdr>
          <w:divsChild>
            <w:div w:id="571820524">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1027676978">
      <w:bodyDiv w:val="1"/>
      <w:marLeft w:val="0"/>
      <w:marRight w:val="0"/>
      <w:marTop w:val="0"/>
      <w:marBottom w:val="0"/>
      <w:divBdr>
        <w:top w:val="none" w:sz="0" w:space="0" w:color="auto"/>
        <w:left w:val="none" w:sz="0" w:space="0" w:color="auto"/>
        <w:bottom w:val="none" w:sz="0" w:space="0" w:color="auto"/>
        <w:right w:val="none" w:sz="0" w:space="0" w:color="auto"/>
      </w:divBdr>
    </w:div>
    <w:div w:id="1029797940">
      <w:bodyDiv w:val="1"/>
      <w:marLeft w:val="0"/>
      <w:marRight w:val="0"/>
      <w:marTop w:val="0"/>
      <w:marBottom w:val="0"/>
      <w:divBdr>
        <w:top w:val="none" w:sz="0" w:space="0" w:color="auto"/>
        <w:left w:val="none" w:sz="0" w:space="0" w:color="auto"/>
        <w:bottom w:val="none" w:sz="0" w:space="0" w:color="auto"/>
        <w:right w:val="none" w:sz="0" w:space="0" w:color="auto"/>
      </w:divBdr>
    </w:div>
    <w:div w:id="1031148075">
      <w:bodyDiv w:val="1"/>
      <w:marLeft w:val="0"/>
      <w:marRight w:val="0"/>
      <w:marTop w:val="0"/>
      <w:marBottom w:val="0"/>
      <w:divBdr>
        <w:top w:val="none" w:sz="0" w:space="0" w:color="auto"/>
        <w:left w:val="none" w:sz="0" w:space="0" w:color="auto"/>
        <w:bottom w:val="none" w:sz="0" w:space="0" w:color="auto"/>
        <w:right w:val="none" w:sz="0" w:space="0" w:color="auto"/>
      </w:divBdr>
    </w:div>
    <w:div w:id="1033964798">
      <w:bodyDiv w:val="1"/>
      <w:marLeft w:val="0"/>
      <w:marRight w:val="0"/>
      <w:marTop w:val="0"/>
      <w:marBottom w:val="0"/>
      <w:divBdr>
        <w:top w:val="none" w:sz="0" w:space="0" w:color="auto"/>
        <w:left w:val="none" w:sz="0" w:space="0" w:color="auto"/>
        <w:bottom w:val="none" w:sz="0" w:space="0" w:color="auto"/>
        <w:right w:val="none" w:sz="0" w:space="0" w:color="auto"/>
      </w:divBdr>
    </w:div>
    <w:div w:id="1036083310">
      <w:bodyDiv w:val="1"/>
      <w:marLeft w:val="0"/>
      <w:marRight w:val="0"/>
      <w:marTop w:val="0"/>
      <w:marBottom w:val="0"/>
      <w:divBdr>
        <w:top w:val="none" w:sz="0" w:space="0" w:color="auto"/>
        <w:left w:val="none" w:sz="0" w:space="0" w:color="auto"/>
        <w:bottom w:val="none" w:sz="0" w:space="0" w:color="auto"/>
        <w:right w:val="none" w:sz="0" w:space="0" w:color="auto"/>
      </w:divBdr>
    </w:div>
    <w:div w:id="1036274814">
      <w:bodyDiv w:val="1"/>
      <w:marLeft w:val="0"/>
      <w:marRight w:val="0"/>
      <w:marTop w:val="0"/>
      <w:marBottom w:val="0"/>
      <w:divBdr>
        <w:top w:val="none" w:sz="0" w:space="0" w:color="auto"/>
        <w:left w:val="none" w:sz="0" w:space="0" w:color="auto"/>
        <w:bottom w:val="none" w:sz="0" w:space="0" w:color="auto"/>
        <w:right w:val="none" w:sz="0" w:space="0" w:color="auto"/>
      </w:divBdr>
      <w:divsChild>
        <w:div w:id="1966961607">
          <w:marLeft w:val="274"/>
          <w:marRight w:val="0"/>
          <w:marTop w:val="0"/>
          <w:marBottom w:val="0"/>
          <w:divBdr>
            <w:top w:val="none" w:sz="0" w:space="0" w:color="auto"/>
            <w:left w:val="none" w:sz="0" w:space="0" w:color="auto"/>
            <w:bottom w:val="none" w:sz="0" w:space="0" w:color="auto"/>
            <w:right w:val="none" w:sz="0" w:space="0" w:color="auto"/>
          </w:divBdr>
        </w:div>
      </w:divsChild>
    </w:div>
    <w:div w:id="1037700400">
      <w:bodyDiv w:val="1"/>
      <w:marLeft w:val="0"/>
      <w:marRight w:val="0"/>
      <w:marTop w:val="0"/>
      <w:marBottom w:val="0"/>
      <w:divBdr>
        <w:top w:val="none" w:sz="0" w:space="0" w:color="auto"/>
        <w:left w:val="none" w:sz="0" w:space="0" w:color="auto"/>
        <w:bottom w:val="none" w:sz="0" w:space="0" w:color="auto"/>
        <w:right w:val="none" w:sz="0" w:space="0" w:color="auto"/>
      </w:divBdr>
    </w:div>
    <w:div w:id="1039009897">
      <w:bodyDiv w:val="1"/>
      <w:marLeft w:val="0"/>
      <w:marRight w:val="0"/>
      <w:marTop w:val="0"/>
      <w:marBottom w:val="0"/>
      <w:divBdr>
        <w:top w:val="none" w:sz="0" w:space="0" w:color="auto"/>
        <w:left w:val="none" w:sz="0" w:space="0" w:color="auto"/>
        <w:bottom w:val="none" w:sz="0" w:space="0" w:color="auto"/>
        <w:right w:val="none" w:sz="0" w:space="0" w:color="auto"/>
      </w:divBdr>
    </w:div>
    <w:div w:id="1045376596">
      <w:bodyDiv w:val="1"/>
      <w:marLeft w:val="0"/>
      <w:marRight w:val="0"/>
      <w:marTop w:val="0"/>
      <w:marBottom w:val="0"/>
      <w:divBdr>
        <w:top w:val="none" w:sz="0" w:space="0" w:color="auto"/>
        <w:left w:val="none" w:sz="0" w:space="0" w:color="auto"/>
        <w:bottom w:val="none" w:sz="0" w:space="0" w:color="auto"/>
        <w:right w:val="none" w:sz="0" w:space="0" w:color="auto"/>
      </w:divBdr>
    </w:div>
    <w:div w:id="1045565978">
      <w:bodyDiv w:val="1"/>
      <w:marLeft w:val="0"/>
      <w:marRight w:val="0"/>
      <w:marTop w:val="0"/>
      <w:marBottom w:val="0"/>
      <w:divBdr>
        <w:top w:val="none" w:sz="0" w:space="0" w:color="auto"/>
        <w:left w:val="none" w:sz="0" w:space="0" w:color="auto"/>
        <w:bottom w:val="none" w:sz="0" w:space="0" w:color="auto"/>
        <w:right w:val="none" w:sz="0" w:space="0" w:color="auto"/>
      </w:divBdr>
    </w:div>
    <w:div w:id="1046103086">
      <w:bodyDiv w:val="1"/>
      <w:marLeft w:val="0"/>
      <w:marRight w:val="0"/>
      <w:marTop w:val="0"/>
      <w:marBottom w:val="0"/>
      <w:divBdr>
        <w:top w:val="none" w:sz="0" w:space="0" w:color="auto"/>
        <w:left w:val="none" w:sz="0" w:space="0" w:color="auto"/>
        <w:bottom w:val="none" w:sz="0" w:space="0" w:color="auto"/>
        <w:right w:val="none" w:sz="0" w:space="0" w:color="auto"/>
      </w:divBdr>
    </w:div>
    <w:div w:id="1046756552">
      <w:bodyDiv w:val="1"/>
      <w:marLeft w:val="0"/>
      <w:marRight w:val="0"/>
      <w:marTop w:val="0"/>
      <w:marBottom w:val="0"/>
      <w:divBdr>
        <w:top w:val="none" w:sz="0" w:space="0" w:color="auto"/>
        <w:left w:val="none" w:sz="0" w:space="0" w:color="auto"/>
        <w:bottom w:val="none" w:sz="0" w:space="0" w:color="auto"/>
        <w:right w:val="none" w:sz="0" w:space="0" w:color="auto"/>
      </w:divBdr>
    </w:div>
    <w:div w:id="1046762986">
      <w:bodyDiv w:val="1"/>
      <w:marLeft w:val="0"/>
      <w:marRight w:val="0"/>
      <w:marTop w:val="0"/>
      <w:marBottom w:val="0"/>
      <w:divBdr>
        <w:top w:val="none" w:sz="0" w:space="0" w:color="auto"/>
        <w:left w:val="none" w:sz="0" w:space="0" w:color="auto"/>
        <w:bottom w:val="none" w:sz="0" w:space="0" w:color="auto"/>
        <w:right w:val="none" w:sz="0" w:space="0" w:color="auto"/>
      </w:divBdr>
    </w:div>
    <w:div w:id="1048997367">
      <w:bodyDiv w:val="1"/>
      <w:marLeft w:val="0"/>
      <w:marRight w:val="0"/>
      <w:marTop w:val="0"/>
      <w:marBottom w:val="0"/>
      <w:divBdr>
        <w:top w:val="none" w:sz="0" w:space="0" w:color="auto"/>
        <w:left w:val="none" w:sz="0" w:space="0" w:color="auto"/>
        <w:bottom w:val="none" w:sz="0" w:space="0" w:color="auto"/>
        <w:right w:val="none" w:sz="0" w:space="0" w:color="auto"/>
      </w:divBdr>
    </w:div>
    <w:div w:id="1049887084">
      <w:bodyDiv w:val="1"/>
      <w:marLeft w:val="0"/>
      <w:marRight w:val="0"/>
      <w:marTop w:val="0"/>
      <w:marBottom w:val="0"/>
      <w:divBdr>
        <w:top w:val="none" w:sz="0" w:space="0" w:color="auto"/>
        <w:left w:val="none" w:sz="0" w:space="0" w:color="auto"/>
        <w:bottom w:val="none" w:sz="0" w:space="0" w:color="auto"/>
        <w:right w:val="none" w:sz="0" w:space="0" w:color="auto"/>
      </w:divBdr>
    </w:div>
    <w:div w:id="1050153184">
      <w:bodyDiv w:val="1"/>
      <w:marLeft w:val="0"/>
      <w:marRight w:val="0"/>
      <w:marTop w:val="0"/>
      <w:marBottom w:val="0"/>
      <w:divBdr>
        <w:top w:val="none" w:sz="0" w:space="0" w:color="auto"/>
        <w:left w:val="none" w:sz="0" w:space="0" w:color="auto"/>
        <w:bottom w:val="none" w:sz="0" w:space="0" w:color="auto"/>
        <w:right w:val="none" w:sz="0" w:space="0" w:color="auto"/>
      </w:divBdr>
    </w:div>
    <w:div w:id="1052466932">
      <w:bodyDiv w:val="1"/>
      <w:marLeft w:val="0"/>
      <w:marRight w:val="0"/>
      <w:marTop w:val="0"/>
      <w:marBottom w:val="0"/>
      <w:divBdr>
        <w:top w:val="none" w:sz="0" w:space="0" w:color="auto"/>
        <w:left w:val="none" w:sz="0" w:space="0" w:color="auto"/>
        <w:bottom w:val="none" w:sz="0" w:space="0" w:color="auto"/>
        <w:right w:val="none" w:sz="0" w:space="0" w:color="auto"/>
      </w:divBdr>
    </w:div>
    <w:div w:id="1054696902">
      <w:bodyDiv w:val="1"/>
      <w:marLeft w:val="0"/>
      <w:marRight w:val="0"/>
      <w:marTop w:val="0"/>
      <w:marBottom w:val="0"/>
      <w:divBdr>
        <w:top w:val="none" w:sz="0" w:space="0" w:color="auto"/>
        <w:left w:val="none" w:sz="0" w:space="0" w:color="auto"/>
        <w:bottom w:val="none" w:sz="0" w:space="0" w:color="auto"/>
        <w:right w:val="none" w:sz="0" w:space="0" w:color="auto"/>
      </w:divBdr>
    </w:div>
    <w:div w:id="1057894455">
      <w:bodyDiv w:val="1"/>
      <w:marLeft w:val="0"/>
      <w:marRight w:val="0"/>
      <w:marTop w:val="0"/>
      <w:marBottom w:val="0"/>
      <w:divBdr>
        <w:top w:val="none" w:sz="0" w:space="0" w:color="auto"/>
        <w:left w:val="none" w:sz="0" w:space="0" w:color="auto"/>
        <w:bottom w:val="none" w:sz="0" w:space="0" w:color="auto"/>
        <w:right w:val="none" w:sz="0" w:space="0" w:color="auto"/>
      </w:divBdr>
    </w:div>
    <w:div w:id="1061057831">
      <w:bodyDiv w:val="1"/>
      <w:marLeft w:val="0"/>
      <w:marRight w:val="0"/>
      <w:marTop w:val="0"/>
      <w:marBottom w:val="0"/>
      <w:divBdr>
        <w:top w:val="none" w:sz="0" w:space="0" w:color="auto"/>
        <w:left w:val="none" w:sz="0" w:space="0" w:color="auto"/>
        <w:bottom w:val="none" w:sz="0" w:space="0" w:color="auto"/>
        <w:right w:val="none" w:sz="0" w:space="0" w:color="auto"/>
      </w:divBdr>
    </w:div>
    <w:div w:id="1062174271">
      <w:bodyDiv w:val="1"/>
      <w:marLeft w:val="0"/>
      <w:marRight w:val="0"/>
      <w:marTop w:val="0"/>
      <w:marBottom w:val="0"/>
      <w:divBdr>
        <w:top w:val="none" w:sz="0" w:space="0" w:color="auto"/>
        <w:left w:val="none" w:sz="0" w:space="0" w:color="auto"/>
        <w:bottom w:val="none" w:sz="0" w:space="0" w:color="auto"/>
        <w:right w:val="none" w:sz="0" w:space="0" w:color="auto"/>
      </w:divBdr>
    </w:div>
    <w:div w:id="1062949366">
      <w:bodyDiv w:val="1"/>
      <w:marLeft w:val="0"/>
      <w:marRight w:val="0"/>
      <w:marTop w:val="0"/>
      <w:marBottom w:val="0"/>
      <w:divBdr>
        <w:top w:val="none" w:sz="0" w:space="0" w:color="auto"/>
        <w:left w:val="none" w:sz="0" w:space="0" w:color="auto"/>
        <w:bottom w:val="none" w:sz="0" w:space="0" w:color="auto"/>
        <w:right w:val="none" w:sz="0" w:space="0" w:color="auto"/>
      </w:divBdr>
    </w:div>
    <w:div w:id="1069573775">
      <w:bodyDiv w:val="1"/>
      <w:marLeft w:val="0"/>
      <w:marRight w:val="0"/>
      <w:marTop w:val="0"/>
      <w:marBottom w:val="0"/>
      <w:divBdr>
        <w:top w:val="none" w:sz="0" w:space="0" w:color="auto"/>
        <w:left w:val="none" w:sz="0" w:space="0" w:color="auto"/>
        <w:bottom w:val="none" w:sz="0" w:space="0" w:color="auto"/>
        <w:right w:val="none" w:sz="0" w:space="0" w:color="auto"/>
      </w:divBdr>
    </w:div>
    <w:div w:id="1072124980">
      <w:bodyDiv w:val="1"/>
      <w:marLeft w:val="0"/>
      <w:marRight w:val="0"/>
      <w:marTop w:val="0"/>
      <w:marBottom w:val="0"/>
      <w:divBdr>
        <w:top w:val="none" w:sz="0" w:space="0" w:color="auto"/>
        <w:left w:val="none" w:sz="0" w:space="0" w:color="auto"/>
        <w:bottom w:val="none" w:sz="0" w:space="0" w:color="auto"/>
        <w:right w:val="none" w:sz="0" w:space="0" w:color="auto"/>
      </w:divBdr>
    </w:div>
    <w:div w:id="1076710531">
      <w:bodyDiv w:val="1"/>
      <w:marLeft w:val="0"/>
      <w:marRight w:val="0"/>
      <w:marTop w:val="0"/>
      <w:marBottom w:val="0"/>
      <w:divBdr>
        <w:top w:val="none" w:sz="0" w:space="0" w:color="auto"/>
        <w:left w:val="none" w:sz="0" w:space="0" w:color="auto"/>
        <w:bottom w:val="none" w:sz="0" w:space="0" w:color="auto"/>
        <w:right w:val="none" w:sz="0" w:space="0" w:color="auto"/>
      </w:divBdr>
    </w:div>
    <w:div w:id="1077703733">
      <w:bodyDiv w:val="1"/>
      <w:marLeft w:val="0"/>
      <w:marRight w:val="0"/>
      <w:marTop w:val="0"/>
      <w:marBottom w:val="0"/>
      <w:divBdr>
        <w:top w:val="none" w:sz="0" w:space="0" w:color="auto"/>
        <w:left w:val="none" w:sz="0" w:space="0" w:color="auto"/>
        <w:bottom w:val="none" w:sz="0" w:space="0" w:color="auto"/>
        <w:right w:val="none" w:sz="0" w:space="0" w:color="auto"/>
      </w:divBdr>
      <w:divsChild>
        <w:div w:id="68692986">
          <w:marLeft w:val="547"/>
          <w:marRight w:val="0"/>
          <w:marTop w:val="0"/>
          <w:marBottom w:val="0"/>
          <w:divBdr>
            <w:top w:val="none" w:sz="0" w:space="0" w:color="auto"/>
            <w:left w:val="none" w:sz="0" w:space="0" w:color="auto"/>
            <w:bottom w:val="none" w:sz="0" w:space="0" w:color="auto"/>
            <w:right w:val="none" w:sz="0" w:space="0" w:color="auto"/>
          </w:divBdr>
        </w:div>
        <w:div w:id="318656993">
          <w:marLeft w:val="1166"/>
          <w:marRight w:val="0"/>
          <w:marTop w:val="0"/>
          <w:marBottom w:val="0"/>
          <w:divBdr>
            <w:top w:val="none" w:sz="0" w:space="0" w:color="auto"/>
            <w:left w:val="none" w:sz="0" w:space="0" w:color="auto"/>
            <w:bottom w:val="none" w:sz="0" w:space="0" w:color="auto"/>
            <w:right w:val="none" w:sz="0" w:space="0" w:color="auto"/>
          </w:divBdr>
        </w:div>
        <w:div w:id="406996775">
          <w:marLeft w:val="1166"/>
          <w:marRight w:val="0"/>
          <w:marTop w:val="0"/>
          <w:marBottom w:val="0"/>
          <w:divBdr>
            <w:top w:val="none" w:sz="0" w:space="0" w:color="auto"/>
            <w:left w:val="none" w:sz="0" w:space="0" w:color="auto"/>
            <w:bottom w:val="none" w:sz="0" w:space="0" w:color="auto"/>
            <w:right w:val="none" w:sz="0" w:space="0" w:color="auto"/>
          </w:divBdr>
        </w:div>
        <w:div w:id="597370246">
          <w:marLeft w:val="1166"/>
          <w:marRight w:val="0"/>
          <w:marTop w:val="0"/>
          <w:marBottom w:val="0"/>
          <w:divBdr>
            <w:top w:val="none" w:sz="0" w:space="0" w:color="auto"/>
            <w:left w:val="none" w:sz="0" w:space="0" w:color="auto"/>
            <w:bottom w:val="none" w:sz="0" w:space="0" w:color="auto"/>
            <w:right w:val="none" w:sz="0" w:space="0" w:color="auto"/>
          </w:divBdr>
        </w:div>
        <w:div w:id="873660734">
          <w:marLeft w:val="1166"/>
          <w:marRight w:val="0"/>
          <w:marTop w:val="0"/>
          <w:marBottom w:val="0"/>
          <w:divBdr>
            <w:top w:val="none" w:sz="0" w:space="0" w:color="auto"/>
            <w:left w:val="none" w:sz="0" w:space="0" w:color="auto"/>
            <w:bottom w:val="none" w:sz="0" w:space="0" w:color="auto"/>
            <w:right w:val="none" w:sz="0" w:space="0" w:color="auto"/>
          </w:divBdr>
        </w:div>
        <w:div w:id="926234650">
          <w:marLeft w:val="1166"/>
          <w:marRight w:val="0"/>
          <w:marTop w:val="0"/>
          <w:marBottom w:val="0"/>
          <w:divBdr>
            <w:top w:val="none" w:sz="0" w:space="0" w:color="auto"/>
            <w:left w:val="none" w:sz="0" w:space="0" w:color="auto"/>
            <w:bottom w:val="none" w:sz="0" w:space="0" w:color="auto"/>
            <w:right w:val="none" w:sz="0" w:space="0" w:color="auto"/>
          </w:divBdr>
        </w:div>
        <w:div w:id="970788072">
          <w:marLeft w:val="547"/>
          <w:marRight w:val="0"/>
          <w:marTop w:val="0"/>
          <w:marBottom w:val="0"/>
          <w:divBdr>
            <w:top w:val="none" w:sz="0" w:space="0" w:color="auto"/>
            <w:left w:val="none" w:sz="0" w:space="0" w:color="auto"/>
            <w:bottom w:val="none" w:sz="0" w:space="0" w:color="auto"/>
            <w:right w:val="none" w:sz="0" w:space="0" w:color="auto"/>
          </w:divBdr>
        </w:div>
        <w:div w:id="981539959">
          <w:marLeft w:val="1166"/>
          <w:marRight w:val="0"/>
          <w:marTop w:val="0"/>
          <w:marBottom w:val="0"/>
          <w:divBdr>
            <w:top w:val="none" w:sz="0" w:space="0" w:color="auto"/>
            <w:left w:val="none" w:sz="0" w:space="0" w:color="auto"/>
            <w:bottom w:val="none" w:sz="0" w:space="0" w:color="auto"/>
            <w:right w:val="none" w:sz="0" w:space="0" w:color="auto"/>
          </w:divBdr>
        </w:div>
        <w:div w:id="1246259557">
          <w:marLeft w:val="1166"/>
          <w:marRight w:val="0"/>
          <w:marTop w:val="0"/>
          <w:marBottom w:val="0"/>
          <w:divBdr>
            <w:top w:val="none" w:sz="0" w:space="0" w:color="auto"/>
            <w:left w:val="none" w:sz="0" w:space="0" w:color="auto"/>
            <w:bottom w:val="none" w:sz="0" w:space="0" w:color="auto"/>
            <w:right w:val="none" w:sz="0" w:space="0" w:color="auto"/>
          </w:divBdr>
        </w:div>
        <w:div w:id="1406804578">
          <w:marLeft w:val="1166"/>
          <w:marRight w:val="0"/>
          <w:marTop w:val="0"/>
          <w:marBottom w:val="0"/>
          <w:divBdr>
            <w:top w:val="none" w:sz="0" w:space="0" w:color="auto"/>
            <w:left w:val="none" w:sz="0" w:space="0" w:color="auto"/>
            <w:bottom w:val="none" w:sz="0" w:space="0" w:color="auto"/>
            <w:right w:val="none" w:sz="0" w:space="0" w:color="auto"/>
          </w:divBdr>
        </w:div>
        <w:div w:id="1446383214">
          <w:marLeft w:val="1166"/>
          <w:marRight w:val="0"/>
          <w:marTop w:val="0"/>
          <w:marBottom w:val="0"/>
          <w:divBdr>
            <w:top w:val="none" w:sz="0" w:space="0" w:color="auto"/>
            <w:left w:val="none" w:sz="0" w:space="0" w:color="auto"/>
            <w:bottom w:val="none" w:sz="0" w:space="0" w:color="auto"/>
            <w:right w:val="none" w:sz="0" w:space="0" w:color="auto"/>
          </w:divBdr>
        </w:div>
        <w:div w:id="1579286820">
          <w:marLeft w:val="547"/>
          <w:marRight w:val="0"/>
          <w:marTop w:val="0"/>
          <w:marBottom w:val="0"/>
          <w:divBdr>
            <w:top w:val="none" w:sz="0" w:space="0" w:color="auto"/>
            <w:left w:val="none" w:sz="0" w:space="0" w:color="auto"/>
            <w:bottom w:val="none" w:sz="0" w:space="0" w:color="auto"/>
            <w:right w:val="none" w:sz="0" w:space="0" w:color="auto"/>
          </w:divBdr>
        </w:div>
        <w:div w:id="1759136086">
          <w:marLeft w:val="1166"/>
          <w:marRight w:val="0"/>
          <w:marTop w:val="0"/>
          <w:marBottom w:val="0"/>
          <w:divBdr>
            <w:top w:val="none" w:sz="0" w:space="0" w:color="auto"/>
            <w:left w:val="none" w:sz="0" w:space="0" w:color="auto"/>
            <w:bottom w:val="none" w:sz="0" w:space="0" w:color="auto"/>
            <w:right w:val="none" w:sz="0" w:space="0" w:color="auto"/>
          </w:divBdr>
        </w:div>
      </w:divsChild>
    </w:div>
    <w:div w:id="1077897550">
      <w:bodyDiv w:val="1"/>
      <w:marLeft w:val="0"/>
      <w:marRight w:val="0"/>
      <w:marTop w:val="0"/>
      <w:marBottom w:val="0"/>
      <w:divBdr>
        <w:top w:val="none" w:sz="0" w:space="0" w:color="auto"/>
        <w:left w:val="none" w:sz="0" w:space="0" w:color="auto"/>
        <w:bottom w:val="none" w:sz="0" w:space="0" w:color="auto"/>
        <w:right w:val="none" w:sz="0" w:space="0" w:color="auto"/>
      </w:divBdr>
    </w:div>
    <w:div w:id="1078483399">
      <w:bodyDiv w:val="1"/>
      <w:marLeft w:val="0"/>
      <w:marRight w:val="0"/>
      <w:marTop w:val="0"/>
      <w:marBottom w:val="0"/>
      <w:divBdr>
        <w:top w:val="none" w:sz="0" w:space="0" w:color="auto"/>
        <w:left w:val="none" w:sz="0" w:space="0" w:color="auto"/>
        <w:bottom w:val="none" w:sz="0" w:space="0" w:color="auto"/>
        <w:right w:val="none" w:sz="0" w:space="0" w:color="auto"/>
      </w:divBdr>
    </w:div>
    <w:div w:id="1085032544">
      <w:bodyDiv w:val="1"/>
      <w:marLeft w:val="0"/>
      <w:marRight w:val="0"/>
      <w:marTop w:val="0"/>
      <w:marBottom w:val="0"/>
      <w:divBdr>
        <w:top w:val="none" w:sz="0" w:space="0" w:color="auto"/>
        <w:left w:val="none" w:sz="0" w:space="0" w:color="auto"/>
        <w:bottom w:val="none" w:sz="0" w:space="0" w:color="auto"/>
        <w:right w:val="none" w:sz="0" w:space="0" w:color="auto"/>
      </w:divBdr>
    </w:div>
    <w:div w:id="1090201209">
      <w:bodyDiv w:val="1"/>
      <w:marLeft w:val="0"/>
      <w:marRight w:val="0"/>
      <w:marTop w:val="0"/>
      <w:marBottom w:val="0"/>
      <w:divBdr>
        <w:top w:val="none" w:sz="0" w:space="0" w:color="auto"/>
        <w:left w:val="none" w:sz="0" w:space="0" w:color="auto"/>
        <w:bottom w:val="none" w:sz="0" w:space="0" w:color="auto"/>
        <w:right w:val="none" w:sz="0" w:space="0" w:color="auto"/>
      </w:divBdr>
    </w:div>
    <w:div w:id="1092510404">
      <w:bodyDiv w:val="1"/>
      <w:marLeft w:val="0"/>
      <w:marRight w:val="0"/>
      <w:marTop w:val="0"/>
      <w:marBottom w:val="0"/>
      <w:divBdr>
        <w:top w:val="none" w:sz="0" w:space="0" w:color="auto"/>
        <w:left w:val="none" w:sz="0" w:space="0" w:color="auto"/>
        <w:bottom w:val="none" w:sz="0" w:space="0" w:color="auto"/>
        <w:right w:val="none" w:sz="0" w:space="0" w:color="auto"/>
      </w:divBdr>
    </w:div>
    <w:div w:id="1092974984">
      <w:bodyDiv w:val="1"/>
      <w:marLeft w:val="0"/>
      <w:marRight w:val="0"/>
      <w:marTop w:val="0"/>
      <w:marBottom w:val="0"/>
      <w:divBdr>
        <w:top w:val="none" w:sz="0" w:space="0" w:color="auto"/>
        <w:left w:val="none" w:sz="0" w:space="0" w:color="auto"/>
        <w:bottom w:val="none" w:sz="0" w:space="0" w:color="auto"/>
        <w:right w:val="none" w:sz="0" w:space="0" w:color="auto"/>
      </w:divBdr>
    </w:div>
    <w:div w:id="1097673096">
      <w:bodyDiv w:val="1"/>
      <w:marLeft w:val="0"/>
      <w:marRight w:val="0"/>
      <w:marTop w:val="0"/>
      <w:marBottom w:val="0"/>
      <w:divBdr>
        <w:top w:val="none" w:sz="0" w:space="0" w:color="auto"/>
        <w:left w:val="none" w:sz="0" w:space="0" w:color="auto"/>
        <w:bottom w:val="none" w:sz="0" w:space="0" w:color="auto"/>
        <w:right w:val="none" w:sz="0" w:space="0" w:color="auto"/>
      </w:divBdr>
    </w:div>
    <w:div w:id="1098675955">
      <w:bodyDiv w:val="1"/>
      <w:marLeft w:val="0"/>
      <w:marRight w:val="0"/>
      <w:marTop w:val="0"/>
      <w:marBottom w:val="0"/>
      <w:divBdr>
        <w:top w:val="none" w:sz="0" w:space="0" w:color="auto"/>
        <w:left w:val="none" w:sz="0" w:space="0" w:color="auto"/>
        <w:bottom w:val="none" w:sz="0" w:space="0" w:color="auto"/>
        <w:right w:val="none" w:sz="0" w:space="0" w:color="auto"/>
      </w:divBdr>
    </w:div>
    <w:div w:id="1104955481">
      <w:bodyDiv w:val="1"/>
      <w:marLeft w:val="0"/>
      <w:marRight w:val="0"/>
      <w:marTop w:val="0"/>
      <w:marBottom w:val="0"/>
      <w:divBdr>
        <w:top w:val="none" w:sz="0" w:space="0" w:color="auto"/>
        <w:left w:val="none" w:sz="0" w:space="0" w:color="auto"/>
        <w:bottom w:val="none" w:sz="0" w:space="0" w:color="auto"/>
        <w:right w:val="none" w:sz="0" w:space="0" w:color="auto"/>
      </w:divBdr>
    </w:div>
    <w:div w:id="1107502650">
      <w:bodyDiv w:val="1"/>
      <w:marLeft w:val="0"/>
      <w:marRight w:val="0"/>
      <w:marTop w:val="0"/>
      <w:marBottom w:val="0"/>
      <w:divBdr>
        <w:top w:val="none" w:sz="0" w:space="0" w:color="auto"/>
        <w:left w:val="none" w:sz="0" w:space="0" w:color="auto"/>
        <w:bottom w:val="none" w:sz="0" w:space="0" w:color="auto"/>
        <w:right w:val="none" w:sz="0" w:space="0" w:color="auto"/>
      </w:divBdr>
      <w:divsChild>
        <w:div w:id="436289738">
          <w:marLeft w:val="274"/>
          <w:marRight w:val="0"/>
          <w:marTop w:val="0"/>
          <w:marBottom w:val="0"/>
          <w:divBdr>
            <w:top w:val="none" w:sz="0" w:space="0" w:color="auto"/>
            <w:left w:val="none" w:sz="0" w:space="0" w:color="auto"/>
            <w:bottom w:val="none" w:sz="0" w:space="0" w:color="auto"/>
            <w:right w:val="none" w:sz="0" w:space="0" w:color="auto"/>
          </w:divBdr>
        </w:div>
        <w:div w:id="486702347">
          <w:marLeft w:val="274"/>
          <w:marRight w:val="0"/>
          <w:marTop w:val="0"/>
          <w:marBottom w:val="0"/>
          <w:divBdr>
            <w:top w:val="none" w:sz="0" w:space="0" w:color="auto"/>
            <w:left w:val="none" w:sz="0" w:space="0" w:color="auto"/>
            <w:bottom w:val="none" w:sz="0" w:space="0" w:color="auto"/>
            <w:right w:val="none" w:sz="0" w:space="0" w:color="auto"/>
          </w:divBdr>
        </w:div>
        <w:div w:id="776604273">
          <w:marLeft w:val="274"/>
          <w:marRight w:val="0"/>
          <w:marTop w:val="0"/>
          <w:marBottom w:val="0"/>
          <w:divBdr>
            <w:top w:val="none" w:sz="0" w:space="0" w:color="auto"/>
            <w:left w:val="none" w:sz="0" w:space="0" w:color="auto"/>
            <w:bottom w:val="none" w:sz="0" w:space="0" w:color="auto"/>
            <w:right w:val="none" w:sz="0" w:space="0" w:color="auto"/>
          </w:divBdr>
        </w:div>
        <w:div w:id="2106069722">
          <w:marLeft w:val="274"/>
          <w:marRight w:val="0"/>
          <w:marTop w:val="0"/>
          <w:marBottom w:val="0"/>
          <w:divBdr>
            <w:top w:val="none" w:sz="0" w:space="0" w:color="auto"/>
            <w:left w:val="none" w:sz="0" w:space="0" w:color="auto"/>
            <w:bottom w:val="none" w:sz="0" w:space="0" w:color="auto"/>
            <w:right w:val="none" w:sz="0" w:space="0" w:color="auto"/>
          </w:divBdr>
        </w:div>
      </w:divsChild>
    </w:div>
    <w:div w:id="1114135953">
      <w:bodyDiv w:val="1"/>
      <w:marLeft w:val="0"/>
      <w:marRight w:val="0"/>
      <w:marTop w:val="0"/>
      <w:marBottom w:val="0"/>
      <w:divBdr>
        <w:top w:val="none" w:sz="0" w:space="0" w:color="auto"/>
        <w:left w:val="none" w:sz="0" w:space="0" w:color="auto"/>
        <w:bottom w:val="none" w:sz="0" w:space="0" w:color="auto"/>
        <w:right w:val="none" w:sz="0" w:space="0" w:color="auto"/>
      </w:divBdr>
      <w:divsChild>
        <w:div w:id="206644628">
          <w:marLeft w:val="274"/>
          <w:marRight w:val="0"/>
          <w:marTop w:val="0"/>
          <w:marBottom w:val="0"/>
          <w:divBdr>
            <w:top w:val="none" w:sz="0" w:space="0" w:color="auto"/>
            <w:left w:val="none" w:sz="0" w:space="0" w:color="auto"/>
            <w:bottom w:val="none" w:sz="0" w:space="0" w:color="auto"/>
            <w:right w:val="none" w:sz="0" w:space="0" w:color="auto"/>
          </w:divBdr>
        </w:div>
        <w:div w:id="655260066">
          <w:marLeft w:val="274"/>
          <w:marRight w:val="0"/>
          <w:marTop w:val="0"/>
          <w:marBottom w:val="0"/>
          <w:divBdr>
            <w:top w:val="none" w:sz="0" w:space="0" w:color="auto"/>
            <w:left w:val="none" w:sz="0" w:space="0" w:color="auto"/>
            <w:bottom w:val="none" w:sz="0" w:space="0" w:color="auto"/>
            <w:right w:val="none" w:sz="0" w:space="0" w:color="auto"/>
          </w:divBdr>
        </w:div>
        <w:div w:id="1381054987">
          <w:marLeft w:val="274"/>
          <w:marRight w:val="0"/>
          <w:marTop w:val="0"/>
          <w:marBottom w:val="0"/>
          <w:divBdr>
            <w:top w:val="none" w:sz="0" w:space="0" w:color="auto"/>
            <w:left w:val="none" w:sz="0" w:space="0" w:color="auto"/>
            <w:bottom w:val="none" w:sz="0" w:space="0" w:color="auto"/>
            <w:right w:val="none" w:sz="0" w:space="0" w:color="auto"/>
          </w:divBdr>
        </w:div>
        <w:div w:id="1467360185">
          <w:marLeft w:val="274"/>
          <w:marRight w:val="0"/>
          <w:marTop w:val="0"/>
          <w:marBottom w:val="0"/>
          <w:divBdr>
            <w:top w:val="none" w:sz="0" w:space="0" w:color="auto"/>
            <w:left w:val="none" w:sz="0" w:space="0" w:color="auto"/>
            <w:bottom w:val="none" w:sz="0" w:space="0" w:color="auto"/>
            <w:right w:val="none" w:sz="0" w:space="0" w:color="auto"/>
          </w:divBdr>
        </w:div>
        <w:div w:id="1831365575">
          <w:marLeft w:val="274"/>
          <w:marRight w:val="0"/>
          <w:marTop w:val="0"/>
          <w:marBottom w:val="0"/>
          <w:divBdr>
            <w:top w:val="none" w:sz="0" w:space="0" w:color="auto"/>
            <w:left w:val="none" w:sz="0" w:space="0" w:color="auto"/>
            <w:bottom w:val="none" w:sz="0" w:space="0" w:color="auto"/>
            <w:right w:val="none" w:sz="0" w:space="0" w:color="auto"/>
          </w:divBdr>
        </w:div>
        <w:div w:id="1958178409">
          <w:marLeft w:val="274"/>
          <w:marRight w:val="0"/>
          <w:marTop w:val="0"/>
          <w:marBottom w:val="0"/>
          <w:divBdr>
            <w:top w:val="none" w:sz="0" w:space="0" w:color="auto"/>
            <w:left w:val="none" w:sz="0" w:space="0" w:color="auto"/>
            <w:bottom w:val="none" w:sz="0" w:space="0" w:color="auto"/>
            <w:right w:val="none" w:sz="0" w:space="0" w:color="auto"/>
          </w:divBdr>
        </w:div>
      </w:divsChild>
    </w:div>
    <w:div w:id="1118262725">
      <w:bodyDiv w:val="1"/>
      <w:marLeft w:val="0"/>
      <w:marRight w:val="0"/>
      <w:marTop w:val="0"/>
      <w:marBottom w:val="0"/>
      <w:divBdr>
        <w:top w:val="none" w:sz="0" w:space="0" w:color="auto"/>
        <w:left w:val="none" w:sz="0" w:space="0" w:color="auto"/>
        <w:bottom w:val="none" w:sz="0" w:space="0" w:color="auto"/>
        <w:right w:val="none" w:sz="0" w:space="0" w:color="auto"/>
      </w:divBdr>
    </w:div>
    <w:div w:id="1119496154">
      <w:bodyDiv w:val="1"/>
      <w:marLeft w:val="0"/>
      <w:marRight w:val="0"/>
      <w:marTop w:val="0"/>
      <w:marBottom w:val="0"/>
      <w:divBdr>
        <w:top w:val="none" w:sz="0" w:space="0" w:color="auto"/>
        <w:left w:val="none" w:sz="0" w:space="0" w:color="auto"/>
        <w:bottom w:val="none" w:sz="0" w:space="0" w:color="auto"/>
        <w:right w:val="none" w:sz="0" w:space="0" w:color="auto"/>
      </w:divBdr>
    </w:div>
    <w:div w:id="1120148721">
      <w:bodyDiv w:val="1"/>
      <w:marLeft w:val="0"/>
      <w:marRight w:val="0"/>
      <w:marTop w:val="0"/>
      <w:marBottom w:val="0"/>
      <w:divBdr>
        <w:top w:val="none" w:sz="0" w:space="0" w:color="auto"/>
        <w:left w:val="none" w:sz="0" w:space="0" w:color="auto"/>
        <w:bottom w:val="none" w:sz="0" w:space="0" w:color="auto"/>
        <w:right w:val="none" w:sz="0" w:space="0" w:color="auto"/>
      </w:divBdr>
      <w:divsChild>
        <w:div w:id="92361155">
          <w:marLeft w:val="274"/>
          <w:marRight w:val="0"/>
          <w:marTop w:val="0"/>
          <w:marBottom w:val="0"/>
          <w:divBdr>
            <w:top w:val="none" w:sz="0" w:space="0" w:color="auto"/>
            <w:left w:val="none" w:sz="0" w:space="0" w:color="auto"/>
            <w:bottom w:val="none" w:sz="0" w:space="0" w:color="auto"/>
            <w:right w:val="none" w:sz="0" w:space="0" w:color="auto"/>
          </w:divBdr>
        </w:div>
        <w:div w:id="179512005">
          <w:marLeft w:val="274"/>
          <w:marRight w:val="0"/>
          <w:marTop w:val="0"/>
          <w:marBottom w:val="0"/>
          <w:divBdr>
            <w:top w:val="none" w:sz="0" w:space="0" w:color="auto"/>
            <w:left w:val="none" w:sz="0" w:space="0" w:color="auto"/>
            <w:bottom w:val="none" w:sz="0" w:space="0" w:color="auto"/>
            <w:right w:val="none" w:sz="0" w:space="0" w:color="auto"/>
          </w:divBdr>
        </w:div>
        <w:div w:id="536626454">
          <w:marLeft w:val="274"/>
          <w:marRight w:val="0"/>
          <w:marTop w:val="0"/>
          <w:marBottom w:val="0"/>
          <w:divBdr>
            <w:top w:val="none" w:sz="0" w:space="0" w:color="auto"/>
            <w:left w:val="none" w:sz="0" w:space="0" w:color="auto"/>
            <w:bottom w:val="none" w:sz="0" w:space="0" w:color="auto"/>
            <w:right w:val="none" w:sz="0" w:space="0" w:color="auto"/>
          </w:divBdr>
        </w:div>
        <w:div w:id="875194687">
          <w:marLeft w:val="274"/>
          <w:marRight w:val="0"/>
          <w:marTop w:val="0"/>
          <w:marBottom w:val="0"/>
          <w:divBdr>
            <w:top w:val="none" w:sz="0" w:space="0" w:color="auto"/>
            <w:left w:val="none" w:sz="0" w:space="0" w:color="auto"/>
            <w:bottom w:val="none" w:sz="0" w:space="0" w:color="auto"/>
            <w:right w:val="none" w:sz="0" w:space="0" w:color="auto"/>
          </w:divBdr>
        </w:div>
        <w:div w:id="1065370222">
          <w:marLeft w:val="274"/>
          <w:marRight w:val="0"/>
          <w:marTop w:val="0"/>
          <w:marBottom w:val="0"/>
          <w:divBdr>
            <w:top w:val="none" w:sz="0" w:space="0" w:color="auto"/>
            <w:left w:val="none" w:sz="0" w:space="0" w:color="auto"/>
            <w:bottom w:val="none" w:sz="0" w:space="0" w:color="auto"/>
            <w:right w:val="none" w:sz="0" w:space="0" w:color="auto"/>
          </w:divBdr>
        </w:div>
        <w:div w:id="1343623952">
          <w:marLeft w:val="274"/>
          <w:marRight w:val="0"/>
          <w:marTop w:val="0"/>
          <w:marBottom w:val="0"/>
          <w:divBdr>
            <w:top w:val="none" w:sz="0" w:space="0" w:color="auto"/>
            <w:left w:val="none" w:sz="0" w:space="0" w:color="auto"/>
            <w:bottom w:val="none" w:sz="0" w:space="0" w:color="auto"/>
            <w:right w:val="none" w:sz="0" w:space="0" w:color="auto"/>
          </w:divBdr>
        </w:div>
      </w:divsChild>
    </w:div>
    <w:div w:id="1120223762">
      <w:bodyDiv w:val="1"/>
      <w:marLeft w:val="0"/>
      <w:marRight w:val="0"/>
      <w:marTop w:val="0"/>
      <w:marBottom w:val="0"/>
      <w:divBdr>
        <w:top w:val="none" w:sz="0" w:space="0" w:color="auto"/>
        <w:left w:val="none" w:sz="0" w:space="0" w:color="auto"/>
        <w:bottom w:val="none" w:sz="0" w:space="0" w:color="auto"/>
        <w:right w:val="none" w:sz="0" w:space="0" w:color="auto"/>
      </w:divBdr>
    </w:div>
    <w:div w:id="1122967075">
      <w:bodyDiv w:val="1"/>
      <w:marLeft w:val="0"/>
      <w:marRight w:val="0"/>
      <w:marTop w:val="0"/>
      <w:marBottom w:val="0"/>
      <w:divBdr>
        <w:top w:val="none" w:sz="0" w:space="0" w:color="auto"/>
        <w:left w:val="none" w:sz="0" w:space="0" w:color="auto"/>
        <w:bottom w:val="none" w:sz="0" w:space="0" w:color="auto"/>
        <w:right w:val="none" w:sz="0" w:space="0" w:color="auto"/>
      </w:divBdr>
    </w:div>
    <w:div w:id="1123160908">
      <w:bodyDiv w:val="1"/>
      <w:marLeft w:val="0"/>
      <w:marRight w:val="0"/>
      <w:marTop w:val="0"/>
      <w:marBottom w:val="0"/>
      <w:divBdr>
        <w:top w:val="none" w:sz="0" w:space="0" w:color="auto"/>
        <w:left w:val="none" w:sz="0" w:space="0" w:color="auto"/>
        <w:bottom w:val="none" w:sz="0" w:space="0" w:color="auto"/>
        <w:right w:val="none" w:sz="0" w:space="0" w:color="auto"/>
      </w:divBdr>
    </w:div>
    <w:div w:id="1123378317">
      <w:bodyDiv w:val="1"/>
      <w:marLeft w:val="0"/>
      <w:marRight w:val="0"/>
      <w:marTop w:val="0"/>
      <w:marBottom w:val="0"/>
      <w:divBdr>
        <w:top w:val="none" w:sz="0" w:space="0" w:color="auto"/>
        <w:left w:val="none" w:sz="0" w:space="0" w:color="auto"/>
        <w:bottom w:val="none" w:sz="0" w:space="0" w:color="auto"/>
        <w:right w:val="none" w:sz="0" w:space="0" w:color="auto"/>
      </w:divBdr>
    </w:div>
    <w:div w:id="1125152392">
      <w:bodyDiv w:val="1"/>
      <w:marLeft w:val="0"/>
      <w:marRight w:val="0"/>
      <w:marTop w:val="0"/>
      <w:marBottom w:val="0"/>
      <w:divBdr>
        <w:top w:val="none" w:sz="0" w:space="0" w:color="auto"/>
        <w:left w:val="none" w:sz="0" w:space="0" w:color="auto"/>
        <w:bottom w:val="none" w:sz="0" w:space="0" w:color="auto"/>
        <w:right w:val="none" w:sz="0" w:space="0" w:color="auto"/>
      </w:divBdr>
    </w:div>
    <w:div w:id="1125268895">
      <w:bodyDiv w:val="1"/>
      <w:marLeft w:val="0"/>
      <w:marRight w:val="0"/>
      <w:marTop w:val="0"/>
      <w:marBottom w:val="0"/>
      <w:divBdr>
        <w:top w:val="none" w:sz="0" w:space="0" w:color="auto"/>
        <w:left w:val="none" w:sz="0" w:space="0" w:color="auto"/>
        <w:bottom w:val="none" w:sz="0" w:space="0" w:color="auto"/>
        <w:right w:val="none" w:sz="0" w:space="0" w:color="auto"/>
      </w:divBdr>
    </w:div>
    <w:div w:id="1126852866">
      <w:bodyDiv w:val="1"/>
      <w:marLeft w:val="0"/>
      <w:marRight w:val="0"/>
      <w:marTop w:val="0"/>
      <w:marBottom w:val="0"/>
      <w:divBdr>
        <w:top w:val="none" w:sz="0" w:space="0" w:color="auto"/>
        <w:left w:val="none" w:sz="0" w:space="0" w:color="auto"/>
        <w:bottom w:val="none" w:sz="0" w:space="0" w:color="auto"/>
        <w:right w:val="none" w:sz="0" w:space="0" w:color="auto"/>
      </w:divBdr>
    </w:div>
    <w:div w:id="1128663122">
      <w:bodyDiv w:val="1"/>
      <w:marLeft w:val="0"/>
      <w:marRight w:val="0"/>
      <w:marTop w:val="0"/>
      <w:marBottom w:val="0"/>
      <w:divBdr>
        <w:top w:val="none" w:sz="0" w:space="0" w:color="auto"/>
        <w:left w:val="none" w:sz="0" w:space="0" w:color="auto"/>
        <w:bottom w:val="none" w:sz="0" w:space="0" w:color="auto"/>
        <w:right w:val="none" w:sz="0" w:space="0" w:color="auto"/>
      </w:divBdr>
    </w:div>
    <w:div w:id="1135946162">
      <w:bodyDiv w:val="1"/>
      <w:marLeft w:val="0"/>
      <w:marRight w:val="0"/>
      <w:marTop w:val="0"/>
      <w:marBottom w:val="0"/>
      <w:divBdr>
        <w:top w:val="none" w:sz="0" w:space="0" w:color="auto"/>
        <w:left w:val="none" w:sz="0" w:space="0" w:color="auto"/>
        <w:bottom w:val="none" w:sz="0" w:space="0" w:color="auto"/>
        <w:right w:val="none" w:sz="0" w:space="0" w:color="auto"/>
      </w:divBdr>
    </w:div>
    <w:div w:id="1136264444">
      <w:bodyDiv w:val="1"/>
      <w:marLeft w:val="0"/>
      <w:marRight w:val="0"/>
      <w:marTop w:val="0"/>
      <w:marBottom w:val="0"/>
      <w:divBdr>
        <w:top w:val="none" w:sz="0" w:space="0" w:color="auto"/>
        <w:left w:val="none" w:sz="0" w:space="0" w:color="auto"/>
        <w:bottom w:val="none" w:sz="0" w:space="0" w:color="auto"/>
        <w:right w:val="none" w:sz="0" w:space="0" w:color="auto"/>
      </w:divBdr>
    </w:div>
    <w:div w:id="1138107342">
      <w:bodyDiv w:val="1"/>
      <w:marLeft w:val="0"/>
      <w:marRight w:val="0"/>
      <w:marTop w:val="0"/>
      <w:marBottom w:val="0"/>
      <w:divBdr>
        <w:top w:val="none" w:sz="0" w:space="0" w:color="auto"/>
        <w:left w:val="none" w:sz="0" w:space="0" w:color="auto"/>
        <w:bottom w:val="none" w:sz="0" w:space="0" w:color="auto"/>
        <w:right w:val="none" w:sz="0" w:space="0" w:color="auto"/>
      </w:divBdr>
    </w:div>
    <w:div w:id="1139153101">
      <w:bodyDiv w:val="1"/>
      <w:marLeft w:val="0"/>
      <w:marRight w:val="0"/>
      <w:marTop w:val="0"/>
      <w:marBottom w:val="0"/>
      <w:divBdr>
        <w:top w:val="none" w:sz="0" w:space="0" w:color="auto"/>
        <w:left w:val="none" w:sz="0" w:space="0" w:color="auto"/>
        <w:bottom w:val="none" w:sz="0" w:space="0" w:color="auto"/>
        <w:right w:val="none" w:sz="0" w:space="0" w:color="auto"/>
      </w:divBdr>
    </w:div>
    <w:div w:id="1140421897">
      <w:bodyDiv w:val="1"/>
      <w:marLeft w:val="0"/>
      <w:marRight w:val="0"/>
      <w:marTop w:val="0"/>
      <w:marBottom w:val="0"/>
      <w:divBdr>
        <w:top w:val="none" w:sz="0" w:space="0" w:color="auto"/>
        <w:left w:val="none" w:sz="0" w:space="0" w:color="auto"/>
        <w:bottom w:val="none" w:sz="0" w:space="0" w:color="auto"/>
        <w:right w:val="none" w:sz="0" w:space="0" w:color="auto"/>
      </w:divBdr>
    </w:div>
    <w:div w:id="1140462880">
      <w:bodyDiv w:val="1"/>
      <w:marLeft w:val="0"/>
      <w:marRight w:val="0"/>
      <w:marTop w:val="0"/>
      <w:marBottom w:val="0"/>
      <w:divBdr>
        <w:top w:val="none" w:sz="0" w:space="0" w:color="auto"/>
        <w:left w:val="none" w:sz="0" w:space="0" w:color="auto"/>
        <w:bottom w:val="none" w:sz="0" w:space="0" w:color="auto"/>
        <w:right w:val="none" w:sz="0" w:space="0" w:color="auto"/>
      </w:divBdr>
      <w:divsChild>
        <w:div w:id="382481053">
          <w:marLeft w:val="547"/>
          <w:marRight w:val="0"/>
          <w:marTop w:val="0"/>
          <w:marBottom w:val="0"/>
          <w:divBdr>
            <w:top w:val="none" w:sz="0" w:space="0" w:color="auto"/>
            <w:left w:val="none" w:sz="0" w:space="0" w:color="auto"/>
            <w:bottom w:val="none" w:sz="0" w:space="0" w:color="auto"/>
            <w:right w:val="none" w:sz="0" w:space="0" w:color="auto"/>
          </w:divBdr>
        </w:div>
      </w:divsChild>
    </w:div>
    <w:div w:id="1141457718">
      <w:bodyDiv w:val="1"/>
      <w:marLeft w:val="0"/>
      <w:marRight w:val="0"/>
      <w:marTop w:val="0"/>
      <w:marBottom w:val="0"/>
      <w:divBdr>
        <w:top w:val="none" w:sz="0" w:space="0" w:color="auto"/>
        <w:left w:val="none" w:sz="0" w:space="0" w:color="auto"/>
        <w:bottom w:val="none" w:sz="0" w:space="0" w:color="auto"/>
        <w:right w:val="none" w:sz="0" w:space="0" w:color="auto"/>
      </w:divBdr>
    </w:div>
    <w:div w:id="1141734521">
      <w:bodyDiv w:val="1"/>
      <w:marLeft w:val="0"/>
      <w:marRight w:val="0"/>
      <w:marTop w:val="0"/>
      <w:marBottom w:val="0"/>
      <w:divBdr>
        <w:top w:val="none" w:sz="0" w:space="0" w:color="auto"/>
        <w:left w:val="none" w:sz="0" w:space="0" w:color="auto"/>
        <w:bottom w:val="none" w:sz="0" w:space="0" w:color="auto"/>
        <w:right w:val="none" w:sz="0" w:space="0" w:color="auto"/>
      </w:divBdr>
    </w:div>
    <w:div w:id="1143887268">
      <w:bodyDiv w:val="1"/>
      <w:marLeft w:val="0"/>
      <w:marRight w:val="0"/>
      <w:marTop w:val="0"/>
      <w:marBottom w:val="0"/>
      <w:divBdr>
        <w:top w:val="none" w:sz="0" w:space="0" w:color="auto"/>
        <w:left w:val="none" w:sz="0" w:space="0" w:color="auto"/>
        <w:bottom w:val="none" w:sz="0" w:space="0" w:color="auto"/>
        <w:right w:val="none" w:sz="0" w:space="0" w:color="auto"/>
      </w:divBdr>
    </w:div>
    <w:div w:id="1147553098">
      <w:bodyDiv w:val="1"/>
      <w:marLeft w:val="0"/>
      <w:marRight w:val="0"/>
      <w:marTop w:val="0"/>
      <w:marBottom w:val="0"/>
      <w:divBdr>
        <w:top w:val="none" w:sz="0" w:space="0" w:color="auto"/>
        <w:left w:val="none" w:sz="0" w:space="0" w:color="auto"/>
        <w:bottom w:val="none" w:sz="0" w:space="0" w:color="auto"/>
        <w:right w:val="none" w:sz="0" w:space="0" w:color="auto"/>
      </w:divBdr>
    </w:div>
    <w:div w:id="1149324698">
      <w:bodyDiv w:val="1"/>
      <w:marLeft w:val="0"/>
      <w:marRight w:val="0"/>
      <w:marTop w:val="0"/>
      <w:marBottom w:val="0"/>
      <w:divBdr>
        <w:top w:val="none" w:sz="0" w:space="0" w:color="auto"/>
        <w:left w:val="none" w:sz="0" w:space="0" w:color="auto"/>
        <w:bottom w:val="none" w:sz="0" w:space="0" w:color="auto"/>
        <w:right w:val="none" w:sz="0" w:space="0" w:color="auto"/>
      </w:divBdr>
    </w:div>
    <w:div w:id="1151867976">
      <w:bodyDiv w:val="1"/>
      <w:marLeft w:val="0"/>
      <w:marRight w:val="0"/>
      <w:marTop w:val="0"/>
      <w:marBottom w:val="0"/>
      <w:divBdr>
        <w:top w:val="none" w:sz="0" w:space="0" w:color="auto"/>
        <w:left w:val="none" w:sz="0" w:space="0" w:color="auto"/>
        <w:bottom w:val="none" w:sz="0" w:space="0" w:color="auto"/>
        <w:right w:val="none" w:sz="0" w:space="0" w:color="auto"/>
      </w:divBdr>
    </w:div>
    <w:div w:id="1154836415">
      <w:bodyDiv w:val="1"/>
      <w:marLeft w:val="0"/>
      <w:marRight w:val="0"/>
      <w:marTop w:val="0"/>
      <w:marBottom w:val="0"/>
      <w:divBdr>
        <w:top w:val="none" w:sz="0" w:space="0" w:color="auto"/>
        <w:left w:val="none" w:sz="0" w:space="0" w:color="auto"/>
        <w:bottom w:val="none" w:sz="0" w:space="0" w:color="auto"/>
        <w:right w:val="none" w:sz="0" w:space="0" w:color="auto"/>
      </w:divBdr>
    </w:div>
    <w:div w:id="1155758505">
      <w:bodyDiv w:val="1"/>
      <w:marLeft w:val="0"/>
      <w:marRight w:val="0"/>
      <w:marTop w:val="0"/>
      <w:marBottom w:val="0"/>
      <w:divBdr>
        <w:top w:val="none" w:sz="0" w:space="0" w:color="auto"/>
        <w:left w:val="none" w:sz="0" w:space="0" w:color="auto"/>
        <w:bottom w:val="none" w:sz="0" w:space="0" w:color="auto"/>
        <w:right w:val="none" w:sz="0" w:space="0" w:color="auto"/>
      </w:divBdr>
    </w:div>
    <w:div w:id="1162089234">
      <w:bodyDiv w:val="1"/>
      <w:marLeft w:val="0"/>
      <w:marRight w:val="0"/>
      <w:marTop w:val="0"/>
      <w:marBottom w:val="0"/>
      <w:divBdr>
        <w:top w:val="none" w:sz="0" w:space="0" w:color="auto"/>
        <w:left w:val="none" w:sz="0" w:space="0" w:color="auto"/>
        <w:bottom w:val="none" w:sz="0" w:space="0" w:color="auto"/>
        <w:right w:val="none" w:sz="0" w:space="0" w:color="auto"/>
      </w:divBdr>
    </w:div>
    <w:div w:id="1164930781">
      <w:bodyDiv w:val="1"/>
      <w:marLeft w:val="0"/>
      <w:marRight w:val="0"/>
      <w:marTop w:val="0"/>
      <w:marBottom w:val="0"/>
      <w:divBdr>
        <w:top w:val="none" w:sz="0" w:space="0" w:color="auto"/>
        <w:left w:val="none" w:sz="0" w:space="0" w:color="auto"/>
        <w:bottom w:val="none" w:sz="0" w:space="0" w:color="auto"/>
        <w:right w:val="none" w:sz="0" w:space="0" w:color="auto"/>
      </w:divBdr>
    </w:div>
    <w:div w:id="1166356616">
      <w:bodyDiv w:val="1"/>
      <w:marLeft w:val="0"/>
      <w:marRight w:val="0"/>
      <w:marTop w:val="0"/>
      <w:marBottom w:val="0"/>
      <w:divBdr>
        <w:top w:val="none" w:sz="0" w:space="0" w:color="auto"/>
        <w:left w:val="none" w:sz="0" w:space="0" w:color="auto"/>
        <w:bottom w:val="none" w:sz="0" w:space="0" w:color="auto"/>
        <w:right w:val="none" w:sz="0" w:space="0" w:color="auto"/>
      </w:divBdr>
    </w:div>
    <w:div w:id="1170876707">
      <w:bodyDiv w:val="1"/>
      <w:marLeft w:val="0"/>
      <w:marRight w:val="0"/>
      <w:marTop w:val="0"/>
      <w:marBottom w:val="0"/>
      <w:divBdr>
        <w:top w:val="none" w:sz="0" w:space="0" w:color="auto"/>
        <w:left w:val="none" w:sz="0" w:space="0" w:color="auto"/>
        <w:bottom w:val="none" w:sz="0" w:space="0" w:color="auto"/>
        <w:right w:val="none" w:sz="0" w:space="0" w:color="auto"/>
      </w:divBdr>
    </w:div>
    <w:div w:id="1171601722">
      <w:bodyDiv w:val="1"/>
      <w:marLeft w:val="0"/>
      <w:marRight w:val="0"/>
      <w:marTop w:val="0"/>
      <w:marBottom w:val="0"/>
      <w:divBdr>
        <w:top w:val="none" w:sz="0" w:space="0" w:color="auto"/>
        <w:left w:val="none" w:sz="0" w:space="0" w:color="auto"/>
        <w:bottom w:val="none" w:sz="0" w:space="0" w:color="auto"/>
        <w:right w:val="none" w:sz="0" w:space="0" w:color="auto"/>
      </w:divBdr>
    </w:div>
    <w:div w:id="1171676924">
      <w:bodyDiv w:val="1"/>
      <w:marLeft w:val="0"/>
      <w:marRight w:val="0"/>
      <w:marTop w:val="0"/>
      <w:marBottom w:val="0"/>
      <w:divBdr>
        <w:top w:val="none" w:sz="0" w:space="0" w:color="auto"/>
        <w:left w:val="none" w:sz="0" w:space="0" w:color="auto"/>
        <w:bottom w:val="none" w:sz="0" w:space="0" w:color="auto"/>
        <w:right w:val="none" w:sz="0" w:space="0" w:color="auto"/>
      </w:divBdr>
    </w:div>
    <w:div w:id="1175539323">
      <w:bodyDiv w:val="1"/>
      <w:marLeft w:val="0"/>
      <w:marRight w:val="0"/>
      <w:marTop w:val="0"/>
      <w:marBottom w:val="0"/>
      <w:divBdr>
        <w:top w:val="none" w:sz="0" w:space="0" w:color="auto"/>
        <w:left w:val="none" w:sz="0" w:space="0" w:color="auto"/>
        <w:bottom w:val="none" w:sz="0" w:space="0" w:color="auto"/>
        <w:right w:val="none" w:sz="0" w:space="0" w:color="auto"/>
      </w:divBdr>
    </w:div>
    <w:div w:id="1178424559">
      <w:bodyDiv w:val="1"/>
      <w:marLeft w:val="0"/>
      <w:marRight w:val="0"/>
      <w:marTop w:val="0"/>
      <w:marBottom w:val="0"/>
      <w:divBdr>
        <w:top w:val="none" w:sz="0" w:space="0" w:color="auto"/>
        <w:left w:val="none" w:sz="0" w:space="0" w:color="auto"/>
        <w:bottom w:val="none" w:sz="0" w:space="0" w:color="auto"/>
        <w:right w:val="none" w:sz="0" w:space="0" w:color="auto"/>
      </w:divBdr>
    </w:div>
    <w:div w:id="1178735644">
      <w:bodyDiv w:val="1"/>
      <w:marLeft w:val="0"/>
      <w:marRight w:val="0"/>
      <w:marTop w:val="0"/>
      <w:marBottom w:val="0"/>
      <w:divBdr>
        <w:top w:val="none" w:sz="0" w:space="0" w:color="auto"/>
        <w:left w:val="none" w:sz="0" w:space="0" w:color="auto"/>
        <w:bottom w:val="none" w:sz="0" w:space="0" w:color="auto"/>
        <w:right w:val="none" w:sz="0" w:space="0" w:color="auto"/>
      </w:divBdr>
    </w:div>
    <w:div w:id="1181970226">
      <w:bodyDiv w:val="1"/>
      <w:marLeft w:val="0"/>
      <w:marRight w:val="0"/>
      <w:marTop w:val="0"/>
      <w:marBottom w:val="0"/>
      <w:divBdr>
        <w:top w:val="none" w:sz="0" w:space="0" w:color="auto"/>
        <w:left w:val="none" w:sz="0" w:space="0" w:color="auto"/>
        <w:bottom w:val="none" w:sz="0" w:space="0" w:color="auto"/>
        <w:right w:val="none" w:sz="0" w:space="0" w:color="auto"/>
      </w:divBdr>
    </w:div>
    <w:div w:id="1182890645">
      <w:bodyDiv w:val="1"/>
      <w:marLeft w:val="0"/>
      <w:marRight w:val="0"/>
      <w:marTop w:val="0"/>
      <w:marBottom w:val="0"/>
      <w:divBdr>
        <w:top w:val="none" w:sz="0" w:space="0" w:color="auto"/>
        <w:left w:val="none" w:sz="0" w:space="0" w:color="auto"/>
        <w:bottom w:val="none" w:sz="0" w:space="0" w:color="auto"/>
        <w:right w:val="none" w:sz="0" w:space="0" w:color="auto"/>
      </w:divBdr>
    </w:div>
    <w:div w:id="1184972945">
      <w:bodyDiv w:val="1"/>
      <w:marLeft w:val="0"/>
      <w:marRight w:val="0"/>
      <w:marTop w:val="0"/>
      <w:marBottom w:val="0"/>
      <w:divBdr>
        <w:top w:val="none" w:sz="0" w:space="0" w:color="auto"/>
        <w:left w:val="none" w:sz="0" w:space="0" w:color="auto"/>
        <w:bottom w:val="none" w:sz="0" w:space="0" w:color="auto"/>
        <w:right w:val="none" w:sz="0" w:space="0" w:color="auto"/>
      </w:divBdr>
    </w:div>
    <w:div w:id="1185556760">
      <w:bodyDiv w:val="1"/>
      <w:marLeft w:val="0"/>
      <w:marRight w:val="0"/>
      <w:marTop w:val="0"/>
      <w:marBottom w:val="0"/>
      <w:divBdr>
        <w:top w:val="none" w:sz="0" w:space="0" w:color="auto"/>
        <w:left w:val="none" w:sz="0" w:space="0" w:color="auto"/>
        <w:bottom w:val="none" w:sz="0" w:space="0" w:color="auto"/>
        <w:right w:val="none" w:sz="0" w:space="0" w:color="auto"/>
      </w:divBdr>
    </w:div>
    <w:div w:id="1185753713">
      <w:bodyDiv w:val="1"/>
      <w:marLeft w:val="0"/>
      <w:marRight w:val="0"/>
      <w:marTop w:val="0"/>
      <w:marBottom w:val="0"/>
      <w:divBdr>
        <w:top w:val="none" w:sz="0" w:space="0" w:color="auto"/>
        <w:left w:val="none" w:sz="0" w:space="0" w:color="auto"/>
        <w:bottom w:val="none" w:sz="0" w:space="0" w:color="auto"/>
        <w:right w:val="none" w:sz="0" w:space="0" w:color="auto"/>
      </w:divBdr>
    </w:div>
    <w:div w:id="1186166498">
      <w:bodyDiv w:val="1"/>
      <w:marLeft w:val="0"/>
      <w:marRight w:val="0"/>
      <w:marTop w:val="0"/>
      <w:marBottom w:val="0"/>
      <w:divBdr>
        <w:top w:val="none" w:sz="0" w:space="0" w:color="auto"/>
        <w:left w:val="none" w:sz="0" w:space="0" w:color="auto"/>
        <w:bottom w:val="none" w:sz="0" w:space="0" w:color="auto"/>
        <w:right w:val="none" w:sz="0" w:space="0" w:color="auto"/>
      </w:divBdr>
    </w:div>
    <w:div w:id="1187016047">
      <w:bodyDiv w:val="1"/>
      <w:marLeft w:val="0"/>
      <w:marRight w:val="0"/>
      <w:marTop w:val="0"/>
      <w:marBottom w:val="0"/>
      <w:divBdr>
        <w:top w:val="none" w:sz="0" w:space="0" w:color="auto"/>
        <w:left w:val="none" w:sz="0" w:space="0" w:color="auto"/>
        <w:bottom w:val="none" w:sz="0" w:space="0" w:color="auto"/>
        <w:right w:val="none" w:sz="0" w:space="0" w:color="auto"/>
      </w:divBdr>
    </w:div>
    <w:div w:id="1187905622">
      <w:bodyDiv w:val="1"/>
      <w:marLeft w:val="0"/>
      <w:marRight w:val="0"/>
      <w:marTop w:val="0"/>
      <w:marBottom w:val="0"/>
      <w:divBdr>
        <w:top w:val="none" w:sz="0" w:space="0" w:color="auto"/>
        <w:left w:val="none" w:sz="0" w:space="0" w:color="auto"/>
        <w:bottom w:val="none" w:sz="0" w:space="0" w:color="auto"/>
        <w:right w:val="none" w:sz="0" w:space="0" w:color="auto"/>
      </w:divBdr>
    </w:div>
    <w:div w:id="1189417114">
      <w:bodyDiv w:val="1"/>
      <w:marLeft w:val="0"/>
      <w:marRight w:val="0"/>
      <w:marTop w:val="0"/>
      <w:marBottom w:val="0"/>
      <w:divBdr>
        <w:top w:val="none" w:sz="0" w:space="0" w:color="auto"/>
        <w:left w:val="none" w:sz="0" w:space="0" w:color="auto"/>
        <w:bottom w:val="none" w:sz="0" w:space="0" w:color="auto"/>
        <w:right w:val="none" w:sz="0" w:space="0" w:color="auto"/>
      </w:divBdr>
    </w:div>
    <w:div w:id="1191411079">
      <w:bodyDiv w:val="1"/>
      <w:marLeft w:val="0"/>
      <w:marRight w:val="0"/>
      <w:marTop w:val="0"/>
      <w:marBottom w:val="0"/>
      <w:divBdr>
        <w:top w:val="none" w:sz="0" w:space="0" w:color="auto"/>
        <w:left w:val="none" w:sz="0" w:space="0" w:color="auto"/>
        <w:bottom w:val="none" w:sz="0" w:space="0" w:color="auto"/>
        <w:right w:val="none" w:sz="0" w:space="0" w:color="auto"/>
      </w:divBdr>
    </w:div>
    <w:div w:id="1193767216">
      <w:bodyDiv w:val="1"/>
      <w:marLeft w:val="0"/>
      <w:marRight w:val="0"/>
      <w:marTop w:val="0"/>
      <w:marBottom w:val="0"/>
      <w:divBdr>
        <w:top w:val="none" w:sz="0" w:space="0" w:color="auto"/>
        <w:left w:val="none" w:sz="0" w:space="0" w:color="auto"/>
        <w:bottom w:val="none" w:sz="0" w:space="0" w:color="auto"/>
        <w:right w:val="none" w:sz="0" w:space="0" w:color="auto"/>
      </w:divBdr>
    </w:div>
    <w:div w:id="1202135567">
      <w:bodyDiv w:val="1"/>
      <w:marLeft w:val="0"/>
      <w:marRight w:val="0"/>
      <w:marTop w:val="0"/>
      <w:marBottom w:val="0"/>
      <w:divBdr>
        <w:top w:val="none" w:sz="0" w:space="0" w:color="auto"/>
        <w:left w:val="none" w:sz="0" w:space="0" w:color="auto"/>
        <w:bottom w:val="none" w:sz="0" w:space="0" w:color="auto"/>
        <w:right w:val="none" w:sz="0" w:space="0" w:color="auto"/>
      </w:divBdr>
    </w:div>
    <w:div w:id="1202669474">
      <w:bodyDiv w:val="1"/>
      <w:marLeft w:val="0"/>
      <w:marRight w:val="0"/>
      <w:marTop w:val="0"/>
      <w:marBottom w:val="0"/>
      <w:divBdr>
        <w:top w:val="none" w:sz="0" w:space="0" w:color="auto"/>
        <w:left w:val="none" w:sz="0" w:space="0" w:color="auto"/>
        <w:bottom w:val="none" w:sz="0" w:space="0" w:color="auto"/>
        <w:right w:val="none" w:sz="0" w:space="0" w:color="auto"/>
      </w:divBdr>
    </w:div>
    <w:div w:id="1203326612">
      <w:bodyDiv w:val="1"/>
      <w:marLeft w:val="0"/>
      <w:marRight w:val="0"/>
      <w:marTop w:val="0"/>
      <w:marBottom w:val="0"/>
      <w:divBdr>
        <w:top w:val="none" w:sz="0" w:space="0" w:color="auto"/>
        <w:left w:val="none" w:sz="0" w:space="0" w:color="auto"/>
        <w:bottom w:val="none" w:sz="0" w:space="0" w:color="auto"/>
        <w:right w:val="none" w:sz="0" w:space="0" w:color="auto"/>
      </w:divBdr>
    </w:div>
    <w:div w:id="1203447535">
      <w:bodyDiv w:val="1"/>
      <w:marLeft w:val="0"/>
      <w:marRight w:val="0"/>
      <w:marTop w:val="0"/>
      <w:marBottom w:val="0"/>
      <w:divBdr>
        <w:top w:val="none" w:sz="0" w:space="0" w:color="auto"/>
        <w:left w:val="none" w:sz="0" w:space="0" w:color="auto"/>
        <w:bottom w:val="none" w:sz="0" w:space="0" w:color="auto"/>
        <w:right w:val="none" w:sz="0" w:space="0" w:color="auto"/>
      </w:divBdr>
    </w:div>
    <w:div w:id="1206217016">
      <w:bodyDiv w:val="1"/>
      <w:marLeft w:val="0"/>
      <w:marRight w:val="0"/>
      <w:marTop w:val="0"/>
      <w:marBottom w:val="0"/>
      <w:divBdr>
        <w:top w:val="none" w:sz="0" w:space="0" w:color="auto"/>
        <w:left w:val="none" w:sz="0" w:space="0" w:color="auto"/>
        <w:bottom w:val="none" w:sz="0" w:space="0" w:color="auto"/>
        <w:right w:val="none" w:sz="0" w:space="0" w:color="auto"/>
      </w:divBdr>
    </w:div>
    <w:div w:id="1206679865">
      <w:bodyDiv w:val="1"/>
      <w:marLeft w:val="0"/>
      <w:marRight w:val="0"/>
      <w:marTop w:val="0"/>
      <w:marBottom w:val="0"/>
      <w:divBdr>
        <w:top w:val="none" w:sz="0" w:space="0" w:color="auto"/>
        <w:left w:val="none" w:sz="0" w:space="0" w:color="auto"/>
        <w:bottom w:val="none" w:sz="0" w:space="0" w:color="auto"/>
        <w:right w:val="none" w:sz="0" w:space="0" w:color="auto"/>
      </w:divBdr>
    </w:div>
    <w:div w:id="1207446610">
      <w:bodyDiv w:val="1"/>
      <w:marLeft w:val="0"/>
      <w:marRight w:val="0"/>
      <w:marTop w:val="0"/>
      <w:marBottom w:val="0"/>
      <w:divBdr>
        <w:top w:val="none" w:sz="0" w:space="0" w:color="auto"/>
        <w:left w:val="none" w:sz="0" w:space="0" w:color="auto"/>
        <w:bottom w:val="none" w:sz="0" w:space="0" w:color="auto"/>
        <w:right w:val="none" w:sz="0" w:space="0" w:color="auto"/>
      </w:divBdr>
    </w:div>
    <w:div w:id="1208830862">
      <w:bodyDiv w:val="1"/>
      <w:marLeft w:val="0"/>
      <w:marRight w:val="0"/>
      <w:marTop w:val="0"/>
      <w:marBottom w:val="0"/>
      <w:divBdr>
        <w:top w:val="none" w:sz="0" w:space="0" w:color="auto"/>
        <w:left w:val="none" w:sz="0" w:space="0" w:color="auto"/>
        <w:bottom w:val="none" w:sz="0" w:space="0" w:color="auto"/>
        <w:right w:val="none" w:sz="0" w:space="0" w:color="auto"/>
      </w:divBdr>
    </w:div>
    <w:div w:id="1210609964">
      <w:bodyDiv w:val="1"/>
      <w:marLeft w:val="0"/>
      <w:marRight w:val="0"/>
      <w:marTop w:val="0"/>
      <w:marBottom w:val="0"/>
      <w:divBdr>
        <w:top w:val="none" w:sz="0" w:space="0" w:color="auto"/>
        <w:left w:val="none" w:sz="0" w:space="0" w:color="auto"/>
        <w:bottom w:val="none" w:sz="0" w:space="0" w:color="auto"/>
        <w:right w:val="none" w:sz="0" w:space="0" w:color="auto"/>
      </w:divBdr>
    </w:div>
    <w:div w:id="1213418360">
      <w:bodyDiv w:val="1"/>
      <w:marLeft w:val="0"/>
      <w:marRight w:val="0"/>
      <w:marTop w:val="0"/>
      <w:marBottom w:val="0"/>
      <w:divBdr>
        <w:top w:val="none" w:sz="0" w:space="0" w:color="auto"/>
        <w:left w:val="none" w:sz="0" w:space="0" w:color="auto"/>
        <w:bottom w:val="none" w:sz="0" w:space="0" w:color="auto"/>
        <w:right w:val="none" w:sz="0" w:space="0" w:color="auto"/>
      </w:divBdr>
    </w:div>
    <w:div w:id="1213617599">
      <w:bodyDiv w:val="1"/>
      <w:marLeft w:val="0"/>
      <w:marRight w:val="0"/>
      <w:marTop w:val="0"/>
      <w:marBottom w:val="0"/>
      <w:divBdr>
        <w:top w:val="none" w:sz="0" w:space="0" w:color="auto"/>
        <w:left w:val="none" w:sz="0" w:space="0" w:color="auto"/>
        <w:bottom w:val="none" w:sz="0" w:space="0" w:color="auto"/>
        <w:right w:val="none" w:sz="0" w:space="0" w:color="auto"/>
      </w:divBdr>
    </w:div>
    <w:div w:id="1215584316">
      <w:bodyDiv w:val="1"/>
      <w:marLeft w:val="0"/>
      <w:marRight w:val="0"/>
      <w:marTop w:val="0"/>
      <w:marBottom w:val="0"/>
      <w:divBdr>
        <w:top w:val="none" w:sz="0" w:space="0" w:color="auto"/>
        <w:left w:val="none" w:sz="0" w:space="0" w:color="auto"/>
        <w:bottom w:val="none" w:sz="0" w:space="0" w:color="auto"/>
        <w:right w:val="none" w:sz="0" w:space="0" w:color="auto"/>
      </w:divBdr>
    </w:div>
    <w:div w:id="1218857436">
      <w:bodyDiv w:val="1"/>
      <w:marLeft w:val="0"/>
      <w:marRight w:val="0"/>
      <w:marTop w:val="0"/>
      <w:marBottom w:val="0"/>
      <w:divBdr>
        <w:top w:val="none" w:sz="0" w:space="0" w:color="auto"/>
        <w:left w:val="none" w:sz="0" w:space="0" w:color="auto"/>
        <w:bottom w:val="none" w:sz="0" w:space="0" w:color="auto"/>
        <w:right w:val="none" w:sz="0" w:space="0" w:color="auto"/>
      </w:divBdr>
    </w:div>
    <w:div w:id="1221480035">
      <w:bodyDiv w:val="1"/>
      <w:marLeft w:val="0"/>
      <w:marRight w:val="0"/>
      <w:marTop w:val="0"/>
      <w:marBottom w:val="0"/>
      <w:divBdr>
        <w:top w:val="none" w:sz="0" w:space="0" w:color="auto"/>
        <w:left w:val="none" w:sz="0" w:space="0" w:color="auto"/>
        <w:bottom w:val="none" w:sz="0" w:space="0" w:color="auto"/>
        <w:right w:val="none" w:sz="0" w:space="0" w:color="auto"/>
      </w:divBdr>
    </w:div>
    <w:div w:id="1224171547">
      <w:bodyDiv w:val="1"/>
      <w:marLeft w:val="0"/>
      <w:marRight w:val="0"/>
      <w:marTop w:val="0"/>
      <w:marBottom w:val="0"/>
      <w:divBdr>
        <w:top w:val="none" w:sz="0" w:space="0" w:color="auto"/>
        <w:left w:val="none" w:sz="0" w:space="0" w:color="auto"/>
        <w:bottom w:val="none" w:sz="0" w:space="0" w:color="auto"/>
        <w:right w:val="none" w:sz="0" w:space="0" w:color="auto"/>
      </w:divBdr>
    </w:div>
    <w:div w:id="1225065390">
      <w:bodyDiv w:val="1"/>
      <w:marLeft w:val="0"/>
      <w:marRight w:val="0"/>
      <w:marTop w:val="0"/>
      <w:marBottom w:val="0"/>
      <w:divBdr>
        <w:top w:val="none" w:sz="0" w:space="0" w:color="auto"/>
        <w:left w:val="none" w:sz="0" w:space="0" w:color="auto"/>
        <w:bottom w:val="none" w:sz="0" w:space="0" w:color="auto"/>
        <w:right w:val="none" w:sz="0" w:space="0" w:color="auto"/>
      </w:divBdr>
    </w:div>
    <w:div w:id="1233003278">
      <w:bodyDiv w:val="1"/>
      <w:marLeft w:val="0"/>
      <w:marRight w:val="0"/>
      <w:marTop w:val="0"/>
      <w:marBottom w:val="0"/>
      <w:divBdr>
        <w:top w:val="none" w:sz="0" w:space="0" w:color="auto"/>
        <w:left w:val="none" w:sz="0" w:space="0" w:color="auto"/>
        <w:bottom w:val="none" w:sz="0" w:space="0" w:color="auto"/>
        <w:right w:val="none" w:sz="0" w:space="0" w:color="auto"/>
      </w:divBdr>
    </w:div>
    <w:div w:id="1236551517">
      <w:bodyDiv w:val="1"/>
      <w:marLeft w:val="0"/>
      <w:marRight w:val="0"/>
      <w:marTop w:val="0"/>
      <w:marBottom w:val="0"/>
      <w:divBdr>
        <w:top w:val="none" w:sz="0" w:space="0" w:color="auto"/>
        <w:left w:val="none" w:sz="0" w:space="0" w:color="auto"/>
        <w:bottom w:val="none" w:sz="0" w:space="0" w:color="auto"/>
        <w:right w:val="none" w:sz="0" w:space="0" w:color="auto"/>
      </w:divBdr>
    </w:div>
    <w:div w:id="1240023896">
      <w:bodyDiv w:val="1"/>
      <w:marLeft w:val="0"/>
      <w:marRight w:val="0"/>
      <w:marTop w:val="0"/>
      <w:marBottom w:val="0"/>
      <w:divBdr>
        <w:top w:val="none" w:sz="0" w:space="0" w:color="auto"/>
        <w:left w:val="none" w:sz="0" w:space="0" w:color="auto"/>
        <w:bottom w:val="none" w:sz="0" w:space="0" w:color="auto"/>
        <w:right w:val="none" w:sz="0" w:space="0" w:color="auto"/>
      </w:divBdr>
    </w:div>
    <w:div w:id="1241598803">
      <w:bodyDiv w:val="1"/>
      <w:marLeft w:val="0"/>
      <w:marRight w:val="0"/>
      <w:marTop w:val="0"/>
      <w:marBottom w:val="0"/>
      <w:divBdr>
        <w:top w:val="none" w:sz="0" w:space="0" w:color="auto"/>
        <w:left w:val="none" w:sz="0" w:space="0" w:color="auto"/>
        <w:bottom w:val="none" w:sz="0" w:space="0" w:color="auto"/>
        <w:right w:val="none" w:sz="0" w:space="0" w:color="auto"/>
      </w:divBdr>
    </w:div>
    <w:div w:id="1243643099">
      <w:bodyDiv w:val="1"/>
      <w:marLeft w:val="0"/>
      <w:marRight w:val="0"/>
      <w:marTop w:val="0"/>
      <w:marBottom w:val="0"/>
      <w:divBdr>
        <w:top w:val="none" w:sz="0" w:space="0" w:color="auto"/>
        <w:left w:val="none" w:sz="0" w:space="0" w:color="auto"/>
        <w:bottom w:val="none" w:sz="0" w:space="0" w:color="auto"/>
        <w:right w:val="none" w:sz="0" w:space="0" w:color="auto"/>
      </w:divBdr>
    </w:div>
    <w:div w:id="1244880031">
      <w:bodyDiv w:val="1"/>
      <w:marLeft w:val="0"/>
      <w:marRight w:val="0"/>
      <w:marTop w:val="0"/>
      <w:marBottom w:val="0"/>
      <w:divBdr>
        <w:top w:val="none" w:sz="0" w:space="0" w:color="auto"/>
        <w:left w:val="none" w:sz="0" w:space="0" w:color="auto"/>
        <w:bottom w:val="none" w:sz="0" w:space="0" w:color="auto"/>
        <w:right w:val="none" w:sz="0" w:space="0" w:color="auto"/>
      </w:divBdr>
    </w:div>
    <w:div w:id="1245532047">
      <w:bodyDiv w:val="1"/>
      <w:marLeft w:val="0"/>
      <w:marRight w:val="0"/>
      <w:marTop w:val="0"/>
      <w:marBottom w:val="0"/>
      <w:divBdr>
        <w:top w:val="none" w:sz="0" w:space="0" w:color="auto"/>
        <w:left w:val="none" w:sz="0" w:space="0" w:color="auto"/>
        <w:bottom w:val="none" w:sz="0" w:space="0" w:color="auto"/>
        <w:right w:val="none" w:sz="0" w:space="0" w:color="auto"/>
      </w:divBdr>
    </w:div>
    <w:div w:id="1246691379">
      <w:bodyDiv w:val="1"/>
      <w:marLeft w:val="0"/>
      <w:marRight w:val="0"/>
      <w:marTop w:val="0"/>
      <w:marBottom w:val="0"/>
      <w:divBdr>
        <w:top w:val="none" w:sz="0" w:space="0" w:color="auto"/>
        <w:left w:val="none" w:sz="0" w:space="0" w:color="auto"/>
        <w:bottom w:val="none" w:sz="0" w:space="0" w:color="auto"/>
        <w:right w:val="none" w:sz="0" w:space="0" w:color="auto"/>
      </w:divBdr>
    </w:div>
    <w:div w:id="1246719599">
      <w:bodyDiv w:val="1"/>
      <w:marLeft w:val="0"/>
      <w:marRight w:val="0"/>
      <w:marTop w:val="0"/>
      <w:marBottom w:val="0"/>
      <w:divBdr>
        <w:top w:val="none" w:sz="0" w:space="0" w:color="auto"/>
        <w:left w:val="none" w:sz="0" w:space="0" w:color="auto"/>
        <w:bottom w:val="none" w:sz="0" w:space="0" w:color="auto"/>
        <w:right w:val="none" w:sz="0" w:space="0" w:color="auto"/>
      </w:divBdr>
    </w:div>
    <w:div w:id="1247112463">
      <w:bodyDiv w:val="1"/>
      <w:marLeft w:val="0"/>
      <w:marRight w:val="0"/>
      <w:marTop w:val="0"/>
      <w:marBottom w:val="0"/>
      <w:divBdr>
        <w:top w:val="none" w:sz="0" w:space="0" w:color="auto"/>
        <w:left w:val="none" w:sz="0" w:space="0" w:color="auto"/>
        <w:bottom w:val="none" w:sz="0" w:space="0" w:color="auto"/>
        <w:right w:val="none" w:sz="0" w:space="0" w:color="auto"/>
      </w:divBdr>
    </w:div>
    <w:div w:id="1249540419">
      <w:bodyDiv w:val="1"/>
      <w:marLeft w:val="0"/>
      <w:marRight w:val="0"/>
      <w:marTop w:val="0"/>
      <w:marBottom w:val="0"/>
      <w:divBdr>
        <w:top w:val="none" w:sz="0" w:space="0" w:color="auto"/>
        <w:left w:val="none" w:sz="0" w:space="0" w:color="auto"/>
        <w:bottom w:val="none" w:sz="0" w:space="0" w:color="auto"/>
        <w:right w:val="none" w:sz="0" w:space="0" w:color="auto"/>
      </w:divBdr>
    </w:div>
    <w:div w:id="1251936622">
      <w:bodyDiv w:val="1"/>
      <w:marLeft w:val="0"/>
      <w:marRight w:val="0"/>
      <w:marTop w:val="0"/>
      <w:marBottom w:val="0"/>
      <w:divBdr>
        <w:top w:val="none" w:sz="0" w:space="0" w:color="auto"/>
        <w:left w:val="none" w:sz="0" w:space="0" w:color="auto"/>
        <w:bottom w:val="none" w:sz="0" w:space="0" w:color="auto"/>
        <w:right w:val="none" w:sz="0" w:space="0" w:color="auto"/>
      </w:divBdr>
    </w:div>
    <w:div w:id="1259602175">
      <w:bodyDiv w:val="1"/>
      <w:marLeft w:val="0"/>
      <w:marRight w:val="0"/>
      <w:marTop w:val="0"/>
      <w:marBottom w:val="0"/>
      <w:divBdr>
        <w:top w:val="none" w:sz="0" w:space="0" w:color="auto"/>
        <w:left w:val="none" w:sz="0" w:space="0" w:color="auto"/>
        <w:bottom w:val="none" w:sz="0" w:space="0" w:color="auto"/>
        <w:right w:val="none" w:sz="0" w:space="0" w:color="auto"/>
      </w:divBdr>
    </w:div>
    <w:div w:id="1260677997">
      <w:bodyDiv w:val="1"/>
      <w:marLeft w:val="0"/>
      <w:marRight w:val="0"/>
      <w:marTop w:val="0"/>
      <w:marBottom w:val="0"/>
      <w:divBdr>
        <w:top w:val="none" w:sz="0" w:space="0" w:color="auto"/>
        <w:left w:val="none" w:sz="0" w:space="0" w:color="auto"/>
        <w:bottom w:val="none" w:sz="0" w:space="0" w:color="auto"/>
        <w:right w:val="none" w:sz="0" w:space="0" w:color="auto"/>
      </w:divBdr>
    </w:div>
    <w:div w:id="1263345539">
      <w:bodyDiv w:val="1"/>
      <w:marLeft w:val="0"/>
      <w:marRight w:val="0"/>
      <w:marTop w:val="0"/>
      <w:marBottom w:val="0"/>
      <w:divBdr>
        <w:top w:val="none" w:sz="0" w:space="0" w:color="auto"/>
        <w:left w:val="none" w:sz="0" w:space="0" w:color="auto"/>
        <w:bottom w:val="none" w:sz="0" w:space="0" w:color="auto"/>
        <w:right w:val="none" w:sz="0" w:space="0" w:color="auto"/>
      </w:divBdr>
    </w:div>
    <w:div w:id="1265765684">
      <w:bodyDiv w:val="1"/>
      <w:marLeft w:val="0"/>
      <w:marRight w:val="0"/>
      <w:marTop w:val="0"/>
      <w:marBottom w:val="0"/>
      <w:divBdr>
        <w:top w:val="none" w:sz="0" w:space="0" w:color="auto"/>
        <w:left w:val="none" w:sz="0" w:space="0" w:color="auto"/>
        <w:bottom w:val="none" w:sz="0" w:space="0" w:color="auto"/>
        <w:right w:val="none" w:sz="0" w:space="0" w:color="auto"/>
      </w:divBdr>
    </w:div>
    <w:div w:id="1265920256">
      <w:bodyDiv w:val="1"/>
      <w:marLeft w:val="0"/>
      <w:marRight w:val="0"/>
      <w:marTop w:val="0"/>
      <w:marBottom w:val="0"/>
      <w:divBdr>
        <w:top w:val="none" w:sz="0" w:space="0" w:color="auto"/>
        <w:left w:val="none" w:sz="0" w:space="0" w:color="auto"/>
        <w:bottom w:val="none" w:sz="0" w:space="0" w:color="auto"/>
        <w:right w:val="none" w:sz="0" w:space="0" w:color="auto"/>
      </w:divBdr>
    </w:div>
    <w:div w:id="1267929837">
      <w:bodyDiv w:val="1"/>
      <w:marLeft w:val="0"/>
      <w:marRight w:val="0"/>
      <w:marTop w:val="0"/>
      <w:marBottom w:val="0"/>
      <w:divBdr>
        <w:top w:val="none" w:sz="0" w:space="0" w:color="auto"/>
        <w:left w:val="none" w:sz="0" w:space="0" w:color="auto"/>
        <w:bottom w:val="none" w:sz="0" w:space="0" w:color="auto"/>
        <w:right w:val="none" w:sz="0" w:space="0" w:color="auto"/>
      </w:divBdr>
    </w:div>
    <w:div w:id="1267930867">
      <w:bodyDiv w:val="1"/>
      <w:marLeft w:val="0"/>
      <w:marRight w:val="0"/>
      <w:marTop w:val="0"/>
      <w:marBottom w:val="0"/>
      <w:divBdr>
        <w:top w:val="none" w:sz="0" w:space="0" w:color="auto"/>
        <w:left w:val="none" w:sz="0" w:space="0" w:color="auto"/>
        <w:bottom w:val="none" w:sz="0" w:space="0" w:color="auto"/>
        <w:right w:val="none" w:sz="0" w:space="0" w:color="auto"/>
      </w:divBdr>
    </w:div>
    <w:div w:id="1268655380">
      <w:bodyDiv w:val="1"/>
      <w:marLeft w:val="0"/>
      <w:marRight w:val="0"/>
      <w:marTop w:val="0"/>
      <w:marBottom w:val="0"/>
      <w:divBdr>
        <w:top w:val="none" w:sz="0" w:space="0" w:color="auto"/>
        <w:left w:val="none" w:sz="0" w:space="0" w:color="auto"/>
        <w:bottom w:val="none" w:sz="0" w:space="0" w:color="auto"/>
        <w:right w:val="none" w:sz="0" w:space="0" w:color="auto"/>
      </w:divBdr>
    </w:div>
    <w:div w:id="1268929507">
      <w:bodyDiv w:val="1"/>
      <w:marLeft w:val="0"/>
      <w:marRight w:val="0"/>
      <w:marTop w:val="0"/>
      <w:marBottom w:val="0"/>
      <w:divBdr>
        <w:top w:val="none" w:sz="0" w:space="0" w:color="auto"/>
        <w:left w:val="none" w:sz="0" w:space="0" w:color="auto"/>
        <w:bottom w:val="none" w:sz="0" w:space="0" w:color="auto"/>
        <w:right w:val="none" w:sz="0" w:space="0" w:color="auto"/>
      </w:divBdr>
    </w:div>
    <w:div w:id="1269235890">
      <w:bodyDiv w:val="1"/>
      <w:marLeft w:val="0"/>
      <w:marRight w:val="0"/>
      <w:marTop w:val="0"/>
      <w:marBottom w:val="0"/>
      <w:divBdr>
        <w:top w:val="none" w:sz="0" w:space="0" w:color="auto"/>
        <w:left w:val="none" w:sz="0" w:space="0" w:color="auto"/>
        <w:bottom w:val="none" w:sz="0" w:space="0" w:color="auto"/>
        <w:right w:val="none" w:sz="0" w:space="0" w:color="auto"/>
      </w:divBdr>
    </w:div>
    <w:div w:id="1270358021">
      <w:bodyDiv w:val="1"/>
      <w:marLeft w:val="0"/>
      <w:marRight w:val="0"/>
      <w:marTop w:val="0"/>
      <w:marBottom w:val="0"/>
      <w:divBdr>
        <w:top w:val="none" w:sz="0" w:space="0" w:color="auto"/>
        <w:left w:val="none" w:sz="0" w:space="0" w:color="auto"/>
        <w:bottom w:val="none" w:sz="0" w:space="0" w:color="auto"/>
        <w:right w:val="none" w:sz="0" w:space="0" w:color="auto"/>
      </w:divBdr>
    </w:div>
    <w:div w:id="1271743255">
      <w:bodyDiv w:val="1"/>
      <w:marLeft w:val="0"/>
      <w:marRight w:val="0"/>
      <w:marTop w:val="0"/>
      <w:marBottom w:val="0"/>
      <w:divBdr>
        <w:top w:val="none" w:sz="0" w:space="0" w:color="auto"/>
        <w:left w:val="none" w:sz="0" w:space="0" w:color="auto"/>
        <w:bottom w:val="none" w:sz="0" w:space="0" w:color="auto"/>
        <w:right w:val="none" w:sz="0" w:space="0" w:color="auto"/>
      </w:divBdr>
    </w:div>
    <w:div w:id="1275672317">
      <w:bodyDiv w:val="1"/>
      <w:marLeft w:val="0"/>
      <w:marRight w:val="0"/>
      <w:marTop w:val="0"/>
      <w:marBottom w:val="0"/>
      <w:divBdr>
        <w:top w:val="none" w:sz="0" w:space="0" w:color="auto"/>
        <w:left w:val="none" w:sz="0" w:space="0" w:color="auto"/>
        <w:bottom w:val="none" w:sz="0" w:space="0" w:color="auto"/>
        <w:right w:val="none" w:sz="0" w:space="0" w:color="auto"/>
      </w:divBdr>
    </w:div>
    <w:div w:id="1278367246">
      <w:bodyDiv w:val="1"/>
      <w:marLeft w:val="0"/>
      <w:marRight w:val="0"/>
      <w:marTop w:val="0"/>
      <w:marBottom w:val="0"/>
      <w:divBdr>
        <w:top w:val="none" w:sz="0" w:space="0" w:color="auto"/>
        <w:left w:val="none" w:sz="0" w:space="0" w:color="auto"/>
        <w:bottom w:val="none" w:sz="0" w:space="0" w:color="auto"/>
        <w:right w:val="none" w:sz="0" w:space="0" w:color="auto"/>
      </w:divBdr>
    </w:div>
    <w:div w:id="1278756330">
      <w:bodyDiv w:val="1"/>
      <w:marLeft w:val="0"/>
      <w:marRight w:val="0"/>
      <w:marTop w:val="0"/>
      <w:marBottom w:val="0"/>
      <w:divBdr>
        <w:top w:val="none" w:sz="0" w:space="0" w:color="auto"/>
        <w:left w:val="none" w:sz="0" w:space="0" w:color="auto"/>
        <w:bottom w:val="none" w:sz="0" w:space="0" w:color="auto"/>
        <w:right w:val="none" w:sz="0" w:space="0" w:color="auto"/>
      </w:divBdr>
    </w:div>
    <w:div w:id="1284341090">
      <w:bodyDiv w:val="1"/>
      <w:marLeft w:val="0"/>
      <w:marRight w:val="0"/>
      <w:marTop w:val="0"/>
      <w:marBottom w:val="0"/>
      <w:divBdr>
        <w:top w:val="none" w:sz="0" w:space="0" w:color="auto"/>
        <w:left w:val="none" w:sz="0" w:space="0" w:color="auto"/>
        <w:bottom w:val="none" w:sz="0" w:space="0" w:color="auto"/>
        <w:right w:val="none" w:sz="0" w:space="0" w:color="auto"/>
      </w:divBdr>
    </w:div>
    <w:div w:id="1285431538">
      <w:bodyDiv w:val="1"/>
      <w:marLeft w:val="0"/>
      <w:marRight w:val="0"/>
      <w:marTop w:val="0"/>
      <w:marBottom w:val="0"/>
      <w:divBdr>
        <w:top w:val="none" w:sz="0" w:space="0" w:color="auto"/>
        <w:left w:val="none" w:sz="0" w:space="0" w:color="auto"/>
        <w:bottom w:val="none" w:sz="0" w:space="0" w:color="auto"/>
        <w:right w:val="none" w:sz="0" w:space="0" w:color="auto"/>
      </w:divBdr>
    </w:div>
    <w:div w:id="1288438432">
      <w:bodyDiv w:val="1"/>
      <w:marLeft w:val="0"/>
      <w:marRight w:val="0"/>
      <w:marTop w:val="0"/>
      <w:marBottom w:val="0"/>
      <w:divBdr>
        <w:top w:val="none" w:sz="0" w:space="0" w:color="auto"/>
        <w:left w:val="none" w:sz="0" w:space="0" w:color="auto"/>
        <w:bottom w:val="none" w:sz="0" w:space="0" w:color="auto"/>
        <w:right w:val="none" w:sz="0" w:space="0" w:color="auto"/>
      </w:divBdr>
    </w:div>
    <w:div w:id="1288852603">
      <w:bodyDiv w:val="1"/>
      <w:marLeft w:val="0"/>
      <w:marRight w:val="0"/>
      <w:marTop w:val="0"/>
      <w:marBottom w:val="0"/>
      <w:divBdr>
        <w:top w:val="none" w:sz="0" w:space="0" w:color="auto"/>
        <w:left w:val="none" w:sz="0" w:space="0" w:color="auto"/>
        <w:bottom w:val="none" w:sz="0" w:space="0" w:color="auto"/>
        <w:right w:val="none" w:sz="0" w:space="0" w:color="auto"/>
      </w:divBdr>
    </w:div>
    <w:div w:id="1289312374">
      <w:bodyDiv w:val="1"/>
      <w:marLeft w:val="0"/>
      <w:marRight w:val="0"/>
      <w:marTop w:val="0"/>
      <w:marBottom w:val="0"/>
      <w:divBdr>
        <w:top w:val="none" w:sz="0" w:space="0" w:color="auto"/>
        <w:left w:val="none" w:sz="0" w:space="0" w:color="auto"/>
        <w:bottom w:val="none" w:sz="0" w:space="0" w:color="auto"/>
        <w:right w:val="none" w:sz="0" w:space="0" w:color="auto"/>
      </w:divBdr>
    </w:div>
    <w:div w:id="1289436793">
      <w:bodyDiv w:val="1"/>
      <w:marLeft w:val="0"/>
      <w:marRight w:val="0"/>
      <w:marTop w:val="0"/>
      <w:marBottom w:val="0"/>
      <w:divBdr>
        <w:top w:val="none" w:sz="0" w:space="0" w:color="auto"/>
        <w:left w:val="none" w:sz="0" w:space="0" w:color="auto"/>
        <w:bottom w:val="none" w:sz="0" w:space="0" w:color="auto"/>
        <w:right w:val="none" w:sz="0" w:space="0" w:color="auto"/>
      </w:divBdr>
    </w:div>
    <w:div w:id="1297567793">
      <w:bodyDiv w:val="1"/>
      <w:marLeft w:val="0"/>
      <w:marRight w:val="0"/>
      <w:marTop w:val="0"/>
      <w:marBottom w:val="0"/>
      <w:divBdr>
        <w:top w:val="none" w:sz="0" w:space="0" w:color="auto"/>
        <w:left w:val="none" w:sz="0" w:space="0" w:color="auto"/>
        <w:bottom w:val="none" w:sz="0" w:space="0" w:color="auto"/>
        <w:right w:val="none" w:sz="0" w:space="0" w:color="auto"/>
      </w:divBdr>
    </w:div>
    <w:div w:id="1297636997">
      <w:bodyDiv w:val="1"/>
      <w:marLeft w:val="0"/>
      <w:marRight w:val="0"/>
      <w:marTop w:val="0"/>
      <w:marBottom w:val="0"/>
      <w:divBdr>
        <w:top w:val="none" w:sz="0" w:space="0" w:color="auto"/>
        <w:left w:val="none" w:sz="0" w:space="0" w:color="auto"/>
        <w:bottom w:val="none" w:sz="0" w:space="0" w:color="auto"/>
        <w:right w:val="none" w:sz="0" w:space="0" w:color="auto"/>
      </w:divBdr>
    </w:div>
    <w:div w:id="1298952968">
      <w:bodyDiv w:val="1"/>
      <w:marLeft w:val="0"/>
      <w:marRight w:val="0"/>
      <w:marTop w:val="0"/>
      <w:marBottom w:val="0"/>
      <w:divBdr>
        <w:top w:val="none" w:sz="0" w:space="0" w:color="auto"/>
        <w:left w:val="none" w:sz="0" w:space="0" w:color="auto"/>
        <w:bottom w:val="none" w:sz="0" w:space="0" w:color="auto"/>
        <w:right w:val="none" w:sz="0" w:space="0" w:color="auto"/>
      </w:divBdr>
    </w:div>
    <w:div w:id="1303000955">
      <w:bodyDiv w:val="1"/>
      <w:marLeft w:val="0"/>
      <w:marRight w:val="0"/>
      <w:marTop w:val="0"/>
      <w:marBottom w:val="0"/>
      <w:divBdr>
        <w:top w:val="none" w:sz="0" w:space="0" w:color="auto"/>
        <w:left w:val="none" w:sz="0" w:space="0" w:color="auto"/>
        <w:bottom w:val="none" w:sz="0" w:space="0" w:color="auto"/>
        <w:right w:val="none" w:sz="0" w:space="0" w:color="auto"/>
      </w:divBdr>
    </w:div>
    <w:div w:id="1303459276">
      <w:bodyDiv w:val="1"/>
      <w:marLeft w:val="0"/>
      <w:marRight w:val="0"/>
      <w:marTop w:val="0"/>
      <w:marBottom w:val="0"/>
      <w:divBdr>
        <w:top w:val="none" w:sz="0" w:space="0" w:color="auto"/>
        <w:left w:val="none" w:sz="0" w:space="0" w:color="auto"/>
        <w:bottom w:val="none" w:sz="0" w:space="0" w:color="auto"/>
        <w:right w:val="none" w:sz="0" w:space="0" w:color="auto"/>
      </w:divBdr>
    </w:div>
    <w:div w:id="1304889560">
      <w:bodyDiv w:val="1"/>
      <w:marLeft w:val="0"/>
      <w:marRight w:val="0"/>
      <w:marTop w:val="0"/>
      <w:marBottom w:val="0"/>
      <w:divBdr>
        <w:top w:val="none" w:sz="0" w:space="0" w:color="auto"/>
        <w:left w:val="none" w:sz="0" w:space="0" w:color="auto"/>
        <w:bottom w:val="none" w:sz="0" w:space="0" w:color="auto"/>
        <w:right w:val="none" w:sz="0" w:space="0" w:color="auto"/>
      </w:divBdr>
    </w:div>
    <w:div w:id="1305617361">
      <w:bodyDiv w:val="1"/>
      <w:marLeft w:val="0"/>
      <w:marRight w:val="0"/>
      <w:marTop w:val="0"/>
      <w:marBottom w:val="0"/>
      <w:divBdr>
        <w:top w:val="none" w:sz="0" w:space="0" w:color="auto"/>
        <w:left w:val="none" w:sz="0" w:space="0" w:color="auto"/>
        <w:bottom w:val="none" w:sz="0" w:space="0" w:color="auto"/>
        <w:right w:val="none" w:sz="0" w:space="0" w:color="auto"/>
      </w:divBdr>
    </w:div>
    <w:div w:id="1306859065">
      <w:bodyDiv w:val="1"/>
      <w:marLeft w:val="0"/>
      <w:marRight w:val="0"/>
      <w:marTop w:val="0"/>
      <w:marBottom w:val="0"/>
      <w:divBdr>
        <w:top w:val="none" w:sz="0" w:space="0" w:color="auto"/>
        <w:left w:val="none" w:sz="0" w:space="0" w:color="auto"/>
        <w:bottom w:val="none" w:sz="0" w:space="0" w:color="auto"/>
        <w:right w:val="none" w:sz="0" w:space="0" w:color="auto"/>
      </w:divBdr>
    </w:div>
    <w:div w:id="1307513727">
      <w:bodyDiv w:val="1"/>
      <w:marLeft w:val="0"/>
      <w:marRight w:val="0"/>
      <w:marTop w:val="0"/>
      <w:marBottom w:val="0"/>
      <w:divBdr>
        <w:top w:val="none" w:sz="0" w:space="0" w:color="auto"/>
        <w:left w:val="none" w:sz="0" w:space="0" w:color="auto"/>
        <w:bottom w:val="none" w:sz="0" w:space="0" w:color="auto"/>
        <w:right w:val="none" w:sz="0" w:space="0" w:color="auto"/>
      </w:divBdr>
    </w:div>
    <w:div w:id="1308169816">
      <w:bodyDiv w:val="1"/>
      <w:marLeft w:val="0"/>
      <w:marRight w:val="0"/>
      <w:marTop w:val="0"/>
      <w:marBottom w:val="0"/>
      <w:divBdr>
        <w:top w:val="none" w:sz="0" w:space="0" w:color="auto"/>
        <w:left w:val="none" w:sz="0" w:space="0" w:color="auto"/>
        <w:bottom w:val="none" w:sz="0" w:space="0" w:color="auto"/>
        <w:right w:val="none" w:sz="0" w:space="0" w:color="auto"/>
      </w:divBdr>
    </w:div>
    <w:div w:id="1309556893">
      <w:bodyDiv w:val="1"/>
      <w:marLeft w:val="0"/>
      <w:marRight w:val="0"/>
      <w:marTop w:val="0"/>
      <w:marBottom w:val="0"/>
      <w:divBdr>
        <w:top w:val="none" w:sz="0" w:space="0" w:color="auto"/>
        <w:left w:val="none" w:sz="0" w:space="0" w:color="auto"/>
        <w:bottom w:val="none" w:sz="0" w:space="0" w:color="auto"/>
        <w:right w:val="none" w:sz="0" w:space="0" w:color="auto"/>
      </w:divBdr>
    </w:div>
    <w:div w:id="1310793913">
      <w:bodyDiv w:val="1"/>
      <w:marLeft w:val="0"/>
      <w:marRight w:val="0"/>
      <w:marTop w:val="0"/>
      <w:marBottom w:val="0"/>
      <w:divBdr>
        <w:top w:val="none" w:sz="0" w:space="0" w:color="auto"/>
        <w:left w:val="none" w:sz="0" w:space="0" w:color="auto"/>
        <w:bottom w:val="none" w:sz="0" w:space="0" w:color="auto"/>
        <w:right w:val="none" w:sz="0" w:space="0" w:color="auto"/>
      </w:divBdr>
    </w:div>
    <w:div w:id="1311444043">
      <w:bodyDiv w:val="1"/>
      <w:marLeft w:val="0"/>
      <w:marRight w:val="0"/>
      <w:marTop w:val="0"/>
      <w:marBottom w:val="0"/>
      <w:divBdr>
        <w:top w:val="none" w:sz="0" w:space="0" w:color="auto"/>
        <w:left w:val="none" w:sz="0" w:space="0" w:color="auto"/>
        <w:bottom w:val="none" w:sz="0" w:space="0" w:color="auto"/>
        <w:right w:val="none" w:sz="0" w:space="0" w:color="auto"/>
      </w:divBdr>
    </w:div>
    <w:div w:id="1311862097">
      <w:bodyDiv w:val="1"/>
      <w:marLeft w:val="0"/>
      <w:marRight w:val="0"/>
      <w:marTop w:val="0"/>
      <w:marBottom w:val="0"/>
      <w:divBdr>
        <w:top w:val="none" w:sz="0" w:space="0" w:color="auto"/>
        <w:left w:val="none" w:sz="0" w:space="0" w:color="auto"/>
        <w:bottom w:val="none" w:sz="0" w:space="0" w:color="auto"/>
        <w:right w:val="none" w:sz="0" w:space="0" w:color="auto"/>
      </w:divBdr>
    </w:div>
    <w:div w:id="1312558586">
      <w:bodyDiv w:val="1"/>
      <w:marLeft w:val="0"/>
      <w:marRight w:val="0"/>
      <w:marTop w:val="0"/>
      <w:marBottom w:val="0"/>
      <w:divBdr>
        <w:top w:val="none" w:sz="0" w:space="0" w:color="auto"/>
        <w:left w:val="none" w:sz="0" w:space="0" w:color="auto"/>
        <w:bottom w:val="none" w:sz="0" w:space="0" w:color="auto"/>
        <w:right w:val="none" w:sz="0" w:space="0" w:color="auto"/>
      </w:divBdr>
    </w:div>
    <w:div w:id="1313682842">
      <w:bodyDiv w:val="1"/>
      <w:marLeft w:val="0"/>
      <w:marRight w:val="0"/>
      <w:marTop w:val="0"/>
      <w:marBottom w:val="0"/>
      <w:divBdr>
        <w:top w:val="none" w:sz="0" w:space="0" w:color="auto"/>
        <w:left w:val="none" w:sz="0" w:space="0" w:color="auto"/>
        <w:bottom w:val="none" w:sz="0" w:space="0" w:color="auto"/>
        <w:right w:val="none" w:sz="0" w:space="0" w:color="auto"/>
      </w:divBdr>
    </w:div>
    <w:div w:id="1316571543">
      <w:bodyDiv w:val="1"/>
      <w:marLeft w:val="0"/>
      <w:marRight w:val="0"/>
      <w:marTop w:val="0"/>
      <w:marBottom w:val="0"/>
      <w:divBdr>
        <w:top w:val="none" w:sz="0" w:space="0" w:color="auto"/>
        <w:left w:val="none" w:sz="0" w:space="0" w:color="auto"/>
        <w:bottom w:val="none" w:sz="0" w:space="0" w:color="auto"/>
        <w:right w:val="none" w:sz="0" w:space="0" w:color="auto"/>
      </w:divBdr>
    </w:div>
    <w:div w:id="1316760316">
      <w:bodyDiv w:val="1"/>
      <w:marLeft w:val="0"/>
      <w:marRight w:val="0"/>
      <w:marTop w:val="0"/>
      <w:marBottom w:val="0"/>
      <w:divBdr>
        <w:top w:val="none" w:sz="0" w:space="0" w:color="auto"/>
        <w:left w:val="none" w:sz="0" w:space="0" w:color="auto"/>
        <w:bottom w:val="none" w:sz="0" w:space="0" w:color="auto"/>
        <w:right w:val="none" w:sz="0" w:space="0" w:color="auto"/>
      </w:divBdr>
    </w:div>
    <w:div w:id="1318075286">
      <w:bodyDiv w:val="1"/>
      <w:marLeft w:val="0"/>
      <w:marRight w:val="0"/>
      <w:marTop w:val="0"/>
      <w:marBottom w:val="0"/>
      <w:divBdr>
        <w:top w:val="none" w:sz="0" w:space="0" w:color="auto"/>
        <w:left w:val="none" w:sz="0" w:space="0" w:color="auto"/>
        <w:bottom w:val="none" w:sz="0" w:space="0" w:color="auto"/>
        <w:right w:val="none" w:sz="0" w:space="0" w:color="auto"/>
      </w:divBdr>
    </w:div>
    <w:div w:id="1325549833">
      <w:bodyDiv w:val="1"/>
      <w:marLeft w:val="0"/>
      <w:marRight w:val="0"/>
      <w:marTop w:val="0"/>
      <w:marBottom w:val="0"/>
      <w:divBdr>
        <w:top w:val="none" w:sz="0" w:space="0" w:color="auto"/>
        <w:left w:val="none" w:sz="0" w:space="0" w:color="auto"/>
        <w:bottom w:val="none" w:sz="0" w:space="0" w:color="auto"/>
        <w:right w:val="none" w:sz="0" w:space="0" w:color="auto"/>
      </w:divBdr>
    </w:div>
    <w:div w:id="1325889940">
      <w:bodyDiv w:val="1"/>
      <w:marLeft w:val="0"/>
      <w:marRight w:val="0"/>
      <w:marTop w:val="0"/>
      <w:marBottom w:val="0"/>
      <w:divBdr>
        <w:top w:val="none" w:sz="0" w:space="0" w:color="auto"/>
        <w:left w:val="none" w:sz="0" w:space="0" w:color="auto"/>
        <w:bottom w:val="none" w:sz="0" w:space="0" w:color="auto"/>
        <w:right w:val="none" w:sz="0" w:space="0" w:color="auto"/>
      </w:divBdr>
    </w:div>
    <w:div w:id="1326590154">
      <w:bodyDiv w:val="1"/>
      <w:marLeft w:val="0"/>
      <w:marRight w:val="0"/>
      <w:marTop w:val="0"/>
      <w:marBottom w:val="0"/>
      <w:divBdr>
        <w:top w:val="none" w:sz="0" w:space="0" w:color="auto"/>
        <w:left w:val="none" w:sz="0" w:space="0" w:color="auto"/>
        <w:bottom w:val="none" w:sz="0" w:space="0" w:color="auto"/>
        <w:right w:val="none" w:sz="0" w:space="0" w:color="auto"/>
      </w:divBdr>
    </w:div>
    <w:div w:id="1328171634">
      <w:bodyDiv w:val="1"/>
      <w:marLeft w:val="0"/>
      <w:marRight w:val="0"/>
      <w:marTop w:val="0"/>
      <w:marBottom w:val="0"/>
      <w:divBdr>
        <w:top w:val="none" w:sz="0" w:space="0" w:color="auto"/>
        <w:left w:val="none" w:sz="0" w:space="0" w:color="auto"/>
        <w:bottom w:val="none" w:sz="0" w:space="0" w:color="auto"/>
        <w:right w:val="none" w:sz="0" w:space="0" w:color="auto"/>
      </w:divBdr>
    </w:div>
    <w:div w:id="1332754372">
      <w:bodyDiv w:val="1"/>
      <w:marLeft w:val="0"/>
      <w:marRight w:val="0"/>
      <w:marTop w:val="0"/>
      <w:marBottom w:val="0"/>
      <w:divBdr>
        <w:top w:val="none" w:sz="0" w:space="0" w:color="auto"/>
        <w:left w:val="none" w:sz="0" w:space="0" w:color="auto"/>
        <w:bottom w:val="none" w:sz="0" w:space="0" w:color="auto"/>
        <w:right w:val="none" w:sz="0" w:space="0" w:color="auto"/>
      </w:divBdr>
    </w:div>
    <w:div w:id="1334409964">
      <w:bodyDiv w:val="1"/>
      <w:marLeft w:val="0"/>
      <w:marRight w:val="0"/>
      <w:marTop w:val="0"/>
      <w:marBottom w:val="0"/>
      <w:divBdr>
        <w:top w:val="none" w:sz="0" w:space="0" w:color="auto"/>
        <w:left w:val="none" w:sz="0" w:space="0" w:color="auto"/>
        <w:bottom w:val="none" w:sz="0" w:space="0" w:color="auto"/>
        <w:right w:val="none" w:sz="0" w:space="0" w:color="auto"/>
      </w:divBdr>
      <w:divsChild>
        <w:div w:id="96101395">
          <w:marLeft w:val="274"/>
          <w:marRight w:val="0"/>
          <w:marTop w:val="0"/>
          <w:marBottom w:val="0"/>
          <w:divBdr>
            <w:top w:val="none" w:sz="0" w:space="0" w:color="auto"/>
            <w:left w:val="none" w:sz="0" w:space="0" w:color="auto"/>
            <w:bottom w:val="none" w:sz="0" w:space="0" w:color="auto"/>
            <w:right w:val="none" w:sz="0" w:space="0" w:color="auto"/>
          </w:divBdr>
        </w:div>
        <w:div w:id="182791153">
          <w:marLeft w:val="274"/>
          <w:marRight w:val="0"/>
          <w:marTop w:val="0"/>
          <w:marBottom w:val="0"/>
          <w:divBdr>
            <w:top w:val="none" w:sz="0" w:space="0" w:color="auto"/>
            <w:left w:val="none" w:sz="0" w:space="0" w:color="auto"/>
            <w:bottom w:val="none" w:sz="0" w:space="0" w:color="auto"/>
            <w:right w:val="none" w:sz="0" w:space="0" w:color="auto"/>
          </w:divBdr>
        </w:div>
        <w:div w:id="216670679">
          <w:marLeft w:val="274"/>
          <w:marRight w:val="0"/>
          <w:marTop w:val="0"/>
          <w:marBottom w:val="0"/>
          <w:divBdr>
            <w:top w:val="none" w:sz="0" w:space="0" w:color="auto"/>
            <w:left w:val="none" w:sz="0" w:space="0" w:color="auto"/>
            <w:bottom w:val="none" w:sz="0" w:space="0" w:color="auto"/>
            <w:right w:val="none" w:sz="0" w:space="0" w:color="auto"/>
          </w:divBdr>
        </w:div>
        <w:div w:id="768890440">
          <w:marLeft w:val="274"/>
          <w:marRight w:val="0"/>
          <w:marTop w:val="0"/>
          <w:marBottom w:val="0"/>
          <w:divBdr>
            <w:top w:val="none" w:sz="0" w:space="0" w:color="auto"/>
            <w:left w:val="none" w:sz="0" w:space="0" w:color="auto"/>
            <w:bottom w:val="none" w:sz="0" w:space="0" w:color="auto"/>
            <w:right w:val="none" w:sz="0" w:space="0" w:color="auto"/>
          </w:divBdr>
        </w:div>
        <w:div w:id="774248137">
          <w:marLeft w:val="274"/>
          <w:marRight w:val="0"/>
          <w:marTop w:val="0"/>
          <w:marBottom w:val="0"/>
          <w:divBdr>
            <w:top w:val="none" w:sz="0" w:space="0" w:color="auto"/>
            <w:left w:val="none" w:sz="0" w:space="0" w:color="auto"/>
            <w:bottom w:val="none" w:sz="0" w:space="0" w:color="auto"/>
            <w:right w:val="none" w:sz="0" w:space="0" w:color="auto"/>
          </w:divBdr>
        </w:div>
        <w:div w:id="779421684">
          <w:marLeft w:val="274"/>
          <w:marRight w:val="0"/>
          <w:marTop w:val="0"/>
          <w:marBottom w:val="0"/>
          <w:divBdr>
            <w:top w:val="none" w:sz="0" w:space="0" w:color="auto"/>
            <w:left w:val="none" w:sz="0" w:space="0" w:color="auto"/>
            <w:bottom w:val="none" w:sz="0" w:space="0" w:color="auto"/>
            <w:right w:val="none" w:sz="0" w:space="0" w:color="auto"/>
          </w:divBdr>
        </w:div>
        <w:div w:id="923491847">
          <w:marLeft w:val="274"/>
          <w:marRight w:val="0"/>
          <w:marTop w:val="0"/>
          <w:marBottom w:val="0"/>
          <w:divBdr>
            <w:top w:val="none" w:sz="0" w:space="0" w:color="auto"/>
            <w:left w:val="none" w:sz="0" w:space="0" w:color="auto"/>
            <w:bottom w:val="none" w:sz="0" w:space="0" w:color="auto"/>
            <w:right w:val="none" w:sz="0" w:space="0" w:color="auto"/>
          </w:divBdr>
        </w:div>
        <w:div w:id="1040593406">
          <w:marLeft w:val="274"/>
          <w:marRight w:val="0"/>
          <w:marTop w:val="0"/>
          <w:marBottom w:val="0"/>
          <w:divBdr>
            <w:top w:val="none" w:sz="0" w:space="0" w:color="auto"/>
            <w:left w:val="none" w:sz="0" w:space="0" w:color="auto"/>
            <w:bottom w:val="none" w:sz="0" w:space="0" w:color="auto"/>
            <w:right w:val="none" w:sz="0" w:space="0" w:color="auto"/>
          </w:divBdr>
        </w:div>
        <w:div w:id="1153522612">
          <w:marLeft w:val="274"/>
          <w:marRight w:val="0"/>
          <w:marTop w:val="0"/>
          <w:marBottom w:val="0"/>
          <w:divBdr>
            <w:top w:val="none" w:sz="0" w:space="0" w:color="auto"/>
            <w:left w:val="none" w:sz="0" w:space="0" w:color="auto"/>
            <w:bottom w:val="none" w:sz="0" w:space="0" w:color="auto"/>
            <w:right w:val="none" w:sz="0" w:space="0" w:color="auto"/>
          </w:divBdr>
        </w:div>
        <w:div w:id="1355689417">
          <w:marLeft w:val="274"/>
          <w:marRight w:val="0"/>
          <w:marTop w:val="0"/>
          <w:marBottom w:val="0"/>
          <w:divBdr>
            <w:top w:val="none" w:sz="0" w:space="0" w:color="auto"/>
            <w:left w:val="none" w:sz="0" w:space="0" w:color="auto"/>
            <w:bottom w:val="none" w:sz="0" w:space="0" w:color="auto"/>
            <w:right w:val="none" w:sz="0" w:space="0" w:color="auto"/>
          </w:divBdr>
        </w:div>
        <w:div w:id="1543446704">
          <w:marLeft w:val="274"/>
          <w:marRight w:val="0"/>
          <w:marTop w:val="0"/>
          <w:marBottom w:val="0"/>
          <w:divBdr>
            <w:top w:val="none" w:sz="0" w:space="0" w:color="auto"/>
            <w:left w:val="none" w:sz="0" w:space="0" w:color="auto"/>
            <w:bottom w:val="none" w:sz="0" w:space="0" w:color="auto"/>
            <w:right w:val="none" w:sz="0" w:space="0" w:color="auto"/>
          </w:divBdr>
        </w:div>
        <w:div w:id="1992249747">
          <w:marLeft w:val="274"/>
          <w:marRight w:val="0"/>
          <w:marTop w:val="0"/>
          <w:marBottom w:val="0"/>
          <w:divBdr>
            <w:top w:val="none" w:sz="0" w:space="0" w:color="auto"/>
            <w:left w:val="none" w:sz="0" w:space="0" w:color="auto"/>
            <w:bottom w:val="none" w:sz="0" w:space="0" w:color="auto"/>
            <w:right w:val="none" w:sz="0" w:space="0" w:color="auto"/>
          </w:divBdr>
        </w:div>
        <w:div w:id="2086295313">
          <w:marLeft w:val="274"/>
          <w:marRight w:val="0"/>
          <w:marTop w:val="0"/>
          <w:marBottom w:val="0"/>
          <w:divBdr>
            <w:top w:val="none" w:sz="0" w:space="0" w:color="auto"/>
            <w:left w:val="none" w:sz="0" w:space="0" w:color="auto"/>
            <w:bottom w:val="none" w:sz="0" w:space="0" w:color="auto"/>
            <w:right w:val="none" w:sz="0" w:space="0" w:color="auto"/>
          </w:divBdr>
        </w:div>
        <w:div w:id="2102221121">
          <w:marLeft w:val="274"/>
          <w:marRight w:val="0"/>
          <w:marTop w:val="0"/>
          <w:marBottom w:val="0"/>
          <w:divBdr>
            <w:top w:val="none" w:sz="0" w:space="0" w:color="auto"/>
            <w:left w:val="none" w:sz="0" w:space="0" w:color="auto"/>
            <w:bottom w:val="none" w:sz="0" w:space="0" w:color="auto"/>
            <w:right w:val="none" w:sz="0" w:space="0" w:color="auto"/>
          </w:divBdr>
        </w:div>
      </w:divsChild>
    </w:div>
    <w:div w:id="1335839367">
      <w:bodyDiv w:val="1"/>
      <w:marLeft w:val="0"/>
      <w:marRight w:val="0"/>
      <w:marTop w:val="0"/>
      <w:marBottom w:val="0"/>
      <w:divBdr>
        <w:top w:val="none" w:sz="0" w:space="0" w:color="auto"/>
        <w:left w:val="none" w:sz="0" w:space="0" w:color="auto"/>
        <w:bottom w:val="none" w:sz="0" w:space="0" w:color="auto"/>
        <w:right w:val="none" w:sz="0" w:space="0" w:color="auto"/>
      </w:divBdr>
    </w:div>
    <w:div w:id="1337227739">
      <w:bodyDiv w:val="1"/>
      <w:marLeft w:val="0"/>
      <w:marRight w:val="0"/>
      <w:marTop w:val="0"/>
      <w:marBottom w:val="0"/>
      <w:divBdr>
        <w:top w:val="none" w:sz="0" w:space="0" w:color="auto"/>
        <w:left w:val="none" w:sz="0" w:space="0" w:color="auto"/>
        <w:bottom w:val="none" w:sz="0" w:space="0" w:color="auto"/>
        <w:right w:val="none" w:sz="0" w:space="0" w:color="auto"/>
      </w:divBdr>
    </w:div>
    <w:div w:id="1342586410">
      <w:bodyDiv w:val="1"/>
      <w:marLeft w:val="0"/>
      <w:marRight w:val="0"/>
      <w:marTop w:val="0"/>
      <w:marBottom w:val="0"/>
      <w:divBdr>
        <w:top w:val="none" w:sz="0" w:space="0" w:color="auto"/>
        <w:left w:val="none" w:sz="0" w:space="0" w:color="auto"/>
        <w:bottom w:val="none" w:sz="0" w:space="0" w:color="auto"/>
        <w:right w:val="none" w:sz="0" w:space="0" w:color="auto"/>
      </w:divBdr>
    </w:div>
    <w:div w:id="1343899615">
      <w:bodyDiv w:val="1"/>
      <w:marLeft w:val="0"/>
      <w:marRight w:val="0"/>
      <w:marTop w:val="0"/>
      <w:marBottom w:val="0"/>
      <w:divBdr>
        <w:top w:val="none" w:sz="0" w:space="0" w:color="auto"/>
        <w:left w:val="none" w:sz="0" w:space="0" w:color="auto"/>
        <w:bottom w:val="none" w:sz="0" w:space="0" w:color="auto"/>
        <w:right w:val="none" w:sz="0" w:space="0" w:color="auto"/>
      </w:divBdr>
    </w:div>
    <w:div w:id="1345009026">
      <w:bodyDiv w:val="1"/>
      <w:marLeft w:val="0"/>
      <w:marRight w:val="0"/>
      <w:marTop w:val="0"/>
      <w:marBottom w:val="0"/>
      <w:divBdr>
        <w:top w:val="none" w:sz="0" w:space="0" w:color="auto"/>
        <w:left w:val="none" w:sz="0" w:space="0" w:color="auto"/>
        <w:bottom w:val="none" w:sz="0" w:space="0" w:color="auto"/>
        <w:right w:val="none" w:sz="0" w:space="0" w:color="auto"/>
      </w:divBdr>
    </w:div>
    <w:div w:id="1345404320">
      <w:bodyDiv w:val="1"/>
      <w:marLeft w:val="0"/>
      <w:marRight w:val="0"/>
      <w:marTop w:val="0"/>
      <w:marBottom w:val="0"/>
      <w:divBdr>
        <w:top w:val="none" w:sz="0" w:space="0" w:color="auto"/>
        <w:left w:val="none" w:sz="0" w:space="0" w:color="auto"/>
        <w:bottom w:val="none" w:sz="0" w:space="0" w:color="auto"/>
        <w:right w:val="none" w:sz="0" w:space="0" w:color="auto"/>
      </w:divBdr>
    </w:div>
    <w:div w:id="1352344428">
      <w:bodyDiv w:val="1"/>
      <w:marLeft w:val="0"/>
      <w:marRight w:val="0"/>
      <w:marTop w:val="0"/>
      <w:marBottom w:val="0"/>
      <w:divBdr>
        <w:top w:val="none" w:sz="0" w:space="0" w:color="auto"/>
        <w:left w:val="none" w:sz="0" w:space="0" w:color="auto"/>
        <w:bottom w:val="none" w:sz="0" w:space="0" w:color="auto"/>
        <w:right w:val="none" w:sz="0" w:space="0" w:color="auto"/>
      </w:divBdr>
    </w:div>
    <w:div w:id="1354918649">
      <w:bodyDiv w:val="1"/>
      <w:marLeft w:val="0"/>
      <w:marRight w:val="0"/>
      <w:marTop w:val="0"/>
      <w:marBottom w:val="0"/>
      <w:divBdr>
        <w:top w:val="none" w:sz="0" w:space="0" w:color="auto"/>
        <w:left w:val="none" w:sz="0" w:space="0" w:color="auto"/>
        <w:bottom w:val="none" w:sz="0" w:space="0" w:color="auto"/>
        <w:right w:val="none" w:sz="0" w:space="0" w:color="auto"/>
      </w:divBdr>
    </w:div>
    <w:div w:id="1355158147">
      <w:bodyDiv w:val="1"/>
      <w:marLeft w:val="0"/>
      <w:marRight w:val="0"/>
      <w:marTop w:val="0"/>
      <w:marBottom w:val="0"/>
      <w:divBdr>
        <w:top w:val="none" w:sz="0" w:space="0" w:color="auto"/>
        <w:left w:val="none" w:sz="0" w:space="0" w:color="auto"/>
        <w:bottom w:val="none" w:sz="0" w:space="0" w:color="auto"/>
        <w:right w:val="none" w:sz="0" w:space="0" w:color="auto"/>
      </w:divBdr>
    </w:div>
    <w:div w:id="1355498819">
      <w:bodyDiv w:val="1"/>
      <w:marLeft w:val="0"/>
      <w:marRight w:val="0"/>
      <w:marTop w:val="0"/>
      <w:marBottom w:val="0"/>
      <w:divBdr>
        <w:top w:val="none" w:sz="0" w:space="0" w:color="auto"/>
        <w:left w:val="none" w:sz="0" w:space="0" w:color="auto"/>
        <w:bottom w:val="none" w:sz="0" w:space="0" w:color="auto"/>
        <w:right w:val="none" w:sz="0" w:space="0" w:color="auto"/>
      </w:divBdr>
    </w:div>
    <w:div w:id="1355762467">
      <w:bodyDiv w:val="1"/>
      <w:marLeft w:val="0"/>
      <w:marRight w:val="0"/>
      <w:marTop w:val="0"/>
      <w:marBottom w:val="0"/>
      <w:divBdr>
        <w:top w:val="none" w:sz="0" w:space="0" w:color="auto"/>
        <w:left w:val="none" w:sz="0" w:space="0" w:color="auto"/>
        <w:bottom w:val="none" w:sz="0" w:space="0" w:color="auto"/>
        <w:right w:val="none" w:sz="0" w:space="0" w:color="auto"/>
      </w:divBdr>
    </w:div>
    <w:div w:id="1361855526">
      <w:bodyDiv w:val="1"/>
      <w:marLeft w:val="0"/>
      <w:marRight w:val="0"/>
      <w:marTop w:val="0"/>
      <w:marBottom w:val="0"/>
      <w:divBdr>
        <w:top w:val="none" w:sz="0" w:space="0" w:color="auto"/>
        <w:left w:val="none" w:sz="0" w:space="0" w:color="auto"/>
        <w:bottom w:val="none" w:sz="0" w:space="0" w:color="auto"/>
        <w:right w:val="none" w:sz="0" w:space="0" w:color="auto"/>
      </w:divBdr>
    </w:div>
    <w:div w:id="1362512626">
      <w:bodyDiv w:val="1"/>
      <w:marLeft w:val="0"/>
      <w:marRight w:val="0"/>
      <w:marTop w:val="0"/>
      <w:marBottom w:val="0"/>
      <w:divBdr>
        <w:top w:val="none" w:sz="0" w:space="0" w:color="auto"/>
        <w:left w:val="none" w:sz="0" w:space="0" w:color="auto"/>
        <w:bottom w:val="none" w:sz="0" w:space="0" w:color="auto"/>
        <w:right w:val="none" w:sz="0" w:space="0" w:color="auto"/>
      </w:divBdr>
    </w:div>
    <w:div w:id="1363508437">
      <w:bodyDiv w:val="1"/>
      <w:marLeft w:val="0"/>
      <w:marRight w:val="0"/>
      <w:marTop w:val="0"/>
      <w:marBottom w:val="0"/>
      <w:divBdr>
        <w:top w:val="none" w:sz="0" w:space="0" w:color="auto"/>
        <w:left w:val="none" w:sz="0" w:space="0" w:color="auto"/>
        <w:bottom w:val="none" w:sz="0" w:space="0" w:color="auto"/>
        <w:right w:val="none" w:sz="0" w:space="0" w:color="auto"/>
      </w:divBdr>
    </w:div>
    <w:div w:id="1366060104">
      <w:bodyDiv w:val="1"/>
      <w:marLeft w:val="0"/>
      <w:marRight w:val="0"/>
      <w:marTop w:val="0"/>
      <w:marBottom w:val="0"/>
      <w:divBdr>
        <w:top w:val="none" w:sz="0" w:space="0" w:color="auto"/>
        <w:left w:val="none" w:sz="0" w:space="0" w:color="auto"/>
        <w:bottom w:val="none" w:sz="0" w:space="0" w:color="auto"/>
        <w:right w:val="none" w:sz="0" w:space="0" w:color="auto"/>
      </w:divBdr>
    </w:div>
    <w:div w:id="1366523875">
      <w:bodyDiv w:val="1"/>
      <w:marLeft w:val="0"/>
      <w:marRight w:val="0"/>
      <w:marTop w:val="0"/>
      <w:marBottom w:val="0"/>
      <w:divBdr>
        <w:top w:val="none" w:sz="0" w:space="0" w:color="auto"/>
        <w:left w:val="none" w:sz="0" w:space="0" w:color="auto"/>
        <w:bottom w:val="none" w:sz="0" w:space="0" w:color="auto"/>
        <w:right w:val="none" w:sz="0" w:space="0" w:color="auto"/>
      </w:divBdr>
    </w:div>
    <w:div w:id="1366759964">
      <w:bodyDiv w:val="1"/>
      <w:marLeft w:val="0"/>
      <w:marRight w:val="0"/>
      <w:marTop w:val="0"/>
      <w:marBottom w:val="0"/>
      <w:divBdr>
        <w:top w:val="none" w:sz="0" w:space="0" w:color="auto"/>
        <w:left w:val="none" w:sz="0" w:space="0" w:color="auto"/>
        <w:bottom w:val="none" w:sz="0" w:space="0" w:color="auto"/>
        <w:right w:val="none" w:sz="0" w:space="0" w:color="auto"/>
      </w:divBdr>
    </w:div>
    <w:div w:id="1366829666">
      <w:bodyDiv w:val="1"/>
      <w:marLeft w:val="0"/>
      <w:marRight w:val="0"/>
      <w:marTop w:val="0"/>
      <w:marBottom w:val="0"/>
      <w:divBdr>
        <w:top w:val="none" w:sz="0" w:space="0" w:color="auto"/>
        <w:left w:val="none" w:sz="0" w:space="0" w:color="auto"/>
        <w:bottom w:val="none" w:sz="0" w:space="0" w:color="auto"/>
        <w:right w:val="none" w:sz="0" w:space="0" w:color="auto"/>
      </w:divBdr>
    </w:div>
    <w:div w:id="1368212834">
      <w:bodyDiv w:val="1"/>
      <w:marLeft w:val="0"/>
      <w:marRight w:val="0"/>
      <w:marTop w:val="0"/>
      <w:marBottom w:val="0"/>
      <w:divBdr>
        <w:top w:val="none" w:sz="0" w:space="0" w:color="auto"/>
        <w:left w:val="none" w:sz="0" w:space="0" w:color="auto"/>
        <w:bottom w:val="none" w:sz="0" w:space="0" w:color="auto"/>
        <w:right w:val="none" w:sz="0" w:space="0" w:color="auto"/>
      </w:divBdr>
    </w:div>
    <w:div w:id="1369183750">
      <w:bodyDiv w:val="1"/>
      <w:marLeft w:val="0"/>
      <w:marRight w:val="0"/>
      <w:marTop w:val="0"/>
      <w:marBottom w:val="0"/>
      <w:divBdr>
        <w:top w:val="none" w:sz="0" w:space="0" w:color="auto"/>
        <w:left w:val="none" w:sz="0" w:space="0" w:color="auto"/>
        <w:bottom w:val="none" w:sz="0" w:space="0" w:color="auto"/>
        <w:right w:val="none" w:sz="0" w:space="0" w:color="auto"/>
      </w:divBdr>
    </w:div>
    <w:div w:id="1373190966">
      <w:bodyDiv w:val="1"/>
      <w:marLeft w:val="0"/>
      <w:marRight w:val="0"/>
      <w:marTop w:val="0"/>
      <w:marBottom w:val="0"/>
      <w:divBdr>
        <w:top w:val="none" w:sz="0" w:space="0" w:color="auto"/>
        <w:left w:val="none" w:sz="0" w:space="0" w:color="auto"/>
        <w:bottom w:val="none" w:sz="0" w:space="0" w:color="auto"/>
        <w:right w:val="none" w:sz="0" w:space="0" w:color="auto"/>
      </w:divBdr>
    </w:div>
    <w:div w:id="1376463843">
      <w:bodyDiv w:val="1"/>
      <w:marLeft w:val="0"/>
      <w:marRight w:val="0"/>
      <w:marTop w:val="0"/>
      <w:marBottom w:val="0"/>
      <w:divBdr>
        <w:top w:val="none" w:sz="0" w:space="0" w:color="auto"/>
        <w:left w:val="none" w:sz="0" w:space="0" w:color="auto"/>
        <w:bottom w:val="none" w:sz="0" w:space="0" w:color="auto"/>
        <w:right w:val="none" w:sz="0" w:space="0" w:color="auto"/>
      </w:divBdr>
    </w:div>
    <w:div w:id="1379818188">
      <w:bodyDiv w:val="1"/>
      <w:marLeft w:val="0"/>
      <w:marRight w:val="0"/>
      <w:marTop w:val="0"/>
      <w:marBottom w:val="0"/>
      <w:divBdr>
        <w:top w:val="none" w:sz="0" w:space="0" w:color="auto"/>
        <w:left w:val="none" w:sz="0" w:space="0" w:color="auto"/>
        <w:bottom w:val="none" w:sz="0" w:space="0" w:color="auto"/>
        <w:right w:val="none" w:sz="0" w:space="0" w:color="auto"/>
      </w:divBdr>
    </w:div>
    <w:div w:id="1380940167">
      <w:bodyDiv w:val="1"/>
      <w:marLeft w:val="0"/>
      <w:marRight w:val="0"/>
      <w:marTop w:val="0"/>
      <w:marBottom w:val="0"/>
      <w:divBdr>
        <w:top w:val="none" w:sz="0" w:space="0" w:color="auto"/>
        <w:left w:val="none" w:sz="0" w:space="0" w:color="auto"/>
        <w:bottom w:val="none" w:sz="0" w:space="0" w:color="auto"/>
        <w:right w:val="none" w:sz="0" w:space="0" w:color="auto"/>
      </w:divBdr>
    </w:div>
    <w:div w:id="1382553221">
      <w:bodyDiv w:val="1"/>
      <w:marLeft w:val="0"/>
      <w:marRight w:val="0"/>
      <w:marTop w:val="0"/>
      <w:marBottom w:val="0"/>
      <w:divBdr>
        <w:top w:val="none" w:sz="0" w:space="0" w:color="auto"/>
        <w:left w:val="none" w:sz="0" w:space="0" w:color="auto"/>
        <w:bottom w:val="none" w:sz="0" w:space="0" w:color="auto"/>
        <w:right w:val="none" w:sz="0" w:space="0" w:color="auto"/>
      </w:divBdr>
    </w:div>
    <w:div w:id="1384404352">
      <w:bodyDiv w:val="1"/>
      <w:marLeft w:val="0"/>
      <w:marRight w:val="0"/>
      <w:marTop w:val="0"/>
      <w:marBottom w:val="0"/>
      <w:divBdr>
        <w:top w:val="none" w:sz="0" w:space="0" w:color="auto"/>
        <w:left w:val="none" w:sz="0" w:space="0" w:color="auto"/>
        <w:bottom w:val="none" w:sz="0" w:space="0" w:color="auto"/>
        <w:right w:val="none" w:sz="0" w:space="0" w:color="auto"/>
      </w:divBdr>
    </w:div>
    <w:div w:id="1384675479">
      <w:bodyDiv w:val="1"/>
      <w:marLeft w:val="0"/>
      <w:marRight w:val="0"/>
      <w:marTop w:val="0"/>
      <w:marBottom w:val="0"/>
      <w:divBdr>
        <w:top w:val="none" w:sz="0" w:space="0" w:color="auto"/>
        <w:left w:val="none" w:sz="0" w:space="0" w:color="auto"/>
        <w:bottom w:val="none" w:sz="0" w:space="0" w:color="auto"/>
        <w:right w:val="none" w:sz="0" w:space="0" w:color="auto"/>
      </w:divBdr>
    </w:div>
    <w:div w:id="1386023952">
      <w:bodyDiv w:val="1"/>
      <w:marLeft w:val="0"/>
      <w:marRight w:val="0"/>
      <w:marTop w:val="0"/>
      <w:marBottom w:val="0"/>
      <w:divBdr>
        <w:top w:val="none" w:sz="0" w:space="0" w:color="auto"/>
        <w:left w:val="none" w:sz="0" w:space="0" w:color="auto"/>
        <w:bottom w:val="none" w:sz="0" w:space="0" w:color="auto"/>
        <w:right w:val="none" w:sz="0" w:space="0" w:color="auto"/>
      </w:divBdr>
    </w:div>
    <w:div w:id="1389188822">
      <w:bodyDiv w:val="1"/>
      <w:marLeft w:val="0"/>
      <w:marRight w:val="0"/>
      <w:marTop w:val="0"/>
      <w:marBottom w:val="0"/>
      <w:divBdr>
        <w:top w:val="none" w:sz="0" w:space="0" w:color="auto"/>
        <w:left w:val="none" w:sz="0" w:space="0" w:color="auto"/>
        <w:bottom w:val="none" w:sz="0" w:space="0" w:color="auto"/>
        <w:right w:val="none" w:sz="0" w:space="0" w:color="auto"/>
      </w:divBdr>
    </w:div>
    <w:div w:id="1389760840">
      <w:bodyDiv w:val="1"/>
      <w:marLeft w:val="0"/>
      <w:marRight w:val="0"/>
      <w:marTop w:val="0"/>
      <w:marBottom w:val="0"/>
      <w:divBdr>
        <w:top w:val="none" w:sz="0" w:space="0" w:color="auto"/>
        <w:left w:val="none" w:sz="0" w:space="0" w:color="auto"/>
        <w:bottom w:val="none" w:sz="0" w:space="0" w:color="auto"/>
        <w:right w:val="none" w:sz="0" w:space="0" w:color="auto"/>
      </w:divBdr>
    </w:div>
    <w:div w:id="1390835075">
      <w:bodyDiv w:val="1"/>
      <w:marLeft w:val="0"/>
      <w:marRight w:val="0"/>
      <w:marTop w:val="0"/>
      <w:marBottom w:val="0"/>
      <w:divBdr>
        <w:top w:val="none" w:sz="0" w:space="0" w:color="auto"/>
        <w:left w:val="none" w:sz="0" w:space="0" w:color="auto"/>
        <w:bottom w:val="none" w:sz="0" w:space="0" w:color="auto"/>
        <w:right w:val="none" w:sz="0" w:space="0" w:color="auto"/>
      </w:divBdr>
    </w:div>
    <w:div w:id="1391076921">
      <w:bodyDiv w:val="1"/>
      <w:marLeft w:val="0"/>
      <w:marRight w:val="0"/>
      <w:marTop w:val="0"/>
      <w:marBottom w:val="0"/>
      <w:divBdr>
        <w:top w:val="none" w:sz="0" w:space="0" w:color="auto"/>
        <w:left w:val="none" w:sz="0" w:space="0" w:color="auto"/>
        <w:bottom w:val="none" w:sz="0" w:space="0" w:color="auto"/>
        <w:right w:val="none" w:sz="0" w:space="0" w:color="auto"/>
      </w:divBdr>
    </w:div>
    <w:div w:id="1391341875">
      <w:bodyDiv w:val="1"/>
      <w:marLeft w:val="0"/>
      <w:marRight w:val="0"/>
      <w:marTop w:val="0"/>
      <w:marBottom w:val="0"/>
      <w:divBdr>
        <w:top w:val="none" w:sz="0" w:space="0" w:color="auto"/>
        <w:left w:val="none" w:sz="0" w:space="0" w:color="auto"/>
        <w:bottom w:val="none" w:sz="0" w:space="0" w:color="auto"/>
        <w:right w:val="none" w:sz="0" w:space="0" w:color="auto"/>
      </w:divBdr>
    </w:div>
    <w:div w:id="1396123822">
      <w:bodyDiv w:val="1"/>
      <w:marLeft w:val="0"/>
      <w:marRight w:val="0"/>
      <w:marTop w:val="0"/>
      <w:marBottom w:val="0"/>
      <w:divBdr>
        <w:top w:val="none" w:sz="0" w:space="0" w:color="auto"/>
        <w:left w:val="none" w:sz="0" w:space="0" w:color="auto"/>
        <w:bottom w:val="none" w:sz="0" w:space="0" w:color="auto"/>
        <w:right w:val="none" w:sz="0" w:space="0" w:color="auto"/>
      </w:divBdr>
    </w:div>
    <w:div w:id="1397704233">
      <w:bodyDiv w:val="1"/>
      <w:marLeft w:val="0"/>
      <w:marRight w:val="0"/>
      <w:marTop w:val="0"/>
      <w:marBottom w:val="0"/>
      <w:divBdr>
        <w:top w:val="none" w:sz="0" w:space="0" w:color="auto"/>
        <w:left w:val="none" w:sz="0" w:space="0" w:color="auto"/>
        <w:bottom w:val="none" w:sz="0" w:space="0" w:color="auto"/>
        <w:right w:val="none" w:sz="0" w:space="0" w:color="auto"/>
      </w:divBdr>
    </w:div>
    <w:div w:id="1397971604">
      <w:bodyDiv w:val="1"/>
      <w:marLeft w:val="0"/>
      <w:marRight w:val="0"/>
      <w:marTop w:val="0"/>
      <w:marBottom w:val="0"/>
      <w:divBdr>
        <w:top w:val="none" w:sz="0" w:space="0" w:color="auto"/>
        <w:left w:val="none" w:sz="0" w:space="0" w:color="auto"/>
        <w:bottom w:val="none" w:sz="0" w:space="0" w:color="auto"/>
        <w:right w:val="none" w:sz="0" w:space="0" w:color="auto"/>
      </w:divBdr>
    </w:div>
    <w:div w:id="1401126246">
      <w:bodyDiv w:val="1"/>
      <w:marLeft w:val="0"/>
      <w:marRight w:val="0"/>
      <w:marTop w:val="0"/>
      <w:marBottom w:val="0"/>
      <w:divBdr>
        <w:top w:val="none" w:sz="0" w:space="0" w:color="auto"/>
        <w:left w:val="none" w:sz="0" w:space="0" w:color="auto"/>
        <w:bottom w:val="none" w:sz="0" w:space="0" w:color="auto"/>
        <w:right w:val="none" w:sz="0" w:space="0" w:color="auto"/>
      </w:divBdr>
    </w:div>
    <w:div w:id="1401905302">
      <w:bodyDiv w:val="1"/>
      <w:marLeft w:val="0"/>
      <w:marRight w:val="0"/>
      <w:marTop w:val="0"/>
      <w:marBottom w:val="0"/>
      <w:divBdr>
        <w:top w:val="none" w:sz="0" w:space="0" w:color="auto"/>
        <w:left w:val="none" w:sz="0" w:space="0" w:color="auto"/>
        <w:bottom w:val="none" w:sz="0" w:space="0" w:color="auto"/>
        <w:right w:val="none" w:sz="0" w:space="0" w:color="auto"/>
      </w:divBdr>
    </w:div>
    <w:div w:id="1406101177">
      <w:bodyDiv w:val="1"/>
      <w:marLeft w:val="0"/>
      <w:marRight w:val="0"/>
      <w:marTop w:val="0"/>
      <w:marBottom w:val="0"/>
      <w:divBdr>
        <w:top w:val="none" w:sz="0" w:space="0" w:color="auto"/>
        <w:left w:val="none" w:sz="0" w:space="0" w:color="auto"/>
        <w:bottom w:val="none" w:sz="0" w:space="0" w:color="auto"/>
        <w:right w:val="none" w:sz="0" w:space="0" w:color="auto"/>
      </w:divBdr>
    </w:div>
    <w:div w:id="1406685264">
      <w:bodyDiv w:val="1"/>
      <w:marLeft w:val="0"/>
      <w:marRight w:val="0"/>
      <w:marTop w:val="0"/>
      <w:marBottom w:val="0"/>
      <w:divBdr>
        <w:top w:val="none" w:sz="0" w:space="0" w:color="auto"/>
        <w:left w:val="none" w:sz="0" w:space="0" w:color="auto"/>
        <w:bottom w:val="none" w:sz="0" w:space="0" w:color="auto"/>
        <w:right w:val="none" w:sz="0" w:space="0" w:color="auto"/>
      </w:divBdr>
    </w:div>
    <w:div w:id="1408065481">
      <w:bodyDiv w:val="1"/>
      <w:marLeft w:val="0"/>
      <w:marRight w:val="0"/>
      <w:marTop w:val="0"/>
      <w:marBottom w:val="0"/>
      <w:divBdr>
        <w:top w:val="none" w:sz="0" w:space="0" w:color="auto"/>
        <w:left w:val="none" w:sz="0" w:space="0" w:color="auto"/>
        <w:bottom w:val="none" w:sz="0" w:space="0" w:color="auto"/>
        <w:right w:val="none" w:sz="0" w:space="0" w:color="auto"/>
      </w:divBdr>
    </w:div>
    <w:div w:id="1410498381">
      <w:bodyDiv w:val="1"/>
      <w:marLeft w:val="0"/>
      <w:marRight w:val="0"/>
      <w:marTop w:val="0"/>
      <w:marBottom w:val="0"/>
      <w:divBdr>
        <w:top w:val="none" w:sz="0" w:space="0" w:color="auto"/>
        <w:left w:val="none" w:sz="0" w:space="0" w:color="auto"/>
        <w:bottom w:val="none" w:sz="0" w:space="0" w:color="auto"/>
        <w:right w:val="none" w:sz="0" w:space="0" w:color="auto"/>
      </w:divBdr>
    </w:div>
    <w:div w:id="1413161366">
      <w:bodyDiv w:val="1"/>
      <w:marLeft w:val="0"/>
      <w:marRight w:val="0"/>
      <w:marTop w:val="0"/>
      <w:marBottom w:val="0"/>
      <w:divBdr>
        <w:top w:val="none" w:sz="0" w:space="0" w:color="auto"/>
        <w:left w:val="none" w:sz="0" w:space="0" w:color="auto"/>
        <w:bottom w:val="none" w:sz="0" w:space="0" w:color="auto"/>
        <w:right w:val="none" w:sz="0" w:space="0" w:color="auto"/>
      </w:divBdr>
    </w:div>
    <w:div w:id="1413358580">
      <w:bodyDiv w:val="1"/>
      <w:marLeft w:val="0"/>
      <w:marRight w:val="0"/>
      <w:marTop w:val="0"/>
      <w:marBottom w:val="0"/>
      <w:divBdr>
        <w:top w:val="none" w:sz="0" w:space="0" w:color="auto"/>
        <w:left w:val="none" w:sz="0" w:space="0" w:color="auto"/>
        <w:bottom w:val="none" w:sz="0" w:space="0" w:color="auto"/>
        <w:right w:val="none" w:sz="0" w:space="0" w:color="auto"/>
      </w:divBdr>
    </w:div>
    <w:div w:id="1414475339">
      <w:bodyDiv w:val="1"/>
      <w:marLeft w:val="0"/>
      <w:marRight w:val="0"/>
      <w:marTop w:val="0"/>
      <w:marBottom w:val="0"/>
      <w:divBdr>
        <w:top w:val="none" w:sz="0" w:space="0" w:color="auto"/>
        <w:left w:val="none" w:sz="0" w:space="0" w:color="auto"/>
        <w:bottom w:val="none" w:sz="0" w:space="0" w:color="auto"/>
        <w:right w:val="none" w:sz="0" w:space="0" w:color="auto"/>
      </w:divBdr>
    </w:div>
    <w:div w:id="1416127713">
      <w:bodyDiv w:val="1"/>
      <w:marLeft w:val="0"/>
      <w:marRight w:val="0"/>
      <w:marTop w:val="0"/>
      <w:marBottom w:val="0"/>
      <w:divBdr>
        <w:top w:val="none" w:sz="0" w:space="0" w:color="auto"/>
        <w:left w:val="none" w:sz="0" w:space="0" w:color="auto"/>
        <w:bottom w:val="none" w:sz="0" w:space="0" w:color="auto"/>
        <w:right w:val="none" w:sz="0" w:space="0" w:color="auto"/>
      </w:divBdr>
    </w:div>
    <w:div w:id="1416320367">
      <w:bodyDiv w:val="1"/>
      <w:marLeft w:val="0"/>
      <w:marRight w:val="0"/>
      <w:marTop w:val="0"/>
      <w:marBottom w:val="0"/>
      <w:divBdr>
        <w:top w:val="none" w:sz="0" w:space="0" w:color="auto"/>
        <w:left w:val="none" w:sz="0" w:space="0" w:color="auto"/>
        <w:bottom w:val="none" w:sz="0" w:space="0" w:color="auto"/>
        <w:right w:val="none" w:sz="0" w:space="0" w:color="auto"/>
      </w:divBdr>
    </w:div>
    <w:div w:id="1417484587">
      <w:bodyDiv w:val="1"/>
      <w:marLeft w:val="0"/>
      <w:marRight w:val="0"/>
      <w:marTop w:val="0"/>
      <w:marBottom w:val="0"/>
      <w:divBdr>
        <w:top w:val="none" w:sz="0" w:space="0" w:color="auto"/>
        <w:left w:val="none" w:sz="0" w:space="0" w:color="auto"/>
        <w:bottom w:val="none" w:sz="0" w:space="0" w:color="auto"/>
        <w:right w:val="none" w:sz="0" w:space="0" w:color="auto"/>
      </w:divBdr>
    </w:div>
    <w:div w:id="1417750640">
      <w:bodyDiv w:val="1"/>
      <w:marLeft w:val="0"/>
      <w:marRight w:val="0"/>
      <w:marTop w:val="0"/>
      <w:marBottom w:val="0"/>
      <w:divBdr>
        <w:top w:val="none" w:sz="0" w:space="0" w:color="auto"/>
        <w:left w:val="none" w:sz="0" w:space="0" w:color="auto"/>
        <w:bottom w:val="none" w:sz="0" w:space="0" w:color="auto"/>
        <w:right w:val="none" w:sz="0" w:space="0" w:color="auto"/>
      </w:divBdr>
    </w:div>
    <w:div w:id="1424453454">
      <w:bodyDiv w:val="1"/>
      <w:marLeft w:val="0"/>
      <w:marRight w:val="0"/>
      <w:marTop w:val="0"/>
      <w:marBottom w:val="0"/>
      <w:divBdr>
        <w:top w:val="none" w:sz="0" w:space="0" w:color="auto"/>
        <w:left w:val="none" w:sz="0" w:space="0" w:color="auto"/>
        <w:bottom w:val="none" w:sz="0" w:space="0" w:color="auto"/>
        <w:right w:val="none" w:sz="0" w:space="0" w:color="auto"/>
      </w:divBdr>
    </w:div>
    <w:div w:id="1424956642">
      <w:bodyDiv w:val="1"/>
      <w:marLeft w:val="0"/>
      <w:marRight w:val="0"/>
      <w:marTop w:val="0"/>
      <w:marBottom w:val="0"/>
      <w:divBdr>
        <w:top w:val="none" w:sz="0" w:space="0" w:color="auto"/>
        <w:left w:val="none" w:sz="0" w:space="0" w:color="auto"/>
        <w:bottom w:val="none" w:sz="0" w:space="0" w:color="auto"/>
        <w:right w:val="none" w:sz="0" w:space="0" w:color="auto"/>
      </w:divBdr>
    </w:div>
    <w:div w:id="1428579254">
      <w:bodyDiv w:val="1"/>
      <w:marLeft w:val="0"/>
      <w:marRight w:val="0"/>
      <w:marTop w:val="0"/>
      <w:marBottom w:val="0"/>
      <w:divBdr>
        <w:top w:val="none" w:sz="0" w:space="0" w:color="auto"/>
        <w:left w:val="none" w:sz="0" w:space="0" w:color="auto"/>
        <w:bottom w:val="none" w:sz="0" w:space="0" w:color="auto"/>
        <w:right w:val="none" w:sz="0" w:space="0" w:color="auto"/>
      </w:divBdr>
    </w:div>
    <w:div w:id="1429080568">
      <w:bodyDiv w:val="1"/>
      <w:marLeft w:val="0"/>
      <w:marRight w:val="0"/>
      <w:marTop w:val="0"/>
      <w:marBottom w:val="0"/>
      <w:divBdr>
        <w:top w:val="none" w:sz="0" w:space="0" w:color="auto"/>
        <w:left w:val="none" w:sz="0" w:space="0" w:color="auto"/>
        <w:bottom w:val="none" w:sz="0" w:space="0" w:color="auto"/>
        <w:right w:val="none" w:sz="0" w:space="0" w:color="auto"/>
      </w:divBdr>
    </w:div>
    <w:div w:id="1434744260">
      <w:bodyDiv w:val="1"/>
      <w:marLeft w:val="0"/>
      <w:marRight w:val="0"/>
      <w:marTop w:val="0"/>
      <w:marBottom w:val="0"/>
      <w:divBdr>
        <w:top w:val="none" w:sz="0" w:space="0" w:color="auto"/>
        <w:left w:val="none" w:sz="0" w:space="0" w:color="auto"/>
        <w:bottom w:val="none" w:sz="0" w:space="0" w:color="auto"/>
        <w:right w:val="none" w:sz="0" w:space="0" w:color="auto"/>
      </w:divBdr>
    </w:div>
    <w:div w:id="1437096111">
      <w:bodyDiv w:val="1"/>
      <w:marLeft w:val="0"/>
      <w:marRight w:val="0"/>
      <w:marTop w:val="0"/>
      <w:marBottom w:val="0"/>
      <w:divBdr>
        <w:top w:val="none" w:sz="0" w:space="0" w:color="auto"/>
        <w:left w:val="none" w:sz="0" w:space="0" w:color="auto"/>
        <w:bottom w:val="none" w:sz="0" w:space="0" w:color="auto"/>
        <w:right w:val="none" w:sz="0" w:space="0" w:color="auto"/>
      </w:divBdr>
    </w:div>
    <w:div w:id="1438058969">
      <w:bodyDiv w:val="1"/>
      <w:marLeft w:val="0"/>
      <w:marRight w:val="0"/>
      <w:marTop w:val="0"/>
      <w:marBottom w:val="0"/>
      <w:divBdr>
        <w:top w:val="none" w:sz="0" w:space="0" w:color="auto"/>
        <w:left w:val="none" w:sz="0" w:space="0" w:color="auto"/>
        <w:bottom w:val="none" w:sz="0" w:space="0" w:color="auto"/>
        <w:right w:val="none" w:sz="0" w:space="0" w:color="auto"/>
      </w:divBdr>
    </w:div>
    <w:div w:id="1442922138">
      <w:bodyDiv w:val="1"/>
      <w:marLeft w:val="0"/>
      <w:marRight w:val="0"/>
      <w:marTop w:val="0"/>
      <w:marBottom w:val="0"/>
      <w:divBdr>
        <w:top w:val="none" w:sz="0" w:space="0" w:color="auto"/>
        <w:left w:val="none" w:sz="0" w:space="0" w:color="auto"/>
        <w:bottom w:val="none" w:sz="0" w:space="0" w:color="auto"/>
        <w:right w:val="none" w:sz="0" w:space="0" w:color="auto"/>
      </w:divBdr>
    </w:div>
    <w:div w:id="1444035024">
      <w:bodyDiv w:val="1"/>
      <w:marLeft w:val="0"/>
      <w:marRight w:val="0"/>
      <w:marTop w:val="0"/>
      <w:marBottom w:val="0"/>
      <w:divBdr>
        <w:top w:val="none" w:sz="0" w:space="0" w:color="auto"/>
        <w:left w:val="none" w:sz="0" w:space="0" w:color="auto"/>
        <w:bottom w:val="none" w:sz="0" w:space="0" w:color="auto"/>
        <w:right w:val="none" w:sz="0" w:space="0" w:color="auto"/>
      </w:divBdr>
    </w:div>
    <w:div w:id="1446996337">
      <w:bodyDiv w:val="1"/>
      <w:marLeft w:val="0"/>
      <w:marRight w:val="0"/>
      <w:marTop w:val="0"/>
      <w:marBottom w:val="0"/>
      <w:divBdr>
        <w:top w:val="none" w:sz="0" w:space="0" w:color="auto"/>
        <w:left w:val="none" w:sz="0" w:space="0" w:color="auto"/>
        <w:bottom w:val="none" w:sz="0" w:space="0" w:color="auto"/>
        <w:right w:val="none" w:sz="0" w:space="0" w:color="auto"/>
      </w:divBdr>
    </w:div>
    <w:div w:id="1447191373">
      <w:bodyDiv w:val="1"/>
      <w:marLeft w:val="0"/>
      <w:marRight w:val="0"/>
      <w:marTop w:val="0"/>
      <w:marBottom w:val="0"/>
      <w:divBdr>
        <w:top w:val="none" w:sz="0" w:space="0" w:color="auto"/>
        <w:left w:val="none" w:sz="0" w:space="0" w:color="auto"/>
        <w:bottom w:val="none" w:sz="0" w:space="0" w:color="auto"/>
        <w:right w:val="none" w:sz="0" w:space="0" w:color="auto"/>
      </w:divBdr>
    </w:div>
    <w:div w:id="1449085712">
      <w:bodyDiv w:val="1"/>
      <w:marLeft w:val="0"/>
      <w:marRight w:val="0"/>
      <w:marTop w:val="0"/>
      <w:marBottom w:val="0"/>
      <w:divBdr>
        <w:top w:val="none" w:sz="0" w:space="0" w:color="auto"/>
        <w:left w:val="none" w:sz="0" w:space="0" w:color="auto"/>
        <w:bottom w:val="none" w:sz="0" w:space="0" w:color="auto"/>
        <w:right w:val="none" w:sz="0" w:space="0" w:color="auto"/>
      </w:divBdr>
    </w:div>
    <w:div w:id="1449549084">
      <w:bodyDiv w:val="1"/>
      <w:marLeft w:val="0"/>
      <w:marRight w:val="0"/>
      <w:marTop w:val="0"/>
      <w:marBottom w:val="0"/>
      <w:divBdr>
        <w:top w:val="none" w:sz="0" w:space="0" w:color="auto"/>
        <w:left w:val="none" w:sz="0" w:space="0" w:color="auto"/>
        <w:bottom w:val="none" w:sz="0" w:space="0" w:color="auto"/>
        <w:right w:val="none" w:sz="0" w:space="0" w:color="auto"/>
      </w:divBdr>
    </w:div>
    <w:div w:id="1451821067">
      <w:bodyDiv w:val="1"/>
      <w:marLeft w:val="0"/>
      <w:marRight w:val="0"/>
      <w:marTop w:val="0"/>
      <w:marBottom w:val="0"/>
      <w:divBdr>
        <w:top w:val="none" w:sz="0" w:space="0" w:color="auto"/>
        <w:left w:val="none" w:sz="0" w:space="0" w:color="auto"/>
        <w:bottom w:val="none" w:sz="0" w:space="0" w:color="auto"/>
        <w:right w:val="none" w:sz="0" w:space="0" w:color="auto"/>
      </w:divBdr>
    </w:div>
    <w:div w:id="1454710557">
      <w:bodyDiv w:val="1"/>
      <w:marLeft w:val="0"/>
      <w:marRight w:val="0"/>
      <w:marTop w:val="0"/>
      <w:marBottom w:val="0"/>
      <w:divBdr>
        <w:top w:val="none" w:sz="0" w:space="0" w:color="auto"/>
        <w:left w:val="none" w:sz="0" w:space="0" w:color="auto"/>
        <w:bottom w:val="none" w:sz="0" w:space="0" w:color="auto"/>
        <w:right w:val="none" w:sz="0" w:space="0" w:color="auto"/>
      </w:divBdr>
    </w:div>
    <w:div w:id="1455904945">
      <w:bodyDiv w:val="1"/>
      <w:marLeft w:val="0"/>
      <w:marRight w:val="0"/>
      <w:marTop w:val="0"/>
      <w:marBottom w:val="0"/>
      <w:divBdr>
        <w:top w:val="none" w:sz="0" w:space="0" w:color="auto"/>
        <w:left w:val="none" w:sz="0" w:space="0" w:color="auto"/>
        <w:bottom w:val="none" w:sz="0" w:space="0" w:color="auto"/>
        <w:right w:val="none" w:sz="0" w:space="0" w:color="auto"/>
      </w:divBdr>
    </w:div>
    <w:div w:id="1458180056">
      <w:bodyDiv w:val="1"/>
      <w:marLeft w:val="0"/>
      <w:marRight w:val="0"/>
      <w:marTop w:val="0"/>
      <w:marBottom w:val="0"/>
      <w:divBdr>
        <w:top w:val="none" w:sz="0" w:space="0" w:color="auto"/>
        <w:left w:val="none" w:sz="0" w:space="0" w:color="auto"/>
        <w:bottom w:val="none" w:sz="0" w:space="0" w:color="auto"/>
        <w:right w:val="none" w:sz="0" w:space="0" w:color="auto"/>
      </w:divBdr>
    </w:div>
    <w:div w:id="1459030964">
      <w:bodyDiv w:val="1"/>
      <w:marLeft w:val="0"/>
      <w:marRight w:val="0"/>
      <w:marTop w:val="0"/>
      <w:marBottom w:val="0"/>
      <w:divBdr>
        <w:top w:val="none" w:sz="0" w:space="0" w:color="auto"/>
        <w:left w:val="none" w:sz="0" w:space="0" w:color="auto"/>
        <w:bottom w:val="none" w:sz="0" w:space="0" w:color="auto"/>
        <w:right w:val="none" w:sz="0" w:space="0" w:color="auto"/>
      </w:divBdr>
    </w:div>
    <w:div w:id="1459228356">
      <w:bodyDiv w:val="1"/>
      <w:marLeft w:val="0"/>
      <w:marRight w:val="0"/>
      <w:marTop w:val="0"/>
      <w:marBottom w:val="0"/>
      <w:divBdr>
        <w:top w:val="none" w:sz="0" w:space="0" w:color="auto"/>
        <w:left w:val="none" w:sz="0" w:space="0" w:color="auto"/>
        <w:bottom w:val="none" w:sz="0" w:space="0" w:color="auto"/>
        <w:right w:val="none" w:sz="0" w:space="0" w:color="auto"/>
      </w:divBdr>
    </w:div>
    <w:div w:id="1461999143">
      <w:bodyDiv w:val="1"/>
      <w:marLeft w:val="0"/>
      <w:marRight w:val="0"/>
      <w:marTop w:val="0"/>
      <w:marBottom w:val="0"/>
      <w:divBdr>
        <w:top w:val="none" w:sz="0" w:space="0" w:color="auto"/>
        <w:left w:val="none" w:sz="0" w:space="0" w:color="auto"/>
        <w:bottom w:val="none" w:sz="0" w:space="0" w:color="auto"/>
        <w:right w:val="none" w:sz="0" w:space="0" w:color="auto"/>
      </w:divBdr>
    </w:div>
    <w:div w:id="1462647200">
      <w:bodyDiv w:val="1"/>
      <w:marLeft w:val="0"/>
      <w:marRight w:val="0"/>
      <w:marTop w:val="0"/>
      <w:marBottom w:val="0"/>
      <w:divBdr>
        <w:top w:val="none" w:sz="0" w:space="0" w:color="auto"/>
        <w:left w:val="none" w:sz="0" w:space="0" w:color="auto"/>
        <w:bottom w:val="none" w:sz="0" w:space="0" w:color="auto"/>
        <w:right w:val="none" w:sz="0" w:space="0" w:color="auto"/>
      </w:divBdr>
    </w:div>
    <w:div w:id="1463420489">
      <w:bodyDiv w:val="1"/>
      <w:marLeft w:val="0"/>
      <w:marRight w:val="0"/>
      <w:marTop w:val="0"/>
      <w:marBottom w:val="0"/>
      <w:divBdr>
        <w:top w:val="none" w:sz="0" w:space="0" w:color="auto"/>
        <w:left w:val="none" w:sz="0" w:space="0" w:color="auto"/>
        <w:bottom w:val="none" w:sz="0" w:space="0" w:color="auto"/>
        <w:right w:val="none" w:sz="0" w:space="0" w:color="auto"/>
      </w:divBdr>
    </w:div>
    <w:div w:id="1463843383">
      <w:bodyDiv w:val="1"/>
      <w:marLeft w:val="0"/>
      <w:marRight w:val="0"/>
      <w:marTop w:val="0"/>
      <w:marBottom w:val="0"/>
      <w:divBdr>
        <w:top w:val="none" w:sz="0" w:space="0" w:color="auto"/>
        <w:left w:val="none" w:sz="0" w:space="0" w:color="auto"/>
        <w:bottom w:val="none" w:sz="0" w:space="0" w:color="auto"/>
        <w:right w:val="none" w:sz="0" w:space="0" w:color="auto"/>
      </w:divBdr>
    </w:div>
    <w:div w:id="1464271419">
      <w:bodyDiv w:val="1"/>
      <w:marLeft w:val="0"/>
      <w:marRight w:val="0"/>
      <w:marTop w:val="0"/>
      <w:marBottom w:val="0"/>
      <w:divBdr>
        <w:top w:val="none" w:sz="0" w:space="0" w:color="auto"/>
        <w:left w:val="none" w:sz="0" w:space="0" w:color="auto"/>
        <w:bottom w:val="none" w:sz="0" w:space="0" w:color="auto"/>
        <w:right w:val="none" w:sz="0" w:space="0" w:color="auto"/>
      </w:divBdr>
    </w:div>
    <w:div w:id="1465537620">
      <w:bodyDiv w:val="1"/>
      <w:marLeft w:val="0"/>
      <w:marRight w:val="0"/>
      <w:marTop w:val="0"/>
      <w:marBottom w:val="0"/>
      <w:divBdr>
        <w:top w:val="none" w:sz="0" w:space="0" w:color="auto"/>
        <w:left w:val="none" w:sz="0" w:space="0" w:color="auto"/>
        <w:bottom w:val="none" w:sz="0" w:space="0" w:color="auto"/>
        <w:right w:val="none" w:sz="0" w:space="0" w:color="auto"/>
      </w:divBdr>
    </w:div>
    <w:div w:id="1465611112">
      <w:bodyDiv w:val="1"/>
      <w:marLeft w:val="0"/>
      <w:marRight w:val="0"/>
      <w:marTop w:val="0"/>
      <w:marBottom w:val="0"/>
      <w:divBdr>
        <w:top w:val="none" w:sz="0" w:space="0" w:color="auto"/>
        <w:left w:val="none" w:sz="0" w:space="0" w:color="auto"/>
        <w:bottom w:val="none" w:sz="0" w:space="0" w:color="auto"/>
        <w:right w:val="none" w:sz="0" w:space="0" w:color="auto"/>
      </w:divBdr>
      <w:divsChild>
        <w:div w:id="466313604">
          <w:marLeft w:val="0"/>
          <w:marRight w:val="0"/>
          <w:marTop w:val="0"/>
          <w:marBottom w:val="0"/>
          <w:divBdr>
            <w:top w:val="none" w:sz="0" w:space="0" w:color="auto"/>
            <w:left w:val="none" w:sz="0" w:space="0" w:color="auto"/>
            <w:bottom w:val="none" w:sz="0" w:space="0" w:color="auto"/>
            <w:right w:val="none" w:sz="0" w:space="0" w:color="auto"/>
          </w:divBdr>
          <w:divsChild>
            <w:div w:id="1231621282">
              <w:marLeft w:val="0"/>
              <w:marRight w:val="0"/>
              <w:marTop w:val="0"/>
              <w:marBottom w:val="0"/>
              <w:divBdr>
                <w:top w:val="none" w:sz="0" w:space="0" w:color="auto"/>
                <w:left w:val="none" w:sz="0" w:space="0" w:color="auto"/>
                <w:bottom w:val="none" w:sz="0" w:space="0" w:color="auto"/>
                <w:right w:val="none" w:sz="0" w:space="0" w:color="auto"/>
              </w:divBdr>
              <w:divsChild>
                <w:div w:id="348139901">
                  <w:marLeft w:val="450"/>
                  <w:marRight w:val="0"/>
                  <w:marTop w:val="0"/>
                  <w:marBottom w:val="0"/>
                  <w:divBdr>
                    <w:top w:val="none" w:sz="0" w:space="0" w:color="auto"/>
                    <w:left w:val="none" w:sz="0" w:space="0" w:color="auto"/>
                    <w:bottom w:val="none" w:sz="0" w:space="0" w:color="auto"/>
                    <w:right w:val="none" w:sz="0" w:space="0" w:color="auto"/>
                  </w:divBdr>
                </w:div>
                <w:div w:id="1144201570">
                  <w:marLeft w:val="750"/>
                  <w:marRight w:val="0"/>
                  <w:marTop w:val="330"/>
                  <w:marBottom w:val="60"/>
                  <w:divBdr>
                    <w:top w:val="none" w:sz="0" w:space="0" w:color="auto"/>
                    <w:left w:val="none" w:sz="0" w:space="0" w:color="auto"/>
                    <w:bottom w:val="none" w:sz="0" w:space="0" w:color="auto"/>
                    <w:right w:val="none" w:sz="0" w:space="0" w:color="auto"/>
                  </w:divBdr>
                  <w:divsChild>
                    <w:div w:id="1640840251">
                      <w:marLeft w:val="0"/>
                      <w:marRight w:val="0"/>
                      <w:marTop w:val="0"/>
                      <w:marBottom w:val="0"/>
                      <w:divBdr>
                        <w:top w:val="none" w:sz="0" w:space="0" w:color="auto"/>
                        <w:left w:val="none" w:sz="0" w:space="0" w:color="auto"/>
                        <w:bottom w:val="none" w:sz="0" w:space="0" w:color="auto"/>
                        <w:right w:val="none" w:sz="0" w:space="0" w:color="auto"/>
                      </w:divBdr>
                      <w:divsChild>
                        <w:div w:id="1776247887">
                          <w:marLeft w:val="0"/>
                          <w:marRight w:val="0"/>
                          <w:marTop w:val="0"/>
                          <w:marBottom w:val="105"/>
                          <w:divBdr>
                            <w:top w:val="none" w:sz="0" w:space="0" w:color="auto"/>
                            <w:left w:val="none" w:sz="0" w:space="0" w:color="auto"/>
                            <w:bottom w:val="none" w:sz="0" w:space="0" w:color="auto"/>
                            <w:right w:val="none" w:sz="0" w:space="0" w:color="auto"/>
                          </w:divBdr>
                          <w:divsChild>
                            <w:div w:id="1520119494">
                              <w:marLeft w:val="0"/>
                              <w:marRight w:val="0"/>
                              <w:marTop w:val="120"/>
                              <w:marBottom w:val="90"/>
                              <w:divBdr>
                                <w:top w:val="none" w:sz="0" w:space="0" w:color="auto"/>
                                <w:left w:val="none" w:sz="0" w:space="0" w:color="auto"/>
                                <w:bottom w:val="none" w:sz="0" w:space="0" w:color="auto"/>
                                <w:right w:val="none" w:sz="0" w:space="0" w:color="auto"/>
                              </w:divBdr>
                              <w:divsChild>
                                <w:div w:id="638919665">
                                  <w:marLeft w:val="0"/>
                                  <w:marRight w:val="0"/>
                                  <w:marTop w:val="0"/>
                                  <w:marBottom w:val="0"/>
                                  <w:divBdr>
                                    <w:top w:val="none" w:sz="0" w:space="0" w:color="auto"/>
                                    <w:left w:val="none" w:sz="0" w:space="0" w:color="auto"/>
                                    <w:bottom w:val="none" w:sz="0" w:space="0" w:color="auto"/>
                                    <w:right w:val="none" w:sz="0" w:space="0" w:color="auto"/>
                                  </w:divBdr>
                                  <w:divsChild>
                                    <w:div w:id="323627886">
                                      <w:marLeft w:val="0"/>
                                      <w:marRight w:val="0"/>
                                      <w:marTop w:val="0"/>
                                      <w:marBottom w:val="0"/>
                                      <w:divBdr>
                                        <w:top w:val="none" w:sz="0" w:space="0" w:color="auto"/>
                                        <w:left w:val="none" w:sz="0" w:space="0" w:color="auto"/>
                                        <w:bottom w:val="none" w:sz="0" w:space="0" w:color="auto"/>
                                        <w:right w:val="none" w:sz="0" w:space="0" w:color="auto"/>
                                      </w:divBdr>
                                    </w:div>
                                  </w:divsChild>
                                </w:div>
                                <w:div w:id="68525073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616654">
          <w:marLeft w:val="0"/>
          <w:marRight w:val="0"/>
          <w:marTop w:val="0"/>
          <w:marBottom w:val="0"/>
          <w:divBdr>
            <w:top w:val="none" w:sz="0" w:space="0" w:color="auto"/>
            <w:left w:val="none" w:sz="0" w:space="0" w:color="auto"/>
            <w:bottom w:val="none" w:sz="0" w:space="0" w:color="auto"/>
            <w:right w:val="none" w:sz="0" w:space="0" w:color="auto"/>
          </w:divBdr>
          <w:divsChild>
            <w:div w:id="807743813">
              <w:marLeft w:val="0"/>
              <w:marRight w:val="0"/>
              <w:marTop w:val="0"/>
              <w:marBottom w:val="0"/>
              <w:divBdr>
                <w:top w:val="none" w:sz="0" w:space="0" w:color="auto"/>
                <w:left w:val="none" w:sz="0" w:space="0" w:color="auto"/>
                <w:bottom w:val="none" w:sz="0" w:space="0" w:color="auto"/>
                <w:right w:val="none" w:sz="0" w:space="0" w:color="auto"/>
              </w:divBdr>
              <w:divsChild>
                <w:div w:id="924146649">
                  <w:marLeft w:val="450"/>
                  <w:marRight w:val="0"/>
                  <w:marTop w:val="0"/>
                  <w:marBottom w:val="0"/>
                  <w:divBdr>
                    <w:top w:val="none" w:sz="0" w:space="0" w:color="auto"/>
                    <w:left w:val="none" w:sz="0" w:space="0" w:color="auto"/>
                    <w:bottom w:val="none" w:sz="0" w:space="0" w:color="auto"/>
                    <w:right w:val="none" w:sz="0" w:space="0" w:color="auto"/>
                  </w:divBdr>
                </w:div>
                <w:div w:id="2049530747">
                  <w:marLeft w:val="750"/>
                  <w:marRight w:val="0"/>
                  <w:marTop w:val="330"/>
                  <w:marBottom w:val="60"/>
                  <w:divBdr>
                    <w:top w:val="none" w:sz="0" w:space="0" w:color="auto"/>
                    <w:left w:val="none" w:sz="0" w:space="0" w:color="auto"/>
                    <w:bottom w:val="none" w:sz="0" w:space="0" w:color="auto"/>
                    <w:right w:val="none" w:sz="0" w:space="0" w:color="auto"/>
                  </w:divBdr>
                  <w:divsChild>
                    <w:div w:id="993295165">
                      <w:marLeft w:val="0"/>
                      <w:marRight w:val="0"/>
                      <w:marTop w:val="0"/>
                      <w:marBottom w:val="0"/>
                      <w:divBdr>
                        <w:top w:val="none" w:sz="0" w:space="0" w:color="auto"/>
                        <w:left w:val="none" w:sz="0" w:space="0" w:color="auto"/>
                        <w:bottom w:val="none" w:sz="0" w:space="0" w:color="auto"/>
                        <w:right w:val="none" w:sz="0" w:space="0" w:color="auto"/>
                      </w:divBdr>
                      <w:divsChild>
                        <w:div w:id="865099624">
                          <w:marLeft w:val="0"/>
                          <w:marRight w:val="0"/>
                          <w:marTop w:val="0"/>
                          <w:marBottom w:val="105"/>
                          <w:divBdr>
                            <w:top w:val="none" w:sz="0" w:space="0" w:color="auto"/>
                            <w:left w:val="none" w:sz="0" w:space="0" w:color="auto"/>
                            <w:bottom w:val="none" w:sz="0" w:space="0" w:color="auto"/>
                            <w:right w:val="none" w:sz="0" w:space="0" w:color="auto"/>
                          </w:divBdr>
                          <w:divsChild>
                            <w:div w:id="1762868026">
                              <w:marLeft w:val="0"/>
                              <w:marRight w:val="0"/>
                              <w:marTop w:val="120"/>
                              <w:marBottom w:val="90"/>
                              <w:divBdr>
                                <w:top w:val="none" w:sz="0" w:space="0" w:color="auto"/>
                                <w:left w:val="none" w:sz="0" w:space="0" w:color="auto"/>
                                <w:bottom w:val="none" w:sz="0" w:space="0" w:color="auto"/>
                                <w:right w:val="none" w:sz="0" w:space="0" w:color="auto"/>
                              </w:divBdr>
                              <w:divsChild>
                                <w:div w:id="696590226">
                                  <w:marLeft w:val="0"/>
                                  <w:marRight w:val="30"/>
                                  <w:marTop w:val="0"/>
                                  <w:marBottom w:val="0"/>
                                  <w:divBdr>
                                    <w:top w:val="none" w:sz="0" w:space="0" w:color="auto"/>
                                    <w:left w:val="none" w:sz="0" w:space="0" w:color="auto"/>
                                    <w:bottom w:val="none" w:sz="0" w:space="0" w:color="auto"/>
                                    <w:right w:val="none" w:sz="0" w:space="0" w:color="auto"/>
                                  </w:divBdr>
                                </w:div>
                                <w:div w:id="1087455513">
                                  <w:marLeft w:val="0"/>
                                  <w:marRight w:val="0"/>
                                  <w:marTop w:val="0"/>
                                  <w:marBottom w:val="0"/>
                                  <w:divBdr>
                                    <w:top w:val="none" w:sz="0" w:space="0" w:color="auto"/>
                                    <w:left w:val="none" w:sz="0" w:space="0" w:color="auto"/>
                                    <w:bottom w:val="none" w:sz="0" w:space="0" w:color="auto"/>
                                    <w:right w:val="none" w:sz="0" w:space="0" w:color="auto"/>
                                  </w:divBdr>
                                  <w:divsChild>
                                    <w:div w:id="9398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247948">
      <w:bodyDiv w:val="1"/>
      <w:marLeft w:val="0"/>
      <w:marRight w:val="0"/>
      <w:marTop w:val="0"/>
      <w:marBottom w:val="0"/>
      <w:divBdr>
        <w:top w:val="none" w:sz="0" w:space="0" w:color="auto"/>
        <w:left w:val="none" w:sz="0" w:space="0" w:color="auto"/>
        <w:bottom w:val="none" w:sz="0" w:space="0" w:color="auto"/>
        <w:right w:val="none" w:sz="0" w:space="0" w:color="auto"/>
      </w:divBdr>
    </w:div>
    <w:div w:id="1476869250">
      <w:bodyDiv w:val="1"/>
      <w:marLeft w:val="0"/>
      <w:marRight w:val="0"/>
      <w:marTop w:val="0"/>
      <w:marBottom w:val="0"/>
      <w:divBdr>
        <w:top w:val="none" w:sz="0" w:space="0" w:color="auto"/>
        <w:left w:val="none" w:sz="0" w:space="0" w:color="auto"/>
        <w:bottom w:val="none" w:sz="0" w:space="0" w:color="auto"/>
        <w:right w:val="none" w:sz="0" w:space="0" w:color="auto"/>
      </w:divBdr>
    </w:div>
    <w:div w:id="1477601971">
      <w:bodyDiv w:val="1"/>
      <w:marLeft w:val="0"/>
      <w:marRight w:val="0"/>
      <w:marTop w:val="0"/>
      <w:marBottom w:val="0"/>
      <w:divBdr>
        <w:top w:val="none" w:sz="0" w:space="0" w:color="auto"/>
        <w:left w:val="none" w:sz="0" w:space="0" w:color="auto"/>
        <w:bottom w:val="none" w:sz="0" w:space="0" w:color="auto"/>
        <w:right w:val="none" w:sz="0" w:space="0" w:color="auto"/>
      </w:divBdr>
    </w:div>
    <w:div w:id="1479227475">
      <w:bodyDiv w:val="1"/>
      <w:marLeft w:val="0"/>
      <w:marRight w:val="0"/>
      <w:marTop w:val="0"/>
      <w:marBottom w:val="0"/>
      <w:divBdr>
        <w:top w:val="none" w:sz="0" w:space="0" w:color="auto"/>
        <w:left w:val="none" w:sz="0" w:space="0" w:color="auto"/>
        <w:bottom w:val="none" w:sz="0" w:space="0" w:color="auto"/>
        <w:right w:val="none" w:sz="0" w:space="0" w:color="auto"/>
      </w:divBdr>
    </w:div>
    <w:div w:id="1481313511">
      <w:bodyDiv w:val="1"/>
      <w:marLeft w:val="0"/>
      <w:marRight w:val="0"/>
      <w:marTop w:val="0"/>
      <w:marBottom w:val="0"/>
      <w:divBdr>
        <w:top w:val="none" w:sz="0" w:space="0" w:color="auto"/>
        <w:left w:val="none" w:sz="0" w:space="0" w:color="auto"/>
        <w:bottom w:val="none" w:sz="0" w:space="0" w:color="auto"/>
        <w:right w:val="none" w:sz="0" w:space="0" w:color="auto"/>
      </w:divBdr>
    </w:div>
    <w:div w:id="1483038749">
      <w:bodyDiv w:val="1"/>
      <w:marLeft w:val="0"/>
      <w:marRight w:val="0"/>
      <w:marTop w:val="0"/>
      <w:marBottom w:val="0"/>
      <w:divBdr>
        <w:top w:val="none" w:sz="0" w:space="0" w:color="auto"/>
        <w:left w:val="none" w:sz="0" w:space="0" w:color="auto"/>
        <w:bottom w:val="none" w:sz="0" w:space="0" w:color="auto"/>
        <w:right w:val="none" w:sz="0" w:space="0" w:color="auto"/>
      </w:divBdr>
    </w:div>
    <w:div w:id="1483814669">
      <w:bodyDiv w:val="1"/>
      <w:marLeft w:val="0"/>
      <w:marRight w:val="0"/>
      <w:marTop w:val="0"/>
      <w:marBottom w:val="0"/>
      <w:divBdr>
        <w:top w:val="none" w:sz="0" w:space="0" w:color="auto"/>
        <w:left w:val="none" w:sz="0" w:space="0" w:color="auto"/>
        <w:bottom w:val="none" w:sz="0" w:space="0" w:color="auto"/>
        <w:right w:val="none" w:sz="0" w:space="0" w:color="auto"/>
      </w:divBdr>
    </w:div>
    <w:div w:id="1485779943">
      <w:bodyDiv w:val="1"/>
      <w:marLeft w:val="0"/>
      <w:marRight w:val="0"/>
      <w:marTop w:val="0"/>
      <w:marBottom w:val="0"/>
      <w:divBdr>
        <w:top w:val="none" w:sz="0" w:space="0" w:color="auto"/>
        <w:left w:val="none" w:sz="0" w:space="0" w:color="auto"/>
        <w:bottom w:val="none" w:sz="0" w:space="0" w:color="auto"/>
        <w:right w:val="none" w:sz="0" w:space="0" w:color="auto"/>
      </w:divBdr>
    </w:div>
    <w:div w:id="1487279708">
      <w:bodyDiv w:val="1"/>
      <w:marLeft w:val="0"/>
      <w:marRight w:val="0"/>
      <w:marTop w:val="0"/>
      <w:marBottom w:val="0"/>
      <w:divBdr>
        <w:top w:val="none" w:sz="0" w:space="0" w:color="auto"/>
        <w:left w:val="none" w:sz="0" w:space="0" w:color="auto"/>
        <w:bottom w:val="none" w:sz="0" w:space="0" w:color="auto"/>
        <w:right w:val="none" w:sz="0" w:space="0" w:color="auto"/>
      </w:divBdr>
    </w:div>
    <w:div w:id="1489009579">
      <w:bodyDiv w:val="1"/>
      <w:marLeft w:val="0"/>
      <w:marRight w:val="0"/>
      <w:marTop w:val="0"/>
      <w:marBottom w:val="0"/>
      <w:divBdr>
        <w:top w:val="none" w:sz="0" w:space="0" w:color="auto"/>
        <w:left w:val="none" w:sz="0" w:space="0" w:color="auto"/>
        <w:bottom w:val="none" w:sz="0" w:space="0" w:color="auto"/>
        <w:right w:val="none" w:sz="0" w:space="0" w:color="auto"/>
      </w:divBdr>
    </w:div>
    <w:div w:id="1491631666">
      <w:bodyDiv w:val="1"/>
      <w:marLeft w:val="0"/>
      <w:marRight w:val="0"/>
      <w:marTop w:val="0"/>
      <w:marBottom w:val="0"/>
      <w:divBdr>
        <w:top w:val="none" w:sz="0" w:space="0" w:color="auto"/>
        <w:left w:val="none" w:sz="0" w:space="0" w:color="auto"/>
        <w:bottom w:val="none" w:sz="0" w:space="0" w:color="auto"/>
        <w:right w:val="none" w:sz="0" w:space="0" w:color="auto"/>
      </w:divBdr>
    </w:div>
    <w:div w:id="1493831263">
      <w:bodyDiv w:val="1"/>
      <w:marLeft w:val="0"/>
      <w:marRight w:val="0"/>
      <w:marTop w:val="0"/>
      <w:marBottom w:val="0"/>
      <w:divBdr>
        <w:top w:val="none" w:sz="0" w:space="0" w:color="auto"/>
        <w:left w:val="none" w:sz="0" w:space="0" w:color="auto"/>
        <w:bottom w:val="none" w:sz="0" w:space="0" w:color="auto"/>
        <w:right w:val="none" w:sz="0" w:space="0" w:color="auto"/>
      </w:divBdr>
    </w:div>
    <w:div w:id="1496191269">
      <w:bodyDiv w:val="1"/>
      <w:marLeft w:val="0"/>
      <w:marRight w:val="0"/>
      <w:marTop w:val="0"/>
      <w:marBottom w:val="0"/>
      <w:divBdr>
        <w:top w:val="none" w:sz="0" w:space="0" w:color="auto"/>
        <w:left w:val="none" w:sz="0" w:space="0" w:color="auto"/>
        <w:bottom w:val="none" w:sz="0" w:space="0" w:color="auto"/>
        <w:right w:val="none" w:sz="0" w:space="0" w:color="auto"/>
      </w:divBdr>
    </w:div>
    <w:div w:id="1496262846">
      <w:bodyDiv w:val="1"/>
      <w:marLeft w:val="0"/>
      <w:marRight w:val="0"/>
      <w:marTop w:val="0"/>
      <w:marBottom w:val="0"/>
      <w:divBdr>
        <w:top w:val="none" w:sz="0" w:space="0" w:color="auto"/>
        <w:left w:val="none" w:sz="0" w:space="0" w:color="auto"/>
        <w:bottom w:val="none" w:sz="0" w:space="0" w:color="auto"/>
        <w:right w:val="none" w:sz="0" w:space="0" w:color="auto"/>
      </w:divBdr>
    </w:div>
    <w:div w:id="1496798510">
      <w:bodyDiv w:val="1"/>
      <w:marLeft w:val="0"/>
      <w:marRight w:val="0"/>
      <w:marTop w:val="0"/>
      <w:marBottom w:val="0"/>
      <w:divBdr>
        <w:top w:val="none" w:sz="0" w:space="0" w:color="auto"/>
        <w:left w:val="none" w:sz="0" w:space="0" w:color="auto"/>
        <w:bottom w:val="none" w:sz="0" w:space="0" w:color="auto"/>
        <w:right w:val="none" w:sz="0" w:space="0" w:color="auto"/>
      </w:divBdr>
    </w:div>
    <w:div w:id="1496922002">
      <w:bodyDiv w:val="1"/>
      <w:marLeft w:val="0"/>
      <w:marRight w:val="0"/>
      <w:marTop w:val="0"/>
      <w:marBottom w:val="0"/>
      <w:divBdr>
        <w:top w:val="none" w:sz="0" w:space="0" w:color="auto"/>
        <w:left w:val="none" w:sz="0" w:space="0" w:color="auto"/>
        <w:bottom w:val="none" w:sz="0" w:space="0" w:color="auto"/>
        <w:right w:val="none" w:sz="0" w:space="0" w:color="auto"/>
      </w:divBdr>
    </w:div>
    <w:div w:id="1497112852">
      <w:bodyDiv w:val="1"/>
      <w:marLeft w:val="0"/>
      <w:marRight w:val="0"/>
      <w:marTop w:val="0"/>
      <w:marBottom w:val="0"/>
      <w:divBdr>
        <w:top w:val="none" w:sz="0" w:space="0" w:color="auto"/>
        <w:left w:val="none" w:sz="0" w:space="0" w:color="auto"/>
        <w:bottom w:val="none" w:sz="0" w:space="0" w:color="auto"/>
        <w:right w:val="none" w:sz="0" w:space="0" w:color="auto"/>
      </w:divBdr>
    </w:div>
    <w:div w:id="1498299279">
      <w:bodyDiv w:val="1"/>
      <w:marLeft w:val="0"/>
      <w:marRight w:val="0"/>
      <w:marTop w:val="0"/>
      <w:marBottom w:val="0"/>
      <w:divBdr>
        <w:top w:val="none" w:sz="0" w:space="0" w:color="auto"/>
        <w:left w:val="none" w:sz="0" w:space="0" w:color="auto"/>
        <w:bottom w:val="none" w:sz="0" w:space="0" w:color="auto"/>
        <w:right w:val="none" w:sz="0" w:space="0" w:color="auto"/>
      </w:divBdr>
    </w:div>
    <w:div w:id="1501507384">
      <w:bodyDiv w:val="1"/>
      <w:marLeft w:val="0"/>
      <w:marRight w:val="0"/>
      <w:marTop w:val="0"/>
      <w:marBottom w:val="0"/>
      <w:divBdr>
        <w:top w:val="none" w:sz="0" w:space="0" w:color="auto"/>
        <w:left w:val="none" w:sz="0" w:space="0" w:color="auto"/>
        <w:bottom w:val="none" w:sz="0" w:space="0" w:color="auto"/>
        <w:right w:val="none" w:sz="0" w:space="0" w:color="auto"/>
      </w:divBdr>
    </w:div>
    <w:div w:id="1503736402">
      <w:bodyDiv w:val="1"/>
      <w:marLeft w:val="0"/>
      <w:marRight w:val="0"/>
      <w:marTop w:val="0"/>
      <w:marBottom w:val="0"/>
      <w:divBdr>
        <w:top w:val="none" w:sz="0" w:space="0" w:color="auto"/>
        <w:left w:val="none" w:sz="0" w:space="0" w:color="auto"/>
        <w:bottom w:val="none" w:sz="0" w:space="0" w:color="auto"/>
        <w:right w:val="none" w:sz="0" w:space="0" w:color="auto"/>
      </w:divBdr>
    </w:div>
    <w:div w:id="1504200384">
      <w:bodyDiv w:val="1"/>
      <w:marLeft w:val="0"/>
      <w:marRight w:val="0"/>
      <w:marTop w:val="0"/>
      <w:marBottom w:val="0"/>
      <w:divBdr>
        <w:top w:val="none" w:sz="0" w:space="0" w:color="auto"/>
        <w:left w:val="none" w:sz="0" w:space="0" w:color="auto"/>
        <w:bottom w:val="none" w:sz="0" w:space="0" w:color="auto"/>
        <w:right w:val="none" w:sz="0" w:space="0" w:color="auto"/>
      </w:divBdr>
    </w:div>
    <w:div w:id="1504734318">
      <w:bodyDiv w:val="1"/>
      <w:marLeft w:val="0"/>
      <w:marRight w:val="0"/>
      <w:marTop w:val="0"/>
      <w:marBottom w:val="0"/>
      <w:divBdr>
        <w:top w:val="none" w:sz="0" w:space="0" w:color="auto"/>
        <w:left w:val="none" w:sz="0" w:space="0" w:color="auto"/>
        <w:bottom w:val="none" w:sz="0" w:space="0" w:color="auto"/>
        <w:right w:val="none" w:sz="0" w:space="0" w:color="auto"/>
      </w:divBdr>
    </w:div>
    <w:div w:id="1505901370">
      <w:bodyDiv w:val="1"/>
      <w:marLeft w:val="0"/>
      <w:marRight w:val="0"/>
      <w:marTop w:val="0"/>
      <w:marBottom w:val="0"/>
      <w:divBdr>
        <w:top w:val="none" w:sz="0" w:space="0" w:color="auto"/>
        <w:left w:val="none" w:sz="0" w:space="0" w:color="auto"/>
        <w:bottom w:val="none" w:sz="0" w:space="0" w:color="auto"/>
        <w:right w:val="none" w:sz="0" w:space="0" w:color="auto"/>
      </w:divBdr>
      <w:divsChild>
        <w:div w:id="42409528">
          <w:marLeft w:val="720"/>
          <w:marRight w:val="0"/>
          <w:marTop w:val="200"/>
          <w:marBottom w:val="0"/>
          <w:divBdr>
            <w:top w:val="none" w:sz="0" w:space="0" w:color="auto"/>
            <w:left w:val="none" w:sz="0" w:space="0" w:color="auto"/>
            <w:bottom w:val="none" w:sz="0" w:space="0" w:color="auto"/>
            <w:right w:val="none" w:sz="0" w:space="0" w:color="auto"/>
          </w:divBdr>
        </w:div>
        <w:div w:id="385760246">
          <w:marLeft w:val="720"/>
          <w:marRight w:val="0"/>
          <w:marTop w:val="200"/>
          <w:marBottom w:val="0"/>
          <w:divBdr>
            <w:top w:val="none" w:sz="0" w:space="0" w:color="auto"/>
            <w:left w:val="none" w:sz="0" w:space="0" w:color="auto"/>
            <w:bottom w:val="none" w:sz="0" w:space="0" w:color="auto"/>
            <w:right w:val="none" w:sz="0" w:space="0" w:color="auto"/>
          </w:divBdr>
        </w:div>
        <w:div w:id="1162430842">
          <w:marLeft w:val="720"/>
          <w:marRight w:val="0"/>
          <w:marTop w:val="200"/>
          <w:marBottom w:val="0"/>
          <w:divBdr>
            <w:top w:val="none" w:sz="0" w:space="0" w:color="auto"/>
            <w:left w:val="none" w:sz="0" w:space="0" w:color="auto"/>
            <w:bottom w:val="none" w:sz="0" w:space="0" w:color="auto"/>
            <w:right w:val="none" w:sz="0" w:space="0" w:color="auto"/>
          </w:divBdr>
        </w:div>
        <w:div w:id="1316104730">
          <w:marLeft w:val="720"/>
          <w:marRight w:val="0"/>
          <w:marTop w:val="200"/>
          <w:marBottom w:val="0"/>
          <w:divBdr>
            <w:top w:val="none" w:sz="0" w:space="0" w:color="auto"/>
            <w:left w:val="none" w:sz="0" w:space="0" w:color="auto"/>
            <w:bottom w:val="none" w:sz="0" w:space="0" w:color="auto"/>
            <w:right w:val="none" w:sz="0" w:space="0" w:color="auto"/>
          </w:divBdr>
        </w:div>
        <w:div w:id="1724719925">
          <w:marLeft w:val="720"/>
          <w:marRight w:val="0"/>
          <w:marTop w:val="200"/>
          <w:marBottom w:val="0"/>
          <w:divBdr>
            <w:top w:val="none" w:sz="0" w:space="0" w:color="auto"/>
            <w:left w:val="none" w:sz="0" w:space="0" w:color="auto"/>
            <w:bottom w:val="none" w:sz="0" w:space="0" w:color="auto"/>
            <w:right w:val="none" w:sz="0" w:space="0" w:color="auto"/>
          </w:divBdr>
        </w:div>
      </w:divsChild>
    </w:div>
    <w:div w:id="1506558816">
      <w:bodyDiv w:val="1"/>
      <w:marLeft w:val="0"/>
      <w:marRight w:val="0"/>
      <w:marTop w:val="0"/>
      <w:marBottom w:val="0"/>
      <w:divBdr>
        <w:top w:val="none" w:sz="0" w:space="0" w:color="auto"/>
        <w:left w:val="none" w:sz="0" w:space="0" w:color="auto"/>
        <w:bottom w:val="none" w:sz="0" w:space="0" w:color="auto"/>
        <w:right w:val="none" w:sz="0" w:space="0" w:color="auto"/>
      </w:divBdr>
    </w:div>
    <w:div w:id="1506628360">
      <w:bodyDiv w:val="1"/>
      <w:marLeft w:val="0"/>
      <w:marRight w:val="0"/>
      <w:marTop w:val="0"/>
      <w:marBottom w:val="0"/>
      <w:divBdr>
        <w:top w:val="none" w:sz="0" w:space="0" w:color="auto"/>
        <w:left w:val="none" w:sz="0" w:space="0" w:color="auto"/>
        <w:bottom w:val="none" w:sz="0" w:space="0" w:color="auto"/>
        <w:right w:val="none" w:sz="0" w:space="0" w:color="auto"/>
      </w:divBdr>
    </w:div>
    <w:div w:id="1507212227">
      <w:bodyDiv w:val="1"/>
      <w:marLeft w:val="0"/>
      <w:marRight w:val="0"/>
      <w:marTop w:val="0"/>
      <w:marBottom w:val="0"/>
      <w:divBdr>
        <w:top w:val="none" w:sz="0" w:space="0" w:color="auto"/>
        <w:left w:val="none" w:sz="0" w:space="0" w:color="auto"/>
        <w:bottom w:val="none" w:sz="0" w:space="0" w:color="auto"/>
        <w:right w:val="none" w:sz="0" w:space="0" w:color="auto"/>
      </w:divBdr>
    </w:div>
    <w:div w:id="1508906318">
      <w:bodyDiv w:val="1"/>
      <w:marLeft w:val="0"/>
      <w:marRight w:val="0"/>
      <w:marTop w:val="0"/>
      <w:marBottom w:val="0"/>
      <w:divBdr>
        <w:top w:val="none" w:sz="0" w:space="0" w:color="auto"/>
        <w:left w:val="none" w:sz="0" w:space="0" w:color="auto"/>
        <w:bottom w:val="none" w:sz="0" w:space="0" w:color="auto"/>
        <w:right w:val="none" w:sz="0" w:space="0" w:color="auto"/>
      </w:divBdr>
    </w:div>
    <w:div w:id="1509060773">
      <w:bodyDiv w:val="1"/>
      <w:marLeft w:val="0"/>
      <w:marRight w:val="0"/>
      <w:marTop w:val="0"/>
      <w:marBottom w:val="0"/>
      <w:divBdr>
        <w:top w:val="none" w:sz="0" w:space="0" w:color="auto"/>
        <w:left w:val="none" w:sz="0" w:space="0" w:color="auto"/>
        <w:bottom w:val="none" w:sz="0" w:space="0" w:color="auto"/>
        <w:right w:val="none" w:sz="0" w:space="0" w:color="auto"/>
      </w:divBdr>
    </w:div>
    <w:div w:id="1510364352">
      <w:bodyDiv w:val="1"/>
      <w:marLeft w:val="0"/>
      <w:marRight w:val="0"/>
      <w:marTop w:val="0"/>
      <w:marBottom w:val="0"/>
      <w:divBdr>
        <w:top w:val="none" w:sz="0" w:space="0" w:color="auto"/>
        <w:left w:val="none" w:sz="0" w:space="0" w:color="auto"/>
        <w:bottom w:val="none" w:sz="0" w:space="0" w:color="auto"/>
        <w:right w:val="none" w:sz="0" w:space="0" w:color="auto"/>
      </w:divBdr>
    </w:div>
    <w:div w:id="1511065215">
      <w:bodyDiv w:val="1"/>
      <w:marLeft w:val="0"/>
      <w:marRight w:val="0"/>
      <w:marTop w:val="0"/>
      <w:marBottom w:val="0"/>
      <w:divBdr>
        <w:top w:val="none" w:sz="0" w:space="0" w:color="auto"/>
        <w:left w:val="none" w:sz="0" w:space="0" w:color="auto"/>
        <w:bottom w:val="none" w:sz="0" w:space="0" w:color="auto"/>
        <w:right w:val="none" w:sz="0" w:space="0" w:color="auto"/>
      </w:divBdr>
    </w:div>
    <w:div w:id="1513255952">
      <w:bodyDiv w:val="1"/>
      <w:marLeft w:val="0"/>
      <w:marRight w:val="0"/>
      <w:marTop w:val="0"/>
      <w:marBottom w:val="0"/>
      <w:divBdr>
        <w:top w:val="none" w:sz="0" w:space="0" w:color="auto"/>
        <w:left w:val="none" w:sz="0" w:space="0" w:color="auto"/>
        <w:bottom w:val="none" w:sz="0" w:space="0" w:color="auto"/>
        <w:right w:val="none" w:sz="0" w:space="0" w:color="auto"/>
      </w:divBdr>
    </w:div>
    <w:div w:id="1516387469">
      <w:bodyDiv w:val="1"/>
      <w:marLeft w:val="0"/>
      <w:marRight w:val="0"/>
      <w:marTop w:val="0"/>
      <w:marBottom w:val="0"/>
      <w:divBdr>
        <w:top w:val="none" w:sz="0" w:space="0" w:color="auto"/>
        <w:left w:val="none" w:sz="0" w:space="0" w:color="auto"/>
        <w:bottom w:val="none" w:sz="0" w:space="0" w:color="auto"/>
        <w:right w:val="none" w:sz="0" w:space="0" w:color="auto"/>
      </w:divBdr>
    </w:div>
    <w:div w:id="1520001994">
      <w:bodyDiv w:val="1"/>
      <w:marLeft w:val="0"/>
      <w:marRight w:val="0"/>
      <w:marTop w:val="0"/>
      <w:marBottom w:val="0"/>
      <w:divBdr>
        <w:top w:val="none" w:sz="0" w:space="0" w:color="auto"/>
        <w:left w:val="none" w:sz="0" w:space="0" w:color="auto"/>
        <w:bottom w:val="none" w:sz="0" w:space="0" w:color="auto"/>
        <w:right w:val="none" w:sz="0" w:space="0" w:color="auto"/>
      </w:divBdr>
    </w:div>
    <w:div w:id="1524128284">
      <w:bodyDiv w:val="1"/>
      <w:marLeft w:val="0"/>
      <w:marRight w:val="0"/>
      <w:marTop w:val="0"/>
      <w:marBottom w:val="0"/>
      <w:divBdr>
        <w:top w:val="none" w:sz="0" w:space="0" w:color="auto"/>
        <w:left w:val="none" w:sz="0" w:space="0" w:color="auto"/>
        <w:bottom w:val="none" w:sz="0" w:space="0" w:color="auto"/>
        <w:right w:val="none" w:sz="0" w:space="0" w:color="auto"/>
      </w:divBdr>
    </w:div>
    <w:div w:id="1524131458">
      <w:bodyDiv w:val="1"/>
      <w:marLeft w:val="0"/>
      <w:marRight w:val="0"/>
      <w:marTop w:val="0"/>
      <w:marBottom w:val="0"/>
      <w:divBdr>
        <w:top w:val="none" w:sz="0" w:space="0" w:color="auto"/>
        <w:left w:val="none" w:sz="0" w:space="0" w:color="auto"/>
        <w:bottom w:val="none" w:sz="0" w:space="0" w:color="auto"/>
        <w:right w:val="none" w:sz="0" w:space="0" w:color="auto"/>
      </w:divBdr>
    </w:div>
    <w:div w:id="1528372557">
      <w:bodyDiv w:val="1"/>
      <w:marLeft w:val="0"/>
      <w:marRight w:val="0"/>
      <w:marTop w:val="0"/>
      <w:marBottom w:val="0"/>
      <w:divBdr>
        <w:top w:val="none" w:sz="0" w:space="0" w:color="auto"/>
        <w:left w:val="none" w:sz="0" w:space="0" w:color="auto"/>
        <w:bottom w:val="none" w:sz="0" w:space="0" w:color="auto"/>
        <w:right w:val="none" w:sz="0" w:space="0" w:color="auto"/>
      </w:divBdr>
    </w:div>
    <w:div w:id="1530752267">
      <w:bodyDiv w:val="1"/>
      <w:marLeft w:val="0"/>
      <w:marRight w:val="0"/>
      <w:marTop w:val="0"/>
      <w:marBottom w:val="0"/>
      <w:divBdr>
        <w:top w:val="none" w:sz="0" w:space="0" w:color="auto"/>
        <w:left w:val="none" w:sz="0" w:space="0" w:color="auto"/>
        <w:bottom w:val="none" w:sz="0" w:space="0" w:color="auto"/>
        <w:right w:val="none" w:sz="0" w:space="0" w:color="auto"/>
      </w:divBdr>
    </w:div>
    <w:div w:id="1531139627">
      <w:bodyDiv w:val="1"/>
      <w:marLeft w:val="0"/>
      <w:marRight w:val="0"/>
      <w:marTop w:val="0"/>
      <w:marBottom w:val="0"/>
      <w:divBdr>
        <w:top w:val="none" w:sz="0" w:space="0" w:color="auto"/>
        <w:left w:val="none" w:sz="0" w:space="0" w:color="auto"/>
        <w:bottom w:val="none" w:sz="0" w:space="0" w:color="auto"/>
        <w:right w:val="none" w:sz="0" w:space="0" w:color="auto"/>
      </w:divBdr>
    </w:div>
    <w:div w:id="1531146177">
      <w:bodyDiv w:val="1"/>
      <w:marLeft w:val="0"/>
      <w:marRight w:val="0"/>
      <w:marTop w:val="0"/>
      <w:marBottom w:val="0"/>
      <w:divBdr>
        <w:top w:val="none" w:sz="0" w:space="0" w:color="auto"/>
        <w:left w:val="none" w:sz="0" w:space="0" w:color="auto"/>
        <w:bottom w:val="none" w:sz="0" w:space="0" w:color="auto"/>
        <w:right w:val="none" w:sz="0" w:space="0" w:color="auto"/>
      </w:divBdr>
    </w:div>
    <w:div w:id="1533297699">
      <w:bodyDiv w:val="1"/>
      <w:marLeft w:val="0"/>
      <w:marRight w:val="0"/>
      <w:marTop w:val="0"/>
      <w:marBottom w:val="0"/>
      <w:divBdr>
        <w:top w:val="none" w:sz="0" w:space="0" w:color="auto"/>
        <w:left w:val="none" w:sz="0" w:space="0" w:color="auto"/>
        <w:bottom w:val="none" w:sz="0" w:space="0" w:color="auto"/>
        <w:right w:val="none" w:sz="0" w:space="0" w:color="auto"/>
      </w:divBdr>
    </w:div>
    <w:div w:id="1536385293">
      <w:bodyDiv w:val="1"/>
      <w:marLeft w:val="0"/>
      <w:marRight w:val="0"/>
      <w:marTop w:val="0"/>
      <w:marBottom w:val="0"/>
      <w:divBdr>
        <w:top w:val="none" w:sz="0" w:space="0" w:color="auto"/>
        <w:left w:val="none" w:sz="0" w:space="0" w:color="auto"/>
        <w:bottom w:val="none" w:sz="0" w:space="0" w:color="auto"/>
        <w:right w:val="none" w:sz="0" w:space="0" w:color="auto"/>
      </w:divBdr>
    </w:div>
    <w:div w:id="1538734551">
      <w:bodyDiv w:val="1"/>
      <w:marLeft w:val="0"/>
      <w:marRight w:val="0"/>
      <w:marTop w:val="0"/>
      <w:marBottom w:val="0"/>
      <w:divBdr>
        <w:top w:val="none" w:sz="0" w:space="0" w:color="auto"/>
        <w:left w:val="none" w:sz="0" w:space="0" w:color="auto"/>
        <w:bottom w:val="none" w:sz="0" w:space="0" w:color="auto"/>
        <w:right w:val="none" w:sz="0" w:space="0" w:color="auto"/>
      </w:divBdr>
    </w:div>
    <w:div w:id="1539397225">
      <w:bodyDiv w:val="1"/>
      <w:marLeft w:val="0"/>
      <w:marRight w:val="0"/>
      <w:marTop w:val="0"/>
      <w:marBottom w:val="0"/>
      <w:divBdr>
        <w:top w:val="none" w:sz="0" w:space="0" w:color="auto"/>
        <w:left w:val="none" w:sz="0" w:space="0" w:color="auto"/>
        <w:bottom w:val="none" w:sz="0" w:space="0" w:color="auto"/>
        <w:right w:val="none" w:sz="0" w:space="0" w:color="auto"/>
      </w:divBdr>
    </w:div>
    <w:div w:id="1541865885">
      <w:bodyDiv w:val="1"/>
      <w:marLeft w:val="0"/>
      <w:marRight w:val="0"/>
      <w:marTop w:val="0"/>
      <w:marBottom w:val="0"/>
      <w:divBdr>
        <w:top w:val="none" w:sz="0" w:space="0" w:color="auto"/>
        <w:left w:val="none" w:sz="0" w:space="0" w:color="auto"/>
        <w:bottom w:val="none" w:sz="0" w:space="0" w:color="auto"/>
        <w:right w:val="none" w:sz="0" w:space="0" w:color="auto"/>
      </w:divBdr>
    </w:div>
    <w:div w:id="1543862752">
      <w:bodyDiv w:val="1"/>
      <w:marLeft w:val="0"/>
      <w:marRight w:val="0"/>
      <w:marTop w:val="0"/>
      <w:marBottom w:val="0"/>
      <w:divBdr>
        <w:top w:val="none" w:sz="0" w:space="0" w:color="auto"/>
        <w:left w:val="none" w:sz="0" w:space="0" w:color="auto"/>
        <w:bottom w:val="none" w:sz="0" w:space="0" w:color="auto"/>
        <w:right w:val="none" w:sz="0" w:space="0" w:color="auto"/>
      </w:divBdr>
    </w:div>
    <w:div w:id="1545485241">
      <w:bodyDiv w:val="1"/>
      <w:marLeft w:val="0"/>
      <w:marRight w:val="0"/>
      <w:marTop w:val="0"/>
      <w:marBottom w:val="0"/>
      <w:divBdr>
        <w:top w:val="none" w:sz="0" w:space="0" w:color="auto"/>
        <w:left w:val="none" w:sz="0" w:space="0" w:color="auto"/>
        <w:bottom w:val="none" w:sz="0" w:space="0" w:color="auto"/>
        <w:right w:val="none" w:sz="0" w:space="0" w:color="auto"/>
      </w:divBdr>
    </w:div>
    <w:div w:id="1545748993">
      <w:bodyDiv w:val="1"/>
      <w:marLeft w:val="0"/>
      <w:marRight w:val="0"/>
      <w:marTop w:val="0"/>
      <w:marBottom w:val="0"/>
      <w:divBdr>
        <w:top w:val="none" w:sz="0" w:space="0" w:color="auto"/>
        <w:left w:val="none" w:sz="0" w:space="0" w:color="auto"/>
        <w:bottom w:val="none" w:sz="0" w:space="0" w:color="auto"/>
        <w:right w:val="none" w:sz="0" w:space="0" w:color="auto"/>
      </w:divBdr>
    </w:div>
    <w:div w:id="1547792969">
      <w:bodyDiv w:val="1"/>
      <w:marLeft w:val="0"/>
      <w:marRight w:val="0"/>
      <w:marTop w:val="0"/>
      <w:marBottom w:val="0"/>
      <w:divBdr>
        <w:top w:val="none" w:sz="0" w:space="0" w:color="auto"/>
        <w:left w:val="none" w:sz="0" w:space="0" w:color="auto"/>
        <w:bottom w:val="none" w:sz="0" w:space="0" w:color="auto"/>
        <w:right w:val="none" w:sz="0" w:space="0" w:color="auto"/>
      </w:divBdr>
    </w:div>
    <w:div w:id="1548369271">
      <w:bodyDiv w:val="1"/>
      <w:marLeft w:val="0"/>
      <w:marRight w:val="0"/>
      <w:marTop w:val="0"/>
      <w:marBottom w:val="0"/>
      <w:divBdr>
        <w:top w:val="none" w:sz="0" w:space="0" w:color="auto"/>
        <w:left w:val="none" w:sz="0" w:space="0" w:color="auto"/>
        <w:bottom w:val="none" w:sz="0" w:space="0" w:color="auto"/>
        <w:right w:val="none" w:sz="0" w:space="0" w:color="auto"/>
      </w:divBdr>
    </w:div>
    <w:div w:id="1549683615">
      <w:bodyDiv w:val="1"/>
      <w:marLeft w:val="0"/>
      <w:marRight w:val="0"/>
      <w:marTop w:val="0"/>
      <w:marBottom w:val="0"/>
      <w:divBdr>
        <w:top w:val="none" w:sz="0" w:space="0" w:color="auto"/>
        <w:left w:val="none" w:sz="0" w:space="0" w:color="auto"/>
        <w:bottom w:val="none" w:sz="0" w:space="0" w:color="auto"/>
        <w:right w:val="none" w:sz="0" w:space="0" w:color="auto"/>
      </w:divBdr>
    </w:div>
    <w:div w:id="1551115941">
      <w:bodyDiv w:val="1"/>
      <w:marLeft w:val="0"/>
      <w:marRight w:val="0"/>
      <w:marTop w:val="0"/>
      <w:marBottom w:val="0"/>
      <w:divBdr>
        <w:top w:val="none" w:sz="0" w:space="0" w:color="auto"/>
        <w:left w:val="none" w:sz="0" w:space="0" w:color="auto"/>
        <w:bottom w:val="none" w:sz="0" w:space="0" w:color="auto"/>
        <w:right w:val="none" w:sz="0" w:space="0" w:color="auto"/>
      </w:divBdr>
    </w:div>
    <w:div w:id="1553495145">
      <w:bodyDiv w:val="1"/>
      <w:marLeft w:val="0"/>
      <w:marRight w:val="0"/>
      <w:marTop w:val="0"/>
      <w:marBottom w:val="0"/>
      <w:divBdr>
        <w:top w:val="none" w:sz="0" w:space="0" w:color="auto"/>
        <w:left w:val="none" w:sz="0" w:space="0" w:color="auto"/>
        <w:bottom w:val="none" w:sz="0" w:space="0" w:color="auto"/>
        <w:right w:val="none" w:sz="0" w:space="0" w:color="auto"/>
      </w:divBdr>
    </w:div>
    <w:div w:id="1558591422">
      <w:bodyDiv w:val="1"/>
      <w:marLeft w:val="0"/>
      <w:marRight w:val="0"/>
      <w:marTop w:val="0"/>
      <w:marBottom w:val="0"/>
      <w:divBdr>
        <w:top w:val="none" w:sz="0" w:space="0" w:color="auto"/>
        <w:left w:val="none" w:sz="0" w:space="0" w:color="auto"/>
        <w:bottom w:val="none" w:sz="0" w:space="0" w:color="auto"/>
        <w:right w:val="none" w:sz="0" w:space="0" w:color="auto"/>
      </w:divBdr>
    </w:div>
    <w:div w:id="1558853770">
      <w:bodyDiv w:val="1"/>
      <w:marLeft w:val="0"/>
      <w:marRight w:val="0"/>
      <w:marTop w:val="0"/>
      <w:marBottom w:val="0"/>
      <w:divBdr>
        <w:top w:val="none" w:sz="0" w:space="0" w:color="auto"/>
        <w:left w:val="none" w:sz="0" w:space="0" w:color="auto"/>
        <w:bottom w:val="none" w:sz="0" w:space="0" w:color="auto"/>
        <w:right w:val="none" w:sz="0" w:space="0" w:color="auto"/>
      </w:divBdr>
    </w:div>
    <w:div w:id="1560703500">
      <w:bodyDiv w:val="1"/>
      <w:marLeft w:val="0"/>
      <w:marRight w:val="0"/>
      <w:marTop w:val="0"/>
      <w:marBottom w:val="0"/>
      <w:divBdr>
        <w:top w:val="none" w:sz="0" w:space="0" w:color="auto"/>
        <w:left w:val="none" w:sz="0" w:space="0" w:color="auto"/>
        <w:bottom w:val="none" w:sz="0" w:space="0" w:color="auto"/>
        <w:right w:val="none" w:sz="0" w:space="0" w:color="auto"/>
      </w:divBdr>
    </w:div>
    <w:div w:id="1561751369">
      <w:bodyDiv w:val="1"/>
      <w:marLeft w:val="0"/>
      <w:marRight w:val="0"/>
      <w:marTop w:val="0"/>
      <w:marBottom w:val="0"/>
      <w:divBdr>
        <w:top w:val="none" w:sz="0" w:space="0" w:color="auto"/>
        <w:left w:val="none" w:sz="0" w:space="0" w:color="auto"/>
        <w:bottom w:val="none" w:sz="0" w:space="0" w:color="auto"/>
        <w:right w:val="none" w:sz="0" w:space="0" w:color="auto"/>
      </w:divBdr>
    </w:div>
    <w:div w:id="1562667624">
      <w:bodyDiv w:val="1"/>
      <w:marLeft w:val="0"/>
      <w:marRight w:val="0"/>
      <w:marTop w:val="0"/>
      <w:marBottom w:val="0"/>
      <w:divBdr>
        <w:top w:val="none" w:sz="0" w:space="0" w:color="auto"/>
        <w:left w:val="none" w:sz="0" w:space="0" w:color="auto"/>
        <w:bottom w:val="none" w:sz="0" w:space="0" w:color="auto"/>
        <w:right w:val="none" w:sz="0" w:space="0" w:color="auto"/>
      </w:divBdr>
    </w:div>
    <w:div w:id="1563058424">
      <w:bodyDiv w:val="1"/>
      <w:marLeft w:val="0"/>
      <w:marRight w:val="0"/>
      <w:marTop w:val="0"/>
      <w:marBottom w:val="0"/>
      <w:divBdr>
        <w:top w:val="none" w:sz="0" w:space="0" w:color="auto"/>
        <w:left w:val="none" w:sz="0" w:space="0" w:color="auto"/>
        <w:bottom w:val="none" w:sz="0" w:space="0" w:color="auto"/>
        <w:right w:val="none" w:sz="0" w:space="0" w:color="auto"/>
      </w:divBdr>
    </w:div>
    <w:div w:id="1563172591">
      <w:bodyDiv w:val="1"/>
      <w:marLeft w:val="0"/>
      <w:marRight w:val="0"/>
      <w:marTop w:val="0"/>
      <w:marBottom w:val="0"/>
      <w:divBdr>
        <w:top w:val="none" w:sz="0" w:space="0" w:color="auto"/>
        <w:left w:val="none" w:sz="0" w:space="0" w:color="auto"/>
        <w:bottom w:val="none" w:sz="0" w:space="0" w:color="auto"/>
        <w:right w:val="none" w:sz="0" w:space="0" w:color="auto"/>
      </w:divBdr>
    </w:div>
    <w:div w:id="1567377711">
      <w:bodyDiv w:val="1"/>
      <w:marLeft w:val="0"/>
      <w:marRight w:val="0"/>
      <w:marTop w:val="0"/>
      <w:marBottom w:val="0"/>
      <w:divBdr>
        <w:top w:val="none" w:sz="0" w:space="0" w:color="auto"/>
        <w:left w:val="none" w:sz="0" w:space="0" w:color="auto"/>
        <w:bottom w:val="none" w:sz="0" w:space="0" w:color="auto"/>
        <w:right w:val="none" w:sz="0" w:space="0" w:color="auto"/>
      </w:divBdr>
    </w:div>
    <w:div w:id="1569000059">
      <w:bodyDiv w:val="1"/>
      <w:marLeft w:val="0"/>
      <w:marRight w:val="0"/>
      <w:marTop w:val="0"/>
      <w:marBottom w:val="0"/>
      <w:divBdr>
        <w:top w:val="none" w:sz="0" w:space="0" w:color="auto"/>
        <w:left w:val="none" w:sz="0" w:space="0" w:color="auto"/>
        <w:bottom w:val="none" w:sz="0" w:space="0" w:color="auto"/>
        <w:right w:val="none" w:sz="0" w:space="0" w:color="auto"/>
      </w:divBdr>
    </w:div>
    <w:div w:id="1572079524">
      <w:bodyDiv w:val="1"/>
      <w:marLeft w:val="0"/>
      <w:marRight w:val="0"/>
      <w:marTop w:val="0"/>
      <w:marBottom w:val="0"/>
      <w:divBdr>
        <w:top w:val="none" w:sz="0" w:space="0" w:color="auto"/>
        <w:left w:val="none" w:sz="0" w:space="0" w:color="auto"/>
        <w:bottom w:val="none" w:sz="0" w:space="0" w:color="auto"/>
        <w:right w:val="none" w:sz="0" w:space="0" w:color="auto"/>
      </w:divBdr>
    </w:div>
    <w:div w:id="1572814978">
      <w:bodyDiv w:val="1"/>
      <w:marLeft w:val="0"/>
      <w:marRight w:val="0"/>
      <w:marTop w:val="0"/>
      <w:marBottom w:val="0"/>
      <w:divBdr>
        <w:top w:val="none" w:sz="0" w:space="0" w:color="auto"/>
        <w:left w:val="none" w:sz="0" w:space="0" w:color="auto"/>
        <w:bottom w:val="none" w:sz="0" w:space="0" w:color="auto"/>
        <w:right w:val="none" w:sz="0" w:space="0" w:color="auto"/>
      </w:divBdr>
      <w:divsChild>
        <w:div w:id="2706567">
          <w:marLeft w:val="274"/>
          <w:marRight w:val="0"/>
          <w:marTop w:val="0"/>
          <w:marBottom w:val="0"/>
          <w:divBdr>
            <w:top w:val="none" w:sz="0" w:space="0" w:color="auto"/>
            <w:left w:val="none" w:sz="0" w:space="0" w:color="auto"/>
            <w:bottom w:val="none" w:sz="0" w:space="0" w:color="auto"/>
            <w:right w:val="none" w:sz="0" w:space="0" w:color="auto"/>
          </w:divBdr>
        </w:div>
        <w:div w:id="310912869">
          <w:marLeft w:val="274"/>
          <w:marRight w:val="0"/>
          <w:marTop w:val="0"/>
          <w:marBottom w:val="0"/>
          <w:divBdr>
            <w:top w:val="none" w:sz="0" w:space="0" w:color="auto"/>
            <w:left w:val="none" w:sz="0" w:space="0" w:color="auto"/>
            <w:bottom w:val="none" w:sz="0" w:space="0" w:color="auto"/>
            <w:right w:val="none" w:sz="0" w:space="0" w:color="auto"/>
          </w:divBdr>
        </w:div>
        <w:div w:id="328405661">
          <w:marLeft w:val="274"/>
          <w:marRight w:val="0"/>
          <w:marTop w:val="0"/>
          <w:marBottom w:val="0"/>
          <w:divBdr>
            <w:top w:val="none" w:sz="0" w:space="0" w:color="auto"/>
            <w:left w:val="none" w:sz="0" w:space="0" w:color="auto"/>
            <w:bottom w:val="none" w:sz="0" w:space="0" w:color="auto"/>
            <w:right w:val="none" w:sz="0" w:space="0" w:color="auto"/>
          </w:divBdr>
        </w:div>
        <w:div w:id="806319960">
          <w:marLeft w:val="274"/>
          <w:marRight w:val="0"/>
          <w:marTop w:val="0"/>
          <w:marBottom w:val="0"/>
          <w:divBdr>
            <w:top w:val="none" w:sz="0" w:space="0" w:color="auto"/>
            <w:left w:val="none" w:sz="0" w:space="0" w:color="auto"/>
            <w:bottom w:val="none" w:sz="0" w:space="0" w:color="auto"/>
            <w:right w:val="none" w:sz="0" w:space="0" w:color="auto"/>
          </w:divBdr>
        </w:div>
        <w:div w:id="1149251897">
          <w:marLeft w:val="274"/>
          <w:marRight w:val="0"/>
          <w:marTop w:val="0"/>
          <w:marBottom w:val="0"/>
          <w:divBdr>
            <w:top w:val="none" w:sz="0" w:space="0" w:color="auto"/>
            <w:left w:val="none" w:sz="0" w:space="0" w:color="auto"/>
            <w:bottom w:val="none" w:sz="0" w:space="0" w:color="auto"/>
            <w:right w:val="none" w:sz="0" w:space="0" w:color="auto"/>
          </w:divBdr>
        </w:div>
        <w:div w:id="1399595050">
          <w:marLeft w:val="274"/>
          <w:marRight w:val="0"/>
          <w:marTop w:val="0"/>
          <w:marBottom w:val="0"/>
          <w:divBdr>
            <w:top w:val="none" w:sz="0" w:space="0" w:color="auto"/>
            <w:left w:val="none" w:sz="0" w:space="0" w:color="auto"/>
            <w:bottom w:val="none" w:sz="0" w:space="0" w:color="auto"/>
            <w:right w:val="none" w:sz="0" w:space="0" w:color="auto"/>
          </w:divBdr>
        </w:div>
        <w:div w:id="1487016377">
          <w:marLeft w:val="274"/>
          <w:marRight w:val="0"/>
          <w:marTop w:val="0"/>
          <w:marBottom w:val="0"/>
          <w:divBdr>
            <w:top w:val="none" w:sz="0" w:space="0" w:color="auto"/>
            <w:left w:val="none" w:sz="0" w:space="0" w:color="auto"/>
            <w:bottom w:val="none" w:sz="0" w:space="0" w:color="auto"/>
            <w:right w:val="none" w:sz="0" w:space="0" w:color="auto"/>
          </w:divBdr>
        </w:div>
        <w:div w:id="1853377277">
          <w:marLeft w:val="274"/>
          <w:marRight w:val="0"/>
          <w:marTop w:val="0"/>
          <w:marBottom w:val="0"/>
          <w:divBdr>
            <w:top w:val="none" w:sz="0" w:space="0" w:color="auto"/>
            <w:left w:val="none" w:sz="0" w:space="0" w:color="auto"/>
            <w:bottom w:val="none" w:sz="0" w:space="0" w:color="auto"/>
            <w:right w:val="none" w:sz="0" w:space="0" w:color="auto"/>
          </w:divBdr>
        </w:div>
        <w:div w:id="1877769921">
          <w:marLeft w:val="274"/>
          <w:marRight w:val="0"/>
          <w:marTop w:val="0"/>
          <w:marBottom w:val="0"/>
          <w:divBdr>
            <w:top w:val="none" w:sz="0" w:space="0" w:color="auto"/>
            <w:left w:val="none" w:sz="0" w:space="0" w:color="auto"/>
            <w:bottom w:val="none" w:sz="0" w:space="0" w:color="auto"/>
            <w:right w:val="none" w:sz="0" w:space="0" w:color="auto"/>
          </w:divBdr>
        </w:div>
      </w:divsChild>
    </w:div>
    <w:div w:id="1575777899">
      <w:bodyDiv w:val="1"/>
      <w:marLeft w:val="0"/>
      <w:marRight w:val="0"/>
      <w:marTop w:val="0"/>
      <w:marBottom w:val="0"/>
      <w:divBdr>
        <w:top w:val="none" w:sz="0" w:space="0" w:color="auto"/>
        <w:left w:val="none" w:sz="0" w:space="0" w:color="auto"/>
        <w:bottom w:val="none" w:sz="0" w:space="0" w:color="auto"/>
        <w:right w:val="none" w:sz="0" w:space="0" w:color="auto"/>
      </w:divBdr>
    </w:div>
    <w:div w:id="1577399805">
      <w:bodyDiv w:val="1"/>
      <w:marLeft w:val="0"/>
      <w:marRight w:val="0"/>
      <w:marTop w:val="0"/>
      <w:marBottom w:val="0"/>
      <w:divBdr>
        <w:top w:val="none" w:sz="0" w:space="0" w:color="auto"/>
        <w:left w:val="none" w:sz="0" w:space="0" w:color="auto"/>
        <w:bottom w:val="none" w:sz="0" w:space="0" w:color="auto"/>
        <w:right w:val="none" w:sz="0" w:space="0" w:color="auto"/>
      </w:divBdr>
    </w:div>
    <w:div w:id="1578907072">
      <w:bodyDiv w:val="1"/>
      <w:marLeft w:val="0"/>
      <w:marRight w:val="0"/>
      <w:marTop w:val="0"/>
      <w:marBottom w:val="0"/>
      <w:divBdr>
        <w:top w:val="none" w:sz="0" w:space="0" w:color="auto"/>
        <w:left w:val="none" w:sz="0" w:space="0" w:color="auto"/>
        <w:bottom w:val="none" w:sz="0" w:space="0" w:color="auto"/>
        <w:right w:val="none" w:sz="0" w:space="0" w:color="auto"/>
      </w:divBdr>
    </w:div>
    <w:div w:id="1581208226">
      <w:bodyDiv w:val="1"/>
      <w:marLeft w:val="0"/>
      <w:marRight w:val="0"/>
      <w:marTop w:val="0"/>
      <w:marBottom w:val="0"/>
      <w:divBdr>
        <w:top w:val="none" w:sz="0" w:space="0" w:color="auto"/>
        <w:left w:val="none" w:sz="0" w:space="0" w:color="auto"/>
        <w:bottom w:val="none" w:sz="0" w:space="0" w:color="auto"/>
        <w:right w:val="none" w:sz="0" w:space="0" w:color="auto"/>
      </w:divBdr>
    </w:div>
    <w:div w:id="1582446153">
      <w:bodyDiv w:val="1"/>
      <w:marLeft w:val="0"/>
      <w:marRight w:val="0"/>
      <w:marTop w:val="0"/>
      <w:marBottom w:val="0"/>
      <w:divBdr>
        <w:top w:val="none" w:sz="0" w:space="0" w:color="auto"/>
        <w:left w:val="none" w:sz="0" w:space="0" w:color="auto"/>
        <w:bottom w:val="none" w:sz="0" w:space="0" w:color="auto"/>
        <w:right w:val="none" w:sz="0" w:space="0" w:color="auto"/>
      </w:divBdr>
    </w:div>
    <w:div w:id="1583905674">
      <w:bodyDiv w:val="1"/>
      <w:marLeft w:val="0"/>
      <w:marRight w:val="0"/>
      <w:marTop w:val="0"/>
      <w:marBottom w:val="0"/>
      <w:divBdr>
        <w:top w:val="none" w:sz="0" w:space="0" w:color="auto"/>
        <w:left w:val="none" w:sz="0" w:space="0" w:color="auto"/>
        <w:bottom w:val="none" w:sz="0" w:space="0" w:color="auto"/>
        <w:right w:val="none" w:sz="0" w:space="0" w:color="auto"/>
      </w:divBdr>
    </w:div>
    <w:div w:id="1584952204">
      <w:bodyDiv w:val="1"/>
      <w:marLeft w:val="0"/>
      <w:marRight w:val="0"/>
      <w:marTop w:val="0"/>
      <w:marBottom w:val="0"/>
      <w:divBdr>
        <w:top w:val="none" w:sz="0" w:space="0" w:color="auto"/>
        <w:left w:val="none" w:sz="0" w:space="0" w:color="auto"/>
        <w:bottom w:val="none" w:sz="0" w:space="0" w:color="auto"/>
        <w:right w:val="none" w:sz="0" w:space="0" w:color="auto"/>
      </w:divBdr>
    </w:div>
    <w:div w:id="1586644681">
      <w:bodyDiv w:val="1"/>
      <w:marLeft w:val="0"/>
      <w:marRight w:val="0"/>
      <w:marTop w:val="0"/>
      <w:marBottom w:val="0"/>
      <w:divBdr>
        <w:top w:val="none" w:sz="0" w:space="0" w:color="auto"/>
        <w:left w:val="none" w:sz="0" w:space="0" w:color="auto"/>
        <w:bottom w:val="none" w:sz="0" w:space="0" w:color="auto"/>
        <w:right w:val="none" w:sz="0" w:space="0" w:color="auto"/>
      </w:divBdr>
    </w:div>
    <w:div w:id="1589461512">
      <w:bodyDiv w:val="1"/>
      <w:marLeft w:val="0"/>
      <w:marRight w:val="0"/>
      <w:marTop w:val="0"/>
      <w:marBottom w:val="0"/>
      <w:divBdr>
        <w:top w:val="none" w:sz="0" w:space="0" w:color="auto"/>
        <w:left w:val="none" w:sz="0" w:space="0" w:color="auto"/>
        <w:bottom w:val="none" w:sz="0" w:space="0" w:color="auto"/>
        <w:right w:val="none" w:sz="0" w:space="0" w:color="auto"/>
      </w:divBdr>
    </w:div>
    <w:div w:id="1595047189">
      <w:bodyDiv w:val="1"/>
      <w:marLeft w:val="0"/>
      <w:marRight w:val="0"/>
      <w:marTop w:val="0"/>
      <w:marBottom w:val="0"/>
      <w:divBdr>
        <w:top w:val="none" w:sz="0" w:space="0" w:color="auto"/>
        <w:left w:val="none" w:sz="0" w:space="0" w:color="auto"/>
        <w:bottom w:val="none" w:sz="0" w:space="0" w:color="auto"/>
        <w:right w:val="none" w:sz="0" w:space="0" w:color="auto"/>
      </w:divBdr>
    </w:div>
    <w:div w:id="1596091630">
      <w:bodyDiv w:val="1"/>
      <w:marLeft w:val="0"/>
      <w:marRight w:val="0"/>
      <w:marTop w:val="0"/>
      <w:marBottom w:val="0"/>
      <w:divBdr>
        <w:top w:val="none" w:sz="0" w:space="0" w:color="auto"/>
        <w:left w:val="none" w:sz="0" w:space="0" w:color="auto"/>
        <w:bottom w:val="none" w:sz="0" w:space="0" w:color="auto"/>
        <w:right w:val="none" w:sz="0" w:space="0" w:color="auto"/>
      </w:divBdr>
    </w:div>
    <w:div w:id="1598708752">
      <w:bodyDiv w:val="1"/>
      <w:marLeft w:val="0"/>
      <w:marRight w:val="0"/>
      <w:marTop w:val="0"/>
      <w:marBottom w:val="0"/>
      <w:divBdr>
        <w:top w:val="none" w:sz="0" w:space="0" w:color="auto"/>
        <w:left w:val="none" w:sz="0" w:space="0" w:color="auto"/>
        <w:bottom w:val="none" w:sz="0" w:space="0" w:color="auto"/>
        <w:right w:val="none" w:sz="0" w:space="0" w:color="auto"/>
      </w:divBdr>
    </w:div>
    <w:div w:id="1600676111">
      <w:bodyDiv w:val="1"/>
      <w:marLeft w:val="0"/>
      <w:marRight w:val="0"/>
      <w:marTop w:val="0"/>
      <w:marBottom w:val="0"/>
      <w:divBdr>
        <w:top w:val="none" w:sz="0" w:space="0" w:color="auto"/>
        <w:left w:val="none" w:sz="0" w:space="0" w:color="auto"/>
        <w:bottom w:val="none" w:sz="0" w:space="0" w:color="auto"/>
        <w:right w:val="none" w:sz="0" w:space="0" w:color="auto"/>
      </w:divBdr>
    </w:div>
    <w:div w:id="1601066957">
      <w:bodyDiv w:val="1"/>
      <w:marLeft w:val="0"/>
      <w:marRight w:val="0"/>
      <w:marTop w:val="0"/>
      <w:marBottom w:val="0"/>
      <w:divBdr>
        <w:top w:val="none" w:sz="0" w:space="0" w:color="auto"/>
        <w:left w:val="none" w:sz="0" w:space="0" w:color="auto"/>
        <w:bottom w:val="none" w:sz="0" w:space="0" w:color="auto"/>
        <w:right w:val="none" w:sz="0" w:space="0" w:color="auto"/>
      </w:divBdr>
    </w:div>
    <w:div w:id="1605579196">
      <w:bodyDiv w:val="1"/>
      <w:marLeft w:val="0"/>
      <w:marRight w:val="0"/>
      <w:marTop w:val="0"/>
      <w:marBottom w:val="0"/>
      <w:divBdr>
        <w:top w:val="none" w:sz="0" w:space="0" w:color="auto"/>
        <w:left w:val="none" w:sz="0" w:space="0" w:color="auto"/>
        <w:bottom w:val="none" w:sz="0" w:space="0" w:color="auto"/>
        <w:right w:val="none" w:sz="0" w:space="0" w:color="auto"/>
      </w:divBdr>
    </w:div>
    <w:div w:id="1609581851">
      <w:bodyDiv w:val="1"/>
      <w:marLeft w:val="0"/>
      <w:marRight w:val="0"/>
      <w:marTop w:val="0"/>
      <w:marBottom w:val="0"/>
      <w:divBdr>
        <w:top w:val="none" w:sz="0" w:space="0" w:color="auto"/>
        <w:left w:val="none" w:sz="0" w:space="0" w:color="auto"/>
        <w:bottom w:val="none" w:sz="0" w:space="0" w:color="auto"/>
        <w:right w:val="none" w:sz="0" w:space="0" w:color="auto"/>
      </w:divBdr>
    </w:div>
    <w:div w:id="1610045401">
      <w:bodyDiv w:val="1"/>
      <w:marLeft w:val="0"/>
      <w:marRight w:val="0"/>
      <w:marTop w:val="0"/>
      <w:marBottom w:val="0"/>
      <w:divBdr>
        <w:top w:val="none" w:sz="0" w:space="0" w:color="auto"/>
        <w:left w:val="none" w:sz="0" w:space="0" w:color="auto"/>
        <w:bottom w:val="none" w:sz="0" w:space="0" w:color="auto"/>
        <w:right w:val="none" w:sz="0" w:space="0" w:color="auto"/>
      </w:divBdr>
    </w:div>
    <w:div w:id="1610232346">
      <w:bodyDiv w:val="1"/>
      <w:marLeft w:val="0"/>
      <w:marRight w:val="0"/>
      <w:marTop w:val="0"/>
      <w:marBottom w:val="0"/>
      <w:divBdr>
        <w:top w:val="none" w:sz="0" w:space="0" w:color="auto"/>
        <w:left w:val="none" w:sz="0" w:space="0" w:color="auto"/>
        <w:bottom w:val="none" w:sz="0" w:space="0" w:color="auto"/>
        <w:right w:val="none" w:sz="0" w:space="0" w:color="auto"/>
      </w:divBdr>
    </w:div>
    <w:div w:id="1610890151">
      <w:bodyDiv w:val="1"/>
      <w:marLeft w:val="0"/>
      <w:marRight w:val="0"/>
      <w:marTop w:val="0"/>
      <w:marBottom w:val="0"/>
      <w:divBdr>
        <w:top w:val="none" w:sz="0" w:space="0" w:color="auto"/>
        <w:left w:val="none" w:sz="0" w:space="0" w:color="auto"/>
        <w:bottom w:val="none" w:sz="0" w:space="0" w:color="auto"/>
        <w:right w:val="none" w:sz="0" w:space="0" w:color="auto"/>
      </w:divBdr>
    </w:div>
    <w:div w:id="1611667818">
      <w:bodyDiv w:val="1"/>
      <w:marLeft w:val="0"/>
      <w:marRight w:val="0"/>
      <w:marTop w:val="0"/>
      <w:marBottom w:val="0"/>
      <w:divBdr>
        <w:top w:val="none" w:sz="0" w:space="0" w:color="auto"/>
        <w:left w:val="none" w:sz="0" w:space="0" w:color="auto"/>
        <w:bottom w:val="none" w:sz="0" w:space="0" w:color="auto"/>
        <w:right w:val="none" w:sz="0" w:space="0" w:color="auto"/>
      </w:divBdr>
    </w:div>
    <w:div w:id="1613633222">
      <w:bodyDiv w:val="1"/>
      <w:marLeft w:val="0"/>
      <w:marRight w:val="0"/>
      <w:marTop w:val="0"/>
      <w:marBottom w:val="0"/>
      <w:divBdr>
        <w:top w:val="none" w:sz="0" w:space="0" w:color="auto"/>
        <w:left w:val="none" w:sz="0" w:space="0" w:color="auto"/>
        <w:bottom w:val="none" w:sz="0" w:space="0" w:color="auto"/>
        <w:right w:val="none" w:sz="0" w:space="0" w:color="auto"/>
      </w:divBdr>
    </w:div>
    <w:div w:id="1613709413">
      <w:bodyDiv w:val="1"/>
      <w:marLeft w:val="0"/>
      <w:marRight w:val="0"/>
      <w:marTop w:val="0"/>
      <w:marBottom w:val="0"/>
      <w:divBdr>
        <w:top w:val="none" w:sz="0" w:space="0" w:color="auto"/>
        <w:left w:val="none" w:sz="0" w:space="0" w:color="auto"/>
        <w:bottom w:val="none" w:sz="0" w:space="0" w:color="auto"/>
        <w:right w:val="none" w:sz="0" w:space="0" w:color="auto"/>
      </w:divBdr>
    </w:div>
    <w:div w:id="1613853282">
      <w:bodyDiv w:val="1"/>
      <w:marLeft w:val="0"/>
      <w:marRight w:val="0"/>
      <w:marTop w:val="0"/>
      <w:marBottom w:val="0"/>
      <w:divBdr>
        <w:top w:val="none" w:sz="0" w:space="0" w:color="auto"/>
        <w:left w:val="none" w:sz="0" w:space="0" w:color="auto"/>
        <w:bottom w:val="none" w:sz="0" w:space="0" w:color="auto"/>
        <w:right w:val="none" w:sz="0" w:space="0" w:color="auto"/>
      </w:divBdr>
    </w:div>
    <w:div w:id="1615864658">
      <w:bodyDiv w:val="1"/>
      <w:marLeft w:val="0"/>
      <w:marRight w:val="0"/>
      <w:marTop w:val="0"/>
      <w:marBottom w:val="0"/>
      <w:divBdr>
        <w:top w:val="none" w:sz="0" w:space="0" w:color="auto"/>
        <w:left w:val="none" w:sz="0" w:space="0" w:color="auto"/>
        <w:bottom w:val="none" w:sz="0" w:space="0" w:color="auto"/>
        <w:right w:val="none" w:sz="0" w:space="0" w:color="auto"/>
      </w:divBdr>
    </w:div>
    <w:div w:id="1616134146">
      <w:bodyDiv w:val="1"/>
      <w:marLeft w:val="0"/>
      <w:marRight w:val="0"/>
      <w:marTop w:val="0"/>
      <w:marBottom w:val="0"/>
      <w:divBdr>
        <w:top w:val="none" w:sz="0" w:space="0" w:color="auto"/>
        <w:left w:val="none" w:sz="0" w:space="0" w:color="auto"/>
        <w:bottom w:val="none" w:sz="0" w:space="0" w:color="auto"/>
        <w:right w:val="none" w:sz="0" w:space="0" w:color="auto"/>
      </w:divBdr>
    </w:div>
    <w:div w:id="1617365063">
      <w:bodyDiv w:val="1"/>
      <w:marLeft w:val="0"/>
      <w:marRight w:val="0"/>
      <w:marTop w:val="0"/>
      <w:marBottom w:val="0"/>
      <w:divBdr>
        <w:top w:val="none" w:sz="0" w:space="0" w:color="auto"/>
        <w:left w:val="none" w:sz="0" w:space="0" w:color="auto"/>
        <w:bottom w:val="none" w:sz="0" w:space="0" w:color="auto"/>
        <w:right w:val="none" w:sz="0" w:space="0" w:color="auto"/>
      </w:divBdr>
    </w:div>
    <w:div w:id="1618177418">
      <w:bodyDiv w:val="1"/>
      <w:marLeft w:val="0"/>
      <w:marRight w:val="0"/>
      <w:marTop w:val="0"/>
      <w:marBottom w:val="0"/>
      <w:divBdr>
        <w:top w:val="none" w:sz="0" w:space="0" w:color="auto"/>
        <w:left w:val="none" w:sz="0" w:space="0" w:color="auto"/>
        <w:bottom w:val="none" w:sz="0" w:space="0" w:color="auto"/>
        <w:right w:val="none" w:sz="0" w:space="0" w:color="auto"/>
      </w:divBdr>
    </w:div>
    <w:div w:id="1618950574">
      <w:bodyDiv w:val="1"/>
      <w:marLeft w:val="0"/>
      <w:marRight w:val="0"/>
      <w:marTop w:val="0"/>
      <w:marBottom w:val="0"/>
      <w:divBdr>
        <w:top w:val="none" w:sz="0" w:space="0" w:color="auto"/>
        <w:left w:val="none" w:sz="0" w:space="0" w:color="auto"/>
        <w:bottom w:val="none" w:sz="0" w:space="0" w:color="auto"/>
        <w:right w:val="none" w:sz="0" w:space="0" w:color="auto"/>
      </w:divBdr>
    </w:div>
    <w:div w:id="1620644892">
      <w:bodyDiv w:val="1"/>
      <w:marLeft w:val="0"/>
      <w:marRight w:val="0"/>
      <w:marTop w:val="0"/>
      <w:marBottom w:val="0"/>
      <w:divBdr>
        <w:top w:val="none" w:sz="0" w:space="0" w:color="auto"/>
        <w:left w:val="none" w:sz="0" w:space="0" w:color="auto"/>
        <w:bottom w:val="none" w:sz="0" w:space="0" w:color="auto"/>
        <w:right w:val="none" w:sz="0" w:space="0" w:color="auto"/>
      </w:divBdr>
    </w:div>
    <w:div w:id="1621375331">
      <w:bodyDiv w:val="1"/>
      <w:marLeft w:val="0"/>
      <w:marRight w:val="0"/>
      <w:marTop w:val="0"/>
      <w:marBottom w:val="0"/>
      <w:divBdr>
        <w:top w:val="none" w:sz="0" w:space="0" w:color="auto"/>
        <w:left w:val="none" w:sz="0" w:space="0" w:color="auto"/>
        <w:bottom w:val="none" w:sz="0" w:space="0" w:color="auto"/>
        <w:right w:val="none" w:sz="0" w:space="0" w:color="auto"/>
      </w:divBdr>
    </w:div>
    <w:div w:id="1621569061">
      <w:bodyDiv w:val="1"/>
      <w:marLeft w:val="0"/>
      <w:marRight w:val="0"/>
      <w:marTop w:val="0"/>
      <w:marBottom w:val="0"/>
      <w:divBdr>
        <w:top w:val="none" w:sz="0" w:space="0" w:color="auto"/>
        <w:left w:val="none" w:sz="0" w:space="0" w:color="auto"/>
        <w:bottom w:val="none" w:sz="0" w:space="0" w:color="auto"/>
        <w:right w:val="none" w:sz="0" w:space="0" w:color="auto"/>
      </w:divBdr>
    </w:div>
    <w:div w:id="1621758647">
      <w:bodyDiv w:val="1"/>
      <w:marLeft w:val="0"/>
      <w:marRight w:val="0"/>
      <w:marTop w:val="0"/>
      <w:marBottom w:val="0"/>
      <w:divBdr>
        <w:top w:val="none" w:sz="0" w:space="0" w:color="auto"/>
        <w:left w:val="none" w:sz="0" w:space="0" w:color="auto"/>
        <w:bottom w:val="none" w:sz="0" w:space="0" w:color="auto"/>
        <w:right w:val="none" w:sz="0" w:space="0" w:color="auto"/>
      </w:divBdr>
    </w:div>
    <w:div w:id="1621916412">
      <w:bodyDiv w:val="1"/>
      <w:marLeft w:val="0"/>
      <w:marRight w:val="0"/>
      <w:marTop w:val="0"/>
      <w:marBottom w:val="0"/>
      <w:divBdr>
        <w:top w:val="none" w:sz="0" w:space="0" w:color="auto"/>
        <w:left w:val="none" w:sz="0" w:space="0" w:color="auto"/>
        <w:bottom w:val="none" w:sz="0" w:space="0" w:color="auto"/>
        <w:right w:val="none" w:sz="0" w:space="0" w:color="auto"/>
      </w:divBdr>
    </w:div>
    <w:div w:id="1622151468">
      <w:bodyDiv w:val="1"/>
      <w:marLeft w:val="0"/>
      <w:marRight w:val="0"/>
      <w:marTop w:val="0"/>
      <w:marBottom w:val="0"/>
      <w:divBdr>
        <w:top w:val="none" w:sz="0" w:space="0" w:color="auto"/>
        <w:left w:val="none" w:sz="0" w:space="0" w:color="auto"/>
        <w:bottom w:val="none" w:sz="0" w:space="0" w:color="auto"/>
        <w:right w:val="none" w:sz="0" w:space="0" w:color="auto"/>
      </w:divBdr>
    </w:div>
    <w:div w:id="1629777352">
      <w:bodyDiv w:val="1"/>
      <w:marLeft w:val="0"/>
      <w:marRight w:val="0"/>
      <w:marTop w:val="0"/>
      <w:marBottom w:val="0"/>
      <w:divBdr>
        <w:top w:val="none" w:sz="0" w:space="0" w:color="auto"/>
        <w:left w:val="none" w:sz="0" w:space="0" w:color="auto"/>
        <w:bottom w:val="none" w:sz="0" w:space="0" w:color="auto"/>
        <w:right w:val="none" w:sz="0" w:space="0" w:color="auto"/>
      </w:divBdr>
    </w:div>
    <w:div w:id="1631549924">
      <w:bodyDiv w:val="1"/>
      <w:marLeft w:val="0"/>
      <w:marRight w:val="0"/>
      <w:marTop w:val="0"/>
      <w:marBottom w:val="0"/>
      <w:divBdr>
        <w:top w:val="none" w:sz="0" w:space="0" w:color="auto"/>
        <w:left w:val="none" w:sz="0" w:space="0" w:color="auto"/>
        <w:bottom w:val="none" w:sz="0" w:space="0" w:color="auto"/>
        <w:right w:val="none" w:sz="0" w:space="0" w:color="auto"/>
      </w:divBdr>
      <w:divsChild>
        <w:div w:id="462190383">
          <w:marLeft w:val="547"/>
          <w:marRight w:val="0"/>
          <w:marTop w:val="0"/>
          <w:marBottom w:val="120"/>
          <w:divBdr>
            <w:top w:val="none" w:sz="0" w:space="0" w:color="auto"/>
            <w:left w:val="none" w:sz="0" w:space="0" w:color="auto"/>
            <w:bottom w:val="none" w:sz="0" w:space="0" w:color="auto"/>
            <w:right w:val="none" w:sz="0" w:space="0" w:color="auto"/>
          </w:divBdr>
        </w:div>
        <w:div w:id="960260426">
          <w:marLeft w:val="547"/>
          <w:marRight w:val="0"/>
          <w:marTop w:val="0"/>
          <w:marBottom w:val="120"/>
          <w:divBdr>
            <w:top w:val="none" w:sz="0" w:space="0" w:color="auto"/>
            <w:left w:val="none" w:sz="0" w:space="0" w:color="auto"/>
            <w:bottom w:val="none" w:sz="0" w:space="0" w:color="auto"/>
            <w:right w:val="none" w:sz="0" w:space="0" w:color="auto"/>
          </w:divBdr>
        </w:div>
        <w:div w:id="1550918639">
          <w:marLeft w:val="547"/>
          <w:marRight w:val="0"/>
          <w:marTop w:val="0"/>
          <w:marBottom w:val="120"/>
          <w:divBdr>
            <w:top w:val="none" w:sz="0" w:space="0" w:color="auto"/>
            <w:left w:val="none" w:sz="0" w:space="0" w:color="auto"/>
            <w:bottom w:val="none" w:sz="0" w:space="0" w:color="auto"/>
            <w:right w:val="none" w:sz="0" w:space="0" w:color="auto"/>
          </w:divBdr>
        </w:div>
        <w:div w:id="1631085207">
          <w:marLeft w:val="547"/>
          <w:marRight w:val="0"/>
          <w:marTop w:val="0"/>
          <w:marBottom w:val="120"/>
          <w:divBdr>
            <w:top w:val="none" w:sz="0" w:space="0" w:color="auto"/>
            <w:left w:val="none" w:sz="0" w:space="0" w:color="auto"/>
            <w:bottom w:val="none" w:sz="0" w:space="0" w:color="auto"/>
            <w:right w:val="none" w:sz="0" w:space="0" w:color="auto"/>
          </w:divBdr>
        </w:div>
        <w:div w:id="2061318947">
          <w:marLeft w:val="547"/>
          <w:marRight w:val="0"/>
          <w:marTop w:val="0"/>
          <w:marBottom w:val="120"/>
          <w:divBdr>
            <w:top w:val="none" w:sz="0" w:space="0" w:color="auto"/>
            <w:left w:val="none" w:sz="0" w:space="0" w:color="auto"/>
            <w:bottom w:val="none" w:sz="0" w:space="0" w:color="auto"/>
            <w:right w:val="none" w:sz="0" w:space="0" w:color="auto"/>
          </w:divBdr>
        </w:div>
      </w:divsChild>
    </w:div>
    <w:div w:id="1631864780">
      <w:bodyDiv w:val="1"/>
      <w:marLeft w:val="0"/>
      <w:marRight w:val="0"/>
      <w:marTop w:val="0"/>
      <w:marBottom w:val="0"/>
      <w:divBdr>
        <w:top w:val="none" w:sz="0" w:space="0" w:color="auto"/>
        <w:left w:val="none" w:sz="0" w:space="0" w:color="auto"/>
        <w:bottom w:val="none" w:sz="0" w:space="0" w:color="auto"/>
        <w:right w:val="none" w:sz="0" w:space="0" w:color="auto"/>
      </w:divBdr>
    </w:div>
    <w:div w:id="1634561501">
      <w:bodyDiv w:val="1"/>
      <w:marLeft w:val="0"/>
      <w:marRight w:val="0"/>
      <w:marTop w:val="0"/>
      <w:marBottom w:val="0"/>
      <w:divBdr>
        <w:top w:val="none" w:sz="0" w:space="0" w:color="auto"/>
        <w:left w:val="none" w:sz="0" w:space="0" w:color="auto"/>
        <w:bottom w:val="none" w:sz="0" w:space="0" w:color="auto"/>
        <w:right w:val="none" w:sz="0" w:space="0" w:color="auto"/>
      </w:divBdr>
    </w:div>
    <w:div w:id="1638484679">
      <w:bodyDiv w:val="1"/>
      <w:marLeft w:val="0"/>
      <w:marRight w:val="0"/>
      <w:marTop w:val="0"/>
      <w:marBottom w:val="0"/>
      <w:divBdr>
        <w:top w:val="none" w:sz="0" w:space="0" w:color="auto"/>
        <w:left w:val="none" w:sz="0" w:space="0" w:color="auto"/>
        <w:bottom w:val="none" w:sz="0" w:space="0" w:color="auto"/>
        <w:right w:val="none" w:sz="0" w:space="0" w:color="auto"/>
      </w:divBdr>
    </w:div>
    <w:div w:id="1642803503">
      <w:bodyDiv w:val="1"/>
      <w:marLeft w:val="0"/>
      <w:marRight w:val="0"/>
      <w:marTop w:val="0"/>
      <w:marBottom w:val="0"/>
      <w:divBdr>
        <w:top w:val="none" w:sz="0" w:space="0" w:color="auto"/>
        <w:left w:val="none" w:sz="0" w:space="0" w:color="auto"/>
        <w:bottom w:val="none" w:sz="0" w:space="0" w:color="auto"/>
        <w:right w:val="none" w:sz="0" w:space="0" w:color="auto"/>
      </w:divBdr>
    </w:div>
    <w:div w:id="1642808733">
      <w:bodyDiv w:val="1"/>
      <w:marLeft w:val="0"/>
      <w:marRight w:val="0"/>
      <w:marTop w:val="0"/>
      <w:marBottom w:val="0"/>
      <w:divBdr>
        <w:top w:val="none" w:sz="0" w:space="0" w:color="auto"/>
        <w:left w:val="none" w:sz="0" w:space="0" w:color="auto"/>
        <w:bottom w:val="none" w:sz="0" w:space="0" w:color="auto"/>
        <w:right w:val="none" w:sz="0" w:space="0" w:color="auto"/>
      </w:divBdr>
    </w:div>
    <w:div w:id="1644579052">
      <w:bodyDiv w:val="1"/>
      <w:marLeft w:val="0"/>
      <w:marRight w:val="0"/>
      <w:marTop w:val="0"/>
      <w:marBottom w:val="0"/>
      <w:divBdr>
        <w:top w:val="none" w:sz="0" w:space="0" w:color="auto"/>
        <w:left w:val="none" w:sz="0" w:space="0" w:color="auto"/>
        <w:bottom w:val="none" w:sz="0" w:space="0" w:color="auto"/>
        <w:right w:val="none" w:sz="0" w:space="0" w:color="auto"/>
      </w:divBdr>
    </w:div>
    <w:div w:id="1644889797">
      <w:bodyDiv w:val="1"/>
      <w:marLeft w:val="0"/>
      <w:marRight w:val="0"/>
      <w:marTop w:val="0"/>
      <w:marBottom w:val="0"/>
      <w:divBdr>
        <w:top w:val="none" w:sz="0" w:space="0" w:color="auto"/>
        <w:left w:val="none" w:sz="0" w:space="0" w:color="auto"/>
        <w:bottom w:val="none" w:sz="0" w:space="0" w:color="auto"/>
        <w:right w:val="none" w:sz="0" w:space="0" w:color="auto"/>
      </w:divBdr>
    </w:div>
    <w:div w:id="1644890787">
      <w:bodyDiv w:val="1"/>
      <w:marLeft w:val="0"/>
      <w:marRight w:val="0"/>
      <w:marTop w:val="0"/>
      <w:marBottom w:val="0"/>
      <w:divBdr>
        <w:top w:val="none" w:sz="0" w:space="0" w:color="auto"/>
        <w:left w:val="none" w:sz="0" w:space="0" w:color="auto"/>
        <w:bottom w:val="none" w:sz="0" w:space="0" w:color="auto"/>
        <w:right w:val="none" w:sz="0" w:space="0" w:color="auto"/>
      </w:divBdr>
    </w:div>
    <w:div w:id="1646929589">
      <w:bodyDiv w:val="1"/>
      <w:marLeft w:val="0"/>
      <w:marRight w:val="0"/>
      <w:marTop w:val="0"/>
      <w:marBottom w:val="0"/>
      <w:divBdr>
        <w:top w:val="none" w:sz="0" w:space="0" w:color="auto"/>
        <w:left w:val="none" w:sz="0" w:space="0" w:color="auto"/>
        <w:bottom w:val="none" w:sz="0" w:space="0" w:color="auto"/>
        <w:right w:val="none" w:sz="0" w:space="0" w:color="auto"/>
      </w:divBdr>
    </w:div>
    <w:div w:id="1647976175">
      <w:bodyDiv w:val="1"/>
      <w:marLeft w:val="0"/>
      <w:marRight w:val="0"/>
      <w:marTop w:val="0"/>
      <w:marBottom w:val="0"/>
      <w:divBdr>
        <w:top w:val="none" w:sz="0" w:space="0" w:color="auto"/>
        <w:left w:val="none" w:sz="0" w:space="0" w:color="auto"/>
        <w:bottom w:val="none" w:sz="0" w:space="0" w:color="auto"/>
        <w:right w:val="none" w:sz="0" w:space="0" w:color="auto"/>
      </w:divBdr>
    </w:div>
    <w:div w:id="1648632910">
      <w:bodyDiv w:val="1"/>
      <w:marLeft w:val="0"/>
      <w:marRight w:val="0"/>
      <w:marTop w:val="0"/>
      <w:marBottom w:val="0"/>
      <w:divBdr>
        <w:top w:val="none" w:sz="0" w:space="0" w:color="auto"/>
        <w:left w:val="none" w:sz="0" w:space="0" w:color="auto"/>
        <w:bottom w:val="none" w:sz="0" w:space="0" w:color="auto"/>
        <w:right w:val="none" w:sz="0" w:space="0" w:color="auto"/>
      </w:divBdr>
    </w:div>
    <w:div w:id="1649480318">
      <w:bodyDiv w:val="1"/>
      <w:marLeft w:val="0"/>
      <w:marRight w:val="0"/>
      <w:marTop w:val="0"/>
      <w:marBottom w:val="0"/>
      <w:divBdr>
        <w:top w:val="none" w:sz="0" w:space="0" w:color="auto"/>
        <w:left w:val="none" w:sz="0" w:space="0" w:color="auto"/>
        <w:bottom w:val="none" w:sz="0" w:space="0" w:color="auto"/>
        <w:right w:val="none" w:sz="0" w:space="0" w:color="auto"/>
      </w:divBdr>
    </w:div>
    <w:div w:id="1654987071">
      <w:bodyDiv w:val="1"/>
      <w:marLeft w:val="0"/>
      <w:marRight w:val="0"/>
      <w:marTop w:val="0"/>
      <w:marBottom w:val="0"/>
      <w:divBdr>
        <w:top w:val="none" w:sz="0" w:space="0" w:color="auto"/>
        <w:left w:val="none" w:sz="0" w:space="0" w:color="auto"/>
        <w:bottom w:val="none" w:sz="0" w:space="0" w:color="auto"/>
        <w:right w:val="none" w:sz="0" w:space="0" w:color="auto"/>
      </w:divBdr>
    </w:div>
    <w:div w:id="1661077923">
      <w:bodyDiv w:val="1"/>
      <w:marLeft w:val="0"/>
      <w:marRight w:val="0"/>
      <w:marTop w:val="0"/>
      <w:marBottom w:val="0"/>
      <w:divBdr>
        <w:top w:val="none" w:sz="0" w:space="0" w:color="auto"/>
        <w:left w:val="none" w:sz="0" w:space="0" w:color="auto"/>
        <w:bottom w:val="none" w:sz="0" w:space="0" w:color="auto"/>
        <w:right w:val="none" w:sz="0" w:space="0" w:color="auto"/>
      </w:divBdr>
    </w:div>
    <w:div w:id="1664578560">
      <w:bodyDiv w:val="1"/>
      <w:marLeft w:val="0"/>
      <w:marRight w:val="0"/>
      <w:marTop w:val="0"/>
      <w:marBottom w:val="0"/>
      <w:divBdr>
        <w:top w:val="none" w:sz="0" w:space="0" w:color="auto"/>
        <w:left w:val="none" w:sz="0" w:space="0" w:color="auto"/>
        <w:bottom w:val="none" w:sz="0" w:space="0" w:color="auto"/>
        <w:right w:val="none" w:sz="0" w:space="0" w:color="auto"/>
      </w:divBdr>
    </w:div>
    <w:div w:id="1665039079">
      <w:bodyDiv w:val="1"/>
      <w:marLeft w:val="0"/>
      <w:marRight w:val="0"/>
      <w:marTop w:val="0"/>
      <w:marBottom w:val="0"/>
      <w:divBdr>
        <w:top w:val="none" w:sz="0" w:space="0" w:color="auto"/>
        <w:left w:val="none" w:sz="0" w:space="0" w:color="auto"/>
        <w:bottom w:val="none" w:sz="0" w:space="0" w:color="auto"/>
        <w:right w:val="none" w:sz="0" w:space="0" w:color="auto"/>
      </w:divBdr>
    </w:div>
    <w:div w:id="1668361063">
      <w:bodyDiv w:val="1"/>
      <w:marLeft w:val="0"/>
      <w:marRight w:val="0"/>
      <w:marTop w:val="0"/>
      <w:marBottom w:val="0"/>
      <w:divBdr>
        <w:top w:val="none" w:sz="0" w:space="0" w:color="auto"/>
        <w:left w:val="none" w:sz="0" w:space="0" w:color="auto"/>
        <w:bottom w:val="none" w:sz="0" w:space="0" w:color="auto"/>
        <w:right w:val="none" w:sz="0" w:space="0" w:color="auto"/>
      </w:divBdr>
    </w:div>
    <w:div w:id="1669402487">
      <w:bodyDiv w:val="1"/>
      <w:marLeft w:val="0"/>
      <w:marRight w:val="0"/>
      <w:marTop w:val="0"/>
      <w:marBottom w:val="0"/>
      <w:divBdr>
        <w:top w:val="none" w:sz="0" w:space="0" w:color="auto"/>
        <w:left w:val="none" w:sz="0" w:space="0" w:color="auto"/>
        <w:bottom w:val="none" w:sz="0" w:space="0" w:color="auto"/>
        <w:right w:val="none" w:sz="0" w:space="0" w:color="auto"/>
      </w:divBdr>
    </w:div>
    <w:div w:id="1672829324">
      <w:bodyDiv w:val="1"/>
      <w:marLeft w:val="0"/>
      <w:marRight w:val="0"/>
      <w:marTop w:val="0"/>
      <w:marBottom w:val="0"/>
      <w:divBdr>
        <w:top w:val="none" w:sz="0" w:space="0" w:color="auto"/>
        <w:left w:val="none" w:sz="0" w:space="0" w:color="auto"/>
        <w:bottom w:val="none" w:sz="0" w:space="0" w:color="auto"/>
        <w:right w:val="none" w:sz="0" w:space="0" w:color="auto"/>
      </w:divBdr>
    </w:div>
    <w:div w:id="1674143061">
      <w:bodyDiv w:val="1"/>
      <w:marLeft w:val="0"/>
      <w:marRight w:val="0"/>
      <w:marTop w:val="0"/>
      <w:marBottom w:val="0"/>
      <w:divBdr>
        <w:top w:val="none" w:sz="0" w:space="0" w:color="auto"/>
        <w:left w:val="none" w:sz="0" w:space="0" w:color="auto"/>
        <w:bottom w:val="none" w:sz="0" w:space="0" w:color="auto"/>
        <w:right w:val="none" w:sz="0" w:space="0" w:color="auto"/>
      </w:divBdr>
    </w:div>
    <w:div w:id="1676567700">
      <w:bodyDiv w:val="1"/>
      <w:marLeft w:val="0"/>
      <w:marRight w:val="0"/>
      <w:marTop w:val="0"/>
      <w:marBottom w:val="0"/>
      <w:divBdr>
        <w:top w:val="none" w:sz="0" w:space="0" w:color="auto"/>
        <w:left w:val="none" w:sz="0" w:space="0" w:color="auto"/>
        <w:bottom w:val="none" w:sz="0" w:space="0" w:color="auto"/>
        <w:right w:val="none" w:sz="0" w:space="0" w:color="auto"/>
      </w:divBdr>
    </w:div>
    <w:div w:id="1676958879">
      <w:bodyDiv w:val="1"/>
      <w:marLeft w:val="0"/>
      <w:marRight w:val="0"/>
      <w:marTop w:val="0"/>
      <w:marBottom w:val="0"/>
      <w:divBdr>
        <w:top w:val="none" w:sz="0" w:space="0" w:color="auto"/>
        <w:left w:val="none" w:sz="0" w:space="0" w:color="auto"/>
        <w:bottom w:val="none" w:sz="0" w:space="0" w:color="auto"/>
        <w:right w:val="none" w:sz="0" w:space="0" w:color="auto"/>
      </w:divBdr>
    </w:div>
    <w:div w:id="1678802298">
      <w:bodyDiv w:val="1"/>
      <w:marLeft w:val="0"/>
      <w:marRight w:val="0"/>
      <w:marTop w:val="0"/>
      <w:marBottom w:val="0"/>
      <w:divBdr>
        <w:top w:val="none" w:sz="0" w:space="0" w:color="auto"/>
        <w:left w:val="none" w:sz="0" w:space="0" w:color="auto"/>
        <w:bottom w:val="none" w:sz="0" w:space="0" w:color="auto"/>
        <w:right w:val="none" w:sz="0" w:space="0" w:color="auto"/>
      </w:divBdr>
    </w:div>
    <w:div w:id="1679456180">
      <w:bodyDiv w:val="1"/>
      <w:marLeft w:val="0"/>
      <w:marRight w:val="0"/>
      <w:marTop w:val="0"/>
      <w:marBottom w:val="0"/>
      <w:divBdr>
        <w:top w:val="none" w:sz="0" w:space="0" w:color="auto"/>
        <w:left w:val="none" w:sz="0" w:space="0" w:color="auto"/>
        <w:bottom w:val="none" w:sz="0" w:space="0" w:color="auto"/>
        <w:right w:val="none" w:sz="0" w:space="0" w:color="auto"/>
      </w:divBdr>
    </w:div>
    <w:div w:id="1682702524">
      <w:bodyDiv w:val="1"/>
      <w:marLeft w:val="0"/>
      <w:marRight w:val="0"/>
      <w:marTop w:val="0"/>
      <w:marBottom w:val="0"/>
      <w:divBdr>
        <w:top w:val="none" w:sz="0" w:space="0" w:color="auto"/>
        <w:left w:val="none" w:sz="0" w:space="0" w:color="auto"/>
        <w:bottom w:val="none" w:sz="0" w:space="0" w:color="auto"/>
        <w:right w:val="none" w:sz="0" w:space="0" w:color="auto"/>
      </w:divBdr>
    </w:div>
    <w:div w:id="1684088242">
      <w:bodyDiv w:val="1"/>
      <w:marLeft w:val="0"/>
      <w:marRight w:val="0"/>
      <w:marTop w:val="0"/>
      <w:marBottom w:val="0"/>
      <w:divBdr>
        <w:top w:val="none" w:sz="0" w:space="0" w:color="auto"/>
        <w:left w:val="none" w:sz="0" w:space="0" w:color="auto"/>
        <w:bottom w:val="none" w:sz="0" w:space="0" w:color="auto"/>
        <w:right w:val="none" w:sz="0" w:space="0" w:color="auto"/>
      </w:divBdr>
    </w:div>
    <w:div w:id="1684478315">
      <w:bodyDiv w:val="1"/>
      <w:marLeft w:val="0"/>
      <w:marRight w:val="0"/>
      <w:marTop w:val="0"/>
      <w:marBottom w:val="0"/>
      <w:divBdr>
        <w:top w:val="none" w:sz="0" w:space="0" w:color="auto"/>
        <w:left w:val="none" w:sz="0" w:space="0" w:color="auto"/>
        <w:bottom w:val="none" w:sz="0" w:space="0" w:color="auto"/>
        <w:right w:val="none" w:sz="0" w:space="0" w:color="auto"/>
      </w:divBdr>
    </w:div>
    <w:div w:id="1693799334">
      <w:bodyDiv w:val="1"/>
      <w:marLeft w:val="0"/>
      <w:marRight w:val="0"/>
      <w:marTop w:val="0"/>
      <w:marBottom w:val="0"/>
      <w:divBdr>
        <w:top w:val="none" w:sz="0" w:space="0" w:color="auto"/>
        <w:left w:val="none" w:sz="0" w:space="0" w:color="auto"/>
        <w:bottom w:val="none" w:sz="0" w:space="0" w:color="auto"/>
        <w:right w:val="none" w:sz="0" w:space="0" w:color="auto"/>
      </w:divBdr>
    </w:div>
    <w:div w:id="1693994587">
      <w:bodyDiv w:val="1"/>
      <w:marLeft w:val="0"/>
      <w:marRight w:val="0"/>
      <w:marTop w:val="0"/>
      <w:marBottom w:val="0"/>
      <w:divBdr>
        <w:top w:val="none" w:sz="0" w:space="0" w:color="auto"/>
        <w:left w:val="none" w:sz="0" w:space="0" w:color="auto"/>
        <w:bottom w:val="none" w:sz="0" w:space="0" w:color="auto"/>
        <w:right w:val="none" w:sz="0" w:space="0" w:color="auto"/>
      </w:divBdr>
      <w:divsChild>
        <w:div w:id="44574258">
          <w:marLeft w:val="547"/>
          <w:marRight w:val="0"/>
          <w:marTop w:val="0"/>
          <w:marBottom w:val="0"/>
          <w:divBdr>
            <w:top w:val="none" w:sz="0" w:space="0" w:color="auto"/>
            <w:left w:val="none" w:sz="0" w:space="0" w:color="auto"/>
            <w:bottom w:val="none" w:sz="0" w:space="0" w:color="auto"/>
            <w:right w:val="none" w:sz="0" w:space="0" w:color="auto"/>
          </w:divBdr>
        </w:div>
        <w:div w:id="213734132">
          <w:marLeft w:val="547"/>
          <w:marRight w:val="0"/>
          <w:marTop w:val="0"/>
          <w:marBottom w:val="0"/>
          <w:divBdr>
            <w:top w:val="none" w:sz="0" w:space="0" w:color="auto"/>
            <w:left w:val="none" w:sz="0" w:space="0" w:color="auto"/>
            <w:bottom w:val="none" w:sz="0" w:space="0" w:color="auto"/>
            <w:right w:val="none" w:sz="0" w:space="0" w:color="auto"/>
          </w:divBdr>
        </w:div>
        <w:div w:id="701826230">
          <w:marLeft w:val="547"/>
          <w:marRight w:val="0"/>
          <w:marTop w:val="0"/>
          <w:marBottom w:val="0"/>
          <w:divBdr>
            <w:top w:val="none" w:sz="0" w:space="0" w:color="auto"/>
            <w:left w:val="none" w:sz="0" w:space="0" w:color="auto"/>
            <w:bottom w:val="none" w:sz="0" w:space="0" w:color="auto"/>
            <w:right w:val="none" w:sz="0" w:space="0" w:color="auto"/>
          </w:divBdr>
        </w:div>
        <w:div w:id="964191959">
          <w:marLeft w:val="547"/>
          <w:marRight w:val="0"/>
          <w:marTop w:val="0"/>
          <w:marBottom w:val="0"/>
          <w:divBdr>
            <w:top w:val="none" w:sz="0" w:space="0" w:color="auto"/>
            <w:left w:val="none" w:sz="0" w:space="0" w:color="auto"/>
            <w:bottom w:val="none" w:sz="0" w:space="0" w:color="auto"/>
            <w:right w:val="none" w:sz="0" w:space="0" w:color="auto"/>
          </w:divBdr>
        </w:div>
        <w:div w:id="1835489754">
          <w:marLeft w:val="547"/>
          <w:marRight w:val="0"/>
          <w:marTop w:val="0"/>
          <w:marBottom w:val="0"/>
          <w:divBdr>
            <w:top w:val="none" w:sz="0" w:space="0" w:color="auto"/>
            <w:left w:val="none" w:sz="0" w:space="0" w:color="auto"/>
            <w:bottom w:val="none" w:sz="0" w:space="0" w:color="auto"/>
            <w:right w:val="none" w:sz="0" w:space="0" w:color="auto"/>
          </w:divBdr>
        </w:div>
      </w:divsChild>
    </w:div>
    <w:div w:id="1696076709">
      <w:bodyDiv w:val="1"/>
      <w:marLeft w:val="0"/>
      <w:marRight w:val="0"/>
      <w:marTop w:val="0"/>
      <w:marBottom w:val="0"/>
      <w:divBdr>
        <w:top w:val="none" w:sz="0" w:space="0" w:color="auto"/>
        <w:left w:val="none" w:sz="0" w:space="0" w:color="auto"/>
        <w:bottom w:val="none" w:sz="0" w:space="0" w:color="auto"/>
        <w:right w:val="none" w:sz="0" w:space="0" w:color="auto"/>
      </w:divBdr>
    </w:div>
    <w:div w:id="1696497055">
      <w:bodyDiv w:val="1"/>
      <w:marLeft w:val="0"/>
      <w:marRight w:val="0"/>
      <w:marTop w:val="0"/>
      <w:marBottom w:val="0"/>
      <w:divBdr>
        <w:top w:val="none" w:sz="0" w:space="0" w:color="auto"/>
        <w:left w:val="none" w:sz="0" w:space="0" w:color="auto"/>
        <w:bottom w:val="none" w:sz="0" w:space="0" w:color="auto"/>
        <w:right w:val="none" w:sz="0" w:space="0" w:color="auto"/>
      </w:divBdr>
    </w:div>
    <w:div w:id="1697270944">
      <w:bodyDiv w:val="1"/>
      <w:marLeft w:val="0"/>
      <w:marRight w:val="0"/>
      <w:marTop w:val="0"/>
      <w:marBottom w:val="0"/>
      <w:divBdr>
        <w:top w:val="none" w:sz="0" w:space="0" w:color="auto"/>
        <w:left w:val="none" w:sz="0" w:space="0" w:color="auto"/>
        <w:bottom w:val="none" w:sz="0" w:space="0" w:color="auto"/>
        <w:right w:val="none" w:sz="0" w:space="0" w:color="auto"/>
      </w:divBdr>
    </w:div>
    <w:div w:id="1698656521">
      <w:bodyDiv w:val="1"/>
      <w:marLeft w:val="0"/>
      <w:marRight w:val="0"/>
      <w:marTop w:val="0"/>
      <w:marBottom w:val="0"/>
      <w:divBdr>
        <w:top w:val="none" w:sz="0" w:space="0" w:color="auto"/>
        <w:left w:val="none" w:sz="0" w:space="0" w:color="auto"/>
        <w:bottom w:val="none" w:sz="0" w:space="0" w:color="auto"/>
        <w:right w:val="none" w:sz="0" w:space="0" w:color="auto"/>
      </w:divBdr>
    </w:div>
    <w:div w:id="1698893354">
      <w:bodyDiv w:val="1"/>
      <w:marLeft w:val="0"/>
      <w:marRight w:val="0"/>
      <w:marTop w:val="0"/>
      <w:marBottom w:val="0"/>
      <w:divBdr>
        <w:top w:val="none" w:sz="0" w:space="0" w:color="auto"/>
        <w:left w:val="none" w:sz="0" w:space="0" w:color="auto"/>
        <w:bottom w:val="none" w:sz="0" w:space="0" w:color="auto"/>
        <w:right w:val="none" w:sz="0" w:space="0" w:color="auto"/>
      </w:divBdr>
    </w:div>
    <w:div w:id="1703706328">
      <w:bodyDiv w:val="1"/>
      <w:marLeft w:val="0"/>
      <w:marRight w:val="0"/>
      <w:marTop w:val="0"/>
      <w:marBottom w:val="0"/>
      <w:divBdr>
        <w:top w:val="none" w:sz="0" w:space="0" w:color="auto"/>
        <w:left w:val="none" w:sz="0" w:space="0" w:color="auto"/>
        <w:bottom w:val="none" w:sz="0" w:space="0" w:color="auto"/>
        <w:right w:val="none" w:sz="0" w:space="0" w:color="auto"/>
      </w:divBdr>
    </w:div>
    <w:div w:id="1709061681">
      <w:bodyDiv w:val="1"/>
      <w:marLeft w:val="0"/>
      <w:marRight w:val="0"/>
      <w:marTop w:val="0"/>
      <w:marBottom w:val="0"/>
      <w:divBdr>
        <w:top w:val="none" w:sz="0" w:space="0" w:color="auto"/>
        <w:left w:val="none" w:sz="0" w:space="0" w:color="auto"/>
        <w:bottom w:val="none" w:sz="0" w:space="0" w:color="auto"/>
        <w:right w:val="none" w:sz="0" w:space="0" w:color="auto"/>
      </w:divBdr>
    </w:div>
    <w:div w:id="1710453301">
      <w:bodyDiv w:val="1"/>
      <w:marLeft w:val="0"/>
      <w:marRight w:val="0"/>
      <w:marTop w:val="0"/>
      <w:marBottom w:val="0"/>
      <w:divBdr>
        <w:top w:val="none" w:sz="0" w:space="0" w:color="auto"/>
        <w:left w:val="none" w:sz="0" w:space="0" w:color="auto"/>
        <w:bottom w:val="none" w:sz="0" w:space="0" w:color="auto"/>
        <w:right w:val="none" w:sz="0" w:space="0" w:color="auto"/>
      </w:divBdr>
    </w:div>
    <w:div w:id="1713119196">
      <w:bodyDiv w:val="1"/>
      <w:marLeft w:val="0"/>
      <w:marRight w:val="0"/>
      <w:marTop w:val="0"/>
      <w:marBottom w:val="0"/>
      <w:divBdr>
        <w:top w:val="none" w:sz="0" w:space="0" w:color="auto"/>
        <w:left w:val="none" w:sz="0" w:space="0" w:color="auto"/>
        <w:bottom w:val="none" w:sz="0" w:space="0" w:color="auto"/>
        <w:right w:val="none" w:sz="0" w:space="0" w:color="auto"/>
      </w:divBdr>
    </w:div>
    <w:div w:id="1713770084">
      <w:bodyDiv w:val="1"/>
      <w:marLeft w:val="0"/>
      <w:marRight w:val="0"/>
      <w:marTop w:val="0"/>
      <w:marBottom w:val="0"/>
      <w:divBdr>
        <w:top w:val="none" w:sz="0" w:space="0" w:color="auto"/>
        <w:left w:val="none" w:sz="0" w:space="0" w:color="auto"/>
        <w:bottom w:val="none" w:sz="0" w:space="0" w:color="auto"/>
        <w:right w:val="none" w:sz="0" w:space="0" w:color="auto"/>
      </w:divBdr>
    </w:div>
    <w:div w:id="1716418857">
      <w:bodyDiv w:val="1"/>
      <w:marLeft w:val="0"/>
      <w:marRight w:val="0"/>
      <w:marTop w:val="0"/>
      <w:marBottom w:val="0"/>
      <w:divBdr>
        <w:top w:val="none" w:sz="0" w:space="0" w:color="auto"/>
        <w:left w:val="none" w:sz="0" w:space="0" w:color="auto"/>
        <w:bottom w:val="none" w:sz="0" w:space="0" w:color="auto"/>
        <w:right w:val="none" w:sz="0" w:space="0" w:color="auto"/>
      </w:divBdr>
    </w:div>
    <w:div w:id="1717581157">
      <w:bodyDiv w:val="1"/>
      <w:marLeft w:val="0"/>
      <w:marRight w:val="0"/>
      <w:marTop w:val="0"/>
      <w:marBottom w:val="0"/>
      <w:divBdr>
        <w:top w:val="none" w:sz="0" w:space="0" w:color="auto"/>
        <w:left w:val="none" w:sz="0" w:space="0" w:color="auto"/>
        <w:bottom w:val="none" w:sz="0" w:space="0" w:color="auto"/>
        <w:right w:val="none" w:sz="0" w:space="0" w:color="auto"/>
      </w:divBdr>
    </w:div>
    <w:div w:id="1719209215">
      <w:bodyDiv w:val="1"/>
      <w:marLeft w:val="0"/>
      <w:marRight w:val="0"/>
      <w:marTop w:val="0"/>
      <w:marBottom w:val="0"/>
      <w:divBdr>
        <w:top w:val="none" w:sz="0" w:space="0" w:color="auto"/>
        <w:left w:val="none" w:sz="0" w:space="0" w:color="auto"/>
        <w:bottom w:val="none" w:sz="0" w:space="0" w:color="auto"/>
        <w:right w:val="none" w:sz="0" w:space="0" w:color="auto"/>
      </w:divBdr>
    </w:div>
    <w:div w:id="1720855259">
      <w:bodyDiv w:val="1"/>
      <w:marLeft w:val="0"/>
      <w:marRight w:val="0"/>
      <w:marTop w:val="0"/>
      <w:marBottom w:val="0"/>
      <w:divBdr>
        <w:top w:val="none" w:sz="0" w:space="0" w:color="auto"/>
        <w:left w:val="none" w:sz="0" w:space="0" w:color="auto"/>
        <w:bottom w:val="none" w:sz="0" w:space="0" w:color="auto"/>
        <w:right w:val="none" w:sz="0" w:space="0" w:color="auto"/>
      </w:divBdr>
    </w:div>
    <w:div w:id="1724866815">
      <w:bodyDiv w:val="1"/>
      <w:marLeft w:val="0"/>
      <w:marRight w:val="0"/>
      <w:marTop w:val="0"/>
      <w:marBottom w:val="0"/>
      <w:divBdr>
        <w:top w:val="none" w:sz="0" w:space="0" w:color="auto"/>
        <w:left w:val="none" w:sz="0" w:space="0" w:color="auto"/>
        <w:bottom w:val="none" w:sz="0" w:space="0" w:color="auto"/>
        <w:right w:val="none" w:sz="0" w:space="0" w:color="auto"/>
      </w:divBdr>
    </w:div>
    <w:div w:id="1731886092">
      <w:bodyDiv w:val="1"/>
      <w:marLeft w:val="0"/>
      <w:marRight w:val="0"/>
      <w:marTop w:val="0"/>
      <w:marBottom w:val="0"/>
      <w:divBdr>
        <w:top w:val="none" w:sz="0" w:space="0" w:color="auto"/>
        <w:left w:val="none" w:sz="0" w:space="0" w:color="auto"/>
        <w:bottom w:val="none" w:sz="0" w:space="0" w:color="auto"/>
        <w:right w:val="none" w:sz="0" w:space="0" w:color="auto"/>
      </w:divBdr>
    </w:div>
    <w:div w:id="1732384927">
      <w:bodyDiv w:val="1"/>
      <w:marLeft w:val="0"/>
      <w:marRight w:val="0"/>
      <w:marTop w:val="0"/>
      <w:marBottom w:val="0"/>
      <w:divBdr>
        <w:top w:val="none" w:sz="0" w:space="0" w:color="auto"/>
        <w:left w:val="none" w:sz="0" w:space="0" w:color="auto"/>
        <w:bottom w:val="none" w:sz="0" w:space="0" w:color="auto"/>
        <w:right w:val="none" w:sz="0" w:space="0" w:color="auto"/>
      </w:divBdr>
    </w:div>
    <w:div w:id="1732536117">
      <w:bodyDiv w:val="1"/>
      <w:marLeft w:val="0"/>
      <w:marRight w:val="0"/>
      <w:marTop w:val="0"/>
      <w:marBottom w:val="0"/>
      <w:divBdr>
        <w:top w:val="none" w:sz="0" w:space="0" w:color="auto"/>
        <w:left w:val="none" w:sz="0" w:space="0" w:color="auto"/>
        <w:bottom w:val="none" w:sz="0" w:space="0" w:color="auto"/>
        <w:right w:val="none" w:sz="0" w:space="0" w:color="auto"/>
      </w:divBdr>
    </w:div>
    <w:div w:id="1734306953">
      <w:bodyDiv w:val="1"/>
      <w:marLeft w:val="0"/>
      <w:marRight w:val="0"/>
      <w:marTop w:val="0"/>
      <w:marBottom w:val="0"/>
      <w:divBdr>
        <w:top w:val="none" w:sz="0" w:space="0" w:color="auto"/>
        <w:left w:val="none" w:sz="0" w:space="0" w:color="auto"/>
        <w:bottom w:val="none" w:sz="0" w:space="0" w:color="auto"/>
        <w:right w:val="none" w:sz="0" w:space="0" w:color="auto"/>
      </w:divBdr>
    </w:div>
    <w:div w:id="1735810389">
      <w:bodyDiv w:val="1"/>
      <w:marLeft w:val="0"/>
      <w:marRight w:val="0"/>
      <w:marTop w:val="0"/>
      <w:marBottom w:val="0"/>
      <w:divBdr>
        <w:top w:val="none" w:sz="0" w:space="0" w:color="auto"/>
        <w:left w:val="none" w:sz="0" w:space="0" w:color="auto"/>
        <w:bottom w:val="none" w:sz="0" w:space="0" w:color="auto"/>
        <w:right w:val="none" w:sz="0" w:space="0" w:color="auto"/>
      </w:divBdr>
    </w:div>
    <w:div w:id="1737581003">
      <w:bodyDiv w:val="1"/>
      <w:marLeft w:val="0"/>
      <w:marRight w:val="0"/>
      <w:marTop w:val="0"/>
      <w:marBottom w:val="0"/>
      <w:divBdr>
        <w:top w:val="none" w:sz="0" w:space="0" w:color="auto"/>
        <w:left w:val="none" w:sz="0" w:space="0" w:color="auto"/>
        <w:bottom w:val="none" w:sz="0" w:space="0" w:color="auto"/>
        <w:right w:val="none" w:sz="0" w:space="0" w:color="auto"/>
      </w:divBdr>
    </w:div>
    <w:div w:id="1739092985">
      <w:bodyDiv w:val="1"/>
      <w:marLeft w:val="0"/>
      <w:marRight w:val="0"/>
      <w:marTop w:val="0"/>
      <w:marBottom w:val="0"/>
      <w:divBdr>
        <w:top w:val="none" w:sz="0" w:space="0" w:color="auto"/>
        <w:left w:val="none" w:sz="0" w:space="0" w:color="auto"/>
        <w:bottom w:val="none" w:sz="0" w:space="0" w:color="auto"/>
        <w:right w:val="none" w:sz="0" w:space="0" w:color="auto"/>
      </w:divBdr>
    </w:div>
    <w:div w:id="1739549965">
      <w:bodyDiv w:val="1"/>
      <w:marLeft w:val="0"/>
      <w:marRight w:val="0"/>
      <w:marTop w:val="0"/>
      <w:marBottom w:val="0"/>
      <w:divBdr>
        <w:top w:val="none" w:sz="0" w:space="0" w:color="auto"/>
        <w:left w:val="none" w:sz="0" w:space="0" w:color="auto"/>
        <w:bottom w:val="none" w:sz="0" w:space="0" w:color="auto"/>
        <w:right w:val="none" w:sz="0" w:space="0" w:color="auto"/>
      </w:divBdr>
    </w:div>
    <w:div w:id="1741322959">
      <w:bodyDiv w:val="1"/>
      <w:marLeft w:val="0"/>
      <w:marRight w:val="0"/>
      <w:marTop w:val="0"/>
      <w:marBottom w:val="0"/>
      <w:divBdr>
        <w:top w:val="none" w:sz="0" w:space="0" w:color="auto"/>
        <w:left w:val="none" w:sz="0" w:space="0" w:color="auto"/>
        <w:bottom w:val="none" w:sz="0" w:space="0" w:color="auto"/>
        <w:right w:val="none" w:sz="0" w:space="0" w:color="auto"/>
      </w:divBdr>
    </w:div>
    <w:div w:id="1744445980">
      <w:bodyDiv w:val="1"/>
      <w:marLeft w:val="0"/>
      <w:marRight w:val="0"/>
      <w:marTop w:val="0"/>
      <w:marBottom w:val="0"/>
      <w:divBdr>
        <w:top w:val="none" w:sz="0" w:space="0" w:color="auto"/>
        <w:left w:val="none" w:sz="0" w:space="0" w:color="auto"/>
        <w:bottom w:val="none" w:sz="0" w:space="0" w:color="auto"/>
        <w:right w:val="none" w:sz="0" w:space="0" w:color="auto"/>
      </w:divBdr>
    </w:div>
    <w:div w:id="1745301048">
      <w:bodyDiv w:val="1"/>
      <w:marLeft w:val="0"/>
      <w:marRight w:val="0"/>
      <w:marTop w:val="0"/>
      <w:marBottom w:val="0"/>
      <w:divBdr>
        <w:top w:val="none" w:sz="0" w:space="0" w:color="auto"/>
        <w:left w:val="none" w:sz="0" w:space="0" w:color="auto"/>
        <w:bottom w:val="none" w:sz="0" w:space="0" w:color="auto"/>
        <w:right w:val="none" w:sz="0" w:space="0" w:color="auto"/>
      </w:divBdr>
    </w:div>
    <w:div w:id="1748914904">
      <w:bodyDiv w:val="1"/>
      <w:marLeft w:val="0"/>
      <w:marRight w:val="0"/>
      <w:marTop w:val="0"/>
      <w:marBottom w:val="0"/>
      <w:divBdr>
        <w:top w:val="none" w:sz="0" w:space="0" w:color="auto"/>
        <w:left w:val="none" w:sz="0" w:space="0" w:color="auto"/>
        <w:bottom w:val="none" w:sz="0" w:space="0" w:color="auto"/>
        <w:right w:val="none" w:sz="0" w:space="0" w:color="auto"/>
      </w:divBdr>
    </w:div>
    <w:div w:id="1750155531">
      <w:bodyDiv w:val="1"/>
      <w:marLeft w:val="0"/>
      <w:marRight w:val="0"/>
      <w:marTop w:val="0"/>
      <w:marBottom w:val="0"/>
      <w:divBdr>
        <w:top w:val="none" w:sz="0" w:space="0" w:color="auto"/>
        <w:left w:val="none" w:sz="0" w:space="0" w:color="auto"/>
        <w:bottom w:val="none" w:sz="0" w:space="0" w:color="auto"/>
        <w:right w:val="none" w:sz="0" w:space="0" w:color="auto"/>
      </w:divBdr>
    </w:div>
    <w:div w:id="1750495381">
      <w:bodyDiv w:val="1"/>
      <w:marLeft w:val="0"/>
      <w:marRight w:val="0"/>
      <w:marTop w:val="0"/>
      <w:marBottom w:val="0"/>
      <w:divBdr>
        <w:top w:val="none" w:sz="0" w:space="0" w:color="auto"/>
        <w:left w:val="none" w:sz="0" w:space="0" w:color="auto"/>
        <w:bottom w:val="none" w:sz="0" w:space="0" w:color="auto"/>
        <w:right w:val="none" w:sz="0" w:space="0" w:color="auto"/>
      </w:divBdr>
    </w:div>
    <w:div w:id="1754006694">
      <w:bodyDiv w:val="1"/>
      <w:marLeft w:val="0"/>
      <w:marRight w:val="0"/>
      <w:marTop w:val="0"/>
      <w:marBottom w:val="0"/>
      <w:divBdr>
        <w:top w:val="none" w:sz="0" w:space="0" w:color="auto"/>
        <w:left w:val="none" w:sz="0" w:space="0" w:color="auto"/>
        <w:bottom w:val="none" w:sz="0" w:space="0" w:color="auto"/>
        <w:right w:val="none" w:sz="0" w:space="0" w:color="auto"/>
      </w:divBdr>
    </w:div>
    <w:div w:id="1756828394">
      <w:bodyDiv w:val="1"/>
      <w:marLeft w:val="0"/>
      <w:marRight w:val="0"/>
      <w:marTop w:val="0"/>
      <w:marBottom w:val="0"/>
      <w:divBdr>
        <w:top w:val="none" w:sz="0" w:space="0" w:color="auto"/>
        <w:left w:val="none" w:sz="0" w:space="0" w:color="auto"/>
        <w:bottom w:val="none" w:sz="0" w:space="0" w:color="auto"/>
        <w:right w:val="none" w:sz="0" w:space="0" w:color="auto"/>
      </w:divBdr>
    </w:div>
    <w:div w:id="1758404578">
      <w:bodyDiv w:val="1"/>
      <w:marLeft w:val="0"/>
      <w:marRight w:val="0"/>
      <w:marTop w:val="0"/>
      <w:marBottom w:val="0"/>
      <w:divBdr>
        <w:top w:val="none" w:sz="0" w:space="0" w:color="auto"/>
        <w:left w:val="none" w:sz="0" w:space="0" w:color="auto"/>
        <w:bottom w:val="none" w:sz="0" w:space="0" w:color="auto"/>
        <w:right w:val="none" w:sz="0" w:space="0" w:color="auto"/>
      </w:divBdr>
    </w:div>
    <w:div w:id="1760566522">
      <w:bodyDiv w:val="1"/>
      <w:marLeft w:val="0"/>
      <w:marRight w:val="0"/>
      <w:marTop w:val="0"/>
      <w:marBottom w:val="0"/>
      <w:divBdr>
        <w:top w:val="none" w:sz="0" w:space="0" w:color="auto"/>
        <w:left w:val="none" w:sz="0" w:space="0" w:color="auto"/>
        <w:bottom w:val="none" w:sz="0" w:space="0" w:color="auto"/>
        <w:right w:val="none" w:sz="0" w:space="0" w:color="auto"/>
      </w:divBdr>
    </w:div>
    <w:div w:id="1760634121">
      <w:bodyDiv w:val="1"/>
      <w:marLeft w:val="0"/>
      <w:marRight w:val="0"/>
      <w:marTop w:val="0"/>
      <w:marBottom w:val="0"/>
      <w:divBdr>
        <w:top w:val="none" w:sz="0" w:space="0" w:color="auto"/>
        <w:left w:val="none" w:sz="0" w:space="0" w:color="auto"/>
        <w:bottom w:val="none" w:sz="0" w:space="0" w:color="auto"/>
        <w:right w:val="none" w:sz="0" w:space="0" w:color="auto"/>
      </w:divBdr>
    </w:div>
    <w:div w:id="1761177309">
      <w:bodyDiv w:val="1"/>
      <w:marLeft w:val="0"/>
      <w:marRight w:val="0"/>
      <w:marTop w:val="0"/>
      <w:marBottom w:val="0"/>
      <w:divBdr>
        <w:top w:val="none" w:sz="0" w:space="0" w:color="auto"/>
        <w:left w:val="none" w:sz="0" w:space="0" w:color="auto"/>
        <w:bottom w:val="none" w:sz="0" w:space="0" w:color="auto"/>
        <w:right w:val="none" w:sz="0" w:space="0" w:color="auto"/>
      </w:divBdr>
    </w:div>
    <w:div w:id="1761288673">
      <w:bodyDiv w:val="1"/>
      <w:marLeft w:val="0"/>
      <w:marRight w:val="0"/>
      <w:marTop w:val="0"/>
      <w:marBottom w:val="0"/>
      <w:divBdr>
        <w:top w:val="none" w:sz="0" w:space="0" w:color="auto"/>
        <w:left w:val="none" w:sz="0" w:space="0" w:color="auto"/>
        <w:bottom w:val="none" w:sz="0" w:space="0" w:color="auto"/>
        <w:right w:val="none" w:sz="0" w:space="0" w:color="auto"/>
      </w:divBdr>
    </w:div>
    <w:div w:id="1761413774">
      <w:bodyDiv w:val="1"/>
      <w:marLeft w:val="0"/>
      <w:marRight w:val="0"/>
      <w:marTop w:val="0"/>
      <w:marBottom w:val="0"/>
      <w:divBdr>
        <w:top w:val="none" w:sz="0" w:space="0" w:color="auto"/>
        <w:left w:val="none" w:sz="0" w:space="0" w:color="auto"/>
        <w:bottom w:val="none" w:sz="0" w:space="0" w:color="auto"/>
        <w:right w:val="none" w:sz="0" w:space="0" w:color="auto"/>
      </w:divBdr>
    </w:div>
    <w:div w:id="1763063931">
      <w:bodyDiv w:val="1"/>
      <w:marLeft w:val="0"/>
      <w:marRight w:val="0"/>
      <w:marTop w:val="0"/>
      <w:marBottom w:val="0"/>
      <w:divBdr>
        <w:top w:val="none" w:sz="0" w:space="0" w:color="auto"/>
        <w:left w:val="none" w:sz="0" w:space="0" w:color="auto"/>
        <w:bottom w:val="none" w:sz="0" w:space="0" w:color="auto"/>
        <w:right w:val="none" w:sz="0" w:space="0" w:color="auto"/>
      </w:divBdr>
    </w:div>
    <w:div w:id="1763716578">
      <w:bodyDiv w:val="1"/>
      <w:marLeft w:val="0"/>
      <w:marRight w:val="0"/>
      <w:marTop w:val="0"/>
      <w:marBottom w:val="0"/>
      <w:divBdr>
        <w:top w:val="none" w:sz="0" w:space="0" w:color="auto"/>
        <w:left w:val="none" w:sz="0" w:space="0" w:color="auto"/>
        <w:bottom w:val="none" w:sz="0" w:space="0" w:color="auto"/>
        <w:right w:val="none" w:sz="0" w:space="0" w:color="auto"/>
      </w:divBdr>
    </w:div>
    <w:div w:id="1766153098">
      <w:bodyDiv w:val="1"/>
      <w:marLeft w:val="0"/>
      <w:marRight w:val="0"/>
      <w:marTop w:val="0"/>
      <w:marBottom w:val="0"/>
      <w:divBdr>
        <w:top w:val="none" w:sz="0" w:space="0" w:color="auto"/>
        <w:left w:val="none" w:sz="0" w:space="0" w:color="auto"/>
        <w:bottom w:val="none" w:sz="0" w:space="0" w:color="auto"/>
        <w:right w:val="none" w:sz="0" w:space="0" w:color="auto"/>
      </w:divBdr>
    </w:div>
    <w:div w:id="1767384919">
      <w:bodyDiv w:val="1"/>
      <w:marLeft w:val="0"/>
      <w:marRight w:val="0"/>
      <w:marTop w:val="0"/>
      <w:marBottom w:val="0"/>
      <w:divBdr>
        <w:top w:val="none" w:sz="0" w:space="0" w:color="auto"/>
        <w:left w:val="none" w:sz="0" w:space="0" w:color="auto"/>
        <w:bottom w:val="none" w:sz="0" w:space="0" w:color="auto"/>
        <w:right w:val="none" w:sz="0" w:space="0" w:color="auto"/>
      </w:divBdr>
    </w:div>
    <w:div w:id="1770924557">
      <w:bodyDiv w:val="1"/>
      <w:marLeft w:val="0"/>
      <w:marRight w:val="0"/>
      <w:marTop w:val="0"/>
      <w:marBottom w:val="0"/>
      <w:divBdr>
        <w:top w:val="none" w:sz="0" w:space="0" w:color="auto"/>
        <w:left w:val="none" w:sz="0" w:space="0" w:color="auto"/>
        <w:bottom w:val="none" w:sz="0" w:space="0" w:color="auto"/>
        <w:right w:val="none" w:sz="0" w:space="0" w:color="auto"/>
      </w:divBdr>
    </w:div>
    <w:div w:id="1772892881">
      <w:bodyDiv w:val="1"/>
      <w:marLeft w:val="0"/>
      <w:marRight w:val="0"/>
      <w:marTop w:val="0"/>
      <w:marBottom w:val="0"/>
      <w:divBdr>
        <w:top w:val="none" w:sz="0" w:space="0" w:color="auto"/>
        <w:left w:val="none" w:sz="0" w:space="0" w:color="auto"/>
        <w:bottom w:val="none" w:sz="0" w:space="0" w:color="auto"/>
        <w:right w:val="none" w:sz="0" w:space="0" w:color="auto"/>
      </w:divBdr>
    </w:div>
    <w:div w:id="1775204092">
      <w:bodyDiv w:val="1"/>
      <w:marLeft w:val="0"/>
      <w:marRight w:val="0"/>
      <w:marTop w:val="0"/>
      <w:marBottom w:val="0"/>
      <w:divBdr>
        <w:top w:val="none" w:sz="0" w:space="0" w:color="auto"/>
        <w:left w:val="none" w:sz="0" w:space="0" w:color="auto"/>
        <w:bottom w:val="none" w:sz="0" w:space="0" w:color="auto"/>
        <w:right w:val="none" w:sz="0" w:space="0" w:color="auto"/>
      </w:divBdr>
    </w:div>
    <w:div w:id="1778257783">
      <w:bodyDiv w:val="1"/>
      <w:marLeft w:val="0"/>
      <w:marRight w:val="0"/>
      <w:marTop w:val="0"/>
      <w:marBottom w:val="0"/>
      <w:divBdr>
        <w:top w:val="none" w:sz="0" w:space="0" w:color="auto"/>
        <w:left w:val="none" w:sz="0" w:space="0" w:color="auto"/>
        <w:bottom w:val="none" w:sz="0" w:space="0" w:color="auto"/>
        <w:right w:val="none" w:sz="0" w:space="0" w:color="auto"/>
      </w:divBdr>
    </w:div>
    <w:div w:id="1781492760">
      <w:bodyDiv w:val="1"/>
      <w:marLeft w:val="0"/>
      <w:marRight w:val="0"/>
      <w:marTop w:val="0"/>
      <w:marBottom w:val="0"/>
      <w:divBdr>
        <w:top w:val="none" w:sz="0" w:space="0" w:color="auto"/>
        <w:left w:val="none" w:sz="0" w:space="0" w:color="auto"/>
        <w:bottom w:val="none" w:sz="0" w:space="0" w:color="auto"/>
        <w:right w:val="none" w:sz="0" w:space="0" w:color="auto"/>
      </w:divBdr>
    </w:div>
    <w:div w:id="1781872444">
      <w:bodyDiv w:val="1"/>
      <w:marLeft w:val="0"/>
      <w:marRight w:val="0"/>
      <w:marTop w:val="0"/>
      <w:marBottom w:val="0"/>
      <w:divBdr>
        <w:top w:val="none" w:sz="0" w:space="0" w:color="auto"/>
        <w:left w:val="none" w:sz="0" w:space="0" w:color="auto"/>
        <w:bottom w:val="none" w:sz="0" w:space="0" w:color="auto"/>
        <w:right w:val="none" w:sz="0" w:space="0" w:color="auto"/>
      </w:divBdr>
      <w:divsChild>
        <w:div w:id="1132678319">
          <w:marLeft w:val="0"/>
          <w:marRight w:val="0"/>
          <w:marTop w:val="100"/>
          <w:marBottom w:val="100"/>
          <w:divBdr>
            <w:top w:val="none" w:sz="0" w:space="0" w:color="auto"/>
            <w:left w:val="single" w:sz="6" w:space="0" w:color="8E8F92"/>
            <w:bottom w:val="none" w:sz="0" w:space="0" w:color="auto"/>
            <w:right w:val="single" w:sz="6" w:space="0" w:color="8E8F92"/>
          </w:divBdr>
          <w:divsChild>
            <w:div w:id="935283652">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1782525556">
      <w:bodyDiv w:val="1"/>
      <w:marLeft w:val="0"/>
      <w:marRight w:val="0"/>
      <w:marTop w:val="0"/>
      <w:marBottom w:val="0"/>
      <w:divBdr>
        <w:top w:val="none" w:sz="0" w:space="0" w:color="auto"/>
        <w:left w:val="none" w:sz="0" w:space="0" w:color="auto"/>
        <w:bottom w:val="none" w:sz="0" w:space="0" w:color="auto"/>
        <w:right w:val="none" w:sz="0" w:space="0" w:color="auto"/>
      </w:divBdr>
    </w:div>
    <w:div w:id="1782607961">
      <w:bodyDiv w:val="1"/>
      <w:marLeft w:val="0"/>
      <w:marRight w:val="0"/>
      <w:marTop w:val="0"/>
      <w:marBottom w:val="0"/>
      <w:divBdr>
        <w:top w:val="none" w:sz="0" w:space="0" w:color="auto"/>
        <w:left w:val="none" w:sz="0" w:space="0" w:color="auto"/>
        <w:bottom w:val="none" w:sz="0" w:space="0" w:color="auto"/>
        <w:right w:val="none" w:sz="0" w:space="0" w:color="auto"/>
      </w:divBdr>
    </w:div>
    <w:div w:id="1785494051">
      <w:bodyDiv w:val="1"/>
      <w:marLeft w:val="0"/>
      <w:marRight w:val="0"/>
      <w:marTop w:val="0"/>
      <w:marBottom w:val="0"/>
      <w:divBdr>
        <w:top w:val="none" w:sz="0" w:space="0" w:color="auto"/>
        <w:left w:val="none" w:sz="0" w:space="0" w:color="auto"/>
        <w:bottom w:val="none" w:sz="0" w:space="0" w:color="auto"/>
        <w:right w:val="none" w:sz="0" w:space="0" w:color="auto"/>
      </w:divBdr>
    </w:div>
    <w:div w:id="1785730229">
      <w:bodyDiv w:val="1"/>
      <w:marLeft w:val="0"/>
      <w:marRight w:val="0"/>
      <w:marTop w:val="0"/>
      <w:marBottom w:val="0"/>
      <w:divBdr>
        <w:top w:val="none" w:sz="0" w:space="0" w:color="auto"/>
        <w:left w:val="none" w:sz="0" w:space="0" w:color="auto"/>
        <w:bottom w:val="none" w:sz="0" w:space="0" w:color="auto"/>
        <w:right w:val="none" w:sz="0" w:space="0" w:color="auto"/>
      </w:divBdr>
    </w:div>
    <w:div w:id="1787233730">
      <w:bodyDiv w:val="1"/>
      <w:marLeft w:val="0"/>
      <w:marRight w:val="0"/>
      <w:marTop w:val="0"/>
      <w:marBottom w:val="0"/>
      <w:divBdr>
        <w:top w:val="none" w:sz="0" w:space="0" w:color="auto"/>
        <w:left w:val="none" w:sz="0" w:space="0" w:color="auto"/>
        <w:bottom w:val="none" w:sz="0" w:space="0" w:color="auto"/>
        <w:right w:val="none" w:sz="0" w:space="0" w:color="auto"/>
      </w:divBdr>
    </w:div>
    <w:div w:id="1789739683">
      <w:bodyDiv w:val="1"/>
      <w:marLeft w:val="0"/>
      <w:marRight w:val="0"/>
      <w:marTop w:val="0"/>
      <w:marBottom w:val="0"/>
      <w:divBdr>
        <w:top w:val="none" w:sz="0" w:space="0" w:color="auto"/>
        <w:left w:val="none" w:sz="0" w:space="0" w:color="auto"/>
        <w:bottom w:val="none" w:sz="0" w:space="0" w:color="auto"/>
        <w:right w:val="none" w:sz="0" w:space="0" w:color="auto"/>
      </w:divBdr>
    </w:div>
    <w:div w:id="1790314257">
      <w:bodyDiv w:val="1"/>
      <w:marLeft w:val="0"/>
      <w:marRight w:val="0"/>
      <w:marTop w:val="0"/>
      <w:marBottom w:val="0"/>
      <w:divBdr>
        <w:top w:val="none" w:sz="0" w:space="0" w:color="auto"/>
        <w:left w:val="none" w:sz="0" w:space="0" w:color="auto"/>
        <w:bottom w:val="none" w:sz="0" w:space="0" w:color="auto"/>
        <w:right w:val="none" w:sz="0" w:space="0" w:color="auto"/>
      </w:divBdr>
    </w:div>
    <w:div w:id="1791558116">
      <w:bodyDiv w:val="1"/>
      <w:marLeft w:val="0"/>
      <w:marRight w:val="0"/>
      <w:marTop w:val="0"/>
      <w:marBottom w:val="0"/>
      <w:divBdr>
        <w:top w:val="none" w:sz="0" w:space="0" w:color="auto"/>
        <w:left w:val="none" w:sz="0" w:space="0" w:color="auto"/>
        <w:bottom w:val="none" w:sz="0" w:space="0" w:color="auto"/>
        <w:right w:val="none" w:sz="0" w:space="0" w:color="auto"/>
      </w:divBdr>
    </w:div>
    <w:div w:id="1793666684">
      <w:bodyDiv w:val="1"/>
      <w:marLeft w:val="0"/>
      <w:marRight w:val="0"/>
      <w:marTop w:val="0"/>
      <w:marBottom w:val="0"/>
      <w:divBdr>
        <w:top w:val="none" w:sz="0" w:space="0" w:color="auto"/>
        <w:left w:val="none" w:sz="0" w:space="0" w:color="auto"/>
        <w:bottom w:val="none" w:sz="0" w:space="0" w:color="auto"/>
        <w:right w:val="none" w:sz="0" w:space="0" w:color="auto"/>
      </w:divBdr>
    </w:div>
    <w:div w:id="1794783074">
      <w:bodyDiv w:val="1"/>
      <w:marLeft w:val="0"/>
      <w:marRight w:val="0"/>
      <w:marTop w:val="0"/>
      <w:marBottom w:val="0"/>
      <w:divBdr>
        <w:top w:val="none" w:sz="0" w:space="0" w:color="auto"/>
        <w:left w:val="none" w:sz="0" w:space="0" w:color="auto"/>
        <w:bottom w:val="none" w:sz="0" w:space="0" w:color="auto"/>
        <w:right w:val="none" w:sz="0" w:space="0" w:color="auto"/>
      </w:divBdr>
    </w:div>
    <w:div w:id="1796750212">
      <w:bodyDiv w:val="1"/>
      <w:marLeft w:val="0"/>
      <w:marRight w:val="0"/>
      <w:marTop w:val="0"/>
      <w:marBottom w:val="0"/>
      <w:divBdr>
        <w:top w:val="none" w:sz="0" w:space="0" w:color="auto"/>
        <w:left w:val="none" w:sz="0" w:space="0" w:color="auto"/>
        <w:bottom w:val="none" w:sz="0" w:space="0" w:color="auto"/>
        <w:right w:val="none" w:sz="0" w:space="0" w:color="auto"/>
      </w:divBdr>
    </w:div>
    <w:div w:id="1798793180">
      <w:bodyDiv w:val="1"/>
      <w:marLeft w:val="0"/>
      <w:marRight w:val="0"/>
      <w:marTop w:val="0"/>
      <w:marBottom w:val="0"/>
      <w:divBdr>
        <w:top w:val="none" w:sz="0" w:space="0" w:color="auto"/>
        <w:left w:val="none" w:sz="0" w:space="0" w:color="auto"/>
        <w:bottom w:val="none" w:sz="0" w:space="0" w:color="auto"/>
        <w:right w:val="none" w:sz="0" w:space="0" w:color="auto"/>
      </w:divBdr>
    </w:div>
    <w:div w:id="1800761053">
      <w:bodyDiv w:val="1"/>
      <w:marLeft w:val="0"/>
      <w:marRight w:val="0"/>
      <w:marTop w:val="0"/>
      <w:marBottom w:val="0"/>
      <w:divBdr>
        <w:top w:val="none" w:sz="0" w:space="0" w:color="auto"/>
        <w:left w:val="none" w:sz="0" w:space="0" w:color="auto"/>
        <w:bottom w:val="none" w:sz="0" w:space="0" w:color="auto"/>
        <w:right w:val="none" w:sz="0" w:space="0" w:color="auto"/>
      </w:divBdr>
    </w:div>
    <w:div w:id="1805344301">
      <w:bodyDiv w:val="1"/>
      <w:marLeft w:val="0"/>
      <w:marRight w:val="0"/>
      <w:marTop w:val="0"/>
      <w:marBottom w:val="0"/>
      <w:divBdr>
        <w:top w:val="none" w:sz="0" w:space="0" w:color="auto"/>
        <w:left w:val="none" w:sz="0" w:space="0" w:color="auto"/>
        <w:bottom w:val="none" w:sz="0" w:space="0" w:color="auto"/>
        <w:right w:val="none" w:sz="0" w:space="0" w:color="auto"/>
      </w:divBdr>
    </w:div>
    <w:div w:id="1810855041">
      <w:bodyDiv w:val="1"/>
      <w:marLeft w:val="0"/>
      <w:marRight w:val="0"/>
      <w:marTop w:val="0"/>
      <w:marBottom w:val="0"/>
      <w:divBdr>
        <w:top w:val="none" w:sz="0" w:space="0" w:color="auto"/>
        <w:left w:val="none" w:sz="0" w:space="0" w:color="auto"/>
        <w:bottom w:val="none" w:sz="0" w:space="0" w:color="auto"/>
        <w:right w:val="none" w:sz="0" w:space="0" w:color="auto"/>
      </w:divBdr>
    </w:div>
    <w:div w:id="1812332903">
      <w:bodyDiv w:val="1"/>
      <w:marLeft w:val="0"/>
      <w:marRight w:val="0"/>
      <w:marTop w:val="0"/>
      <w:marBottom w:val="0"/>
      <w:divBdr>
        <w:top w:val="none" w:sz="0" w:space="0" w:color="auto"/>
        <w:left w:val="none" w:sz="0" w:space="0" w:color="auto"/>
        <w:bottom w:val="none" w:sz="0" w:space="0" w:color="auto"/>
        <w:right w:val="none" w:sz="0" w:space="0" w:color="auto"/>
      </w:divBdr>
      <w:divsChild>
        <w:div w:id="1301571834">
          <w:marLeft w:val="0"/>
          <w:marRight w:val="0"/>
          <w:marTop w:val="0"/>
          <w:marBottom w:val="0"/>
          <w:divBdr>
            <w:top w:val="none" w:sz="0" w:space="0" w:color="auto"/>
            <w:left w:val="none" w:sz="0" w:space="0" w:color="auto"/>
            <w:bottom w:val="none" w:sz="0" w:space="0" w:color="auto"/>
            <w:right w:val="none" w:sz="0" w:space="0" w:color="auto"/>
          </w:divBdr>
        </w:div>
        <w:div w:id="1487239843">
          <w:marLeft w:val="0"/>
          <w:marRight w:val="0"/>
          <w:marTop w:val="0"/>
          <w:marBottom w:val="0"/>
          <w:divBdr>
            <w:top w:val="none" w:sz="0" w:space="0" w:color="auto"/>
            <w:left w:val="none" w:sz="0" w:space="0" w:color="auto"/>
            <w:bottom w:val="none" w:sz="0" w:space="0" w:color="auto"/>
            <w:right w:val="none" w:sz="0" w:space="0" w:color="auto"/>
          </w:divBdr>
        </w:div>
        <w:div w:id="1689288565">
          <w:marLeft w:val="0"/>
          <w:marRight w:val="0"/>
          <w:marTop w:val="0"/>
          <w:marBottom w:val="0"/>
          <w:divBdr>
            <w:top w:val="none" w:sz="0" w:space="0" w:color="auto"/>
            <w:left w:val="none" w:sz="0" w:space="0" w:color="auto"/>
            <w:bottom w:val="none" w:sz="0" w:space="0" w:color="auto"/>
            <w:right w:val="none" w:sz="0" w:space="0" w:color="auto"/>
          </w:divBdr>
        </w:div>
      </w:divsChild>
    </w:div>
    <w:div w:id="1812476894">
      <w:bodyDiv w:val="1"/>
      <w:marLeft w:val="0"/>
      <w:marRight w:val="0"/>
      <w:marTop w:val="0"/>
      <w:marBottom w:val="0"/>
      <w:divBdr>
        <w:top w:val="none" w:sz="0" w:space="0" w:color="auto"/>
        <w:left w:val="none" w:sz="0" w:space="0" w:color="auto"/>
        <w:bottom w:val="none" w:sz="0" w:space="0" w:color="auto"/>
        <w:right w:val="none" w:sz="0" w:space="0" w:color="auto"/>
      </w:divBdr>
    </w:div>
    <w:div w:id="1812673190">
      <w:bodyDiv w:val="1"/>
      <w:marLeft w:val="0"/>
      <w:marRight w:val="0"/>
      <w:marTop w:val="0"/>
      <w:marBottom w:val="0"/>
      <w:divBdr>
        <w:top w:val="none" w:sz="0" w:space="0" w:color="auto"/>
        <w:left w:val="none" w:sz="0" w:space="0" w:color="auto"/>
        <w:bottom w:val="none" w:sz="0" w:space="0" w:color="auto"/>
        <w:right w:val="none" w:sz="0" w:space="0" w:color="auto"/>
      </w:divBdr>
    </w:div>
    <w:div w:id="1813597406">
      <w:bodyDiv w:val="1"/>
      <w:marLeft w:val="0"/>
      <w:marRight w:val="0"/>
      <w:marTop w:val="0"/>
      <w:marBottom w:val="0"/>
      <w:divBdr>
        <w:top w:val="none" w:sz="0" w:space="0" w:color="auto"/>
        <w:left w:val="none" w:sz="0" w:space="0" w:color="auto"/>
        <w:bottom w:val="none" w:sz="0" w:space="0" w:color="auto"/>
        <w:right w:val="none" w:sz="0" w:space="0" w:color="auto"/>
      </w:divBdr>
    </w:div>
    <w:div w:id="1813709754">
      <w:bodyDiv w:val="1"/>
      <w:marLeft w:val="0"/>
      <w:marRight w:val="0"/>
      <w:marTop w:val="0"/>
      <w:marBottom w:val="0"/>
      <w:divBdr>
        <w:top w:val="none" w:sz="0" w:space="0" w:color="auto"/>
        <w:left w:val="none" w:sz="0" w:space="0" w:color="auto"/>
        <w:bottom w:val="none" w:sz="0" w:space="0" w:color="auto"/>
        <w:right w:val="none" w:sz="0" w:space="0" w:color="auto"/>
      </w:divBdr>
      <w:divsChild>
        <w:div w:id="1167669458">
          <w:marLeft w:val="547"/>
          <w:marRight w:val="0"/>
          <w:marTop w:val="0"/>
          <w:marBottom w:val="0"/>
          <w:divBdr>
            <w:top w:val="none" w:sz="0" w:space="0" w:color="auto"/>
            <w:left w:val="none" w:sz="0" w:space="0" w:color="auto"/>
            <w:bottom w:val="none" w:sz="0" w:space="0" w:color="auto"/>
            <w:right w:val="none" w:sz="0" w:space="0" w:color="auto"/>
          </w:divBdr>
        </w:div>
      </w:divsChild>
    </w:div>
    <w:div w:id="1814373901">
      <w:bodyDiv w:val="1"/>
      <w:marLeft w:val="0"/>
      <w:marRight w:val="0"/>
      <w:marTop w:val="0"/>
      <w:marBottom w:val="0"/>
      <w:divBdr>
        <w:top w:val="none" w:sz="0" w:space="0" w:color="auto"/>
        <w:left w:val="none" w:sz="0" w:space="0" w:color="auto"/>
        <w:bottom w:val="none" w:sz="0" w:space="0" w:color="auto"/>
        <w:right w:val="none" w:sz="0" w:space="0" w:color="auto"/>
      </w:divBdr>
      <w:divsChild>
        <w:div w:id="173224384">
          <w:marLeft w:val="274"/>
          <w:marRight w:val="0"/>
          <w:marTop w:val="0"/>
          <w:marBottom w:val="0"/>
          <w:divBdr>
            <w:top w:val="none" w:sz="0" w:space="0" w:color="auto"/>
            <w:left w:val="none" w:sz="0" w:space="0" w:color="auto"/>
            <w:bottom w:val="none" w:sz="0" w:space="0" w:color="auto"/>
            <w:right w:val="none" w:sz="0" w:space="0" w:color="auto"/>
          </w:divBdr>
        </w:div>
        <w:div w:id="488985957">
          <w:marLeft w:val="274"/>
          <w:marRight w:val="0"/>
          <w:marTop w:val="0"/>
          <w:marBottom w:val="0"/>
          <w:divBdr>
            <w:top w:val="none" w:sz="0" w:space="0" w:color="auto"/>
            <w:left w:val="none" w:sz="0" w:space="0" w:color="auto"/>
            <w:bottom w:val="none" w:sz="0" w:space="0" w:color="auto"/>
            <w:right w:val="none" w:sz="0" w:space="0" w:color="auto"/>
          </w:divBdr>
        </w:div>
        <w:div w:id="1094128424">
          <w:marLeft w:val="274"/>
          <w:marRight w:val="0"/>
          <w:marTop w:val="0"/>
          <w:marBottom w:val="0"/>
          <w:divBdr>
            <w:top w:val="none" w:sz="0" w:space="0" w:color="auto"/>
            <w:left w:val="none" w:sz="0" w:space="0" w:color="auto"/>
            <w:bottom w:val="none" w:sz="0" w:space="0" w:color="auto"/>
            <w:right w:val="none" w:sz="0" w:space="0" w:color="auto"/>
          </w:divBdr>
        </w:div>
        <w:div w:id="1111121979">
          <w:marLeft w:val="274"/>
          <w:marRight w:val="0"/>
          <w:marTop w:val="0"/>
          <w:marBottom w:val="0"/>
          <w:divBdr>
            <w:top w:val="none" w:sz="0" w:space="0" w:color="auto"/>
            <w:left w:val="none" w:sz="0" w:space="0" w:color="auto"/>
            <w:bottom w:val="none" w:sz="0" w:space="0" w:color="auto"/>
            <w:right w:val="none" w:sz="0" w:space="0" w:color="auto"/>
          </w:divBdr>
        </w:div>
        <w:div w:id="1436902527">
          <w:marLeft w:val="274"/>
          <w:marRight w:val="0"/>
          <w:marTop w:val="0"/>
          <w:marBottom w:val="0"/>
          <w:divBdr>
            <w:top w:val="none" w:sz="0" w:space="0" w:color="auto"/>
            <w:left w:val="none" w:sz="0" w:space="0" w:color="auto"/>
            <w:bottom w:val="none" w:sz="0" w:space="0" w:color="auto"/>
            <w:right w:val="none" w:sz="0" w:space="0" w:color="auto"/>
          </w:divBdr>
        </w:div>
      </w:divsChild>
    </w:div>
    <w:div w:id="1814903429">
      <w:bodyDiv w:val="1"/>
      <w:marLeft w:val="0"/>
      <w:marRight w:val="0"/>
      <w:marTop w:val="0"/>
      <w:marBottom w:val="0"/>
      <w:divBdr>
        <w:top w:val="none" w:sz="0" w:space="0" w:color="auto"/>
        <w:left w:val="none" w:sz="0" w:space="0" w:color="auto"/>
        <w:bottom w:val="none" w:sz="0" w:space="0" w:color="auto"/>
        <w:right w:val="none" w:sz="0" w:space="0" w:color="auto"/>
      </w:divBdr>
    </w:div>
    <w:div w:id="1815875152">
      <w:bodyDiv w:val="1"/>
      <w:marLeft w:val="0"/>
      <w:marRight w:val="0"/>
      <w:marTop w:val="0"/>
      <w:marBottom w:val="0"/>
      <w:divBdr>
        <w:top w:val="none" w:sz="0" w:space="0" w:color="auto"/>
        <w:left w:val="none" w:sz="0" w:space="0" w:color="auto"/>
        <w:bottom w:val="none" w:sz="0" w:space="0" w:color="auto"/>
        <w:right w:val="none" w:sz="0" w:space="0" w:color="auto"/>
      </w:divBdr>
    </w:div>
    <w:div w:id="1816019970">
      <w:bodyDiv w:val="1"/>
      <w:marLeft w:val="0"/>
      <w:marRight w:val="0"/>
      <w:marTop w:val="0"/>
      <w:marBottom w:val="0"/>
      <w:divBdr>
        <w:top w:val="none" w:sz="0" w:space="0" w:color="auto"/>
        <w:left w:val="none" w:sz="0" w:space="0" w:color="auto"/>
        <w:bottom w:val="none" w:sz="0" w:space="0" w:color="auto"/>
        <w:right w:val="none" w:sz="0" w:space="0" w:color="auto"/>
      </w:divBdr>
    </w:div>
    <w:div w:id="1817529019">
      <w:bodyDiv w:val="1"/>
      <w:marLeft w:val="0"/>
      <w:marRight w:val="0"/>
      <w:marTop w:val="0"/>
      <w:marBottom w:val="0"/>
      <w:divBdr>
        <w:top w:val="none" w:sz="0" w:space="0" w:color="auto"/>
        <w:left w:val="none" w:sz="0" w:space="0" w:color="auto"/>
        <w:bottom w:val="none" w:sz="0" w:space="0" w:color="auto"/>
        <w:right w:val="none" w:sz="0" w:space="0" w:color="auto"/>
      </w:divBdr>
    </w:div>
    <w:div w:id="1817722389">
      <w:bodyDiv w:val="1"/>
      <w:marLeft w:val="0"/>
      <w:marRight w:val="0"/>
      <w:marTop w:val="0"/>
      <w:marBottom w:val="0"/>
      <w:divBdr>
        <w:top w:val="none" w:sz="0" w:space="0" w:color="auto"/>
        <w:left w:val="none" w:sz="0" w:space="0" w:color="auto"/>
        <w:bottom w:val="none" w:sz="0" w:space="0" w:color="auto"/>
        <w:right w:val="none" w:sz="0" w:space="0" w:color="auto"/>
      </w:divBdr>
    </w:div>
    <w:div w:id="1818837839">
      <w:bodyDiv w:val="1"/>
      <w:marLeft w:val="0"/>
      <w:marRight w:val="0"/>
      <w:marTop w:val="0"/>
      <w:marBottom w:val="0"/>
      <w:divBdr>
        <w:top w:val="none" w:sz="0" w:space="0" w:color="auto"/>
        <w:left w:val="none" w:sz="0" w:space="0" w:color="auto"/>
        <w:bottom w:val="none" w:sz="0" w:space="0" w:color="auto"/>
        <w:right w:val="none" w:sz="0" w:space="0" w:color="auto"/>
      </w:divBdr>
    </w:div>
    <w:div w:id="1824274818">
      <w:bodyDiv w:val="1"/>
      <w:marLeft w:val="0"/>
      <w:marRight w:val="0"/>
      <w:marTop w:val="0"/>
      <w:marBottom w:val="0"/>
      <w:divBdr>
        <w:top w:val="none" w:sz="0" w:space="0" w:color="auto"/>
        <w:left w:val="none" w:sz="0" w:space="0" w:color="auto"/>
        <w:bottom w:val="none" w:sz="0" w:space="0" w:color="auto"/>
        <w:right w:val="none" w:sz="0" w:space="0" w:color="auto"/>
      </w:divBdr>
    </w:div>
    <w:div w:id="1825320516">
      <w:bodyDiv w:val="1"/>
      <w:marLeft w:val="0"/>
      <w:marRight w:val="0"/>
      <w:marTop w:val="0"/>
      <w:marBottom w:val="0"/>
      <w:divBdr>
        <w:top w:val="none" w:sz="0" w:space="0" w:color="auto"/>
        <w:left w:val="none" w:sz="0" w:space="0" w:color="auto"/>
        <w:bottom w:val="none" w:sz="0" w:space="0" w:color="auto"/>
        <w:right w:val="none" w:sz="0" w:space="0" w:color="auto"/>
      </w:divBdr>
    </w:div>
    <w:div w:id="1826167667">
      <w:bodyDiv w:val="1"/>
      <w:marLeft w:val="0"/>
      <w:marRight w:val="0"/>
      <w:marTop w:val="0"/>
      <w:marBottom w:val="0"/>
      <w:divBdr>
        <w:top w:val="none" w:sz="0" w:space="0" w:color="auto"/>
        <w:left w:val="none" w:sz="0" w:space="0" w:color="auto"/>
        <w:bottom w:val="none" w:sz="0" w:space="0" w:color="auto"/>
        <w:right w:val="none" w:sz="0" w:space="0" w:color="auto"/>
      </w:divBdr>
    </w:div>
    <w:div w:id="1828937521">
      <w:bodyDiv w:val="1"/>
      <w:marLeft w:val="0"/>
      <w:marRight w:val="0"/>
      <w:marTop w:val="0"/>
      <w:marBottom w:val="0"/>
      <w:divBdr>
        <w:top w:val="none" w:sz="0" w:space="0" w:color="auto"/>
        <w:left w:val="none" w:sz="0" w:space="0" w:color="auto"/>
        <w:bottom w:val="none" w:sz="0" w:space="0" w:color="auto"/>
        <w:right w:val="none" w:sz="0" w:space="0" w:color="auto"/>
      </w:divBdr>
    </w:div>
    <w:div w:id="1831404701">
      <w:bodyDiv w:val="1"/>
      <w:marLeft w:val="0"/>
      <w:marRight w:val="0"/>
      <w:marTop w:val="0"/>
      <w:marBottom w:val="0"/>
      <w:divBdr>
        <w:top w:val="none" w:sz="0" w:space="0" w:color="auto"/>
        <w:left w:val="none" w:sz="0" w:space="0" w:color="auto"/>
        <w:bottom w:val="none" w:sz="0" w:space="0" w:color="auto"/>
        <w:right w:val="none" w:sz="0" w:space="0" w:color="auto"/>
      </w:divBdr>
    </w:div>
    <w:div w:id="1832211860">
      <w:bodyDiv w:val="1"/>
      <w:marLeft w:val="0"/>
      <w:marRight w:val="0"/>
      <w:marTop w:val="0"/>
      <w:marBottom w:val="0"/>
      <w:divBdr>
        <w:top w:val="none" w:sz="0" w:space="0" w:color="auto"/>
        <w:left w:val="none" w:sz="0" w:space="0" w:color="auto"/>
        <w:bottom w:val="none" w:sz="0" w:space="0" w:color="auto"/>
        <w:right w:val="none" w:sz="0" w:space="0" w:color="auto"/>
      </w:divBdr>
    </w:div>
    <w:div w:id="1836678677">
      <w:bodyDiv w:val="1"/>
      <w:marLeft w:val="0"/>
      <w:marRight w:val="0"/>
      <w:marTop w:val="0"/>
      <w:marBottom w:val="0"/>
      <w:divBdr>
        <w:top w:val="none" w:sz="0" w:space="0" w:color="auto"/>
        <w:left w:val="none" w:sz="0" w:space="0" w:color="auto"/>
        <w:bottom w:val="none" w:sz="0" w:space="0" w:color="auto"/>
        <w:right w:val="none" w:sz="0" w:space="0" w:color="auto"/>
      </w:divBdr>
    </w:div>
    <w:div w:id="1837381029">
      <w:bodyDiv w:val="1"/>
      <w:marLeft w:val="0"/>
      <w:marRight w:val="0"/>
      <w:marTop w:val="0"/>
      <w:marBottom w:val="0"/>
      <w:divBdr>
        <w:top w:val="none" w:sz="0" w:space="0" w:color="auto"/>
        <w:left w:val="none" w:sz="0" w:space="0" w:color="auto"/>
        <w:bottom w:val="none" w:sz="0" w:space="0" w:color="auto"/>
        <w:right w:val="none" w:sz="0" w:space="0" w:color="auto"/>
      </w:divBdr>
    </w:div>
    <w:div w:id="1839154801">
      <w:bodyDiv w:val="1"/>
      <w:marLeft w:val="0"/>
      <w:marRight w:val="0"/>
      <w:marTop w:val="0"/>
      <w:marBottom w:val="0"/>
      <w:divBdr>
        <w:top w:val="none" w:sz="0" w:space="0" w:color="auto"/>
        <w:left w:val="none" w:sz="0" w:space="0" w:color="auto"/>
        <w:bottom w:val="none" w:sz="0" w:space="0" w:color="auto"/>
        <w:right w:val="none" w:sz="0" w:space="0" w:color="auto"/>
      </w:divBdr>
    </w:div>
    <w:div w:id="1840191522">
      <w:bodyDiv w:val="1"/>
      <w:marLeft w:val="0"/>
      <w:marRight w:val="0"/>
      <w:marTop w:val="0"/>
      <w:marBottom w:val="0"/>
      <w:divBdr>
        <w:top w:val="none" w:sz="0" w:space="0" w:color="auto"/>
        <w:left w:val="none" w:sz="0" w:space="0" w:color="auto"/>
        <w:bottom w:val="none" w:sz="0" w:space="0" w:color="auto"/>
        <w:right w:val="none" w:sz="0" w:space="0" w:color="auto"/>
      </w:divBdr>
    </w:div>
    <w:div w:id="1840921761">
      <w:bodyDiv w:val="1"/>
      <w:marLeft w:val="0"/>
      <w:marRight w:val="0"/>
      <w:marTop w:val="0"/>
      <w:marBottom w:val="0"/>
      <w:divBdr>
        <w:top w:val="none" w:sz="0" w:space="0" w:color="auto"/>
        <w:left w:val="none" w:sz="0" w:space="0" w:color="auto"/>
        <w:bottom w:val="none" w:sz="0" w:space="0" w:color="auto"/>
        <w:right w:val="none" w:sz="0" w:space="0" w:color="auto"/>
      </w:divBdr>
    </w:div>
    <w:div w:id="1842310806">
      <w:bodyDiv w:val="1"/>
      <w:marLeft w:val="0"/>
      <w:marRight w:val="0"/>
      <w:marTop w:val="0"/>
      <w:marBottom w:val="0"/>
      <w:divBdr>
        <w:top w:val="none" w:sz="0" w:space="0" w:color="auto"/>
        <w:left w:val="none" w:sz="0" w:space="0" w:color="auto"/>
        <w:bottom w:val="none" w:sz="0" w:space="0" w:color="auto"/>
        <w:right w:val="none" w:sz="0" w:space="0" w:color="auto"/>
      </w:divBdr>
    </w:div>
    <w:div w:id="1842771423">
      <w:bodyDiv w:val="1"/>
      <w:marLeft w:val="0"/>
      <w:marRight w:val="0"/>
      <w:marTop w:val="0"/>
      <w:marBottom w:val="0"/>
      <w:divBdr>
        <w:top w:val="none" w:sz="0" w:space="0" w:color="auto"/>
        <w:left w:val="none" w:sz="0" w:space="0" w:color="auto"/>
        <w:bottom w:val="none" w:sz="0" w:space="0" w:color="auto"/>
        <w:right w:val="none" w:sz="0" w:space="0" w:color="auto"/>
      </w:divBdr>
    </w:div>
    <w:div w:id="1844315171">
      <w:bodyDiv w:val="1"/>
      <w:marLeft w:val="0"/>
      <w:marRight w:val="0"/>
      <w:marTop w:val="0"/>
      <w:marBottom w:val="0"/>
      <w:divBdr>
        <w:top w:val="none" w:sz="0" w:space="0" w:color="auto"/>
        <w:left w:val="none" w:sz="0" w:space="0" w:color="auto"/>
        <w:bottom w:val="none" w:sz="0" w:space="0" w:color="auto"/>
        <w:right w:val="none" w:sz="0" w:space="0" w:color="auto"/>
      </w:divBdr>
    </w:div>
    <w:div w:id="1845389622">
      <w:bodyDiv w:val="1"/>
      <w:marLeft w:val="0"/>
      <w:marRight w:val="0"/>
      <w:marTop w:val="0"/>
      <w:marBottom w:val="0"/>
      <w:divBdr>
        <w:top w:val="none" w:sz="0" w:space="0" w:color="auto"/>
        <w:left w:val="none" w:sz="0" w:space="0" w:color="auto"/>
        <w:bottom w:val="none" w:sz="0" w:space="0" w:color="auto"/>
        <w:right w:val="none" w:sz="0" w:space="0" w:color="auto"/>
      </w:divBdr>
    </w:div>
    <w:div w:id="1849559748">
      <w:bodyDiv w:val="1"/>
      <w:marLeft w:val="0"/>
      <w:marRight w:val="0"/>
      <w:marTop w:val="0"/>
      <w:marBottom w:val="0"/>
      <w:divBdr>
        <w:top w:val="none" w:sz="0" w:space="0" w:color="auto"/>
        <w:left w:val="none" w:sz="0" w:space="0" w:color="auto"/>
        <w:bottom w:val="none" w:sz="0" w:space="0" w:color="auto"/>
        <w:right w:val="none" w:sz="0" w:space="0" w:color="auto"/>
      </w:divBdr>
    </w:div>
    <w:div w:id="1851332988">
      <w:bodyDiv w:val="1"/>
      <w:marLeft w:val="0"/>
      <w:marRight w:val="0"/>
      <w:marTop w:val="0"/>
      <w:marBottom w:val="0"/>
      <w:divBdr>
        <w:top w:val="none" w:sz="0" w:space="0" w:color="auto"/>
        <w:left w:val="none" w:sz="0" w:space="0" w:color="auto"/>
        <w:bottom w:val="none" w:sz="0" w:space="0" w:color="auto"/>
        <w:right w:val="none" w:sz="0" w:space="0" w:color="auto"/>
      </w:divBdr>
    </w:div>
    <w:div w:id="1851530860">
      <w:bodyDiv w:val="1"/>
      <w:marLeft w:val="0"/>
      <w:marRight w:val="0"/>
      <w:marTop w:val="0"/>
      <w:marBottom w:val="0"/>
      <w:divBdr>
        <w:top w:val="none" w:sz="0" w:space="0" w:color="auto"/>
        <w:left w:val="none" w:sz="0" w:space="0" w:color="auto"/>
        <w:bottom w:val="none" w:sz="0" w:space="0" w:color="auto"/>
        <w:right w:val="none" w:sz="0" w:space="0" w:color="auto"/>
      </w:divBdr>
    </w:div>
    <w:div w:id="1852378307">
      <w:bodyDiv w:val="1"/>
      <w:marLeft w:val="0"/>
      <w:marRight w:val="0"/>
      <w:marTop w:val="0"/>
      <w:marBottom w:val="0"/>
      <w:divBdr>
        <w:top w:val="none" w:sz="0" w:space="0" w:color="auto"/>
        <w:left w:val="none" w:sz="0" w:space="0" w:color="auto"/>
        <w:bottom w:val="none" w:sz="0" w:space="0" w:color="auto"/>
        <w:right w:val="none" w:sz="0" w:space="0" w:color="auto"/>
      </w:divBdr>
    </w:div>
    <w:div w:id="1856379049">
      <w:bodyDiv w:val="1"/>
      <w:marLeft w:val="0"/>
      <w:marRight w:val="0"/>
      <w:marTop w:val="0"/>
      <w:marBottom w:val="0"/>
      <w:divBdr>
        <w:top w:val="none" w:sz="0" w:space="0" w:color="auto"/>
        <w:left w:val="none" w:sz="0" w:space="0" w:color="auto"/>
        <w:bottom w:val="none" w:sz="0" w:space="0" w:color="auto"/>
        <w:right w:val="none" w:sz="0" w:space="0" w:color="auto"/>
      </w:divBdr>
    </w:div>
    <w:div w:id="1858150829">
      <w:bodyDiv w:val="1"/>
      <w:marLeft w:val="0"/>
      <w:marRight w:val="0"/>
      <w:marTop w:val="0"/>
      <w:marBottom w:val="0"/>
      <w:divBdr>
        <w:top w:val="none" w:sz="0" w:space="0" w:color="auto"/>
        <w:left w:val="none" w:sz="0" w:space="0" w:color="auto"/>
        <w:bottom w:val="none" w:sz="0" w:space="0" w:color="auto"/>
        <w:right w:val="none" w:sz="0" w:space="0" w:color="auto"/>
      </w:divBdr>
    </w:div>
    <w:div w:id="1858884140">
      <w:bodyDiv w:val="1"/>
      <w:marLeft w:val="0"/>
      <w:marRight w:val="0"/>
      <w:marTop w:val="0"/>
      <w:marBottom w:val="0"/>
      <w:divBdr>
        <w:top w:val="none" w:sz="0" w:space="0" w:color="auto"/>
        <w:left w:val="none" w:sz="0" w:space="0" w:color="auto"/>
        <w:bottom w:val="none" w:sz="0" w:space="0" w:color="auto"/>
        <w:right w:val="none" w:sz="0" w:space="0" w:color="auto"/>
      </w:divBdr>
    </w:div>
    <w:div w:id="1859389528">
      <w:bodyDiv w:val="1"/>
      <w:marLeft w:val="0"/>
      <w:marRight w:val="0"/>
      <w:marTop w:val="0"/>
      <w:marBottom w:val="0"/>
      <w:divBdr>
        <w:top w:val="none" w:sz="0" w:space="0" w:color="auto"/>
        <w:left w:val="none" w:sz="0" w:space="0" w:color="auto"/>
        <w:bottom w:val="none" w:sz="0" w:space="0" w:color="auto"/>
        <w:right w:val="none" w:sz="0" w:space="0" w:color="auto"/>
      </w:divBdr>
    </w:div>
    <w:div w:id="1861621252">
      <w:bodyDiv w:val="1"/>
      <w:marLeft w:val="0"/>
      <w:marRight w:val="0"/>
      <w:marTop w:val="0"/>
      <w:marBottom w:val="0"/>
      <w:divBdr>
        <w:top w:val="none" w:sz="0" w:space="0" w:color="auto"/>
        <w:left w:val="none" w:sz="0" w:space="0" w:color="auto"/>
        <w:bottom w:val="none" w:sz="0" w:space="0" w:color="auto"/>
        <w:right w:val="none" w:sz="0" w:space="0" w:color="auto"/>
      </w:divBdr>
    </w:div>
    <w:div w:id="1861966808">
      <w:bodyDiv w:val="1"/>
      <w:marLeft w:val="0"/>
      <w:marRight w:val="0"/>
      <w:marTop w:val="0"/>
      <w:marBottom w:val="0"/>
      <w:divBdr>
        <w:top w:val="none" w:sz="0" w:space="0" w:color="auto"/>
        <w:left w:val="none" w:sz="0" w:space="0" w:color="auto"/>
        <w:bottom w:val="none" w:sz="0" w:space="0" w:color="auto"/>
        <w:right w:val="none" w:sz="0" w:space="0" w:color="auto"/>
      </w:divBdr>
    </w:div>
    <w:div w:id="1863587451">
      <w:bodyDiv w:val="1"/>
      <w:marLeft w:val="0"/>
      <w:marRight w:val="0"/>
      <w:marTop w:val="0"/>
      <w:marBottom w:val="0"/>
      <w:divBdr>
        <w:top w:val="none" w:sz="0" w:space="0" w:color="auto"/>
        <w:left w:val="none" w:sz="0" w:space="0" w:color="auto"/>
        <w:bottom w:val="none" w:sz="0" w:space="0" w:color="auto"/>
        <w:right w:val="none" w:sz="0" w:space="0" w:color="auto"/>
      </w:divBdr>
    </w:div>
    <w:div w:id="1865557555">
      <w:bodyDiv w:val="1"/>
      <w:marLeft w:val="0"/>
      <w:marRight w:val="0"/>
      <w:marTop w:val="0"/>
      <w:marBottom w:val="0"/>
      <w:divBdr>
        <w:top w:val="none" w:sz="0" w:space="0" w:color="auto"/>
        <w:left w:val="none" w:sz="0" w:space="0" w:color="auto"/>
        <w:bottom w:val="none" w:sz="0" w:space="0" w:color="auto"/>
        <w:right w:val="none" w:sz="0" w:space="0" w:color="auto"/>
      </w:divBdr>
    </w:div>
    <w:div w:id="1870413111">
      <w:bodyDiv w:val="1"/>
      <w:marLeft w:val="0"/>
      <w:marRight w:val="0"/>
      <w:marTop w:val="0"/>
      <w:marBottom w:val="0"/>
      <w:divBdr>
        <w:top w:val="none" w:sz="0" w:space="0" w:color="auto"/>
        <w:left w:val="none" w:sz="0" w:space="0" w:color="auto"/>
        <w:bottom w:val="none" w:sz="0" w:space="0" w:color="auto"/>
        <w:right w:val="none" w:sz="0" w:space="0" w:color="auto"/>
      </w:divBdr>
    </w:div>
    <w:div w:id="1870488852">
      <w:bodyDiv w:val="1"/>
      <w:marLeft w:val="0"/>
      <w:marRight w:val="0"/>
      <w:marTop w:val="0"/>
      <w:marBottom w:val="0"/>
      <w:divBdr>
        <w:top w:val="none" w:sz="0" w:space="0" w:color="auto"/>
        <w:left w:val="none" w:sz="0" w:space="0" w:color="auto"/>
        <w:bottom w:val="none" w:sz="0" w:space="0" w:color="auto"/>
        <w:right w:val="none" w:sz="0" w:space="0" w:color="auto"/>
      </w:divBdr>
    </w:div>
    <w:div w:id="1874805458">
      <w:bodyDiv w:val="1"/>
      <w:marLeft w:val="0"/>
      <w:marRight w:val="0"/>
      <w:marTop w:val="0"/>
      <w:marBottom w:val="0"/>
      <w:divBdr>
        <w:top w:val="none" w:sz="0" w:space="0" w:color="auto"/>
        <w:left w:val="none" w:sz="0" w:space="0" w:color="auto"/>
        <w:bottom w:val="none" w:sz="0" w:space="0" w:color="auto"/>
        <w:right w:val="none" w:sz="0" w:space="0" w:color="auto"/>
      </w:divBdr>
    </w:div>
    <w:div w:id="1876505715">
      <w:bodyDiv w:val="1"/>
      <w:marLeft w:val="0"/>
      <w:marRight w:val="0"/>
      <w:marTop w:val="0"/>
      <w:marBottom w:val="0"/>
      <w:divBdr>
        <w:top w:val="none" w:sz="0" w:space="0" w:color="auto"/>
        <w:left w:val="none" w:sz="0" w:space="0" w:color="auto"/>
        <w:bottom w:val="none" w:sz="0" w:space="0" w:color="auto"/>
        <w:right w:val="none" w:sz="0" w:space="0" w:color="auto"/>
      </w:divBdr>
    </w:div>
    <w:div w:id="1876849767">
      <w:bodyDiv w:val="1"/>
      <w:marLeft w:val="0"/>
      <w:marRight w:val="0"/>
      <w:marTop w:val="0"/>
      <w:marBottom w:val="0"/>
      <w:divBdr>
        <w:top w:val="none" w:sz="0" w:space="0" w:color="auto"/>
        <w:left w:val="none" w:sz="0" w:space="0" w:color="auto"/>
        <w:bottom w:val="none" w:sz="0" w:space="0" w:color="auto"/>
        <w:right w:val="none" w:sz="0" w:space="0" w:color="auto"/>
      </w:divBdr>
    </w:div>
    <w:div w:id="1877307206">
      <w:bodyDiv w:val="1"/>
      <w:marLeft w:val="0"/>
      <w:marRight w:val="0"/>
      <w:marTop w:val="0"/>
      <w:marBottom w:val="0"/>
      <w:divBdr>
        <w:top w:val="none" w:sz="0" w:space="0" w:color="auto"/>
        <w:left w:val="none" w:sz="0" w:space="0" w:color="auto"/>
        <w:bottom w:val="none" w:sz="0" w:space="0" w:color="auto"/>
        <w:right w:val="none" w:sz="0" w:space="0" w:color="auto"/>
      </w:divBdr>
    </w:div>
    <w:div w:id="1877506514">
      <w:bodyDiv w:val="1"/>
      <w:marLeft w:val="0"/>
      <w:marRight w:val="0"/>
      <w:marTop w:val="0"/>
      <w:marBottom w:val="0"/>
      <w:divBdr>
        <w:top w:val="none" w:sz="0" w:space="0" w:color="auto"/>
        <w:left w:val="none" w:sz="0" w:space="0" w:color="auto"/>
        <w:bottom w:val="none" w:sz="0" w:space="0" w:color="auto"/>
        <w:right w:val="none" w:sz="0" w:space="0" w:color="auto"/>
      </w:divBdr>
    </w:div>
    <w:div w:id="1878008284">
      <w:bodyDiv w:val="1"/>
      <w:marLeft w:val="0"/>
      <w:marRight w:val="0"/>
      <w:marTop w:val="0"/>
      <w:marBottom w:val="0"/>
      <w:divBdr>
        <w:top w:val="none" w:sz="0" w:space="0" w:color="auto"/>
        <w:left w:val="none" w:sz="0" w:space="0" w:color="auto"/>
        <w:bottom w:val="none" w:sz="0" w:space="0" w:color="auto"/>
        <w:right w:val="none" w:sz="0" w:space="0" w:color="auto"/>
      </w:divBdr>
    </w:div>
    <w:div w:id="1879539535">
      <w:bodyDiv w:val="1"/>
      <w:marLeft w:val="0"/>
      <w:marRight w:val="0"/>
      <w:marTop w:val="0"/>
      <w:marBottom w:val="0"/>
      <w:divBdr>
        <w:top w:val="none" w:sz="0" w:space="0" w:color="auto"/>
        <w:left w:val="none" w:sz="0" w:space="0" w:color="auto"/>
        <w:bottom w:val="none" w:sz="0" w:space="0" w:color="auto"/>
        <w:right w:val="none" w:sz="0" w:space="0" w:color="auto"/>
      </w:divBdr>
    </w:div>
    <w:div w:id="1881701542">
      <w:bodyDiv w:val="1"/>
      <w:marLeft w:val="0"/>
      <w:marRight w:val="0"/>
      <w:marTop w:val="0"/>
      <w:marBottom w:val="0"/>
      <w:divBdr>
        <w:top w:val="none" w:sz="0" w:space="0" w:color="auto"/>
        <w:left w:val="none" w:sz="0" w:space="0" w:color="auto"/>
        <w:bottom w:val="none" w:sz="0" w:space="0" w:color="auto"/>
        <w:right w:val="none" w:sz="0" w:space="0" w:color="auto"/>
      </w:divBdr>
    </w:div>
    <w:div w:id="1881936101">
      <w:bodyDiv w:val="1"/>
      <w:marLeft w:val="0"/>
      <w:marRight w:val="0"/>
      <w:marTop w:val="0"/>
      <w:marBottom w:val="0"/>
      <w:divBdr>
        <w:top w:val="none" w:sz="0" w:space="0" w:color="auto"/>
        <w:left w:val="none" w:sz="0" w:space="0" w:color="auto"/>
        <w:bottom w:val="none" w:sz="0" w:space="0" w:color="auto"/>
        <w:right w:val="none" w:sz="0" w:space="0" w:color="auto"/>
      </w:divBdr>
    </w:div>
    <w:div w:id="1882131286">
      <w:bodyDiv w:val="1"/>
      <w:marLeft w:val="0"/>
      <w:marRight w:val="0"/>
      <w:marTop w:val="0"/>
      <w:marBottom w:val="0"/>
      <w:divBdr>
        <w:top w:val="none" w:sz="0" w:space="0" w:color="auto"/>
        <w:left w:val="none" w:sz="0" w:space="0" w:color="auto"/>
        <w:bottom w:val="none" w:sz="0" w:space="0" w:color="auto"/>
        <w:right w:val="none" w:sz="0" w:space="0" w:color="auto"/>
      </w:divBdr>
    </w:div>
    <w:div w:id="1888374300">
      <w:bodyDiv w:val="1"/>
      <w:marLeft w:val="0"/>
      <w:marRight w:val="0"/>
      <w:marTop w:val="0"/>
      <w:marBottom w:val="0"/>
      <w:divBdr>
        <w:top w:val="none" w:sz="0" w:space="0" w:color="auto"/>
        <w:left w:val="none" w:sz="0" w:space="0" w:color="auto"/>
        <w:bottom w:val="none" w:sz="0" w:space="0" w:color="auto"/>
        <w:right w:val="none" w:sz="0" w:space="0" w:color="auto"/>
      </w:divBdr>
    </w:div>
    <w:div w:id="1889144855">
      <w:bodyDiv w:val="1"/>
      <w:marLeft w:val="0"/>
      <w:marRight w:val="0"/>
      <w:marTop w:val="0"/>
      <w:marBottom w:val="0"/>
      <w:divBdr>
        <w:top w:val="none" w:sz="0" w:space="0" w:color="auto"/>
        <w:left w:val="none" w:sz="0" w:space="0" w:color="auto"/>
        <w:bottom w:val="none" w:sz="0" w:space="0" w:color="auto"/>
        <w:right w:val="none" w:sz="0" w:space="0" w:color="auto"/>
      </w:divBdr>
    </w:div>
    <w:div w:id="1889803449">
      <w:bodyDiv w:val="1"/>
      <w:marLeft w:val="0"/>
      <w:marRight w:val="0"/>
      <w:marTop w:val="0"/>
      <w:marBottom w:val="0"/>
      <w:divBdr>
        <w:top w:val="none" w:sz="0" w:space="0" w:color="auto"/>
        <w:left w:val="none" w:sz="0" w:space="0" w:color="auto"/>
        <w:bottom w:val="none" w:sz="0" w:space="0" w:color="auto"/>
        <w:right w:val="none" w:sz="0" w:space="0" w:color="auto"/>
      </w:divBdr>
    </w:div>
    <w:div w:id="1891257642">
      <w:bodyDiv w:val="1"/>
      <w:marLeft w:val="0"/>
      <w:marRight w:val="0"/>
      <w:marTop w:val="0"/>
      <w:marBottom w:val="0"/>
      <w:divBdr>
        <w:top w:val="none" w:sz="0" w:space="0" w:color="auto"/>
        <w:left w:val="none" w:sz="0" w:space="0" w:color="auto"/>
        <w:bottom w:val="none" w:sz="0" w:space="0" w:color="auto"/>
        <w:right w:val="none" w:sz="0" w:space="0" w:color="auto"/>
      </w:divBdr>
    </w:div>
    <w:div w:id="1891501612">
      <w:bodyDiv w:val="1"/>
      <w:marLeft w:val="0"/>
      <w:marRight w:val="0"/>
      <w:marTop w:val="0"/>
      <w:marBottom w:val="0"/>
      <w:divBdr>
        <w:top w:val="none" w:sz="0" w:space="0" w:color="auto"/>
        <w:left w:val="none" w:sz="0" w:space="0" w:color="auto"/>
        <w:bottom w:val="none" w:sz="0" w:space="0" w:color="auto"/>
        <w:right w:val="none" w:sz="0" w:space="0" w:color="auto"/>
      </w:divBdr>
      <w:divsChild>
        <w:div w:id="221184937">
          <w:marLeft w:val="1800"/>
          <w:marRight w:val="0"/>
          <w:marTop w:val="0"/>
          <w:marBottom w:val="0"/>
          <w:divBdr>
            <w:top w:val="none" w:sz="0" w:space="0" w:color="auto"/>
            <w:left w:val="none" w:sz="0" w:space="0" w:color="auto"/>
            <w:bottom w:val="none" w:sz="0" w:space="0" w:color="auto"/>
            <w:right w:val="none" w:sz="0" w:space="0" w:color="auto"/>
          </w:divBdr>
        </w:div>
        <w:div w:id="430855387">
          <w:marLeft w:val="1166"/>
          <w:marRight w:val="0"/>
          <w:marTop w:val="0"/>
          <w:marBottom w:val="0"/>
          <w:divBdr>
            <w:top w:val="none" w:sz="0" w:space="0" w:color="auto"/>
            <w:left w:val="none" w:sz="0" w:space="0" w:color="auto"/>
            <w:bottom w:val="none" w:sz="0" w:space="0" w:color="auto"/>
            <w:right w:val="none" w:sz="0" w:space="0" w:color="auto"/>
          </w:divBdr>
        </w:div>
        <w:div w:id="514999324">
          <w:marLeft w:val="1800"/>
          <w:marRight w:val="0"/>
          <w:marTop w:val="0"/>
          <w:marBottom w:val="0"/>
          <w:divBdr>
            <w:top w:val="none" w:sz="0" w:space="0" w:color="auto"/>
            <w:left w:val="none" w:sz="0" w:space="0" w:color="auto"/>
            <w:bottom w:val="none" w:sz="0" w:space="0" w:color="auto"/>
            <w:right w:val="none" w:sz="0" w:space="0" w:color="auto"/>
          </w:divBdr>
        </w:div>
        <w:div w:id="641928540">
          <w:marLeft w:val="1166"/>
          <w:marRight w:val="0"/>
          <w:marTop w:val="0"/>
          <w:marBottom w:val="0"/>
          <w:divBdr>
            <w:top w:val="none" w:sz="0" w:space="0" w:color="auto"/>
            <w:left w:val="none" w:sz="0" w:space="0" w:color="auto"/>
            <w:bottom w:val="none" w:sz="0" w:space="0" w:color="auto"/>
            <w:right w:val="none" w:sz="0" w:space="0" w:color="auto"/>
          </w:divBdr>
        </w:div>
        <w:div w:id="848787503">
          <w:marLeft w:val="547"/>
          <w:marRight w:val="0"/>
          <w:marTop w:val="0"/>
          <w:marBottom w:val="0"/>
          <w:divBdr>
            <w:top w:val="none" w:sz="0" w:space="0" w:color="auto"/>
            <w:left w:val="none" w:sz="0" w:space="0" w:color="auto"/>
            <w:bottom w:val="none" w:sz="0" w:space="0" w:color="auto"/>
            <w:right w:val="none" w:sz="0" w:space="0" w:color="auto"/>
          </w:divBdr>
        </w:div>
        <w:div w:id="1155224843">
          <w:marLeft w:val="1800"/>
          <w:marRight w:val="0"/>
          <w:marTop w:val="0"/>
          <w:marBottom w:val="0"/>
          <w:divBdr>
            <w:top w:val="none" w:sz="0" w:space="0" w:color="auto"/>
            <w:left w:val="none" w:sz="0" w:space="0" w:color="auto"/>
            <w:bottom w:val="none" w:sz="0" w:space="0" w:color="auto"/>
            <w:right w:val="none" w:sz="0" w:space="0" w:color="auto"/>
          </w:divBdr>
        </w:div>
        <w:div w:id="1284732713">
          <w:marLeft w:val="1166"/>
          <w:marRight w:val="0"/>
          <w:marTop w:val="0"/>
          <w:marBottom w:val="0"/>
          <w:divBdr>
            <w:top w:val="none" w:sz="0" w:space="0" w:color="auto"/>
            <w:left w:val="none" w:sz="0" w:space="0" w:color="auto"/>
            <w:bottom w:val="none" w:sz="0" w:space="0" w:color="auto"/>
            <w:right w:val="none" w:sz="0" w:space="0" w:color="auto"/>
          </w:divBdr>
        </w:div>
        <w:div w:id="1420757100">
          <w:marLeft w:val="547"/>
          <w:marRight w:val="0"/>
          <w:marTop w:val="0"/>
          <w:marBottom w:val="0"/>
          <w:divBdr>
            <w:top w:val="none" w:sz="0" w:space="0" w:color="auto"/>
            <w:left w:val="none" w:sz="0" w:space="0" w:color="auto"/>
            <w:bottom w:val="none" w:sz="0" w:space="0" w:color="auto"/>
            <w:right w:val="none" w:sz="0" w:space="0" w:color="auto"/>
          </w:divBdr>
        </w:div>
        <w:div w:id="1561138991">
          <w:marLeft w:val="1166"/>
          <w:marRight w:val="0"/>
          <w:marTop w:val="0"/>
          <w:marBottom w:val="0"/>
          <w:divBdr>
            <w:top w:val="none" w:sz="0" w:space="0" w:color="auto"/>
            <w:left w:val="none" w:sz="0" w:space="0" w:color="auto"/>
            <w:bottom w:val="none" w:sz="0" w:space="0" w:color="auto"/>
            <w:right w:val="none" w:sz="0" w:space="0" w:color="auto"/>
          </w:divBdr>
        </w:div>
        <w:div w:id="2033992500">
          <w:marLeft w:val="1800"/>
          <w:marRight w:val="0"/>
          <w:marTop w:val="0"/>
          <w:marBottom w:val="0"/>
          <w:divBdr>
            <w:top w:val="none" w:sz="0" w:space="0" w:color="auto"/>
            <w:left w:val="none" w:sz="0" w:space="0" w:color="auto"/>
            <w:bottom w:val="none" w:sz="0" w:space="0" w:color="auto"/>
            <w:right w:val="none" w:sz="0" w:space="0" w:color="auto"/>
          </w:divBdr>
        </w:div>
      </w:divsChild>
    </w:div>
    <w:div w:id="1900240350">
      <w:bodyDiv w:val="1"/>
      <w:marLeft w:val="0"/>
      <w:marRight w:val="0"/>
      <w:marTop w:val="0"/>
      <w:marBottom w:val="0"/>
      <w:divBdr>
        <w:top w:val="none" w:sz="0" w:space="0" w:color="auto"/>
        <w:left w:val="none" w:sz="0" w:space="0" w:color="auto"/>
        <w:bottom w:val="none" w:sz="0" w:space="0" w:color="auto"/>
        <w:right w:val="none" w:sz="0" w:space="0" w:color="auto"/>
      </w:divBdr>
    </w:div>
    <w:div w:id="1904608105">
      <w:bodyDiv w:val="1"/>
      <w:marLeft w:val="0"/>
      <w:marRight w:val="0"/>
      <w:marTop w:val="0"/>
      <w:marBottom w:val="0"/>
      <w:divBdr>
        <w:top w:val="none" w:sz="0" w:space="0" w:color="auto"/>
        <w:left w:val="none" w:sz="0" w:space="0" w:color="auto"/>
        <w:bottom w:val="none" w:sz="0" w:space="0" w:color="auto"/>
        <w:right w:val="none" w:sz="0" w:space="0" w:color="auto"/>
      </w:divBdr>
    </w:div>
    <w:div w:id="1905532351">
      <w:bodyDiv w:val="1"/>
      <w:marLeft w:val="0"/>
      <w:marRight w:val="0"/>
      <w:marTop w:val="0"/>
      <w:marBottom w:val="0"/>
      <w:divBdr>
        <w:top w:val="none" w:sz="0" w:space="0" w:color="auto"/>
        <w:left w:val="none" w:sz="0" w:space="0" w:color="auto"/>
        <w:bottom w:val="none" w:sz="0" w:space="0" w:color="auto"/>
        <w:right w:val="none" w:sz="0" w:space="0" w:color="auto"/>
      </w:divBdr>
    </w:div>
    <w:div w:id="1905753284">
      <w:bodyDiv w:val="1"/>
      <w:marLeft w:val="0"/>
      <w:marRight w:val="0"/>
      <w:marTop w:val="0"/>
      <w:marBottom w:val="0"/>
      <w:divBdr>
        <w:top w:val="none" w:sz="0" w:space="0" w:color="auto"/>
        <w:left w:val="none" w:sz="0" w:space="0" w:color="auto"/>
        <w:bottom w:val="none" w:sz="0" w:space="0" w:color="auto"/>
        <w:right w:val="none" w:sz="0" w:space="0" w:color="auto"/>
      </w:divBdr>
    </w:div>
    <w:div w:id="1907182620">
      <w:bodyDiv w:val="1"/>
      <w:marLeft w:val="0"/>
      <w:marRight w:val="0"/>
      <w:marTop w:val="0"/>
      <w:marBottom w:val="0"/>
      <w:divBdr>
        <w:top w:val="none" w:sz="0" w:space="0" w:color="auto"/>
        <w:left w:val="none" w:sz="0" w:space="0" w:color="auto"/>
        <w:bottom w:val="none" w:sz="0" w:space="0" w:color="auto"/>
        <w:right w:val="none" w:sz="0" w:space="0" w:color="auto"/>
      </w:divBdr>
    </w:div>
    <w:div w:id="1913077912">
      <w:bodyDiv w:val="1"/>
      <w:marLeft w:val="0"/>
      <w:marRight w:val="0"/>
      <w:marTop w:val="0"/>
      <w:marBottom w:val="0"/>
      <w:divBdr>
        <w:top w:val="none" w:sz="0" w:space="0" w:color="auto"/>
        <w:left w:val="none" w:sz="0" w:space="0" w:color="auto"/>
        <w:bottom w:val="none" w:sz="0" w:space="0" w:color="auto"/>
        <w:right w:val="none" w:sz="0" w:space="0" w:color="auto"/>
      </w:divBdr>
    </w:div>
    <w:div w:id="1914461244">
      <w:bodyDiv w:val="1"/>
      <w:marLeft w:val="0"/>
      <w:marRight w:val="0"/>
      <w:marTop w:val="0"/>
      <w:marBottom w:val="0"/>
      <w:divBdr>
        <w:top w:val="none" w:sz="0" w:space="0" w:color="auto"/>
        <w:left w:val="none" w:sz="0" w:space="0" w:color="auto"/>
        <w:bottom w:val="none" w:sz="0" w:space="0" w:color="auto"/>
        <w:right w:val="none" w:sz="0" w:space="0" w:color="auto"/>
      </w:divBdr>
    </w:div>
    <w:div w:id="1914774811">
      <w:bodyDiv w:val="1"/>
      <w:marLeft w:val="0"/>
      <w:marRight w:val="0"/>
      <w:marTop w:val="0"/>
      <w:marBottom w:val="0"/>
      <w:divBdr>
        <w:top w:val="none" w:sz="0" w:space="0" w:color="auto"/>
        <w:left w:val="none" w:sz="0" w:space="0" w:color="auto"/>
        <w:bottom w:val="none" w:sz="0" w:space="0" w:color="auto"/>
        <w:right w:val="none" w:sz="0" w:space="0" w:color="auto"/>
      </w:divBdr>
    </w:div>
    <w:div w:id="1916013128">
      <w:bodyDiv w:val="1"/>
      <w:marLeft w:val="0"/>
      <w:marRight w:val="0"/>
      <w:marTop w:val="0"/>
      <w:marBottom w:val="0"/>
      <w:divBdr>
        <w:top w:val="none" w:sz="0" w:space="0" w:color="auto"/>
        <w:left w:val="none" w:sz="0" w:space="0" w:color="auto"/>
        <w:bottom w:val="none" w:sz="0" w:space="0" w:color="auto"/>
        <w:right w:val="none" w:sz="0" w:space="0" w:color="auto"/>
      </w:divBdr>
    </w:div>
    <w:div w:id="1917006698">
      <w:bodyDiv w:val="1"/>
      <w:marLeft w:val="0"/>
      <w:marRight w:val="0"/>
      <w:marTop w:val="0"/>
      <w:marBottom w:val="0"/>
      <w:divBdr>
        <w:top w:val="none" w:sz="0" w:space="0" w:color="auto"/>
        <w:left w:val="none" w:sz="0" w:space="0" w:color="auto"/>
        <w:bottom w:val="none" w:sz="0" w:space="0" w:color="auto"/>
        <w:right w:val="none" w:sz="0" w:space="0" w:color="auto"/>
      </w:divBdr>
    </w:div>
    <w:div w:id="1924337875">
      <w:bodyDiv w:val="1"/>
      <w:marLeft w:val="0"/>
      <w:marRight w:val="0"/>
      <w:marTop w:val="0"/>
      <w:marBottom w:val="0"/>
      <w:divBdr>
        <w:top w:val="none" w:sz="0" w:space="0" w:color="auto"/>
        <w:left w:val="none" w:sz="0" w:space="0" w:color="auto"/>
        <w:bottom w:val="none" w:sz="0" w:space="0" w:color="auto"/>
        <w:right w:val="none" w:sz="0" w:space="0" w:color="auto"/>
      </w:divBdr>
    </w:div>
    <w:div w:id="1926376446">
      <w:bodyDiv w:val="1"/>
      <w:marLeft w:val="0"/>
      <w:marRight w:val="0"/>
      <w:marTop w:val="0"/>
      <w:marBottom w:val="0"/>
      <w:divBdr>
        <w:top w:val="none" w:sz="0" w:space="0" w:color="auto"/>
        <w:left w:val="none" w:sz="0" w:space="0" w:color="auto"/>
        <w:bottom w:val="none" w:sz="0" w:space="0" w:color="auto"/>
        <w:right w:val="none" w:sz="0" w:space="0" w:color="auto"/>
      </w:divBdr>
    </w:div>
    <w:div w:id="1926527476">
      <w:bodyDiv w:val="1"/>
      <w:marLeft w:val="0"/>
      <w:marRight w:val="0"/>
      <w:marTop w:val="0"/>
      <w:marBottom w:val="0"/>
      <w:divBdr>
        <w:top w:val="none" w:sz="0" w:space="0" w:color="auto"/>
        <w:left w:val="none" w:sz="0" w:space="0" w:color="auto"/>
        <w:bottom w:val="none" w:sz="0" w:space="0" w:color="auto"/>
        <w:right w:val="none" w:sz="0" w:space="0" w:color="auto"/>
      </w:divBdr>
    </w:div>
    <w:div w:id="1928810639">
      <w:bodyDiv w:val="1"/>
      <w:marLeft w:val="0"/>
      <w:marRight w:val="0"/>
      <w:marTop w:val="0"/>
      <w:marBottom w:val="0"/>
      <w:divBdr>
        <w:top w:val="none" w:sz="0" w:space="0" w:color="auto"/>
        <w:left w:val="none" w:sz="0" w:space="0" w:color="auto"/>
        <w:bottom w:val="none" w:sz="0" w:space="0" w:color="auto"/>
        <w:right w:val="none" w:sz="0" w:space="0" w:color="auto"/>
      </w:divBdr>
    </w:div>
    <w:div w:id="1928996281">
      <w:bodyDiv w:val="1"/>
      <w:marLeft w:val="0"/>
      <w:marRight w:val="0"/>
      <w:marTop w:val="0"/>
      <w:marBottom w:val="0"/>
      <w:divBdr>
        <w:top w:val="none" w:sz="0" w:space="0" w:color="auto"/>
        <w:left w:val="none" w:sz="0" w:space="0" w:color="auto"/>
        <w:bottom w:val="none" w:sz="0" w:space="0" w:color="auto"/>
        <w:right w:val="none" w:sz="0" w:space="0" w:color="auto"/>
      </w:divBdr>
    </w:div>
    <w:div w:id="1932816880">
      <w:bodyDiv w:val="1"/>
      <w:marLeft w:val="0"/>
      <w:marRight w:val="0"/>
      <w:marTop w:val="0"/>
      <w:marBottom w:val="0"/>
      <w:divBdr>
        <w:top w:val="none" w:sz="0" w:space="0" w:color="auto"/>
        <w:left w:val="none" w:sz="0" w:space="0" w:color="auto"/>
        <w:bottom w:val="none" w:sz="0" w:space="0" w:color="auto"/>
        <w:right w:val="none" w:sz="0" w:space="0" w:color="auto"/>
      </w:divBdr>
    </w:div>
    <w:div w:id="1936277760">
      <w:bodyDiv w:val="1"/>
      <w:marLeft w:val="0"/>
      <w:marRight w:val="0"/>
      <w:marTop w:val="0"/>
      <w:marBottom w:val="0"/>
      <w:divBdr>
        <w:top w:val="none" w:sz="0" w:space="0" w:color="auto"/>
        <w:left w:val="none" w:sz="0" w:space="0" w:color="auto"/>
        <w:bottom w:val="none" w:sz="0" w:space="0" w:color="auto"/>
        <w:right w:val="none" w:sz="0" w:space="0" w:color="auto"/>
      </w:divBdr>
    </w:div>
    <w:div w:id="1936791825">
      <w:bodyDiv w:val="1"/>
      <w:marLeft w:val="0"/>
      <w:marRight w:val="0"/>
      <w:marTop w:val="0"/>
      <w:marBottom w:val="0"/>
      <w:divBdr>
        <w:top w:val="none" w:sz="0" w:space="0" w:color="auto"/>
        <w:left w:val="none" w:sz="0" w:space="0" w:color="auto"/>
        <w:bottom w:val="none" w:sz="0" w:space="0" w:color="auto"/>
        <w:right w:val="none" w:sz="0" w:space="0" w:color="auto"/>
      </w:divBdr>
    </w:div>
    <w:div w:id="1937054683">
      <w:bodyDiv w:val="1"/>
      <w:marLeft w:val="0"/>
      <w:marRight w:val="0"/>
      <w:marTop w:val="0"/>
      <w:marBottom w:val="0"/>
      <w:divBdr>
        <w:top w:val="none" w:sz="0" w:space="0" w:color="auto"/>
        <w:left w:val="none" w:sz="0" w:space="0" w:color="auto"/>
        <w:bottom w:val="none" w:sz="0" w:space="0" w:color="auto"/>
        <w:right w:val="none" w:sz="0" w:space="0" w:color="auto"/>
      </w:divBdr>
    </w:div>
    <w:div w:id="1937321436">
      <w:bodyDiv w:val="1"/>
      <w:marLeft w:val="0"/>
      <w:marRight w:val="0"/>
      <w:marTop w:val="0"/>
      <w:marBottom w:val="0"/>
      <w:divBdr>
        <w:top w:val="none" w:sz="0" w:space="0" w:color="auto"/>
        <w:left w:val="none" w:sz="0" w:space="0" w:color="auto"/>
        <w:bottom w:val="none" w:sz="0" w:space="0" w:color="auto"/>
        <w:right w:val="none" w:sz="0" w:space="0" w:color="auto"/>
      </w:divBdr>
    </w:div>
    <w:div w:id="1937903483">
      <w:bodyDiv w:val="1"/>
      <w:marLeft w:val="0"/>
      <w:marRight w:val="0"/>
      <w:marTop w:val="0"/>
      <w:marBottom w:val="0"/>
      <w:divBdr>
        <w:top w:val="none" w:sz="0" w:space="0" w:color="auto"/>
        <w:left w:val="none" w:sz="0" w:space="0" w:color="auto"/>
        <w:bottom w:val="none" w:sz="0" w:space="0" w:color="auto"/>
        <w:right w:val="none" w:sz="0" w:space="0" w:color="auto"/>
      </w:divBdr>
    </w:div>
    <w:div w:id="1938439752">
      <w:bodyDiv w:val="1"/>
      <w:marLeft w:val="0"/>
      <w:marRight w:val="0"/>
      <w:marTop w:val="0"/>
      <w:marBottom w:val="0"/>
      <w:divBdr>
        <w:top w:val="none" w:sz="0" w:space="0" w:color="auto"/>
        <w:left w:val="none" w:sz="0" w:space="0" w:color="auto"/>
        <w:bottom w:val="none" w:sz="0" w:space="0" w:color="auto"/>
        <w:right w:val="none" w:sz="0" w:space="0" w:color="auto"/>
      </w:divBdr>
    </w:div>
    <w:div w:id="1940480238">
      <w:bodyDiv w:val="1"/>
      <w:marLeft w:val="0"/>
      <w:marRight w:val="0"/>
      <w:marTop w:val="0"/>
      <w:marBottom w:val="0"/>
      <w:divBdr>
        <w:top w:val="none" w:sz="0" w:space="0" w:color="auto"/>
        <w:left w:val="none" w:sz="0" w:space="0" w:color="auto"/>
        <w:bottom w:val="none" w:sz="0" w:space="0" w:color="auto"/>
        <w:right w:val="none" w:sz="0" w:space="0" w:color="auto"/>
      </w:divBdr>
    </w:div>
    <w:div w:id="1940718529">
      <w:bodyDiv w:val="1"/>
      <w:marLeft w:val="0"/>
      <w:marRight w:val="0"/>
      <w:marTop w:val="0"/>
      <w:marBottom w:val="0"/>
      <w:divBdr>
        <w:top w:val="none" w:sz="0" w:space="0" w:color="auto"/>
        <w:left w:val="none" w:sz="0" w:space="0" w:color="auto"/>
        <w:bottom w:val="none" w:sz="0" w:space="0" w:color="auto"/>
        <w:right w:val="none" w:sz="0" w:space="0" w:color="auto"/>
      </w:divBdr>
    </w:div>
    <w:div w:id="1941137497">
      <w:bodyDiv w:val="1"/>
      <w:marLeft w:val="0"/>
      <w:marRight w:val="0"/>
      <w:marTop w:val="0"/>
      <w:marBottom w:val="0"/>
      <w:divBdr>
        <w:top w:val="none" w:sz="0" w:space="0" w:color="auto"/>
        <w:left w:val="none" w:sz="0" w:space="0" w:color="auto"/>
        <w:bottom w:val="none" w:sz="0" w:space="0" w:color="auto"/>
        <w:right w:val="none" w:sz="0" w:space="0" w:color="auto"/>
      </w:divBdr>
    </w:div>
    <w:div w:id="1941520706">
      <w:bodyDiv w:val="1"/>
      <w:marLeft w:val="0"/>
      <w:marRight w:val="0"/>
      <w:marTop w:val="0"/>
      <w:marBottom w:val="0"/>
      <w:divBdr>
        <w:top w:val="none" w:sz="0" w:space="0" w:color="auto"/>
        <w:left w:val="none" w:sz="0" w:space="0" w:color="auto"/>
        <w:bottom w:val="none" w:sz="0" w:space="0" w:color="auto"/>
        <w:right w:val="none" w:sz="0" w:space="0" w:color="auto"/>
      </w:divBdr>
    </w:div>
    <w:div w:id="1941788534">
      <w:bodyDiv w:val="1"/>
      <w:marLeft w:val="0"/>
      <w:marRight w:val="0"/>
      <w:marTop w:val="0"/>
      <w:marBottom w:val="0"/>
      <w:divBdr>
        <w:top w:val="none" w:sz="0" w:space="0" w:color="auto"/>
        <w:left w:val="none" w:sz="0" w:space="0" w:color="auto"/>
        <w:bottom w:val="none" w:sz="0" w:space="0" w:color="auto"/>
        <w:right w:val="none" w:sz="0" w:space="0" w:color="auto"/>
      </w:divBdr>
    </w:div>
    <w:div w:id="1941797069">
      <w:bodyDiv w:val="1"/>
      <w:marLeft w:val="0"/>
      <w:marRight w:val="0"/>
      <w:marTop w:val="0"/>
      <w:marBottom w:val="0"/>
      <w:divBdr>
        <w:top w:val="none" w:sz="0" w:space="0" w:color="auto"/>
        <w:left w:val="none" w:sz="0" w:space="0" w:color="auto"/>
        <w:bottom w:val="none" w:sz="0" w:space="0" w:color="auto"/>
        <w:right w:val="none" w:sz="0" w:space="0" w:color="auto"/>
      </w:divBdr>
    </w:div>
    <w:div w:id="1942757665">
      <w:bodyDiv w:val="1"/>
      <w:marLeft w:val="0"/>
      <w:marRight w:val="0"/>
      <w:marTop w:val="0"/>
      <w:marBottom w:val="0"/>
      <w:divBdr>
        <w:top w:val="none" w:sz="0" w:space="0" w:color="auto"/>
        <w:left w:val="none" w:sz="0" w:space="0" w:color="auto"/>
        <w:bottom w:val="none" w:sz="0" w:space="0" w:color="auto"/>
        <w:right w:val="none" w:sz="0" w:space="0" w:color="auto"/>
      </w:divBdr>
    </w:div>
    <w:div w:id="1944456545">
      <w:bodyDiv w:val="1"/>
      <w:marLeft w:val="0"/>
      <w:marRight w:val="0"/>
      <w:marTop w:val="0"/>
      <w:marBottom w:val="0"/>
      <w:divBdr>
        <w:top w:val="none" w:sz="0" w:space="0" w:color="auto"/>
        <w:left w:val="none" w:sz="0" w:space="0" w:color="auto"/>
        <w:bottom w:val="none" w:sz="0" w:space="0" w:color="auto"/>
        <w:right w:val="none" w:sz="0" w:space="0" w:color="auto"/>
      </w:divBdr>
    </w:div>
    <w:div w:id="1948852639">
      <w:bodyDiv w:val="1"/>
      <w:marLeft w:val="0"/>
      <w:marRight w:val="0"/>
      <w:marTop w:val="0"/>
      <w:marBottom w:val="0"/>
      <w:divBdr>
        <w:top w:val="none" w:sz="0" w:space="0" w:color="auto"/>
        <w:left w:val="none" w:sz="0" w:space="0" w:color="auto"/>
        <w:bottom w:val="none" w:sz="0" w:space="0" w:color="auto"/>
        <w:right w:val="none" w:sz="0" w:space="0" w:color="auto"/>
      </w:divBdr>
    </w:div>
    <w:div w:id="1951934105">
      <w:bodyDiv w:val="1"/>
      <w:marLeft w:val="0"/>
      <w:marRight w:val="0"/>
      <w:marTop w:val="0"/>
      <w:marBottom w:val="0"/>
      <w:divBdr>
        <w:top w:val="none" w:sz="0" w:space="0" w:color="auto"/>
        <w:left w:val="none" w:sz="0" w:space="0" w:color="auto"/>
        <w:bottom w:val="none" w:sz="0" w:space="0" w:color="auto"/>
        <w:right w:val="none" w:sz="0" w:space="0" w:color="auto"/>
      </w:divBdr>
    </w:div>
    <w:div w:id="1955480961">
      <w:bodyDiv w:val="1"/>
      <w:marLeft w:val="0"/>
      <w:marRight w:val="0"/>
      <w:marTop w:val="0"/>
      <w:marBottom w:val="0"/>
      <w:divBdr>
        <w:top w:val="none" w:sz="0" w:space="0" w:color="auto"/>
        <w:left w:val="none" w:sz="0" w:space="0" w:color="auto"/>
        <w:bottom w:val="none" w:sz="0" w:space="0" w:color="auto"/>
        <w:right w:val="none" w:sz="0" w:space="0" w:color="auto"/>
      </w:divBdr>
    </w:div>
    <w:div w:id="1958177361">
      <w:bodyDiv w:val="1"/>
      <w:marLeft w:val="0"/>
      <w:marRight w:val="0"/>
      <w:marTop w:val="0"/>
      <w:marBottom w:val="0"/>
      <w:divBdr>
        <w:top w:val="none" w:sz="0" w:space="0" w:color="auto"/>
        <w:left w:val="none" w:sz="0" w:space="0" w:color="auto"/>
        <w:bottom w:val="none" w:sz="0" w:space="0" w:color="auto"/>
        <w:right w:val="none" w:sz="0" w:space="0" w:color="auto"/>
      </w:divBdr>
    </w:div>
    <w:div w:id="1959994410">
      <w:bodyDiv w:val="1"/>
      <w:marLeft w:val="0"/>
      <w:marRight w:val="0"/>
      <w:marTop w:val="0"/>
      <w:marBottom w:val="0"/>
      <w:divBdr>
        <w:top w:val="none" w:sz="0" w:space="0" w:color="auto"/>
        <w:left w:val="none" w:sz="0" w:space="0" w:color="auto"/>
        <w:bottom w:val="none" w:sz="0" w:space="0" w:color="auto"/>
        <w:right w:val="none" w:sz="0" w:space="0" w:color="auto"/>
      </w:divBdr>
    </w:div>
    <w:div w:id="1961758331">
      <w:bodyDiv w:val="1"/>
      <w:marLeft w:val="0"/>
      <w:marRight w:val="0"/>
      <w:marTop w:val="0"/>
      <w:marBottom w:val="0"/>
      <w:divBdr>
        <w:top w:val="none" w:sz="0" w:space="0" w:color="auto"/>
        <w:left w:val="none" w:sz="0" w:space="0" w:color="auto"/>
        <w:bottom w:val="none" w:sz="0" w:space="0" w:color="auto"/>
        <w:right w:val="none" w:sz="0" w:space="0" w:color="auto"/>
      </w:divBdr>
    </w:div>
    <w:div w:id="1962105174">
      <w:bodyDiv w:val="1"/>
      <w:marLeft w:val="0"/>
      <w:marRight w:val="0"/>
      <w:marTop w:val="0"/>
      <w:marBottom w:val="0"/>
      <w:divBdr>
        <w:top w:val="none" w:sz="0" w:space="0" w:color="auto"/>
        <w:left w:val="none" w:sz="0" w:space="0" w:color="auto"/>
        <w:bottom w:val="none" w:sz="0" w:space="0" w:color="auto"/>
        <w:right w:val="none" w:sz="0" w:space="0" w:color="auto"/>
      </w:divBdr>
    </w:div>
    <w:div w:id="1963683520">
      <w:bodyDiv w:val="1"/>
      <w:marLeft w:val="0"/>
      <w:marRight w:val="0"/>
      <w:marTop w:val="0"/>
      <w:marBottom w:val="0"/>
      <w:divBdr>
        <w:top w:val="none" w:sz="0" w:space="0" w:color="auto"/>
        <w:left w:val="none" w:sz="0" w:space="0" w:color="auto"/>
        <w:bottom w:val="none" w:sz="0" w:space="0" w:color="auto"/>
        <w:right w:val="none" w:sz="0" w:space="0" w:color="auto"/>
      </w:divBdr>
    </w:div>
    <w:div w:id="1964579403">
      <w:bodyDiv w:val="1"/>
      <w:marLeft w:val="0"/>
      <w:marRight w:val="0"/>
      <w:marTop w:val="0"/>
      <w:marBottom w:val="0"/>
      <w:divBdr>
        <w:top w:val="none" w:sz="0" w:space="0" w:color="auto"/>
        <w:left w:val="none" w:sz="0" w:space="0" w:color="auto"/>
        <w:bottom w:val="none" w:sz="0" w:space="0" w:color="auto"/>
        <w:right w:val="none" w:sz="0" w:space="0" w:color="auto"/>
      </w:divBdr>
    </w:div>
    <w:div w:id="1965311936">
      <w:bodyDiv w:val="1"/>
      <w:marLeft w:val="0"/>
      <w:marRight w:val="0"/>
      <w:marTop w:val="0"/>
      <w:marBottom w:val="0"/>
      <w:divBdr>
        <w:top w:val="none" w:sz="0" w:space="0" w:color="auto"/>
        <w:left w:val="none" w:sz="0" w:space="0" w:color="auto"/>
        <w:bottom w:val="none" w:sz="0" w:space="0" w:color="auto"/>
        <w:right w:val="none" w:sz="0" w:space="0" w:color="auto"/>
      </w:divBdr>
    </w:div>
    <w:div w:id="1966277531">
      <w:bodyDiv w:val="1"/>
      <w:marLeft w:val="0"/>
      <w:marRight w:val="0"/>
      <w:marTop w:val="0"/>
      <w:marBottom w:val="0"/>
      <w:divBdr>
        <w:top w:val="none" w:sz="0" w:space="0" w:color="auto"/>
        <w:left w:val="none" w:sz="0" w:space="0" w:color="auto"/>
        <w:bottom w:val="none" w:sz="0" w:space="0" w:color="auto"/>
        <w:right w:val="none" w:sz="0" w:space="0" w:color="auto"/>
      </w:divBdr>
    </w:div>
    <w:div w:id="1967269331">
      <w:bodyDiv w:val="1"/>
      <w:marLeft w:val="0"/>
      <w:marRight w:val="0"/>
      <w:marTop w:val="0"/>
      <w:marBottom w:val="0"/>
      <w:divBdr>
        <w:top w:val="none" w:sz="0" w:space="0" w:color="auto"/>
        <w:left w:val="none" w:sz="0" w:space="0" w:color="auto"/>
        <w:bottom w:val="none" w:sz="0" w:space="0" w:color="auto"/>
        <w:right w:val="none" w:sz="0" w:space="0" w:color="auto"/>
      </w:divBdr>
    </w:div>
    <w:div w:id="1967928785">
      <w:bodyDiv w:val="1"/>
      <w:marLeft w:val="0"/>
      <w:marRight w:val="0"/>
      <w:marTop w:val="0"/>
      <w:marBottom w:val="0"/>
      <w:divBdr>
        <w:top w:val="none" w:sz="0" w:space="0" w:color="auto"/>
        <w:left w:val="none" w:sz="0" w:space="0" w:color="auto"/>
        <w:bottom w:val="none" w:sz="0" w:space="0" w:color="auto"/>
        <w:right w:val="none" w:sz="0" w:space="0" w:color="auto"/>
      </w:divBdr>
    </w:div>
    <w:div w:id="1968582185">
      <w:bodyDiv w:val="1"/>
      <w:marLeft w:val="0"/>
      <w:marRight w:val="0"/>
      <w:marTop w:val="0"/>
      <w:marBottom w:val="0"/>
      <w:divBdr>
        <w:top w:val="none" w:sz="0" w:space="0" w:color="auto"/>
        <w:left w:val="none" w:sz="0" w:space="0" w:color="auto"/>
        <w:bottom w:val="none" w:sz="0" w:space="0" w:color="auto"/>
        <w:right w:val="none" w:sz="0" w:space="0" w:color="auto"/>
      </w:divBdr>
    </w:div>
    <w:div w:id="1968778402">
      <w:bodyDiv w:val="1"/>
      <w:marLeft w:val="0"/>
      <w:marRight w:val="0"/>
      <w:marTop w:val="0"/>
      <w:marBottom w:val="0"/>
      <w:divBdr>
        <w:top w:val="none" w:sz="0" w:space="0" w:color="auto"/>
        <w:left w:val="none" w:sz="0" w:space="0" w:color="auto"/>
        <w:bottom w:val="none" w:sz="0" w:space="0" w:color="auto"/>
        <w:right w:val="none" w:sz="0" w:space="0" w:color="auto"/>
      </w:divBdr>
    </w:div>
    <w:div w:id="1969848204">
      <w:bodyDiv w:val="1"/>
      <w:marLeft w:val="0"/>
      <w:marRight w:val="0"/>
      <w:marTop w:val="0"/>
      <w:marBottom w:val="0"/>
      <w:divBdr>
        <w:top w:val="none" w:sz="0" w:space="0" w:color="auto"/>
        <w:left w:val="none" w:sz="0" w:space="0" w:color="auto"/>
        <w:bottom w:val="none" w:sz="0" w:space="0" w:color="auto"/>
        <w:right w:val="none" w:sz="0" w:space="0" w:color="auto"/>
      </w:divBdr>
    </w:div>
    <w:div w:id="1970816909">
      <w:bodyDiv w:val="1"/>
      <w:marLeft w:val="0"/>
      <w:marRight w:val="0"/>
      <w:marTop w:val="0"/>
      <w:marBottom w:val="0"/>
      <w:divBdr>
        <w:top w:val="none" w:sz="0" w:space="0" w:color="auto"/>
        <w:left w:val="none" w:sz="0" w:space="0" w:color="auto"/>
        <w:bottom w:val="none" w:sz="0" w:space="0" w:color="auto"/>
        <w:right w:val="none" w:sz="0" w:space="0" w:color="auto"/>
      </w:divBdr>
    </w:div>
    <w:div w:id="1971666142">
      <w:bodyDiv w:val="1"/>
      <w:marLeft w:val="0"/>
      <w:marRight w:val="0"/>
      <w:marTop w:val="0"/>
      <w:marBottom w:val="0"/>
      <w:divBdr>
        <w:top w:val="none" w:sz="0" w:space="0" w:color="auto"/>
        <w:left w:val="none" w:sz="0" w:space="0" w:color="auto"/>
        <w:bottom w:val="none" w:sz="0" w:space="0" w:color="auto"/>
        <w:right w:val="none" w:sz="0" w:space="0" w:color="auto"/>
      </w:divBdr>
    </w:div>
    <w:div w:id="1972860982">
      <w:bodyDiv w:val="1"/>
      <w:marLeft w:val="0"/>
      <w:marRight w:val="0"/>
      <w:marTop w:val="0"/>
      <w:marBottom w:val="0"/>
      <w:divBdr>
        <w:top w:val="none" w:sz="0" w:space="0" w:color="auto"/>
        <w:left w:val="none" w:sz="0" w:space="0" w:color="auto"/>
        <w:bottom w:val="none" w:sz="0" w:space="0" w:color="auto"/>
        <w:right w:val="none" w:sz="0" w:space="0" w:color="auto"/>
      </w:divBdr>
    </w:div>
    <w:div w:id="1973704371">
      <w:bodyDiv w:val="1"/>
      <w:marLeft w:val="0"/>
      <w:marRight w:val="0"/>
      <w:marTop w:val="0"/>
      <w:marBottom w:val="0"/>
      <w:divBdr>
        <w:top w:val="none" w:sz="0" w:space="0" w:color="auto"/>
        <w:left w:val="none" w:sz="0" w:space="0" w:color="auto"/>
        <w:bottom w:val="none" w:sz="0" w:space="0" w:color="auto"/>
        <w:right w:val="none" w:sz="0" w:space="0" w:color="auto"/>
      </w:divBdr>
    </w:div>
    <w:div w:id="1973906380">
      <w:bodyDiv w:val="1"/>
      <w:marLeft w:val="0"/>
      <w:marRight w:val="0"/>
      <w:marTop w:val="0"/>
      <w:marBottom w:val="0"/>
      <w:divBdr>
        <w:top w:val="none" w:sz="0" w:space="0" w:color="auto"/>
        <w:left w:val="none" w:sz="0" w:space="0" w:color="auto"/>
        <w:bottom w:val="none" w:sz="0" w:space="0" w:color="auto"/>
        <w:right w:val="none" w:sz="0" w:space="0" w:color="auto"/>
      </w:divBdr>
    </w:div>
    <w:div w:id="1974368282">
      <w:bodyDiv w:val="1"/>
      <w:marLeft w:val="0"/>
      <w:marRight w:val="0"/>
      <w:marTop w:val="0"/>
      <w:marBottom w:val="0"/>
      <w:divBdr>
        <w:top w:val="none" w:sz="0" w:space="0" w:color="auto"/>
        <w:left w:val="none" w:sz="0" w:space="0" w:color="auto"/>
        <w:bottom w:val="none" w:sz="0" w:space="0" w:color="auto"/>
        <w:right w:val="none" w:sz="0" w:space="0" w:color="auto"/>
      </w:divBdr>
    </w:div>
    <w:div w:id="1974553711">
      <w:bodyDiv w:val="1"/>
      <w:marLeft w:val="0"/>
      <w:marRight w:val="0"/>
      <w:marTop w:val="0"/>
      <w:marBottom w:val="0"/>
      <w:divBdr>
        <w:top w:val="none" w:sz="0" w:space="0" w:color="auto"/>
        <w:left w:val="none" w:sz="0" w:space="0" w:color="auto"/>
        <w:bottom w:val="none" w:sz="0" w:space="0" w:color="auto"/>
        <w:right w:val="none" w:sz="0" w:space="0" w:color="auto"/>
      </w:divBdr>
    </w:div>
    <w:div w:id="1977489599">
      <w:bodyDiv w:val="1"/>
      <w:marLeft w:val="0"/>
      <w:marRight w:val="0"/>
      <w:marTop w:val="0"/>
      <w:marBottom w:val="0"/>
      <w:divBdr>
        <w:top w:val="none" w:sz="0" w:space="0" w:color="auto"/>
        <w:left w:val="none" w:sz="0" w:space="0" w:color="auto"/>
        <w:bottom w:val="none" w:sz="0" w:space="0" w:color="auto"/>
        <w:right w:val="none" w:sz="0" w:space="0" w:color="auto"/>
      </w:divBdr>
    </w:div>
    <w:div w:id="1978217369">
      <w:bodyDiv w:val="1"/>
      <w:marLeft w:val="0"/>
      <w:marRight w:val="0"/>
      <w:marTop w:val="0"/>
      <w:marBottom w:val="0"/>
      <w:divBdr>
        <w:top w:val="none" w:sz="0" w:space="0" w:color="auto"/>
        <w:left w:val="none" w:sz="0" w:space="0" w:color="auto"/>
        <w:bottom w:val="none" w:sz="0" w:space="0" w:color="auto"/>
        <w:right w:val="none" w:sz="0" w:space="0" w:color="auto"/>
      </w:divBdr>
    </w:div>
    <w:div w:id="1978877744">
      <w:bodyDiv w:val="1"/>
      <w:marLeft w:val="0"/>
      <w:marRight w:val="0"/>
      <w:marTop w:val="0"/>
      <w:marBottom w:val="0"/>
      <w:divBdr>
        <w:top w:val="none" w:sz="0" w:space="0" w:color="auto"/>
        <w:left w:val="none" w:sz="0" w:space="0" w:color="auto"/>
        <w:bottom w:val="none" w:sz="0" w:space="0" w:color="auto"/>
        <w:right w:val="none" w:sz="0" w:space="0" w:color="auto"/>
      </w:divBdr>
    </w:div>
    <w:div w:id="1983459643">
      <w:bodyDiv w:val="1"/>
      <w:marLeft w:val="0"/>
      <w:marRight w:val="0"/>
      <w:marTop w:val="0"/>
      <w:marBottom w:val="0"/>
      <w:divBdr>
        <w:top w:val="none" w:sz="0" w:space="0" w:color="auto"/>
        <w:left w:val="none" w:sz="0" w:space="0" w:color="auto"/>
        <w:bottom w:val="none" w:sz="0" w:space="0" w:color="auto"/>
        <w:right w:val="none" w:sz="0" w:space="0" w:color="auto"/>
      </w:divBdr>
    </w:div>
    <w:div w:id="1984576215">
      <w:bodyDiv w:val="1"/>
      <w:marLeft w:val="0"/>
      <w:marRight w:val="0"/>
      <w:marTop w:val="0"/>
      <w:marBottom w:val="0"/>
      <w:divBdr>
        <w:top w:val="none" w:sz="0" w:space="0" w:color="auto"/>
        <w:left w:val="none" w:sz="0" w:space="0" w:color="auto"/>
        <w:bottom w:val="none" w:sz="0" w:space="0" w:color="auto"/>
        <w:right w:val="none" w:sz="0" w:space="0" w:color="auto"/>
      </w:divBdr>
    </w:div>
    <w:div w:id="1986084162">
      <w:bodyDiv w:val="1"/>
      <w:marLeft w:val="0"/>
      <w:marRight w:val="0"/>
      <w:marTop w:val="0"/>
      <w:marBottom w:val="0"/>
      <w:divBdr>
        <w:top w:val="none" w:sz="0" w:space="0" w:color="auto"/>
        <w:left w:val="none" w:sz="0" w:space="0" w:color="auto"/>
        <w:bottom w:val="none" w:sz="0" w:space="0" w:color="auto"/>
        <w:right w:val="none" w:sz="0" w:space="0" w:color="auto"/>
      </w:divBdr>
    </w:div>
    <w:div w:id="1987737519">
      <w:bodyDiv w:val="1"/>
      <w:marLeft w:val="0"/>
      <w:marRight w:val="0"/>
      <w:marTop w:val="0"/>
      <w:marBottom w:val="0"/>
      <w:divBdr>
        <w:top w:val="none" w:sz="0" w:space="0" w:color="auto"/>
        <w:left w:val="none" w:sz="0" w:space="0" w:color="auto"/>
        <w:bottom w:val="none" w:sz="0" w:space="0" w:color="auto"/>
        <w:right w:val="none" w:sz="0" w:space="0" w:color="auto"/>
      </w:divBdr>
    </w:div>
    <w:div w:id="1990012530">
      <w:bodyDiv w:val="1"/>
      <w:marLeft w:val="0"/>
      <w:marRight w:val="0"/>
      <w:marTop w:val="0"/>
      <w:marBottom w:val="0"/>
      <w:divBdr>
        <w:top w:val="none" w:sz="0" w:space="0" w:color="auto"/>
        <w:left w:val="none" w:sz="0" w:space="0" w:color="auto"/>
        <w:bottom w:val="none" w:sz="0" w:space="0" w:color="auto"/>
        <w:right w:val="none" w:sz="0" w:space="0" w:color="auto"/>
      </w:divBdr>
    </w:div>
    <w:div w:id="1991012727">
      <w:bodyDiv w:val="1"/>
      <w:marLeft w:val="0"/>
      <w:marRight w:val="0"/>
      <w:marTop w:val="0"/>
      <w:marBottom w:val="0"/>
      <w:divBdr>
        <w:top w:val="none" w:sz="0" w:space="0" w:color="auto"/>
        <w:left w:val="none" w:sz="0" w:space="0" w:color="auto"/>
        <w:bottom w:val="none" w:sz="0" w:space="0" w:color="auto"/>
        <w:right w:val="none" w:sz="0" w:space="0" w:color="auto"/>
      </w:divBdr>
    </w:div>
    <w:div w:id="1995405427">
      <w:bodyDiv w:val="1"/>
      <w:marLeft w:val="0"/>
      <w:marRight w:val="0"/>
      <w:marTop w:val="0"/>
      <w:marBottom w:val="0"/>
      <w:divBdr>
        <w:top w:val="none" w:sz="0" w:space="0" w:color="auto"/>
        <w:left w:val="none" w:sz="0" w:space="0" w:color="auto"/>
        <w:bottom w:val="none" w:sz="0" w:space="0" w:color="auto"/>
        <w:right w:val="none" w:sz="0" w:space="0" w:color="auto"/>
      </w:divBdr>
    </w:div>
    <w:div w:id="1995714322">
      <w:bodyDiv w:val="1"/>
      <w:marLeft w:val="0"/>
      <w:marRight w:val="0"/>
      <w:marTop w:val="0"/>
      <w:marBottom w:val="0"/>
      <w:divBdr>
        <w:top w:val="none" w:sz="0" w:space="0" w:color="auto"/>
        <w:left w:val="none" w:sz="0" w:space="0" w:color="auto"/>
        <w:bottom w:val="none" w:sz="0" w:space="0" w:color="auto"/>
        <w:right w:val="none" w:sz="0" w:space="0" w:color="auto"/>
      </w:divBdr>
    </w:div>
    <w:div w:id="1995721303">
      <w:bodyDiv w:val="1"/>
      <w:marLeft w:val="0"/>
      <w:marRight w:val="0"/>
      <w:marTop w:val="0"/>
      <w:marBottom w:val="0"/>
      <w:divBdr>
        <w:top w:val="none" w:sz="0" w:space="0" w:color="auto"/>
        <w:left w:val="none" w:sz="0" w:space="0" w:color="auto"/>
        <w:bottom w:val="none" w:sz="0" w:space="0" w:color="auto"/>
        <w:right w:val="none" w:sz="0" w:space="0" w:color="auto"/>
      </w:divBdr>
    </w:div>
    <w:div w:id="1996760297">
      <w:bodyDiv w:val="1"/>
      <w:marLeft w:val="0"/>
      <w:marRight w:val="0"/>
      <w:marTop w:val="0"/>
      <w:marBottom w:val="0"/>
      <w:divBdr>
        <w:top w:val="none" w:sz="0" w:space="0" w:color="auto"/>
        <w:left w:val="none" w:sz="0" w:space="0" w:color="auto"/>
        <w:bottom w:val="none" w:sz="0" w:space="0" w:color="auto"/>
        <w:right w:val="none" w:sz="0" w:space="0" w:color="auto"/>
      </w:divBdr>
      <w:divsChild>
        <w:div w:id="145443708">
          <w:marLeft w:val="274"/>
          <w:marRight w:val="0"/>
          <w:marTop w:val="0"/>
          <w:marBottom w:val="0"/>
          <w:divBdr>
            <w:top w:val="none" w:sz="0" w:space="0" w:color="auto"/>
            <w:left w:val="none" w:sz="0" w:space="0" w:color="auto"/>
            <w:bottom w:val="none" w:sz="0" w:space="0" w:color="auto"/>
            <w:right w:val="none" w:sz="0" w:space="0" w:color="auto"/>
          </w:divBdr>
        </w:div>
        <w:div w:id="198859456">
          <w:marLeft w:val="274"/>
          <w:marRight w:val="0"/>
          <w:marTop w:val="0"/>
          <w:marBottom w:val="0"/>
          <w:divBdr>
            <w:top w:val="none" w:sz="0" w:space="0" w:color="auto"/>
            <w:left w:val="none" w:sz="0" w:space="0" w:color="auto"/>
            <w:bottom w:val="none" w:sz="0" w:space="0" w:color="auto"/>
            <w:right w:val="none" w:sz="0" w:space="0" w:color="auto"/>
          </w:divBdr>
        </w:div>
        <w:div w:id="305863675">
          <w:marLeft w:val="274"/>
          <w:marRight w:val="0"/>
          <w:marTop w:val="0"/>
          <w:marBottom w:val="0"/>
          <w:divBdr>
            <w:top w:val="none" w:sz="0" w:space="0" w:color="auto"/>
            <w:left w:val="none" w:sz="0" w:space="0" w:color="auto"/>
            <w:bottom w:val="none" w:sz="0" w:space="0" w:color="auto"/>
            <w:right w:val="none" w:sz="0" w:space="0" w:color="auto"/>
          </w:divBdr>
        </w:div>
        <w:div w:id="612441239">
          <w:marLeft w:val="274"/>
          <w:marRight w:val="0"/>
          <w:marTop w:val="0"/>
          <w:marBottom w:val="0"/>
          <w:divBdr>
            <w:top w:val="none" w:sz="0" w:space="0" w:color="auto"/>
            <w:left w:val="none" w:sz="0" w:space="0" w:color="auto"/>
            <w:bottom w:val="none" w:sz="0" w:space="0" w:color="auto"/>
            <w:right w:val="none" w:sz="0" w:space="0" w:color="auto"/>
          </w:divBdr>
        </w:div>
        <w:div w:id="1687561764">
          <w:marLeft w:val="274"/>
          <w:marRight w:val="0"/>
          <w:marTop w:val="0"/>
          <w:marBottom w:val="0"/>
          <w:divBdr>
            <w:top w:val="none" w:sz="0" w:space="0" w:color="auto"/>
            <w:left w:val="none" w:sz="0" w:space="0" w:color="auto"/>
            <w:bottom w:val="none" w:sz="0" w:space="0" w:color="auto"/>
            <w:right w:val="none" w:sz="0" w:space="0" w:color="auto"/>
          </w:divBdr>
        </w:div>
        <w:div w:id="2116243084">
          <w:marLeft w:val="274"/>
          <w:marRight w:val="0"/>
          <w:marTop w:val="0"/>
          <w:marBottom w:val="0"/>
          <w:divBdr>
            <w:top w:val="none" w:sz="0" w:space="0" w:color="auto"/>
            <w:left w:val="none" w:sz="0" w:space="0" w:color="auto"/>
            <w:bottom w:val="none" w:sz="0" w:space="0" w:color="auto"/>
            <w:right w:val="none" w:sz="0" w:space="0" w:color="auto"/>
          </w:divBdr>
        </w:div>
      </w:divsChild>
    </w:div>
    <w:div w:id="1998877684">
      <w:bodyDiv w:val="1"/>
      <w:marLeft w:val="0"/>
      <w:marRight w:val="0"/>
      <w:marTop w:val="0"/>
      <w:marBottom w:val="0"/>
      <w:divBdr>
        <w:top w:val="none" w:sz="0" w:space="0" w:color="auto"/>
        <w:left w:val="none" w:sz="0" w:space="0" w:color="auto"/>
        <w:bottom w:val="none" w:sz="0" w:space="0" w:color="auto"/>
        <w:right w:val="none" w:sz="0" w:space="0" w:color="auto"/>
      </w:divBdr>
    </w:div>
    <w:div w:id="1998917109">
      <w:bodyDiv w:val="1"/>
      <w:marLeft w:val="0"/>
      <w:marRight w:val="0"/>
      <w:marTop w:val="0"/>
      <w:marBottom w:val="0"/>
      <w:divBdr>
        <w:top w:val="none" w:sz="0" w:space="0" w:color="auto"/>
        <w:left w:val="none" w:sz="0" w:space="0" w:color="auto"/>
        <w:bottom w:val="none" w:sz="0" w:space="0" w:color="auto"/>
        <w:right w:val="none" w:sz="0" w:space="0" w:color="auto"/>
      </w:divBdr>
    </w:div>
    <w:div w:id="1999575919">
      <w:bodyDiv w:val="1"/>
      <w:marLeft w:val="0"/>
      <w:marRight w:val="0"/>
      <w:marTop w:val="0"/>
      <w:marBottom w:val="0"/>
      <w:divBdr>
        <w:top w:val="none" w:sz="0" w:space="0" w:color="auto"/>
        <w:left w:val="none" w:sz="0" w:space="0" w:color="auto"/>
        <w:bottom w:val="none" w:sz="0" w:space="0" w:color="auto"/>
        <w:right w:val="none" w:sz="0" w:space="0" w:color="auto"/>
      </w:divBdr>
    </w:div>
    <w:div w:id="2006081518">
      <w:bodyDiv w:val="1"/>
      <w:marLeft w:val="0"/>
      <w:marRight w:val="0"/>
      <w:marTop w:val="0"/>
      <w:marBottom w:val="0"/>
      <w:divBdr>
        <w:top w:val="none" w:sz="0" w:space="0" w:color="auto"/>
        <w:left w:val="none" w:sz="0" w:space="0" w:color="auto"/>
        <w:bottom w:val="none" w:sz="0" w:space="0" w:color="auto"/>
        <w:right w:val="none" w:sz="0" w:space="0" w:color="auto"/>
      </w:divBdr>
    </w:div>
    <w:div w:id="2008558099">
      <w:bodyDiv w:val="1"/>
      <w:marLeft w:val="0"/>
      <w:marRight w:val="0"/>
      <w:marTop w:val="0"/>
      <w:marBottom w:val="0"/>
      <w:divBdr>
        <w:top w:val="none" w:sz="0" w:space="0" w:color="auto"/>
        <w:left w:val="none" w:sz="0" w:space="0" w:color="auto"/>
        <w:bottom w:val="none" w:sz="0" w:space="0" w:color="auto"/>
        <w:right w:val="none" w:sz="0" w:space="0" w:color="auto"/>
      </w:divBdr>
    </w:div>
    <w:div w:id="2008970389">
      <w:bodyDiv w:val="1"/>
      <w:marLeft w:val="0"/>
      <w:marRight w:val="0"/>
      <w:marTop w:val="0"/>
      <w:marBottom w:val="0"/>
      <w:divBdr>
        <w:top w:val="none" w:sz="0" w:space="0" w:color="auto"/>
        <w:left w:val="none" w:sz="0" w:space="0" w:color="auto"/>
        <w:bottom w:val="none" w:sz="0" w:space="0" w:color="auto"/>
        <w:right w:val="none" w:sz="0" w:space="0" w:color="auto"/>
      </w:divBdr>
    </w:div>
    <w:div w:id="2014606541">
      <w:bodyDiv w:val="1"/>
      <w:marLeft w:val="0"/>
      <w:marRight w:val="0"/>
      <w:marTop w:val="0"/>
      <w:marBottom w:val="0"/>
      <w:divBdr>
        <w:top w:val="none" w:sz="0" w:space="0" w:color="auto"/>
        <w:left w:val="none" w:sz="0" w:space="0" w:color="auto"/>
        <w:bottom w:val="none" w:sz="0" w:space="0" w:color="auto"/>
        <w:right w:val="none" w:sz="0" w:space="0" w:color="auto"/>
      </w:divBdr>
    </w:div>
    <w:div w:id="2015103613">
      <w:bodyDiv w:val="1"/>
      <w:marLeft w:val="0"/>
      <w:marRight w:val="0"/>
      <w:marTop w:val="0"/>
      <w:marBottom w:val="0"/>
      <w:divBdr>
        <w:top w:val="none" w:sz="0" w:space="0" w:color="auto"/>
        <w:left w:val="none" w:sz="0" w:space="0" w:color="auto"/>
        <w:bottom w:val="none" w:sz="0" w:space="0" w:color="auto"/>
        <w:right w:val="none" w:sz="0" w:space="0" w:color="auto"/>
      </w:divBdr>
    </w:div>
    <w:div w:id="2015184550">
      <w:bodyDiv w:val="1"/>
      <w:marLeft w:val="0"/>
      <w:marRight w:val="0"/>
      <w:marTop w:val="0"/>
      <w:marBottom w:val="0"/>
      <w:divBdr>
        <w:top w:val="none" w:sz="0" w:space="0" w:color="auto"/>
        <w:left w:val="none" w:sz="0" w:space="0" w:color="auto"/>
        <w:bottom w:val="none" w:sz="0" w:space="0" w:color="auto"/>
        <w:right w:val="none" w:sz="0" w:space="0" w:color="auto"/>
      </w:divBdr>
    </w:div>
    <w:div w:id="2020887372">
      <w:bodyDiv w:val="1"/>
      <w:marLeft w:val="0"/>
      <w:marRight w:val="0"/>
      <w:marTop w:val="0"/>
      <w:marBottom w:val="0"/>
      <w:divBdr>
        <w:top w:val="none" w:sz="0" w:space="0" w:color="auto"/>
        <w:left w:val="none" w:sz="0" w:space="0" w:color="auto"/>
        <w:bottom w:val="none" w:sz="0" w:space="0" w:color="auto"/>
        <w:right w:val="none" w:sz="0" w:space="0" w:color="auto"/>
      </w:divBdr>
    </w:div>
    <w:div w:id="2022706184">
      <w:bodyDiv w:val="1"/>
      <w:marLeft w:val="0"/>
      <w:marRight w:val="0"/>
      <w:marTop w:val="0"/>
      <w:marBottom w:val="0"/>
      <w:divBdr>
        <w:top w:val="none" w:sz="0" w:space="0" w:color="auto"/>
        <w:left w:val="none" w:sz="0" w:space="0" w:color="auto"/>
        <w:bottom w:val="none" w:sz="0" w:space="0" w:color="auto"/>
        <w:right w:val="none" w:sz="0" w:space="0" w:color="auto"/>
      </w:divBdr>
    </w:div>
    <w:div w:id="2025402909">
      <w:bodyDiv w:val="1"/>
      <w:marLeft w:val="0"/>
      <w:marRight w:val="0"/>
      <w:marTop w:val="0"/>
      <w:marBottom w:val="0"/>
      <w:divBdr>
        <w:top w:val="none" w:sz="0" w:space="0" w:color="auto"/>
        <w:left w:val="none" w:sz="0" w:space="0" w:color="auto"/>
        <w:bottom w:val="none" w:sz="0" w:space="0" w:color="auto"/>
        <w:right w:val="none" w:sz="0" w:space="0" w:color="auto"/>
      </w:divBdr>
    </w:div>
    <w:div w:id="2031373613">
      <w:bodyDiv w:val="1"/>
      <w:marLeft w:val="0"/>
      <w:marRight w:val="0"/>
      <w:marTop w:val="0"/>
      <w:marBottom w:val="0"/>
      <w:divBdr>
        <w:top w:val="none" w:sz="0" w:space="0" w:color="auto"/>
        <w:left w:val="none" w:sz="0" w:space="0" w:color="auto"/>
        <w:bottom w:val="none" w:sz="0" w:space="0" w:color="auto"/>
        <w:right w:val="none" w:sz="0" w:space="0" w:color="auto"/>
      </w:divBdr>
    </w:div>
    <w:div w:id="2031878408">
      <w:bodyDiv w:val="1"/>
      <w:marLeft w:val="0"/>
      <w:marRight w:val="0"/>
      <w:marTop w:val="0"/>
      <w:marBottom w:val="0"/>
      <w:divBdr>
        <w:top w:val="none" w:sz="0" w:space="0" w:color="auto"/>
        <w:left w:val="none" w:sz="0" w:space="0" w:color="auto"/>
        <w:bottom w:val="none" w:sz="0" w:space="0" w:color="auto"/>
        <w:right w:val="none" w:sz="0" w:space="0" w:color="auto"/>
      </w:divBdr>
    </w:div>
    <w:div w:id="2032366421">
      <w:bodyDiv w:val="1"/>
      <w:marLeft w:val="0"/>
      <w:marRight w:val="0"/>
      <w:marTop w:val="0"/>
      <w:marBottom w:val="0"/>
      <w:divBdr>
        <w:top w:val="none" w:sz="0" w:space="0" w:color="auto"/>
        <w:left w:val="none" w:sz="0" w:space="0" w:color="auto"/>
        <w:bottom w:val="none" w:sz="0" w:space="0" w:color="auto"/>
        <w:right w:val="none" w:sz="0" w:space="0" w:color="auto"/>
      </w:divBdr>
    </w:div>
    <w:div w:id="2033846393">
      <w:bodyDiv w:val="1"/>
      <w:marLeft w:val="0"/>
      <w:marRight w:val="0"/>
      <w:marTop w:val="0"/>
      <w:marBottom w:val="0"/>
      <w:divBdr>
        <w:top w:val="none" w:sz="0" w:space="0" w:color="auto"/>
        <w:left w:val="none" w:sz="0" w:space="0" w:color="auto"/>
        <w:bottom w:val="none" w:sz="0" w:space="0" w:color="auto"/>
        <w:right w:val="none" w:sz="0" w:space="0" w:color="auto"/>
      </w:divBdr>
    </w:div>
    <w:div w:id="2038457141">
      <w:bodyDiv w:val="1"/>
      <w:marLeft w:val="0"/>
      <w:marRight w:val="0"/>
      <w:marTop w:val="0"/>
      <w:marBottom w:val="0"/>
      <w:divBdr>
        <w:top w:val="none" w:sz="0" w:space="0" w:color="auto"/>
        <w:left w:val="none" w:sz="0" w:space="0" w:color="auto"/>
        <w:bottom w:val="none" w:sz="0" w:space="0" w:color="auto"/>
        <w:right w:val="none" w:sz="0" w:space="0" w:color="auto"/>
      </w:divBdr>
    </w:div>
    <w:div w:id="2041276743">
      <w:bodyDiv w:val="1"/>
      <w:marLeft w:val="0"/>
      <w:marRight w:val="0"/>
      <w:marTop w:val="0"/>
      <w:marBottom w:val="0"/>
      <w:divBdr>
        <w:top w:val="none" w:sz="0" w:space="0" w:color="auto"/>
        <w:left w:val="none" w:sz="0" w:space="0" w:color="auto"/>
        <w:bottom w:val="none" w:sz="0" w:space="0" w:color="auto"/>
        <w:right w:val="none" w:sz="0" w:space="0" w:color="auto"/>
      </w:divBdr>
    </w:div>
    <w:div w:id="2041316270">
      <w:bodyDiv w:val="1"/>
      <w:marLeft w:val="0"/>
      <w:marRight w:val="0"/>
      <w:marTop w:val="0"/>
      <w:marBottom w:val="0"/>
      <w:divBdr>
        <w:top w:val="none" w:sz="0" w:space="0" w:color="auto"/>
        <w:left w:val="none" w:sz="0" w:space="0" w:color="auto"/>
        <w:bottom w:val="none" w:sz="0" w:space="0" w:color="auto"/>
        <w:right w:val="none" w:sz="0" w:space="0" w:color="auto"/>
      </w:divBdr>
    </w:div>
    <w:div w:id="2042126820">
      <w:bodyDiv w:val="1"/>
      <w:marLeft w:val="0"/>
      <w:marRight w:val="0"/>
      <w:marTop w:val="0"/>
      <w:marBottom w:val="0"/>
      <w:divBdr>
        <w:top w:val="none" w:sz="0" w:space="0" w:color="auto"/>
        <w:left w:val="none" w:sz="0" w:space="0" w:color="auto"/>
        <w:bottom w:val="none" w:sz="0" w:space="0" w:color="auto"/>
        <w:right w:val="none" w:sz="0" w:space="0" w:color="auto"/>
      </w:divBdr>
    </w:div>
    <w:div w:id="2044937373">
      <w:bodyDiv w:val="1"/>
      <w:marLeft w:val="0"/>
      <w:marRight w:val="0"/>
      <w:marTop w:val="0"/>
      <w:marBottom w:val="0"/>
      <w:divBdr>
        <w:top w:val="none" w:sz="0" w:space="0" w:color="auto"/>
        <w:left w:val="none" w:sz="0" w:space="0" w:color="auto"/>
        <w:bottom w:val="none" w:sz="0" w:space="0" w:color="auto"/>
        <w:right w:val="none" w:sz="0" w:space="0" w:color="auto"/>
      </w:divBdr>
    </w:div>
    <w:div w:id="2046636600">
      <w:bodyDiv w:val="1"/>
      <w:marLeft w:val="0"/>
      <w:marRight w:val="0"/>
      <w:marTop w:val="0"/>
      <w:marBottom w:val="0"/>
      <w:divBdr>
        <w:top w:val="none" w:sz="0" w:space="0" w:color="auto"/>
        <w:left w:val="none" w:sz="0" w:space="0" w:color="auto"/>
        <w:bottom w:val="none" w:sz="0" w:space="0" w:color="auto"/>
        <w:right w:val="none" w:sz="0" w:space="0" w:color="auto"/>
      </w:divBdr>
    </w:div>
    <w:div w:id="2047018536">
      <w:bodyDiv w:val="1"/>
      <w:marLeft w:val="0"/>
      <w:marRight w:val="0"/>
      <w:marTop w:val="0"/>
      <w:marBottom w:val="0"/>
      <w:divBdr>
        <w:top w:val="none" w:sz="0" w:space="0" w:color="auto"/>
        <w:left w:val="none" w:sz="0" w:space="0" w:color="auto"/>
        <w:bottom w:val="none" w:sz="0" w:space="0" w:color="auto"/>
        <w:right w:val="none" w:sz="0" w:space="0" w:color="auto"/>
      </w:divBdr>
    </w:div>
    <w:div w:id="2047174222">
      <w:bodyDiv w:val="1"/>
      <w:marLeft w:val="0"/>
      <w:marRight w:val="0"/>
      <w:marTop w:val="0"/>
      <w:marBottom w:val="0"/>
      <w:divBdr>
        <w:top w:val="none" w:sz="0" w:space="0" w:color="auto"/>
        <w:left w:val="none" w:sz="0" w:space="0" w:color="auto"/>
        <w:bottom w:val="none" w:sz="0" w:space="0" w:color="auto"/>
        <w:right w:val="none" w:sz="0" w:space="0" w:color="auto"/>
      </w:divBdr>
    </w:div>
    <w:div w:id="2047758462">
      <w:bodyDiv w:val="1"/>
      <w:marLeft w:val="0"/>
      <w:marRight w:val="0"/>
      <w:marTop w:val="0"/>
      <w:marBottom w:val="0"/>
      <w:divBdr>
        <w:top w:val="none" w:sz="0" w:space="0" w:color="auto"/>
        <w:left w:val="none" w:sz="0" w:space="0" w:color="auto"/>
        <w:bottom w:val="none" w:sz="0" w:space="0" w:color="auto"/>
        <w:right w:val="none" w:sz="0" w:space="0" w:color="auto"/>
      </w:divBdr>
    </w:div>
    <w:div w:id="2048875268">
      <w:bodyDiv w:val="1"/>
      <w:marLeft w:val="0"/>
      <w:marRight w:val="0"/>
      <w:marTop w:val="0"/>
      <w:marBottom w:val="0"/>
      <w:divBdr>
        <w:top w:val="none" w:sz="0" w:space="0" w:color="auto"/>
        <w:left w:val="none" w:sz="0" w:space="0" w:color="auto"/>
        <w:bottom w:val="none" w:sz="0" w:space="0" w:color="auto"/>
        <w:right w:val="none" w:sz="0" w:space="0" w:color="auto"/>
      </w:divBdr>
    </w:div>
    <w:div w:id="2049404197">
      <w:bodyDiv w:val="1"/>
      <w:marLeft w:val="0"/>
      <w:marRight w:val="0"/>
      <w:marTop w:val="0"/>
      <w:marBottom w:val="0"/>
      <w:divBdr>
        <w:top w:val="none" w:sz="0" w:space="0" w:color="auto"/>
        <w:left w:val="none" w:sz="0" w:space="0" w:color="auto"/>
        <w:bottom w:val="none" w:sz="0" w:space="0" w:color="auto"/>
        <w:right w:val="none" w:sz="0" w:space="0" w:color="auto"/>
      </w:divBdr>
    </w:div>
    <w:div w:id="2051344814">
      <w:bodyDiv w:val="1"/>
      <w:marLeft w:val="0"/>
      <w:marRight w:val="0"/>
      <w:marTop w:val="0"/>
      <w:marBottom w:val="0"/>
      <w:divBdr>
        <w:top w:val="none" w:sz="0" w:space="0" w:color="auto"/>
        <w:left w:val="none" w:sz="0" w:space="0" w:color="auto"/>
        <w:bottom w:val="none" w:sz="0" w:space="0" w:color="auto"/>
        <w:right w:val="none" w:sz="0" w:space="0" w:color="auto"/>
      </w:divBdr>
    </w:div>
    <w:div w:id="2052028206">
      <w:bodyDiv w:val="1"/>
      <w:marLeft w:val="0"/>
      <w:marRight w:val="0"/>
      <w:marTop w:val="0"/>
      <w:marBottom w:val="0"/>
      <w:divBdr>
        <w:top w:val="none" w:sz="0" w:space="0" w:color="auto"/>
        <w:left w:val="none" w:sz="0" w:space="0" w:color="auto"/>
        <w:bottom w:val="none" w:sz="0" w:space="0" w:color="auto"/>
        <w:right w:val="none" w:sz="0" w:space="0" w:color="auto"/>
      </w:divBdr>
    </w:div>
    <w:div w:id="2057773561">
      <w:bodyDiv w:val="1"/>
      <w:marLeft w:val="0"/>
      <w:marRight w:val="0"/>
      <w:marTop w:val="0"/>
      <w:marBottom w:val="0"/>
      <w:divBdr>
        <w:top w:val="none" w:sz="0" w:space="0" w:color="auto"/>
        <w:left w:val="none" w:sz="0" w:space="0" w:color="auto"/>
        <w:bottom w:val="none" w:sz="0" w:space="0" w:color="auto"/>
        <w:right w:val="none" w:sz="0" w:space="0" w:color="auto"/>
      </w:divBdr>
    </w:div>
    <w:div w:id="2059238299">
      <w:bodyDiv w:val="1"/>
      <w:marLeft w:val="0"/>
      <w:marRight w:val="0"/>
      <w:marTop w:val="0"/>
      <w:marBottom w:val="0"/>
      <w:divBdr>
        <w:top w:val="none" w:sz="0" w:space="0" w:color="auto"/>
        <w:left w:val="none" w:sz="0" w:space="0" w:color="auto"/>
        <w:bottom w:val="none" w:sz="0" w:space="0" w:color="auto"/>
        <w:right w:val="none" w:sz="0" w:space="0" w:color="auto"/>
      </w:divBdr>
    </w:div>
    <w:div w:id="2059894250">
      <w:bodyDiv w:val="1"/>
      <w:marLeft w:val="0"/>
      <w:marRight w:val="0"/>
      <w:marTop w:val="0"/>
      <w:marBottom w:val="0"/>
      <w:divBdr>
        <w:top w:val="none" w:sz="0" w:space="0" w:color="auto"/>
        <w:left w:val="none" w:sz="0" w:space="0" w:color="auto"/>
        <w:bottom w:val="none" w:sz="0" w:space="0" w:color="auto"/>
        <w:right w:val="none" w:sz="0" w:space="0" w:color="auto"/>
      </w:divBdr>
    </w:div>
    <w:div w:id="2061054499">
      <w:bodyDiv w:val="1"/>
      <w:marLeft w:val="0"/>
      <w:marRight w:val="0"/>
      <w:marTop w:val="0"/>
      <w:marBottom w:val="0"/>
      <w:divBdr>
        <w:top w:val="none" w:sz="0" w:space="0" w:color="auto"/>
        <w:left w:val="none" w:sz="0" w:space="0" w:color="auto"/>
        <w:bottom w:val="none" w:sz="0" w:space="0" w:color="auto"/>
        <w:right w:val="none" w:sz="0" w:space="0" w:color="auto"/>
      </w:divBdr>
    </w:div>
    <w:div w:id="2062442938">
      <w:bodyDiv w:val="1"/>
      <w:marLeft w:val="0"/>
      <w:marRight w:val="0"/>
      <w:marTop w:val="0"/>
      <w:marBottom w:val="0"/>
      <w:divBdr>
        <w:top w:val="none" w:sz="0" w:space="0" w:color="auto"/>
        <w:left w:val="none" w:sz="0" w:space="0" w:color="auto"/>
        <w:bottom w:val="none" w:sz="0" w:space="0" w:color="auto"/>
        <w:right w:val="none" w:sz="0" w:space="0" w:color="auto"/>
      </w:divBdr>
    </w:div>
    <w:div w:id="2064330399">
      <w:bodyDiv w:val="1"/>
      <w:marLeft w:val="0"/>
      <w:marRight w:val="0"/>
      <w:marTop w:val="0"/>
      <w:marBottom w:val="0"/>
      <w:divBdr>
        <w:top w:val="none" w:sz="0" w:space="0" w:color="auto"/>
        <w:left w:val="none" w:sz="0" w:space="0" w:color="auto"/>
        <w:bottom w:val="none" w:sz="0" w:space="0" w:color="auto"/>
        <w:right w:val="none" w:sz="0" w:space="0" w:color="auto"/>
      </w:divBdr>
    </w:div>
    <w:div w:id="2067222823">
      <w:bodyDiv w:val="1"/>
      <w:marLeft w:val="0"/>
      <w:marRight w:val="0"/>
      <w:marTop w:val="0"/>
      <w:marBottom w:val="0"/>
      <w:divBdr>
        <w:top w:val="none" w:sz="0" w:space="0" w:color="auto"/>
        <w:left w:val="none" w:sz="0" w:space="0" w:color="auto"/>
        <w:bottom w:val="none" w:sz="0" w:space="0" w:color="auto"/>
        <w:right w:val="none" w:sz="0" w:space="0" w:color="auto"/>
      </w:divBdr>
    </w:div>
    <w:div w:id="2069642646">
      <w:bodyDiv w:val="1"/>
      <w:marLeft w:val="0"/>
      <w:marRight w:val="0"/>
      <w:marTop w:val="0"/>
      <w:marBottom w:val="0"/>
      <w:divBdr>
        <w:top w:val="none" w:sz="0" w:space="0" w:color="auto"/>
        <w:left w:val="none" w:sz="0" w:space="0" w:color="auto"/>
        <w:bottom w:val="none" w:sz="0" w:space="0" w:color="auto"/>
        <w:right w:val="none" w:sz="0" w:space="0" w:color="auto"/>
      </w:divBdr>
    </w:div>
    <w:div w:id="2072455719">
      <w:bodyDiv w:val="1"/>
      <w:marLeft w:val="0"/>
      <w:marRight w:val="0"/>
      <w:marTop w:val="0"/>
      <w:marBottom w:val="0"/>
      <w:divBdr>
        <w:top w:val="none" w:sz="0" w:space="0" w:color="auto"/>
        <w:left w:val="none" w:sz="0" w:space="0" w:color="auto"/>
        <w:bottom w:val="none" w:sz="0" w:space="0" w:color="auto"/>
        <w:right w:val="none" w:sz="0" w:space="0" w:color="auto"/>
      </w:divBdr>
    </w:div>
    <w:div w:id="2072969459">
      <w:bodyDiv w:val="1"/>
      <w:marLeft w:val="0"/>
      <w:marRight w:val="0"/>
      <w:marTop w:val="0"/>
      <w:marBottom w:val="0"/>
      <w:divBdr>
        <w:top w:val="none" w:sz="0" w:space="0" w:color="auto"/>
        <w:left w:val="none" w:sz="0" w:space="0" w:color="auto"/>
        <w:bottom w:val="none" w:sz="0" w:space="0" w:color="auto"/>
        <w:right w:val="none" w:sz="0" w:space="0" w:color="auto"/>
      </w:divBdr>
    </w:div>
    <w:div w:id="2074230068">
      <w:bodyDiv w:val="1"/>
      <w:marLeft w:val="0"/>
      <w:marRight w:val="0"/>
      <w:marTop w:val="0"/>
      <w:marBottom w:val="0"/>
      <w:divBdr>
        <w:top w:val="none" w:sz="0" w:space="0" w:color="auto"/>
        <w:left w:val="none" w:sz="0" w:space="0" w:color="auto"/>
        <w:bottom w:val="none" w:sz="0" w:space="0" w:color="auto"/>
        <w:right w:val="none" w:sz="0" w:space="0" w:color="auto"/>
      </w:divBdr>
    </w:div>
    <w:div w:id="2075198660">
      <w:bodyDiv w:val="1"/>
      <w:marLeft w:val="0"/>
      <w:marRight w:val="0"/>
      <w:marTop w:val="0"/>
      <w:marBottom w:val="0"/>
      <w:divBdr>
        <w:top w:val="none" w:sz="0" w:space="0" w:color="auto"/>
        <w:left w:val="none" w:sz="0" w:space="0" w:color="auto"/>
        <w:bottom w:val="none" w:sz="0" w:space="0" w:color="auto"/>
        <w:right w:val="none" w:sz="0" w:space="0" w:color="auto"/>
      </w:divBdr>
    </w:div>
    <w:div w:id="2077505147">
      <w:bodyDiv w:val="1"/>
      <w:marLeft w:val="0"/>
      <w:marRight w:val="0"/>
      <w:marTop w:val="0"/>
      <w:marBottom w:val="0"/>
      <w:divBdr>
        <w:top w:val="none" w:sz="0" w:space="0" w:color="auto"/>
        <w:left w:val="none" w:sz="0" w:space="0" w:color="auto"/>
        <w:bottom w:val="none" w:sz="0" w:space="0" w:color="auto"/>
        <w:right w:val="none" w:sz="0" w:space="0" w:color="auto"/>
      </w:divBdr>
    </w:div>
    <w:div w:id="2080322046">
      <w:bodyDiv w:val="1"/>
      <w:marLeft w:val="0"/>
      <w:marRight w:val="0"/>
      <w:marTop w:val="0"/>
      <w:marBottom w:val="0"/>
      <w:divBdr>
        <w:top w:val="none" w:sz="0" w:space="0" w:color="auto"/>
        <w:left w:val="none" w:sz="0" w:space="0" w:color="auto"/>
        <w:bottom w:val="none" w:sz="0" w:space="0" w:color="auto"/>
        <w:right w:val="none" w:sz="0" w:space="0" w:color="auto"/>
      </w:divBdr>
    </w:div>
    <w:div w:id="2080404051">
      <w:bodyDiv w:val="1"/>
      <w:marLeft w:val="0"/>
      <w:marRight w:val="0"/>
      <w:marTop w:val="0"/>
      <w:marBottom w:val="0"/>
      <w:divBdr>
        <w:top w:val="none" w:sz="0" w:space="0" w:color="auto"/>
        <w:left w:val="none" w:sz="0" w:space="0" w:color="auto"/>
        <w:bottom w:val="none" w:sz="0" w:space="0" w:color="auto"/>
        <w:right w:val="none" w:sz="0" w:space="0" w:color="auto"/>
      </w:divBdr>
    </w:div>
    <w:div w:id="2085712615">
      <w:bodyDiv w:val="1"/>
      <w:marLeft w:val="0"/>
      <w:marRight w:val="0"/>
      <w:marTop w:val="0"/>
      <w:marBottom w:val="0"/>
      <w:divBdr>
        <w:top w:val="none" w:sz="0" w:space="0" w:color="auto"/>
        <w:left w:val="none" w:sz="0" w:space="0" w:color="auto"/>
        <w:bottom w:val="none" w:sz="0" w:space="0" w:color="auto"/>
        <w:right w:val="none" w:sz="0" w:space="0" w:color="auto"/>
      </w:divBdr>
    </w:div>
    <w:div w:id="2085759432">
      <w:bodyDiv w:val="1"/>
      <w:marLeft w:val="0"/>
      <w:marRight w:val="0"/>
      <w:marTop w:val="0"/>
      <w:marBottom w:val="0"/>
      <w:divBdr>
        <w:top w:val="none" w:sz="0" w:space="0" w:color="auto"/>
        <w:left w:val="none" w:sz="0" w:space="0" w:color="auto"/>
        <w:bottom w:val="none" w:sz="0" w:space="0" w:color="auto"/>
        <w:right w:val="none" w:sz="0" w:space="0" w:color="auto"/>
      </w:divBdr>
    </w:div>
    <w:div w:id="2086606659">
      <w:bodyDiv w:val="1"/>
      <w:marLeft w:val="0"/>
      <w:marRight w:val="0"/>
      <w:marTop w:val="0"/>
      <w:marBottom w:val="0"/>
      <w:divBdr>
        <w:top w:val="none" w:sz="0" w:space="0" w:color="auto"/>
        <w:left w:val="none" w:sz="0" w:space="0" w:color="auto"/>
        <w:bottom w:val="none" w:sz="0" w:space="0" w:color="auto"/>
        <w:right w:val="none" w:sz="0" w:space="0" w:color="auto"/>
      </w:divBdr>
    </w:div>
    <w:div w:id="2087454799">
      <w:bodyDiv w:val="1"/>
      <w:marLeft w:val="0"/>
      <w:marRight w:val="0"/>
      <w:marTop w:val="0"/>
      <w:marBottom w:val="0"/>
      <w:divBdr>
        <w:top w:val="none" w:sz="0" w:space="0" w:color="auto"/>
        <w:left w:val="none" w:sz="0" w:space="0" w:color="auto"/>
        <w:bottom w:val="none" w:sz="0" w:space="0" w:color="auto"/>
        <w:right w:val="none" w:sz="0" w:space="0" w:color="auto"/>
      </w:divBdr>
    </w:div>
    <w:div w:id="2087457765">
      <w:bodyDiv w:val="1"/>
      <w:marLeft w:val="0"/>
      <w:marRight w:val="0"/>
      <w:marTop w:val="0"/>
      <w:marBottom w:val="0"/>
      <w:divBdr>
        <w:top w:val="none" w:sz="0" w:space="0" w:color="auto"/>
        <w:left w:val="none" w:sz="0" w:space="0" w:color="auto"/>
        <w:bottom w:val="none" w:sz="0" w:space="0" w:color="auto"/>
        <w:right w:val="none" w:sz="0" w:space="0" w:color="auto"/>
      </w:divBdr>
    </w:div>
    <w:div w:id="2090273013">
      <w:bodyDiv w:val="1"/>
      <w:marLeft w:val="0"/>
      <w:marRight w:val="0"/>
      <w:marTop w:val="0"/>
      <w:marBottom w:val="0"/>
      <w:divBdr>
        <w:top w:val="none" w:sz="0" w:space="0" w:color="auto"/>
        <w:left w:val="none" w:sz="0" w:space="0" w:color="auto"/>
        <w:bottom w:val="none" w:sz="0" w:space="0" w:color="auto"/>
        <w:right w:val="none" w:sz="0" w:space="0" w:color="auto"/>
      </w:divBdr>
    </w:div>
    <w:div w:id="2090693735">
      <w:bodyDiv w:val="1"/>
      <w:marLeft w:val="0"/>
      <w:marRight w:val="0"/>
      <w:marTop w:val="0"/>
      <w:marBottom w:val="0"/>
      <w:divBdr>
        <w:top w:val="none" w:sz="0" w:space="0" w:color="auto"/>
        <w:left w:val="none" w:sz="0" w:space="0" w:color="auto"/>
        <w:bottom w:val="none" w:sz="0" w:space="0" w:color="auto"/>
        <w:right w:val="none" w:sz="0" w:space="0" w:color="auto"/>
      </w:divBdr>
    </w:div>
    <w:div w:id="2091466231">
      <w:bodyDiv w:val="1"/>
      <w:marLeft w:val="0"/>
      <w:marRight w:val="0"/>
      <w:marTop w:val="0"/>
      <w:marBottom w:val="0"/>
      <w:divBdr>
        <w:top w:val="none" w:sz="0" w:space="0" w:color="auto"/>
        <w:left w:val="none" w:sz="0" w:space="0" w:color="auto"/>
        <w:bottom w:val="none" w:sz="0" w:space="0" w:color="auto"/>
        <w:right w:val="none" w:sz="0" w:space="0" w:color="auto"/>
      </w:divBdr>
    </w:div>
    <w:div w:id="2095664294">
      <w:bodyDiv w:val="1"/>
      <w:marLeft w:val="0"/>
      <w:marRight w:val="0"/>
      <w:marTop w:val="0"/>
      <w:marBottom w:val="0"/>
      <w:divBdr>
        <w:top w:val="none" w:sz="0" w:space="0" w:color="auto"/>
        <w:left w:val="none" w:sz="0" w:space="0" w:color="auto"/>
        <w:bottom w:val="none" w:sz="0" w:space="0" w:color="auto"/>
        <w:right w:val="none" w:sz="0" w:space="0" w:color="auto"/>
      </w:divBdr>
    </w:div>
    <w:div w:id="2095779931">
      <w:bodyDiv w:val="1"/>
      <w:marLeft w:val="0"/>
      <w:marRight w:val="0"/>
      <w:marTop w:val="0"/>
      <w:marBottom w:val="0"/>
      <w:divBdr>
        <w:top w:val="none" w:sz="0" w:space="0" w:color="auto"/>
        <w:left w:val="none" w:sz="0" w:space="0" w:color="auto"/>
        <w:bottom w:val="none" w:sz="0" w:space="0" w:color="auto"/>
        <w:right w:val="none" w:sz="0" w:space="0" w:color="auto"/>
      </w:divBdr>
    </w:div>
    <w:div w:id="2097479751">
      <w:bodyDiv w:val="1"/>
      <w:marLeft w:val="0"/>
      <w:marRight w:val="0"/>
      <w:marTop w:val="0"/>
      <w:marBottom w:val="0"/>
      <w:divBdr>
        <w:top w:val="none" w:sz="0" w:space="0" w:color="auto"/>
        <w:left w:val="none" w:sz="0" w:space="0" w:color="auto"/>
        <w:bottom w:val="none" w:sz="0" w:space="0" w:color="auto"/>
        <w:right w:val="none" w:sz="0" w:space="0" w:color="auto"/>
      </w:divBdr>
    </w:div>
    <w:div w:id="2100641410">
      <w:bodyDiv w:val="1"/>
      <w:marLeft w:val="0"/>
      <w:marRight w:val="0"/>
      <w:marTop w:val="0"/>
      <w:marBottom w:val="0"/>
      <w:divBdr>
        <w:top w:val="none" w:sz="0" w:space="0" w:color="auto"/>
        <w:left w:val="none" w:sz="0" w:space="0" w:color="auto"/>
        <w:bottom w:val="none" w:sz="0" w:space="0" w:color="auto"/>
        <w:right w:val="none" w:sz="0" w:space="0" w:color="auto"/>
      </w:divBdr>
      <w:divsChild>
        <w:div w:id="295183577">
          <w:marLeft w:val="446"/>
          <w:marRight w:val="0"/>
          <w:marTop w:val="0"/>
          <w:marBottom w:val="0"/>
          <w:divBdr>
            <w:top w:val="none" w:sz="0" w:space="0" w:color="auto"/>
            <w:left w:val="none" w:sz="0" w:space="0" w:color="auto"/>
            <w:bottom w:val="none" w:sz="0" w:space="0" w:color="auto"/>
            <w:right w:val="none" w:sz="0" w:space="0" w:color="auto"/>
          </w:divBdr>
        </w:div>
        <w:div w:id="321280133">
          <w:marLeft w:val="446"/>
          <w:marRight w:val="0"/>
          <w:marTop w:val="0"/>
          <w:marBottom w:val="0"/>
          <w:divBdr>
            <w:top w:val="none" w:sz="0" w:space="0" w:color="auto"/>
            <w:left w:val="none" w:sz="0" w:space="0" w:color="auto"/>
            <w:bottom w:val="none" w:sz="0" w:space="0" w:color="auto"/>
            <w:right w:val="none" w:sz="0" w:space="0" w:color="auto"/>
          </w:divBdr>
        </w:div>
        <w:div w:id="359936551">
          <w:marLeft w:val="446"/>
          <w:marRight w:val="0"/>
          <w:marTop w:val="0"/>
          <w:marBottom w:val="0"/>
          <w:divBdr>
            <w:top w:val="none" w:sz="0" w:space="0" w:color="auto"/>
            <w:left w:val="none" w:sz="0" w:space="0" w:color="auto"/>
            <w:bottom w:val="none" w:sz="0" w:space="0" w:color="auto"/>
            <w:right w:val="none" w:sz="0" w:space="0" w:color="auto"/>
          </w:divBdr>
        </w:div>
        <w:div w:id="682707296">
          <w:marLeft w:val="446"/>
          <w:marRight w:val="0"/>
          <w:marTop w:val="0"/>
          <w:marBottom w:val="0"/>
          <w:divBdr>
            <w:top w:val="none" w:sz="0" w:space="0" w:color="auto"/>
            <w:left w:val="none" w:sz="0" w:space="0" w:color="auto"/>
            <w:bottom w:val="none" w:sz="0" w:space="0" w:color="auto"/>
            <w:right w:val="none" w:sz="0" w:space="0" w:color="auto"/>
          </w:divBdr>
        </w:div>
        <w:div w:id="754014267">
          <w:marLeft w:val="446"/>
          <w:marRight w:val="0"/>
          <w:marTop w:val="0"/>
          <w:marBottom w:val="0"/>
          <w:divBdr>
            <w:top w:val="none" w:sz="0" w:space="0" w:color="auto"/>
            <w:left w:val="none" w:sz="0" w:space="0" w:color="auto"/>
            <w:bottom w:val="none" w:sz="0" w:space="0" w:color="auto"/>
            <w:right w:val="none" w:sz="0" w:space="0" w:color="auto"/>
          </w:divBdr>
        </w:div>
        <w:div w:id="757334079">
          <w:marLeft w:val="446"/>
          <w:marRight w:val="0"/>
          <w:marTop w:val="0"/>
          <w:marBottom w:val="0"/>
          <w:divBdr>
            <w:top w:val="none" w:sz="0" w:space="0" w:color="auto"/>
            <w:left w:val="none" w:sz="0" w:space="0" w:color="auto"/>
            <w:bottom w:val="none" w:sz="0" w:space="0" w:color="auto"/>
            <w:right w:val="none" w:sz="0" w:space="0" w:color="auto"/>
          </w:divBdr>
        </w:div>
        <w:div w:id="767846863">
          <w:marLeft w:val="446"/>
          <w:marRight w:val="0"/>
          <w:marTop w:val="0"/>
          <w:marBottom w:val="0"/>
          <w:divBdr>
            <w:top w:val="none" w:sz="0" w:space="0" w:color="auto"/>
            <w:left w:val="none" w:sz="0" w:space="0" w:color="auto"/>
            <w:bottom w:val="none" w:sz="0" w:space="0" w:color="auto"/>
            <w:right w:val="none" w:sz="0" w:space="0" w:color="auto"/>
          </w:divBdr>
        </w:div>
        <w:div w:id="802187801">
          <w:marLeft w:val="446"/>
          <w:marRight w:val="0"/>
          <w:marTop w:val="0"/>
          <w:marBottom w:val="0"/>
          <w:divBdr>
            <w:top w:val="none" w:sz="0" w:space="0" w:color="auto"/>
            <w:left w:val="none" w:sz="0" w:space="0" w:color="auto"/>
            <w:bottom w:val="none" w:sz="0" w:space="0" w:color="auto"/>
            <w:right w:val="none" w:sz="0" w:space="0" w:color="auto"/>
          </w:divBdr>
        </w:div>
        <w:div w:id="826479260">
          <w:marLeft w:val="446"/>
          <w:marRight w:val="0"/>
          <w:marTop w:val="0"/>
          <w:marBottom w:val="0"/>
          <w:divBdr>
            <w:top w:val="none" w:sz="0" w:space="0" w:color="auto"/>
            <w:left w:val="none" w:sz="0" w:space="0" w:color="auto"/>
            <w:bottom w:val="none" w:sz="0" w:space="0" w:color="auto"/>
            <w:right w:val="none" w:sz="0" w:space="0" w:color="auto"/>
          </w:divBdr>
        </w:div>
        <w:div w:id="834805206">
          <w:marLeft w:val="446"/>
          <w:marRight w:val="0"/>
          <w:marTop w:val="0"/>
          <w:marBottom w:val="0"/>
          <w:divBdr>
            <w:top w:val="none" w:sz="0" w:space="0" w:color="auto"/>
            <w:left w:val="none" w:sz="0" w:space="0" w:color="auto"/>
            <w:bottom w:val="none" w:sz="0" w:space="0" w:color="auto"/>
            <w:right w:val="none" w:sz="0" w:space="0" w:color="auto"/>
          </w:divBdr>
        </w:div>
        <w:div w:id="972515852">
          <w:marLeft w:val="446"/>
          <w:marRight w:val="0"/>
          <w:marTop w:val="0"/>
          <w:marBottom w:val="0"/>
          <w:divBdr>
            <w:top w:val="none" w:sz="0" w:space="0" w:color="auto"/>
            <w:left w:val="none" w:sz="0" w:space="0" w:color="auto"/>
            <w:bottom w:val="none" w:sz="0" w:space="0" w:color="auto"/>
            <w:right w:val="none" w:sz="0" w:space="0" w:color="auto"/>
          </w:divBdr>
        </w:div>
        <w:div w:id="1059547817">
          <w:marLeft w:val="446"/>
          <w:marRight w:val="0"/>
          <w:marTop w:val="0"/>
          <w:marBottom w:val="0"/>
          <w:divBdr>
            <w:top w:val="none" w:sz="0" w:space="0" w:color="auto"/>
            <w:left w:val="none" w:sz="0" w:space="0" w:color="auto"/>
            <w:bottom w:val="none" w:sz="0" w:space="0" w:color="auto"/>
            <w:right w:val="none" w:sz="0" w:space="0" w:color="auto"/>
          </w:divBdr>
        </w:div>
        <w:div w:id="1200782044">
          <w:marLeft w:val="446"/>
          <w:marRight w:val="0"/>
          <w:marTop w:val="0"/>
          <w:marBottom w:val="0"/>
          <w:divBdr>
            <w:top w:val="none" w:sz="0" w:space="0" w:color="auto"/>
            <w:left w:val="none" w:sz="0" w:space="0" w:color="auto"/>
            <w:bottom w:val="none" w:sz="0" w:space="0" w:color="auto"/>
            <w:right w:val="none" w:sz="0" w:space="0" w:color="auto"/>
          </w:divBdr>
        </w:div>
        <w:div w:id="1362394135">
          <w:marLeft w:val="446"/>
          <w:marRight w:val="0"/>
          <w:marTop w:val="0"/>
          <w:marBottom w:val="0"/>
          <w:divBdr>
            <w:top w:val="none" w:sz="0" w:space="0" w:color="auto"/>
            <w:left w:val="none" w:sz="0" w:space="0" w:color="auto"/>
            <w:bottom w:val="none" w:sz="0" w:space="0" w:color="auto"/>
            <w:right w:val="none" w:sz="0" w:space="0" w:color="auto"/>
          </w:divBdr>
        </w:div>
        <w:div w:id="1542472654">
          <w:marLeft w:val="446"/>
          <w:marRight w:val="0"/>
          <w:marTop w:val="0"/>
          <w:marBottom w:val="0"/>
          <w:divBdr>
            <w:top w:val="none" w:sz="0" w:space="0" w:color="auto"/>
            <w:left w:val="none" w:sz="0" w:space="0" w:color="auto"/>
            <w:bottom w:val="none" w:sz="0" w:space="0" w:color="auto"/>
            <w:right w:val="none" w:sz="0" w:space="0" w:color="auto"/>
          </w:divBdr>
        </w:div>
        <w:div w:id="1639871459">
          <w:marLeft w:val="446"/>
          <w:marRight w:val="0"/>
          <w:marTop w:val="0"/>
          <w:marBottom w:val="0"/>
          <w:divBdr>
            <w:top w:val="none" w:sz="0" w:space="0" w:color="auto"/>
            <w:left w:val="none" w:sz="0" w:space="0" w:color="auto"/>
            <w:bottom w:val="none" w:sz="0" w:space="0" w:color="auto"/>
            <w:right w:val="none" w:sz="0" w:space="0" w:color="auto"/>
          </w:divBdr>
        </w:div>
        <w:div w:id="1831603463">
          <w:marLeft w:val="446"/>
          <w:marRight w:val="0"/>
          <w:marTop w:val="0"/>
          <w:marBottom w:val="0"/>
          <w:divBdr>
            <w:top w:val="none" w:sz="0" w:space="0" w:color="auto"/>
            <w:left w:val="none" w:sz="0" w:space="0" w:color="auto"/>
            <w:bottom w:val="none" w:sz="0" w:space="0" w:color="auto"/>
            <w:right w:val="none" w:sz="0" w:space="0" w:color="auto"/>
          </w:divBdr>
        </w:div>
        <w:div w:id="1944534753">
          <w:marLeft w:val="446"/>
          <w:marRight w:val="0"/>
          <w:marTop w:val="0"/>
          <w:marBottom w:val="0"/>
          <w:divBdr>
            <w:top w:val="none" w:sz="0" w:space="0" w:color="auto"/>
            <w:left w:val="none" w:sz="0" w:space="0" w:color="auto"/>
            <w:bottom w:val="none" w:sz="0" w:space="0" w:color="auto"/>
            <w:right w:val="none" w:sz="0" w:space="0" w:color="auto"/>
          </w:divBdr>
        </w:div>
      </w:divsChild>
    </w:div>
    <w:div w:id="2101367554">
      <w:bodyDiv w:val="1"/>
      <w:marLeft w:val="0"/>
      <w:marRight w:val="0"/>
      <w:marTop w:val="0"/>
      <w:marBottom w:val="0"/>
      <w:divBdr>
        <w:top w:val="none" w:sz="0" w:space="0" w:color="auto"/>
        <w:left w:val="none" w:sz="0" w:space="0" w:color="auto"/>
        <w:bottom w:val="none" w:sz="0" w:space="0" w:color="auto"/>
        <w:right w:val="none" w:sz="0" w:space="0" w:color="auto"/>
      </w:divBdr>
    </w:div>
    <w:div w:id="2106415898">
      <w:bodyDiv w:val="1"/>
      <w:marLeft w:val="0"/>
      <w:marRight w:val="0"/>
      <w:marTop w:val="0"/>
      <w:marBottom w:val="0"/>
      <w:divBdr>
        <w:top w:val="none" w:sz="0" w:space="0" w:color="auto"/>
        <w:left w:val="none" w:sz="0" w:space="0" w:color="auto"/>
        <w:bottom w:val="none" w:sz="0" w:space="0" w:color="auto"/>
        <w:right w:val="none" w:sz="0" w:space="0" w:color="auto"/>
      </w:divBdr>
    </w:div>
    <w:div w:id="2107076331">
      <w:bodyDiv w:val="1"/>
      <w:marLeft w:val="0"/>
      <w:marRight w:val="0"/>
      <w:marTop w:val="0"/>
      <w:marBottom w:val="0"/>
      <w:divBdr>
        <w:top w:val="none" w:sz="0" w:space="0" w:color="auto"/>
        <w:left w:val="none" w:sz="0" w:space="0" w:color="auto"/>
        <w:bottom w:val="none" w:sz="0" w:space="0" w:color="auto"/>
        <w:right w:val="none" w:sz="0" w:space="0" w:color="auto"/>
      </w:divBdr>
    </w:div>
    <w:div w:id="2108498669">
      <w:bodyDiv w:val="1"/>
      <w:marLeft w:val="0"/>
      <w:marRight w:val="0"/>
      <w:marTop w:val="0"/>
      <w:marBottom w:val="0"/>
      <w:divBdr>
        <w:top w:val="none" w:sz="0" w:space="0" w:color="auto"/>
        <w:left w:val="none" w:sz="0" w:space="0" w:color="auto"/>
        <w:bottom w:val="none" w:sz="0" w:space="0" w:color="auto"/>
        <w:right w:val="none" w:sz="0" w:space="0" w:color="auto"/>
      </w:divBdr>
    </w:div>
    <w:div w:id="2112387508">
      <w:bodyDiv w:val="1"/>
      <w:marLeft w:val="0"/>
      <w:marRight w:val="0"/>
      <w:marTop w:val="0"/>
      <w:marBottom w:val="0"/>
      <w:divBdr>
        <w:top w:val="none" w:sz="0" w:space="0" w:color="auto"/>
        <w:left w:val="none" w:sz="0" w:space="0" w:color="auto"/>
        <w:bottom w:val="none" w:sz="0" w:space="0" w:color="auto"/>
        <w:right w:val="none" w:sz="0" w:space="0" w:color="auto"/>
      </w:divBdr>
    </w:div>
    <w:div w:id="2113091407">
      <w:bodyDiv w:val="1"/>
      <w:marLeft w:val="0"/>
      <w:marRight w:val="0"/>
      <w:marTop w:val="0"/>
      <w:marBottom w:val="0"/>
      <w:divBdr>
        <w:top w:val="none" w:sz="0" w:space="0" w:color="auto"/>
        <w:left w:val="none" w:sz="0" w:space="0" w:color="auto"/>
        <w:bottom w:val="none" w:sz="0" w:space="0" w:color="auto"/>
        <w:right w:val="none" w:sz="0" w:space="0" w:color="auto"/>
      </w:divBdr>
    </w:div>
    <w:div w:id="2113865423">
      <w:bodyDiv w:val="1"/>
      <w:marLeft w:val="0"/>
      <w:marRight w:val="0"/>
      <w:marTop w:val="0"/>
      <w:marBottom w:val="0"/>
      <w:divBdr>
        <w:top w:val="none" w:sz="0" w:space="0" w:color="auto"/>
        <w:left w:val="none" w:sz="0" w:space="0" w:color="auto"/>
        <w:bottom w:val="none" w:sz="0" w:space="0" w:color="auto"/>
        <w:right w:val="none" w:sz="0" w:space="0" w:color="auto"/>
      </w:divBdr>
    </w:div>
    <w:div w:id="2118059009">
      <w:bodyDiv w:val="1"/>
      <w:marLeft w:val="0"/>
      <w:marRight w:val="0"/>
      <w:marTop w:val="0"/>
      <w:marBottom w:val="0"/>
      <w:divBdr>
        <w:top w:val="none" w:sz="0" w:space="0" w:color="auto"/>
        <w:left w:val="none" w:sz="0" w:space="0" w:color="auto"/>
        <w:bottom w:val="none" w:sz="0" w:space="0" w:color="auto"/>
        <w:right w:val="none" w:sz="0" w:space="0" w:color="auto"/>
      </w:divBdr>
    </w:div>
    <w:div w:id="2119641955">
      <w:bodyDiv w:val="1"/>
      <w:marLeft w:val="0"/>
      <w:marRight w:val="0"/>
      <w:marTop w:val="0"/>
      <w:marBottom w:val="0"/>
      <w:divBdr>
        <w:top w:val="none" w:sz="0" w:space="0" w:color="auto"/>
        <w:left w:val="none" w:sz="0" w:space="0" w:color="auto"/>
        <w:bottom w:val="none" w:sz="0" w:space="0" w:color="auto"/>
        <w:right w:val="none" w:sz="0" w:space="0" w:color="auto"/>
      </w:divBdr>
    </w:div>
    <w:div w:id="2119829276">
      <w:bodyDiv w:val="1"/>
      <w:marLeft w:val="0"/>
      <w:marRight w:val="0"/>
      <w:marTop w:val="0"/>
      <w:marBottom w:val="0"/>
      <w:divBdr>
        <w:top w:val="none" w:sz="0" w:space="0" w:color="auto"/>
        <w:left w:val="none" w:sz="0" w:space="0" w:color="auto"/>
        <w:bottom w:val="none" w:sz="0" w:space="0" w:color="auto"/>
        <w:right w:val="none" w:sz="0" w:space="0" w:color="auto"/>
      </w:divBdr>
    </w:div>
    <w:div w:id="2120485843">
      <w:bodyDiv w:val="1"/>
      <w:marLeft w:val="0"/>
      <w:marRight w:val="0"/>
      <w:marTop w:val="0"/>
      <w:marBottom w:val="0"/>
      <w:divBdr>
        <w:top w:val="none" w:sz="0" w:space="0" w:color="auto"/>
        <w:left w:val="none" w:sz="0" w:space="0" w:color="auto"/>
        <w:bottom w:val="none" w:sz="0" w:space="0" w:color="auto"/>
        <w:right w:val="none" w:sz="0" w:space="0" w:color="auto"/>
      </w:divBdr>
    </w:div>
    <w:div w:id="2123068520">
      <w:bodyDiv w:val="1"/>
      <w:marLeft w:val="0"/>
      <w:marRight w:val="0"/>
      <w:marTop w:val="0"/>
      <w:marBottom w:val="0"/>
      <w:divBdr>
        <w:top w:val="none" w:sz="0" w:space="0" w:color="auto"/>
        <w:left w:val="none" w:sz="0" w:space="0" w:color="auto"/>
        <w:bottom w:val="none" w:sz="0" w:space="0" w:color="auto"/>
        <w:right w:val="none" w:sz="0" w:space="0" w:color="auto"/>
      </w:divBdr>
    </w:div>
    <w:div w:id="2123957546">
      <w:bodyDiv w:val="1"/>
      <w:marLeft w:val="0"/>
      <w:marRight w:val="0"/>
      <w:marTop w:val="0"/>
      <w:marBottom w:val="0"/>
      <w:divBdr>
        <w:top w:val="none" w:sz="0" w:space="0" w:color="auto"/>
        <w:left w:val="none" w:sz="0" w:space="0" w:color="auto"/>
        <w:bottom w:val="none" w:sz="0" w:space="0" w:color="auto"/>
        <w:right w:val="none" w:sz="0" w:space="0" w:color="auto"/>
      </w:divBdr>
      <w:divsChild>
        <w:div w:id="1371421079">
          <w:marLeft w:val="547"/>
          <w:marRight w:val="0"/>
          <w:marTop w:val="0"/>
          <w:marBottom w:val="0"/>
          <w:divBdr>
            <w:top w:val="none" w:sz="0" w:space="0" w:color="auto"/>
            <w:left w:val="none" w:sz="0" w:space="0" w:color="auto"/>
            <w:bottom w:val="none" w:sz="0" w:space="0" w:color="auto"/>
            <w:right w:val="none" w:sz="0" w:space="0" w:color="auto"/>
          </w:divBdr>
        </w:div>
      </w:divsChild>
    </w:div>
    <w:div w:id="2124692876">
      <w:bodyDiv w:val="1"/>
      <w:marLeft w:val="0"/>
      <w:marRight w:val="0"/>
      <w:marTop w:val="0"/>
      <w:marBottom w:val="0"/>
      <w:divBdr>
        <w:top w:val="none" w:sz="0" w:space="0" w:color="auto"/>
        <w:left w:val="none" w:sz="0" w:space="0" w:color="auto"/>
        <w:bottom w:val="none" w:sz="0" w:space="0" w:color="auto"/>
        <w:right w:val="none" w:sz="0" w:space="0" w:color="auto"/>
      </w:divBdr>
    </w:div>
    <w:div w:id="2132741290">
      <w:bodyDiv w:val="1"/>
      <w:marLeft w:val="0"/>
      <w:marRight w:val="0"/>
      <w:marTop w:val="0"/>
      <w:marBottom w:val="0"/>
      <w:divBdr>
        <w:top w:val="none" w:sz="0" w:space="0" w:color="auto"/>
        <w:left w:val="none" w:sz="0" w:space="0" w:color="auto"/>
        <w:bottom w:val="none" w:sz="0" w:space="0" w:color="auto"/>
        <w:right w:val="none" w:sz="0" w:space="0" w:color="auto"/>
      </w:divBdr>
    </w:div>
    <w:div w:id="2133135568">
      <w:bodyDiv w:val="1"/>
      <w:marLeft w:val="0"/>
      <w:marRight w:val="0"/>
      <w:marTop w:val="0"/>
      <w:marBottom w:val="0"/>
      <w:divBdr>
        <w:top w:val="none" w:sz="0" w:space="0" w:color="auto"/>
        <w:left w:val="none" w:sz="0" w:space="0" w:color="auto"/>
        <w:bottom w:val="none" w:sz="0" w:space="0" w:color="auto"/>
        <w:right w:val="none" w:sz="0" w:space="0" w:color="auto"/>
      </w:divBdr>
    </w:div>
    <w:div w:id="2135900256">
      <w:bodyDiv w:val="1"/>
      <w:marLeft w:val="0"/>
      <w:marRight w:val="0"/>
      <w:marTop w:val="0"/>
      <w:marBottom w:val="0"/>
      <w:divBdr>
        <w:top w:val="none" w:sz="0" w:space="0" w:color="auto"/>
        <w:left w:val="none" w:sz="0" w:space="0" w:color="auto"/>
        <w:bottom w:val="none" w:sz="0" w:space="0" w:color="auto"/>
        <w:right w:val="none" w:sz="0" w:space="0" w:color="auto"/>
      </w:divBdr>
    </w:div>
    <w:div w:id="2135981814">
      <w:bodyDiv w:val="1"/>
      <w:marLeft w:val="0"/>
      <w:marRight w:val="0"/>
      <w:marTop w:val="0"/>
      <w:marBottom w:val="0"/>
      <w:divBdr>
        <w:top w:val="none" w:sz="0" w:space="0" w:color="auto"/>
        <w:left w:val="none" w:sz="0" w:space="0" w:color="auto"/>
        <w:bottom w:val="none" w:sz="0" w:space="0" w:color="auto"/>
        <w:right w:val="none" w:sz="0" w:space="0" w:color="auto"/>
      </w:divBdr>
    </w:div>
    <w:div w:id="2136095954">
      <w:bodyDiv w:val="1"/>
      <w:marLeft w:val="0"/>
      <w:marRight w:val="0"/>
      <w:marTop w:val="0"/>
      <w:marBottom w:val="0"/>
      <w:divBdr>
        <w:top w:val="none" w:sz="0" w:space="0" w:color="auto"/>
        <w:left w:val="none" w:sz="0" w:space="0" w:color="auto"/>
        <w:bottom w:val="none" w:sz="0" w:space="0" w:color="auto"/>
        <w:right w:val="none" w:sz="0" w:space="0" w:color="auto"/>
      </w:divBdr>
    </w:div>
    <w:div w:id="2136410832">
      <w:bodyDiv w:val="1"/>
      <w:marLeft w:val="0"/>
      <w:marRight w:val="0"/>
      <w:marTop w:val="0"/>
      <w:marBottom w:val="0"/>
      <w:divBdr>
        <w:top w:val="none" w:sz="0" w:space="0" w:color="auto"/>
        <w:left w:val="none" w:sz="0" w:space="0" w:color="auto"/>
        <w:bottom w:val="none" w:sz="0" w:space="0" w:color="auto"/>
        <w:right w:val="none" w:sz="0" w:space="0" w:color="auto"/>
      </w:divBdr>
    </w:div>
    <w:div w:id="2139179825">
      <w:bodyDiv w:val="1"/>
      <w:marLeft w:val="0"/>
      <w:marRight w:val="0"/>
      <w:marTop w:val="0"/>
      <w:marBottom w:val="0"/>
      <w:divBdr>
        <w:top w:val="none" w:sz="0" w:space="0" w:color="auto"/>
        <w:left w:val="none" w:sz="0" w:space="0" w:color="auto"/>
        <w:bottom w:val="none" w:sz="0" w:space="0" w:color="auto"/>
        <w:right w:val="none" w:sz="0" w:space="0" w:color="auto"/>
      </w:divBdr>
    </w:div>
    <w:div w:id="2141340402">
      <w:bodyDiv w:val="1"/>
      <w:marLeft w:val="0"/>
      <w:marRight w:val="0"/>
      <w:marTop w:val="0"/>
      <w:marBottom w:val="0"/>
      <w:divBdr>
        <w:top w:val="none" w:sz="0" w:space="0" w:color="auto"/>
        <w:left w:val="none" w:sz="0" w:space="0" w:color="auto"/>
        <w:bottom w:val="none" w:sz="0" w:space="0" w:color="auto"/>
        <w:right w:val="none" w:sz="0" w:space="0" w:color="auto"/>
      </w:divBdr>
    </w:div>
    <w:div w:id="2141921084">
      <w:bodyDiv w:val="1"/>
      <w:marLeft w:val="0"/>
      <w:marRight w:val="0"/>
      <w:marTop w:val="0"/>
      <w:marBottom w:val="0"/>
      <w:divBdr>
        <w:top w:val="none" w:sz="0" w:space="0" w:color="auto"/>
        <w:left w:val="none" w:sz="0" w:space="0" w:color="auto"/>
        <w:bottom w:val="none" w:sz="0" w:space="0" w:color="auto"/>
        <w:right w:val="none" w:sz="0" w:space="0" w:color="auto"/>
      </w:divBdr>
    </w:div>
    <w:div w:id="2143381605">
      <w:bodyDiv w:val="1"/>
      <w:marLeft w:val="0"/>
      <w:marRight w:val="0"/>
      <w:marTop w:val="0"/>
      <w:marBottom w:val="0"/>
      <w:divBdr>
        <w:top w:val="none" w:sz="0" w:space="0" w:color="auto"/>
        <w:left w:val="none" w:sz="0" w:space="0" w:color="auto"/>
        <w:bottom w:val="none" w:sz="0" w:space="0" w:color="auto"/>
        <w:right w:val="none" w:sz="0" w:space="0" w:color="auto"/>
      </w:divBdr>
    </w:div>
    <w:div w:id="2143620366">
      <w:bodyDiv w:val="1"/>
      <w:marLeft w:val="0"/>
      <w:marRight w:val="0"/>
      <w:marTop w:val="0"/>
      <w:marBottom w:val="0"/>
      <w:divBdr>
        <w:top w:val="none" w:sz="0" w:space="0" w:color="auto"/>
        <w:left w:val="none" w:sz="0" w:space="0" w:color="auto"/>
        <w:bottom w:val="none" w:sz="0" w:space="0" w:color="auto"/>
        <w:right w:val="none" w:sz="0" w:space="0" w:color="auto"/>
      </w:divBdr>
    </w:div>
    <w:div w:id="2145734093">
      <w:bodyDiv w:val="1"/>
      <w:marLeft w:val="0"/>
      <w:marRight w:val="0"/>
      <w:marTop w:val="0"/>
      <w:marBottom w:val="0"/>
      <w:divBdr>
        <w:top w:val="none" w:sz="0" w:space="0" w:color="auto"/>
        <w:left w:val="none" w:sz="0" w:space="0" w:color="auto"/>
        <w:bottom w:val="none" w:sz="0" w:space="0" w:color="auto"/>
        <w:right w:val="none" w:sz="0" w:space="0" w:color="auto"/>
      </w:divBdr>
    </w:div>
    <w:div w:id="214600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hyperlink" Target="https://www.bitre.gov.au/sites/default/files/documents/road_trauma_australia_2020_statistical_summary.pdf" TargetMode="External"/><Relationship Id="rId21" Type="http://schemas.openxmlformats.org/officeDocument/2006/relationships/header" Target="header3.xml"/><Relationship Id="rId34" Type="http://schemas.openxmlformats.org/officeDocument/2006/relationships/footer" Target="footer10.xml"/><Relationship Id="rId42" Type="http://schemas.openxmlformats.org/officeDocument/2006/relationships/hyperlink" Target="https://www.aaa.asn.au/wp-content/uploads/2018/10/AAA-Congestion-Report-2018-FINAL.pdf"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image" Target="media/image37.png"/><Relationship Id="rId84" Type="http://schemas.openxmlformats.org/officeDocument/2006/relationships/image" Target="media/image50.svg"/><Relationship Id="rId89" Type="http://schemas.openxmlformats.org/officeDocument/2006/relationships/image" Target="media/image55.sv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0.svg"/><Relationship Id="rId92"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hyperlink" Target="https://www.bitre.gov.au/statistics/safety" TargetMode="External"/><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jpeg"/><Relationship Id="rId66" Type="http://schemas.openxmlformats.org/officeDocument/2006/relationships/image" Target="media/image35.png"/><Relationship Id="rId79" Type="http://schemas.openxmlformats.org/officeDocument/2006/relationships/image" Target="media/image45.png"/><Relationship Id="rId87" Type="http://schemas.openxmlformats.org/officeDocument/2006/relationships/image" Target="media/image53.svg"/><Relationship Id="rId5" Type="http://schemas.openxmlformats.org/officeDocument/2006/relationships/numbering" Target="numbering.xml"/><Relationship Id="rId61" Type="http://schemas.openxmlformats.org/officeDocument/2006/relationships/image" Target="media/image30.jpeg"/><Relationship Id="rId82" Type="http://schemas.openxmlformats.org/officeDocument/2006/relationships/image" Target="media/image48.svg"/><Relationship Id="rId90" Type="http://schemas.openxmlformats.org/officeDocument/2006/relationships/image" Target="media/image56.png"/><Relationship Id="rId95"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7.jpe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6.svg"/><Relationship Id="rId85" Type="http://schemas.openxmlformats.org/officeDocument/2006/relationships/image" Target="media/image51.png"/><Relationship Id="rId93"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header" Target="header9.xml"/><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footer" Target="footer3.xm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sv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sv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ccam.e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WSP\WSPTEMPLATES\Template\AU%20EN%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2C8C937EA6473CBA027ED6CEAE9029"/>
        <w:category>
          <w:name w:val="General"/>
          <w:gallery w:val="placeholder"/>
        </w:category>
        <w:types>
          <w:type w:val="bbPlcHdr"/>
        </w:types>
        <w:behaviors>
          <w:behavior w:val="content"/>
        </w:behaviors>
        <w:guid w:val="{546783A7-2340-44BC-BD68-C43D6AEDA60B}"/>
      </w:docPartPr>
      <w:docPartBody>
        <w:p w:rsidR="000A0C77" w:rsidRDefault="00632656" w:rsidP="00632656">
          <w:pPr>
            <w:pStyle w:val="5A2C8C937EA6473CBA027ED6CEAE9029"/>
          </w:pPr>
          <w:r w:rsidRPr="000A2003">
            <w:rPr>
              <w:rStyle w:val="PlaceholderText"/>
            </w:rPr>
            <w:t>Click here to enter text.</w:t>
          </w:r>
        </w:p>
      </w:docPartBody>
    </w:docPart>
    <w:docPart>
      <w:docPartPr>
        <w:name w:val="F40F9EB9B72D4028A4C31F0EE8B13DBD"/>
        <w:category>
          <w:name w:val="General"/>
          <w:gallery w:val="placeholder"/>
        </w:category>
        <w:types>
          <w:type w:val="bbPlcHdr"/>
        </w:types>
        <w:behaviors>
          <w:behavior w:val="content"/>
        </w:behaviors>
        <w:guid w:val="{06A287CB-3458-4211-950F-FEF8C199F7A1}"/>
      </w:docPartPr>
      <w:docPartBody>
        <w:p w:rsidR="004324B8" w:rsidRDefault="000A4710">
          <w:pPr>
            <w:pStyle w:val="F40F9EB9B72D4028A4C31F0EE8B13DBD"/>
          </w:pPr>
          <w:r w:rsidRPr="002612D8">
            <w:rPr>
              <w:rStyle w:val="PlaceholderText"/>
            </w:rPr>
            <w:t>Click here to enter text.</w:t>
          </w:r>
        </w:p>
      </w:docPartBody>
    </w:docPart>
    <w:docPart>
      <w:docPartPr>
        <w:name w:val="FED4B32C751147E9829590435159F08E"/>
        <w:category>
          <w:name w:val="General"/>
          <w:gallery w:val="placeholder"/>
        </w:category>
        <w:types>
          <w:type w:val="bbPlcHdr"/>
        </w:types>
        <w:behaviors>
          <w:behavior w:val="content"/>
        </w:behaviors>
        <w:guid w:val="{D86F20F7-E8D0-4D54-BF1A-93871233AB6A}"/>
      </w:docPartPr>
      <w:docPartBody>
        <w:p w:rsidR="00B109DC" w:rsidRDefault="00A62B3F" w:rsidP="00A62B3F">
          <w:pPr>
            <w:pStyle w:val="FED4B32C751147E9829590435159F08E"/>
          </w:pPr>
          <w:r w:rsidRPr="002612D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Gra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CB"/>
    <w:rsid w:val="00000B44"/>
    <w:rsid w:val="00021056"/>
    <w:rsid w:val="000313B3"/>
    <w:rsid w:val="00043B3C"/>
    <w:rsid w:val="000847E0"/>
    <w:rsid w:val="000853B7"/>
    <w:rsid w:val="000A0C77"/>
    <w:rsid w:val="000A4710"/>
    <w:rsid w:val="000A4C55"/>
    <w:rsid w:val="000A617D"/>
    <w:rsid w:val="000E5C07"/>
    <w:rsid w:val="000F7455"/>
    <w:rsid w:val="00130A24"/>
    <w:rsid w:val="00192332"/>
    <w:rsid w:val="001A11F7"/>
    <w:rsid w:val="001A4AEE"/>
    <w:rsid w:val="001F2A8F"/>
    <w:rsid w:val="0022782A"/>
    <w:rsid w:val="0024012C"/>
    <w:rsid w:val="002409B0"/>
    <w:rsid w:val="002724FB"/>
    <w:rsid w:val="00280558"/>
    <w:rsid w:val="00282B17"/>
    <w:rsid w:val="00290DD4"/>
    <w:rsid w:val="002E14B7"/>
    <w:rsid w:val="002E428C"/>
    <w:rsid w:val="002E6054"/>
    <w:rsid w:val="0031600F"/>
    <w:rsid w:val="00324B67"/>
    <w:rsid w:val="00353055"/>
    <w:rsid w:val="003C6CA2"/>
    <w:rsid w:val="003D73AC"/>
    <w:rsid w:val="003F638D"/>
    <w:rsid w:val="00423177"/>
    <w:rsid w:val="004324B8"/>
    <w:rsid w:val="00440BB0"/>
    <w:rsid w:val="004B55E9"/>
    <w:rsid w:val="004C0621"/>
    <w:rsid w:val="005163B5"/>
    <w:rsid w:val="00520632"/>
    <w:rsid w:val="0053194C"/>
    <w:rsid w:val="005764EC"/>
    <w:rsid w:val="00584723"/>
    <w:rsid w:val="005856C5"/>
    <w:rsid w:val="005859E3"/>
    <w:rsid w:val="005965DF"/>
    <w:rsid w:val="005A5FAC"/>
    <w:rsid w:val="005B4418"/>
    <w:rsid w:val="005C297C"/>
    <w:rsid w:val="005C645E"/>
    <w:rsid w:val="005D728E"/>
    <w:rsid w:val="005F133F"/>
    <w:rsid w:val="00605217"/>
    <w:rsid w:val="00632656"/>
    <w:rsid w:val="006746C1"/>
    <w:rsid w:val="00676913"/>
    <w:rsid w:val="00677C89"/>
    <w:rsid w:val="00680F6C"/>
    <w:rsid w:val="006823AE"/>
    <w:rsid w:val="00692356"/>
    <w:rsid w:val="006F7C92"/>
    <w:rsid w:val="007063BE"/>
    <w:rsid w:val="00712412"/>
    <w:rsid w:val="007124C9"/>
    <w:rsid w:val="00731E02"/>
    <w:rsid w:val="00733947"/>
    <w:rsid w:val="00742108"/>
    <w:rsid w:val="00753AA6"/>
    <w:rsid w:val="0077355E"/>
    <w:rsid w:val="0080359E"/>
    <w:rsid w:val="008069AA"/>
    <w:rsid w:val="0083432D"/>
    <w:rsid w:val="00836B4C"/>
    <w:rsid w:val="00875BF5"/>
    <w:rsid w:val="00877673"/>
    <w:rsid w:val="008A7CE5"/>
    <w:rsid w:val="008B3C70"/>
    <w:rsid w:val="008B6FD4"/>
    <w:rsid w:val="008F7F5C"/>
    <w:rsid w:val="00916D94"/>
    <w:rsid w:val="009207A9"/>
    <w:rsid w:val="00924543"/>
    <w:rsid w:val="00950BB7"/>
    <w:rsid w:val="0097544B"/>
    <w:rsid w:val="00977403"/>
    <w:rsid w:val="0098738E"/>
    <w:rsid w:val="009A6C96"/>
    <w:rsid w:val="009C08CF"/>
    <w:rsid w:val="009E2A7E"/>
    <w:rsid w:val="00A0654A"/>
    <w:rsid w:val="00A10D00"/>
    <w:rsid w:val="00A309A1"/>
    <w:rsid w:val="00A3135E"/>
    <w:rsid w:val="00A50DE0"/>
    <w:rsid w:val="00A62B3F"/>
    <w:rsid w:val="00A8560D"/>
    <w:rsid w:val="00A93766"/>
    <w:rsid w:val="00AC36C2"/>
    <w:rsid w:val="00B01F7F"/>
    <w:rsid w:val="00B109DC"/>
    <w:rsid w:val="00B16A90"/>
    <w:rsid w:val="00B3023F"/>
    <w:rsid w:val="00B32174"/>
    <w:rsid w:val="00B34F61"/>
    <w:rsid w:val="00B80187"/>
    <w:rsid w:val="00B91642"/>
    <w:rsid w:val="00B95B41"/>
    <w:rsid w:val="00BB679D"/>
    <w:rsid w:val="00BC38F8"/>
    <w:rsid w:val="00BC3E04"/>
    <w:rsid w:val="00BE3D35"/>
    <w:rsid w:val="00BF6AB6"/>
    <w:rsid w:val="00C00079"/>
    <w:rsid w:val="00C121B4"/>
    <w:rsid w:val="00C40054"/>
    <w:rsid w:val="00C40758"/>
    <w:rsid w:val="00CD5844"/>
    <w:rsid w:val="00CF0B34"/>
    <w:rsid w:val="00D10526"/>
    <w:rsid w:val="00D268AB"/>
    <w:rsid w:val="00D329B3"/>
    <w:rsid w:val="00D56F3C"/>
    <w:rsid w:val="00D603CB"/>
    <w:rsid w:val="00D743D4"/>
    <w:rsid w:val="00D76E80"/>
    <w:rsid w:val="00DA287A"/>
    <w:rsid w:val="00DC358D"/>
    <w:rsid w:val="00DC5B8D"/>
    <w:rsid w:val="00DD790A"/>
    <w:rsid w:val="00E429A5"/>
    <w:rsid w:val="00E44FE6"/>
    <w:rsid w:val="00E53262"/>
    <w:rsid w:val="00E66BB0"/>
    <w:rsid w:val="00E9590F"/>
    <w:rsid w:val="00EA4355"/>
    <w:rsid w:val="00EB3261"/>
    <w:rsid w:val="00ED16E0"/>
    <w:rsid w:val="00F0061E"/>
    <w:rsid w:val="00F05E90"/>
    <w:rsid w:val="00F143D6"/>
    <w:rsid w:val="00F404A7"/>
    <w:rsid w:val="00F82142"/>
    <w:rsid w:val="00FA6825"/>
    <w:rsid w:val="00FB1827"/>
    <w:rsid w:val="00FC5221"/>
    <w:rsid w:val="00FC5830"/>
    <w:rsid w:val="00FE7D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4BEB9B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2B3F"/>
    <w:rPr>
      <w:color w:val="808080"/>
    </w:rPr>
  </w:style>
  <w:style w:type="paragraph" w:customStyle="1" w:styleId="5A2C8C937EA6473CBA027ED6CEAE9029">
    <w:name w:val="5A2C8C937EA6473CBA027ED6CEAE9029"/>
    <w:rsid w:val="00632656"/>
    <w:rPr>
      <w:lang w:val="en-AU" w:eastAsia="en-AU"/>
    </w:rPr>
  </w:style>
  <w:style w:type="paragraph" w:customStyle="1" w:styleId="F40F9EB9B72D4028A4C31F0EE8B13DBD">
    <w:name w:val="F40F9EB9B72D4028A4C31F0EE8B13DBD"/>
    <w:rPr>
      <w:lang w:val="en-AU" w:eastAsia="en-AU"/>
    </w:rPr>
  </w:style>
  <w:style w:type="paragraph" w:customStyle="1" w:styleId="FED4B32C751147E9829590435159F08E">
    <w:name w:val="FED4B32C751147E9829590435159F08E"/>
    <w:rsid w:val="00A62B3F"/>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SP-PB">
  <a:themeElements>
    <a:clrScheme name="WSP Corporate">
      <a:dk1>
        <a:sysClr val="windowText" lastClr="000000"/>
      </a:dk1>
      <a:lt1>
        <a:srgbClr val="FFFFFF"/>
      </a:lt1>
      <a:dk2>
        <a:srgbClr val="F9423A"/>
      </a:dk2>
      <a:lt2>
        <a:srgbClr val="FFFFFF"/>
      </a:lt2>
      <a:accent1>
        <a:srgbClr val="F9423A"/>
      </a:accent1>
      <a:accent2>
        <a:srgbClr val="D8E6F0"/>
      </a:accent2>
      <a:accent3>
        <a:srgbClr val="1E252B"/>
      </a:accent3>
      <a:accent4>
        <a:srgbClr val="333E48"/>
      </a:accent4>
      <a:accent5>
        <a:srgbClr val="D9D9D6"/>
      </a:accent5>
      <a:accent6>
        <a:srgbClr val="EFECEA"/>
      </a:accent6>
      <a:hlink>
        <a:srgbClr val="0046AD"/>
      </a:hlink>
      <a:folHlink>
        <a:srgbClr val="0098DB"/>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haredWithUsers xmlns="0c54d9ea-5a88-4cc0-a438-1d78cd377f63">
      <UserInfo>
        <DisplayName>Alderson, David</DisplayName>
        <AccountId>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8D124FD884CA419FF97379C383377E" ma:contentTypeVersion="10" ma:contentTypeDescription="Create a new document." ma:contentTypeScope="" ma:versionID="38f97db0b6cca08e403b68382c96f87b">
  <xsd:schema xmlns:xsd="http://www.w3.org/2001/XMLSchema" xmlns:xs="http://www.w3.org/2001/XMLSchema" xmlns:p="http://schemas.microsoft.com/office/2006/metadata/properties" xmlns:ns2="0fc4ddf3-1c1e-4bff-86ff-32d95fd4b771" xmlns:ns3="0c54d9ea-5a88-4cc0-a438-1d78cd377f63" targetNamespace="http://schemas.microsoft.com/office/2006/metadata/properties" ma:root="true" ma:fieldsID="9f03c53512f6c3918b6cddf3280b5afa" ns2:_="" ns3:_="">
    <xsd:import namespace="0fc4ddf3-1c1e-4bff-86ff-32d95fd4b771"/>
    <xsd:import namespace="0c54d9ea-5a88-4cc0-a438-1d78cd377f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4ddf3-1c1e-4bff-86ff-32d95fd4b7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54d9ea-5a88-4cc0-a438-1d78cd377f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Bur20</b:Tag>
    <b:SourceType>ElectronicSource</b:SourceType>
    <b:Guid>{89910B6A-0769-43CD-B4F6-C0E5F9BC77FF}</b:Guid>
    <b:Author>
      <b:Author>
        <b:Corporate>Bureau of Infrastructure, Transport and Regional Economics</b:Corporate>
      </b:Author>
    </b:Author>
    <b:Title>Australian Infrastructure Statistics Yearbook</b:Title>
    <b:City>Canberra</b:City>
    <b:Publisher>Bureau of Infrastructure, Transport and Regional Economics</b:Publisher>
    <b:Year>2020</b:Year>
    <b:CountryRegion>Australia</b:CountryRegion>
    <b:URL>https://www.bitre.gov.au/sites/default/files/documents/bitre_aus_infrastructure_yearbook_2020.pdf</b:URL>
    <b:RefOrder>11</b:RefOrder>
  </b:Source>
  <b:Source>
    <b:Tag>Aus181</b:Tag>
    <b:SourceType>ElectronicSource</b:SourceType>
    <b:Guid>{7ABF2155-7A40-4932-8AE1-21D1CC67BC61}</b:Guid>
    <b:Author>
      <b:Author>
        <b:Corporate>Australian Trade and Investment Commission</b:Corporate>
      </b:Author>
    </b:Author>
    <b:Title>Intelligent Transport Systems</b:Title>
    <b:Year>2018</b:Year>
    <b:URL>https://www.austrade.gov.au/future-transport/intelligent-transport-systems/</b:URL>
    <b:RefOrder>71</b:RefOrder>
  </b:Source>
  <b:Source>
    <b:Tag>Fed21</b:Tag>
    <b:SourceType>ElectronicSource</b:SourceType>
    <b:Guid>{17894676-8269-430A-85D4-59818904F0D0}</b:Guid>
    <b:Author>
      <b:Author>
        <b:Corporate>Federal Chamber of Automotive Industries</b:Corporate>
      </b:Author>
    </b:Author>
    <b:Title>Cooperative ITS and associated spectrum considerations</b:Title>
    <b:Year>2021</b:Year>
    <b:URL>Internally available</b:URL>
    <b:RefOrder>4</b:RefOrder>
  </b:Source>
  <b:Source>
    <b:Tag>ITS20</b:Tag>
    <b:SourceType>ElectronicSource</b:SourceType>
    <b:Guid>{2B563836-DED7-4B5A-A897-CF867B5CD2C9}</b:Guid>
    <b:Author>
      <b:Author>
        <b:Corporate>ITS Standards</b:Corporate>
      </b:Author>
    </b:Author>
    <b:Title>Cooperative intelligent transport systems (C-ITS)</b:Title>
    <b:Year>2020</b:Year>
    <b:URL>http://its-standards.info/Guidelines/IntroductionC-ITS.html</b:URL>
    <b:RefOrder>5</b:RefOrder>
  </b:Source>
  <b:Source>
    <b:Tag>Inf21</b:Tag>
    <b:SourceType>ElectronicSource</b:SourceType>
    <b:Guid>{CC0852FE-DA9A-45D3-9999-0F3168ED4A9E}</b:Guid>
    <b:Author>
      <b:Author>
        <b:Corporate>Infrastructure and Transport Ministers</b:Corporate>
      </b:Author>
    </b:Author>
    <b:Title>National Road Safety Strategy 2021-30</b:Title>
    <b:Year>2021</b:Year>
    <b:URL>https://www.roadsafety.gov.au/sites/default/files/documents/National-Road-Safety-Strategy-2021-30.pdf</b:URL>
    <b:RefOrder>6</b:RefOrder>
  </b:Source>
  <b:Source>
    <b:Tag>BIT15</b:Tag>
    <b:SourceType>ElectronicSource</b:SourceType>
    <b:Guid>{C425EE6E-B295-4F2B-9B7E-638C5F5D11C4}</b:Guid>
    <b:Author>
      <b:Author>
        <b:Corporate>BITRE</b:Corporate>
      </b:Author>
    </b:Author>
    <b:Title>Traffic and congestion cost trends for Australian capital cities</b:Title>
    <b:Year>2015</b:Year>
    <b:URL>https://www.bitre.gov.au/publications/2015/is_074</b:URL>
    <b:RefOrder>7</b:RefOrder>
  </b:Source>
  <b:Source>
    <b:Tag>BIT21</b:Tag>
    <b:SourceType>ElectronicSource</b:SourceType>
    <b:Guid>{7225D3D9-2422-4DDA-854C-F2D3867A8660}</b:Guid>
    <b:Author>
      <b:Author>
        <b:Corporate>BITRE</b:Corporate>
      </b:Author>
    </b:Author>
    <b:Title>Safety Statistics</b:Title>
    <b:Year>2021a</b:Year>
    <b:PublicationTitle>Monthly Road Deaths Dashboard</b:PublicationTitle>
    <b:DayAccessed>12/12/2021</b:DayAccessed>
    <b:URL>https://www.bitre.gov.au/statistics/safety</b:URL>
    <b:RefOrder>8</b:RefOrder>
  </b:Source>
  <b:Source>
    <b:Tag>BIT211</b:Tag>
    <b:SourceType>ElectronicSource</b:SourceType>
    <b:Guid>{8D18B38E-44AA-45BB-BDAE-7E43C4E9CF1C}</b:Guid>
    <b:Author>
      <b:Author>
        <b:Corporate>BITRE</b:Corporate>
      </b:Author>
    </b:Author>
    <b:Title>Road trauma Australia 2020 statistical summary</b:Title>
    <b:Year>2021b</b:Year>
    <b:DayAccessed>12/12/2021</b:DayAccessed>
    <b:URL>https://www.bitre.gov.au/sites/default/files/documents/road_trauma_australia_2020_statistical_summary.pdf </b:URL>
    <b:RefOrder>10</b:RefOrder>
  </b:Source>
  <b:Source>
    <b:Tag>DIT211</b:Tag>
    <b:SourceType>ElectronicSource</b:SourceType>
    <b:Guid>{176A6FDD-37C8-4C81-BAA6-643F574AC044}</b:Guid>
    <b:Author>
      <b:Author>
        <b:Corporate>DITRDC</b:Corporate>
      </b:Author>
    </b:Author>
    <b:Title>Infrastructure and Transport Ministers' Meeting FRIDAY, 28 May 2021</b:Title>
    <b:Year>2021</b:Year>
    <b:URL>https://www.infrastructure.gov.au/sites/default/files/documents/15th-infrastructure-and-transport-ministers-meeting-communique-28-may-2021.pdf</b:URL>
    <b:RefOrder>9</b:RefOrder>
  </b:Source>
  <b:Source>
    <b:Tag>ATA21</b:Tag>
    <b:SourceType>ElectronicSource</b:SourceType>
    <b:Guid>{EC353A05-A4C3-4608-B9AA-FC3D62B5BA05}</b:Guid>
    <b:Author>
      <b:Author>
        <b:Corporate>ATAP</b:Corporate>
      </b:Author>
    </b:Author>
    <b:Title>Value of travel time for vehicle occupants</b:Title>
    <b:Year>2021</b:Year>
    <b:URL>https://www.atap.gov.au/parameter-values/road-transport/3-travel-time</b:URL>
    <b:RefOrder>12</b:RefOrder>
  </b:Source>
  <b:Source>
    <b:Tag>Lev19</b:Tag>
    <b:SourceType>ElectronicSource</b:SourceType>
    <b:Guid>{6709427D-D235-43F8-BEF6-7C4C25B1B1FB}</b:Guid>
    <b:Author>
      <b:Author>
        <b:NameList>
          <b:Person>
            <b:Last>Levin</b:Last>
            <b:First>S</b:First>
          </b:Person>
          <b:Person>
            <b:Last>Skinner</b:Last>
            <b:First>I</b:First>
          </b:Person>
          <b:Person>
            <b:Last>Nokes</b:Last>
            <b:First>T</b:First>
          </b:Person>
        </b:NameList>
      </b:Author>
    </b:Author>
    <b:Title>European Commission, Directorate-General for Mobility and Transport</b:Title>
    <b:Year>2019</b:Year>
    <b:PublicationTitle>Support study for impact assessment of cooperative intelligent transport systems : final report</b:PublicationTitle>
    <b:Publisher>Publications Office</b:Publisher>
    <b:URL>https://data.europa.eu/doi/10.2832/067308</b:URL>
    <b:RefOrder>1</b:RefOrder>
  </b:Source>
  <b:Source>
    <b:Tag>Dep211</b:Tag>
    <b:SourceType>ElectronicSource</b:SourceType>
    <b:Guid>{120AFD43-D8EC-442D-8231-8AE291B504A7}</b:Guid>
    <b:Title>Data and Digital Ministers' Meeting Communiqué 13 August 2021</b:Title>
    <b:Year>2021</b:Year>
    <b:Author>
      <b:Author>
        <b:Corporate>Department of the Prime Minister and Cabinet</b:Corporate>
      </b:Author>
    </b:Author>
    <b:URL>https://www.pmc.gov.au/sites/default/files/publications/20210813-ddmm-communique.pdf</b:URL>
    <b:RefOrder>13</b:RefOrder>
  </b:Source>
  <b:Source>
    <b:Tag>C2C19</b:Tag>
    <b:SourceType>ElectronicSource</b:SourceType>
    <b:Guid>{9E44D716-CD06-48BF-B54B-C810F0E2B361}</b:Guid>
    <b:Author>
      <b:Author>
        <b:Corporate>C2CCC</b:Corporate>
      </b:Author>
    </b:Author>
    <b:Title>Guidance for day 2 and beyond roadmap</b:Title>
    <b:Year>2019</b:Year>
    <b:URL>https://www.car-2-car.org/fileadmin/documents/General_Documents/C2CCC_WP_2072_RoadmapDay2AndBeyond.pdf </b:URL>
    <b:RefOrder>14</b:RefOrder>
  </b:Source>
  <b:Source>
    <b:Tag>Cus22</b:Tag>
    <b:SourceType>ElectronicSource</b:SourceType>
    <b:Guid>{10E3CB27-3A72-4F74-B1AF-684BC67DF0D8}</b:Guid>
    <b:Author>
      <b:Author>
        <b:Corporate>Customer Service NSW</b:Corporate>
      </b:Author>
    </b:Author>
    <b:Title>Cloud Strategy</b:Title>
    <b:Year>2022</b:Year>
    <b:URL>https://www.digital.nsw.gov.au/policy/cloud-strategy-and-policy/cloud-strategy</b:URL>
    <b:RefOrder>15</b:RefOrder>
  </b:Source>
  <b:Source>
    <b:Tag>Com15</b:Tag>
    <b:SourceType>ElectronicSource</b:SourceType>
    <b:Guid>{29442E76-8846-4807-8215-BCC587F07AD0}</b:Guid>
    <b:Author>
      <b:Author>
        <b:Corporate>Commissioner for Privacy and Data Protection</b:Corporate>
      </b:Author>
    </b:Author>
    <b:Title>Cloud Computing in the Victorian Public Sector</b:Title>
    <b:Year>2015</b:Year>
    <b:URL>https://ovic.vic.gov.au/wp-content/uploads/2018/07/Cloud_Computing_in_the_Victorian_Public_sector.pdf</b:URL>
    <b:RefOrder>16</b:RefOrder>
  </b:Source>
  <b:Source>
    <b:Tag>Dep22</b:Tag>
    <b:SourceType>ElectronicSource</b:SourceType>
    <b:Guid>{497237EE-AD91-496E-BDA7-BD4D1D2D0D7F}</b:Guid>
    <b:Author>
      <b:Author>
        <b:Corporate>Department of Communities, Housing and Digital Economy</b:Corporate>
      </b:Author>
    </b:Author>
    <b:Title>Cloud Computing</b:Title>
    <b:Year>2022</b:Year>
    <b:URL>https://www.qgcio.qld.gov.au/ict-strategy/cloud-computing</b:URL>
    <b:RefOrder>17</b:RefOrder>
  </b:Source>
  <b:Source>
    <b:Tag>DTA17</b:Tag>
    <b:SourceType>ElectronicSource</b:SourceType>
    <b:Guid>{143A2E29-7EE7-45C6-A3E8-B4C2A280738C}</b:Guid>
    <b:Author>
      <b:Author>
        <b:Corporate>DTA</b:Corporate>
      </b:Author>
    </b:Author>
    <b:Title>Secure Cloud Strategy</b:Title>
    <b:Year>2017</b:Year>
    <b:URL>https://dta-www-drupal-20180130215411153400000001.s3.ap-southeast-2.amazonaws.com/s3fs-public/files/cloud/secure-cloud-strategy.pdf</b:URL>
    <b:RefOrder>18</b:RefOrder>
  </b:Source>
  <b:Source>
    <b:Tag>Nat21</b:Tag>
    <b:SourceType>ElectronicSource</b:SourceType>
    <b:Guid>{F903828E-DDD6-4650-9CC2-2CA66AD51CE4}</b:Guid>
    <b:Author>
      <b:Author>
        <b:Corporate>National Road Safety Strategy</b:Corporate>
      </b:Author>
    </b:Author>
    <b:Title>Fact sheet: Vision Zero and the Safe System</b:Title>
    <b:Year>2021</b:Year>
    <b:URL>https://www.roadsafety.gov.au/nrss/fact-sheets/vision-zero-safe-system</b:URL>
    <b:RefOrder>20</b:RefOrder>
  </b:Source>
  <b:Source>
    <b:Tag>FCA19</b:Tag>
    <b:SourceType>ElectronicSource</b:SourceType>
    <b:Guid>{0FD5A145-CC69-49A3-9E8B-A2761FBE4C9E}</b:Guid>
    <b:Author>
      <b:Author>
        <b:Corporate>FCAI</b:Corporate>
      </b:Author>
    </b:Author>
    <b:Title>Federal Chamber of Automotive Industries</b:Title>
    <b:Year>2019</b:Year>
    <b:PublicationTitle>Representing the Australian automotive industry</b:PublicationTitle>
    <b:URL>https://www.fcai.com.au/about</b:URL>
    <b:RefOrder>21</b:RefOrder>
  </b:Source>
  <b:Source>
    <b:Tag>ETS09</b:Tag>
    <b:SourceType>ElectronicSource</b:SourceType>
    <b:Guid>{4B2EE5E9-EE1C-4236-B6F8-013004C0C06F}</b:Guid>
    <b:Author>
      <b:Author>
        <b:Corporate>ETSI</b:Corporate>
      </b:Author>
    </b:Author>
    <b:Title>ETSI TR 102 638 V1.1.1</b:Title>
    <b:Year>2009</b:Year>
    <b:PublicationTitle>Intelligent Transport Systems (ITS);Vehicular Communications; Basic Set of Applications; Definitions</b:PublicationTitle>
    <b:URL>https://www.etsi.org/deliver/etsi_tr/102600_102699/102638/01.01.01_60/tr_102638v010101p.pdf</b:URL>
    <b:RefOrder>72</b:RefOrder>
  </b:Source>
  <b:Source>
    <b:Tag>Cen21</b:Tag>
    <b:SourceType>ElectronicSource</b:SourceType>
    <b:Guid>{7CCC50E4-C733-4ECA-A410-1C2FC8620EBD}</b:Guid>
    <b:Author>
      <b:Author>
        <b:Corporate>Centre for Road Safety</b:Corporate>
      </b:Author>
    </b:Author>
    <b:Title>Cooperative Intelligent Transport Initiative (CITI) Light Vehicle Study Driver Feedback Summary Report June 2021</b:Title>
    <b:Year>2021</b:Year>
    <b:Publisher>TFNSW</b:Publisher>
    <b:URL>https://roadsafety.transport.nsw.gov.au/downloads/citi-light-vehicle-driver-feedback.pdf</b:URL>
    <b:RefOrder>22</b:RefOrder>
  </b:Source>
  <b:Source>
    <b:Tag>iMo21</b:Tag>
    <b:SourceType>ElectronicSource</b:SourceType>
    <b:Guid>{958498C0-63C9-4261-A6BF-BFF49E955724}</b:Guid>
    <b:Author>
      <b:Author>
        <b:Corporate>iMove Australia and Department of Transport and Main Roads</b:Corporate>
      </b:Author>
    </b:Author>
    <b:Title>Ipswich Connected Vehicle Pilot</b:Title>
    <b:Year>2021</b:Year>
    <b:PublicationTitle>C-ITS component of the Cooperative and Automated Vehicle Initiative: Preliminary Findings for Safety Evaluation and User Perception</b:PublicationTitle>
    <b:URL>https://imoveaustralia.com/wp-content/uploads/2021/10/Ipswich-Connected-Vehicle-Pilot-C-ITS-Component-webinar-slide-deck-FINAL.pdf</b:URL>
    <b:RefOrder>23</b:RefOrder>
  </b:Source>
  <b:Source>
    <b:Tag>ERT19</b:Tag>
    <b:SourceType>ElectronicSource</b:SourceType>
    <b:Guid>{0C6DC984-9FC9-46EE-8831-58F2408F3326}</b:Guid>
    <b:Author>
      <b:Author>
        <b:Corporate>ERTRAC</b:Corporate>
      </b:Author>
    </b:Author>
    <b:Title>Connected Automated Drivign Roadmap Version 8</b:Title>
    <b:Year>2019</b:Year>
    <b:URL>https://www.ertrac.org/uploads/documentsearch/id57/ERTRAC-CAD-Roadmap-2019.pdf</b:URL>
    <b:RefOrder>19</b:RefOrder>
  </b:Source>
  <b:Source>
    <b:Tag>Lex21</b:Tag>
    <b:SourceType>ElectronicSource</b:SourceType>
    <b:Guid>{FEF4D392-B82A-428F-8F5F-43DECC9E2CFA}</b:Guid>
    <b:Author>
      <b:Author>
        <b:Corporate>Lexus Australia et al</b:Corporate>
      </b:Author>
    </b:Author>
    <b:Title>Enabling Infrastructure to Vehicle Communication for Safety Applications of Connected Vehicles in Carlton, Victoria – Initial Test</b:Title>
    <b:Year>2021</b:Year>
    <b:RefOrder>24</b:RefOrder>
  </b:Source>
  <b:Source>
    <b:Tag>TfN19</b:Tag>
    <b:SourceType>ElectronicSource</b:SourceType>
    <b:Guid>{D278C7F2-53E2-426C-9487-1F998F8E9A04}</b:Guid>
    <b:Author>
      <b:Author>
        <b:Corporate>TfNSW</b:Corporate>
      </b:Author>
    </b:Author>
    <b:Title>Cooperative Intelligent Transport Initiative (CITI)</b:Title>
    <b:Year>2019</b:Year>
    <b:URL>https://roadsafety.transport.nsw.gov.au/downloads/citi-overview.pdf</b:URL>
    <b:RefOrder>25</b:RefOrder>
  </b:Source>
  <b:Source>
    <b:Tag>Que22</b:Tag>
    <b:SourceType>ElectronicSource</b:SourceType>
    <b:Guid>{FDBBFFBA-7EB8-4090-88ED-B6D06ECC46B6}</b:Guid>
    <b:Author>
      <b:Author>
        <b:Corporate>Queensland Government</b:Corporate>
      </b:Author>
    </b:Author>
    <b:Title>CAVI components</b:Title>
    <b:Year>2022a</b:Year>
    <b:URL>https://www.qld.gov.au/transport/projects/cavi/cavi-components </b:URL>
    <b:RefOrder>3</b:RefOrder>
  </b:Source>
  <b:Source>
    <b:Tag>Que2b</b:Tag>
    <b:SourceType>ElectronicSource</b:SourceType>
    <b:Guid>{E5230863-43A2-4DB8-926D-B52701A411DB}</b:Guid>
    <b:Author>
      <b:Author>
        <b:Corporate>Queensland Government</b:Corporate>
      </b:Author>
    </b:Author>
    <b:Title>Ipswich Connected Vehicle Pilot</b:Title>
    <b:Year>2022b</b:Year>
    <b:URL>https://www.qld.gov.au/transport/projects/cavi/ipswich-connected-vehicle-pilot</b:URL>
    <b:RefOrder>26</b:RefOrder>
  </b:Source>
  <b:Source>
    <b:Tag>The22</b:Tag>
    <b:SourceType>ElectronicSource</b:SourceType>
    <b:Guid>{1F8C1EF4-DACD-418A-81D2-38B9B8A21722}</b:Guid>
    <b:Author>
      <b:Author>
        <b:Corporate>The University of Melbourne</b:Corporate>
      </b:Author>
    </b:Author>
    <b:Title>AIMES</b:Title>
    <b:Year>2022</b:Year>
    <b:URL>http://www.aimes.com.au/</b:URL>
    <b:RefOrder>27</b:RefOrder>
  </b:Source>
  <b:Source>
    <b:Tag>CRo21</b:Tag>
    <b:SourceType>ElectronicSource</b:SourceType>
    <b:Guid>{E2D20068-4500-439D-9FA9-955DF207EB38}</b:Guid>
    <b:Author>
      <b:Author>
        <b:Corporate>C-Roads</b:Corporate>
      </b:Author>
    </b:Author>
    <b:Title>C-ITS in Europe is Reality Today</b:Title>
    <b:Year>2021</b:Year>
    <b:URL>https://www.c-roads.eu/news/News/entry/show/c-its-in-europe-is-reality-today.html</b:URL>
    <b:RefOrder>28</b:RefOrder>
  </b:Source>
  <b:Source>
    <b:Tag>USD20</b:Tag>
    <b:SourceType>ElectronicSource</b:SourceType>
    <b:Guid>{E84221E7-B7C2-480F-92E7-29AE5507CF3A}</b:Guid>
    <b:Author>
      <b:Author>
        <b:Corporate>USDOT</b:Corporate>
      </b:Author>
    </b:Author>
    <b:Title>The Safety Band at Work: Current Deployments</b:Title>
    <b:Year>2020</b:Year>
    <b:URL>https://www.transportation.gov/sites/dot.gov/files/pictures/CV%20Deployment%20Map%201-2020.jpg</b:URL>
    <b:RefOrder>29</b:RefOrder>
  </b:Source>
  <b:Source>
    <b:Tag>Min17</b:Tag>
    <b:SourceType>ElectronicSource</b:SourceType>
    <b:Guid>{8E7A1A94-0BB7-4743-9EE3-5A3FF1B14127}</b:Guid>
    <b:Author>
      <b:Author>
        <b:Corporate>Ministry of Land Infrastructure and Transport</b:Corporate>
      </b:Author>
    </b:Author>
    <b:Title>Introduction of Korean ITS</b:Title>
    <b:Year>2017</b:Year>
    <b:URL>https://www.unescap.org/sites/default/files/Country%20presentation%20-%20Korea.pdf</b:URL>
    <b:RefOrder>30</b:RefOrder>
  </b:Source>
  <b:Source>
    <b:Tag>TfN21</b:Tag>
    <b:SourceType>ElectronicSource</b:SourceType>
    <b:Guid>{FE22B740-736E-44A3-BB25-D6FA94A9E4BD}</b:Guid>
    <b:Author>
      <b:Author>
        <b:Corporate>TfNSW</b:Corporate>
      </b:Author>
    </b:Author>
    <b:Title>Smart-cities traffic management technology set for major upgrade</b:Title>
    <b:Year>2021</b:Year>
    <b:URL>https://www.transport.nsw.gov.au/news-and-events/media-releases/smart-cities-traffic-management-technology-set-for-major-upgrade</b:URL>
    <b:RefOrder>70</b:RefOrder>
  </b:Source>
  <b:Source>
    <b:Tag>MTA21</b:Tag>
    <b:SourceType>ElectronicSource</b:SourceType>
    <b:Guid>{3EF2F29F-3C50-478B-A8FB-36FF87D4BB80}</b:Guid>
    <b:Author>
      <b:Author>
        <b:Corporate>MTA Queensland</b:Corporate>
      </b:Author>
    </b:Author>
    <b:Title>Queensland's connected vehicle pilot wraps up</b:Title>
    <b:Year>2021</b:Year>
    <b:URL>https://www.mtaq.com.au/queenslands-connected-vehicle-pilot-wraps-up/</b:URL>
    <b:RefOrder>69</b:RefOrder>
  </b:Source>
  <b:Source>
    <b:Tag>TCA18</b:Tag>
    <b:SourceType>ElectronicSource</b:SourceType>
    <b:Guid>{E978317E-8B48-4A7C-81E4-A4644CD08EB8}</b:Guid>
    <b:Author>
      <b:Author>
        <b:Corporate>TCA</b:Corporate>
      </b:Author>
    </b:Author>
    <b:Title>Key decisions to progress Australian deployment of a security credential management system (SCMS)</b:Title>
    <b:Year>2018</b:Year>
    <b:URL>https://tca.gov.au/wp-content/uploads/2020/01/ExecutiveCompanion-SCMS-TCA.pdf</b:URL>
    <b:RefOrder>68</b:RefOrder>
  </b:Source>
  <b:Source>
    <b:Tag>Zen21</b:Tag>
    <b:SourceType>ElectronicSource</b:SourceType>
    <b:Guid>{CEC3FF0B-1526-4C2E-9C1E-E43333191DD7}</b:Guid>
    <b:Author>
      <b:Author>
        <b:Corporate>Zenzic</b:Corporate>
      </b:Author>
    </b:Author>
    <b:Title>Roadmap</b:Title>
    <b:Year>2021</b:Year>
    <b:URL>https://zenzic.io/roadmap/</b:URL>
    <b:RefOrder>66</b:RefOrder>
  </b:Source>
  <b:Source>
    <b:Tag>SAE22</b:Tag>
    <b:SourceType>ElectronicSource</b:SourceType>
    <b:Guid>{1347FEDF-1462-4388-8B81-BF23E4C40A53}</b:Guid>
    <b:Author>
      <b:Author>
        <b:Corporate>SAE International</b:Corporate>
      </b:Author>
    </b:Author>
    <b:Title>About CAVSource</b:Title>
    <b:Year>2022</b:Year>
    <b:PublicationTitle>See where CAV is heading</b:PublicationTitle>
    <b:URL>https://www.sae.org/highlights/cav-source</b:URL>
    <b:RefOrder>67</b:RefOrder>
  </b:Source>
  <b:Source>
    <b:Tag>Kor21</b:Tag>
    <b:SourceType>ElectronicSource</b:SourceType>
    <b:Guid>{1C338EC4-94F9-40C6-83DB-F4481EE44061}</b:Guid>
    <b:Author>
      <b:Author>
        <b:Corporate>Korea Bizwire</b:Corporate>
      </b:Author>
    </b:Author>
    <b:Title>Next-generation Intelligence Transport System to be Established Nationwide by 2027</b:Title>
    <b:Year>2021</b:Year>
    <b:URL>http://koreabizwire.com/next-generation-intelligence-transport-system-to-be-established-nationwide-by-2027/202149 </b:URL>
    <b:RefOrder>45</b:RefOrder>
  </b:Source>
  <b:Source>
    <b:Tag>Aus22</b:Tag>
    <b:SourceType>ElectronicSource</b:SourceType>
    <b:Guid>{6270768B-6FE0-4A99-8596-CF13D2DA3402}</b:Guid>
    <b:Author>
      <b:Author>
        <b:Corporate>Austroads</b:Corporate>
      </b:Author>
    </b:Author>
    <b:Title>Upcoming and Active Projects</b:Title>
    <b:Year>2022</b:Year>
    <b:PublicationTitle>FCA6314 Connected vehicle and road agency data exchange</b:PublicationTitle>
    <b:URL>https://austroads.com.au/projects</b:URL>
    <b:RefOrder>65</b:RefOrder>
  </b:Source>
  <b:Source>
    <b:Tag>NTC20</b:Tag>
    <b:SourceType>ElectronicSource</b:SourceType>
    <b:Guid>{BD433149-288C-41A0-A5D9-6B18243F3CD1}</b:Guid>
    <b:Author>
      <b:Author>
        <b:Corporate>NTC</b:Corporate>
      </b:Author>
    </b:Author>
    <b:Title>Government access to vehicle-generated data</b:Title>
    <b:Year>2020</b:Year>
    <b:URL>https://www.ntc.gov.au/transport-reform/ntc-projects/government-access-vehicle-generated-data</b:URL>
    <b:RefOrder>64</b:RefOrder>
  </b:Source>
  <b:Source>
    <b:Tag>Aus21</b:Tag>
    <b:SourceType>ElectronicSource</b:SourceType>
    <b:Guid>{A76461EE-8AB3-49F7-B49E-81617B5A49F1}</b:Guid>
    <b:Author>
      <b:Author>
        <b:Corporate>Austroads</b:Corporate>
      </b:Author>
    </b:Author>
    <b:Title>Road Authority Data for Connected and Automated Vehicles: Guidance for Agency Data Provision to Connected and Automated Vehicles</b:Title>
    <b:Year>2021</b:Year>
    <b:URL>https://austroads.com.au/publications/connected-and-automated-vehicles/ap-r662-21</b:URL>
    <b:RefOrder>63</b:RefOrder>
  </b:Source>
  <b:Source>
    <b:Tag>NXP20</b:Tag>
    <b:SourceType>ElectronicSource</b:SourceType>
    <b:Guid>{25B6A705-68D7-480A-942E-266CD807CD89}</b:Guid>
    <b:Author>
      <b:Author>
        <b:Corporate>NXP</b:Corporate>
      </b:Author>
    </b:Author>
    <b:Title>Choosing the right V2X Technology</b:Title>
    <b:Year>2020</b:Year>
    <b:PublicationTitle>Straight talk on DSRC and 5G</b:PublicationTitle>
    <b:URL>https://www.nxp.com/docs/en/supporting-information/CHOOSING-RIGHT-V2X-TECHNOLOGY.pdf</b:URL>
    <b:RefOrder>47</b:RefOrder>
  </b:Source>
  <b:Source>
    <b:Tag>ACM17</b:Tag>
    <b:SourceType>ElectronicSource</b:SourceType>
    <b:Guid>{8148AB10-3A74-4B1F-A5C1-789C1C7B7014}</b:Guid>
    <b:Author>
      <b:Author>
        <b:Corporate>ACMA</b:Corporate>
      </b:Author>
    </b:Author>
    <b:Title>Radiocommunications (Intelligent Transport Systems) Class Licence 2017</b:Title>
    <b:Year>2017</b:Year>
    <b:URL>https://www.legislation.gov.au/Details/F2018L00026</b:URL>
    <b:RefOrder>62</b:RefOrder>
  </b:Source>
  <b:Source>
    <b:Tag>FCA21</b:Tag>
    <b:SourceType>ElectronicSource</b:SourceType>
    <b:Guid>{96AB4E67-391A-42F5-A7D7-C259531F459D}</b:Guid>
    <b:Author>
      <b:Author>
        <b:Corporate>FCAI</b:Corporate>
      </b:Author>
    </b:Author>
    <b:Title>Cooperative ITS and associated spectrum considerations</b:Title>
    <b:Year>2021</b:Year>
    <b:PublicationTitle>Internally available</b:PublicationTitle>
    <b:RefOrder>46</b:RefOrder>
  </b:Source>
  <b:Source>
    <b:Tag>BIT20</b:Tag>
    <b:SourceType>ElectronicSource</b:SourceType>
    <b:Guid>{95F1EBBF-291B-4AD3-A2E4-91A1C7CD28AD}</b:Guid>
    <b:Author>
      <b:Author>
        <b:Corporate>BITRE</b:Corporate>
      </b:Author>
    </b:Author>
    <b:Title>Australian Infrastructure Statistics Yearbook 2020</b:Title>
    <b:Year>2020</b:Year>
    <b:PublicationTitle>Domestic freight by transport mode - total bulk and non-bulk - road 2019-20</b:PublicationTitle>
    <b:URL>https://www.bitre.gov.au/sites/default/files/documents/bitre_aus_infrastructure_yearbook_2020.pdf</b:URL>
    <b:RefOrder>59</b:RefOrder>
  </b:Source>
  <b:Source>
    <b:Tag>DIT191</b:Tag>
    <b:SourceType>ElectronicSource</b:SourceType>
    <b:Guid>{71F72DE3-9743-407A-AD02-23843F0547D2}</b:Guid>
    <b:Title>National Land Transport Technology Action Plan 2020-2023</b:Title>
    <b:City>Canberra</b:City>
    <b:Year>2019</b:Year>
    <b:StateProvince>ACT</b:StateProvince>
    <b:URL>https://www.infrastructure.gov.au/infrastructure-transport-vehicles/transport-strategy-policy/office-future-transport-technology/national-land-transport-technology-action-plan</b:URL>
    <b:Publisher>DITRDC</b:Publisher>
    <b:Author>
      <b:Author>
        <b:Corporate>Transport and Infrastructure Council</b:Corporate>
      </b:Author>
    </b:Author>
    <b:RefOrder>2</b:RefOrder>
  </b:Source>
  <b:Source>
    <b:Tag>BIT14</b:Tag>
    <b:SourceType>ElectronicSource</b:SourceType>
    <b:Guid>{5B79ACA6-50F7-4654-A70E-C5EA4DADBBD4}</b:Guid>
    <b:Author>
      <b:Author>
        <b:Corporate>BITRE</b:Corporate>
      </b:Author>
    </b:Author>
    <b:Title>Freightline 1—Australia freight transport overview</b:Title>
    <b:Year>2014</b:Year>
    <b:URL>https://www.bitre.gov.au/publications/2014/freightline_01</b:URL>
    <b:RefOrder>58</b:RefOrder>
  </b:Source>
  <b:Source>
    <b:Tag>UNE10</b:Tag>
    <b:SourceType>ElectronicSource</b:SourceType>
    <b:Guid>{FA280D13-432B-45FF-9635-8EA57BAEE628}</b:Guid>
    <b:Author>
      <b:Author>
        <b:Corporate>UNECE</b:Corporate>
      </b:Author>
    </b:Author>
    <b:Title>WP.29 - Introduction</b:Title>
    <b:Year>2010</b:Year>
    <b:PublicationTitle>World Forum for Harmonization of Vehicle Regulations (WP.29)</b:PublicationTitle>
    <b:URL>https://unece.org/wp29-introduction</b:URL>
    <b:RefOrder>53</b:RefOrder>
  </b:Source>
  <b:Source>
    <b:Tag>UNE21</b:Tag>
    <b:SourceType>ElectronicSource</b:SourceType>
    <b:Guid>{F6CA0BC9-C00C-4424-B490-864B0DAFAE8C}</b:Guid>
    <b:Author>
      <b:Author>
        <b:Corporate>UNECE</b:Corporate>
      </b:Author>
    </b:Author>
    <b:Title>Working Party on Automated/Autonomous and Connected Vehicles - Introduction</b:Title>
    <b:Year>2021</b:Year>
    <b:URL>https://unece.org/transport/vehicle-regulations/working-party-automatedautonomous-and-connected-vehicles-introduction </b:URL>
    <b:RefOrder>54</b:RefOrder>
  </b:Source>
  <b:Source>
    <b:Tag>UNE06</b:Tag>
    <b:SourceType>ElectronicSource</b:SourceType>
    <b:Guid>{5C0FB342-983A-4E6A-B3B6-DC2299C5A6BA}</b:Guid>
    <b:Author>
      <b:Author>
        <b:Corporate>UNECE</b:Corporate>
      </b:Author>
    </b:Author>
    <b:Title>Regulation and Standard Setting in Australia</b:Title>
    <b:Year>2006</b:Year>
    <b:URL>https://unece.org/DAM/trans/doc/2006/wp29/WP29-139-17e.pdf</b:URL>
    <b:RefOrder>55</b:RefOrder>
  </b:Source>
  <b:Source>
    <b:Tag>ANC21</b:Tag>
    <b:SourceType>ElectronicSource</b:SourceType>
    <b:Guid>{927DC698-F310-4DC4-A1C4-E188F2390371}</b:Guid>
    <b:Author>
      <b:Author>
        <b:Corporate>ANCAP</b:Corporate>
      </b:Author>
    </b:Author>
    <b:Title>Submission to the joint select committee on road safety</b:Title>
    <b:Year>2021</b:Year>
    <b:URL>https://s3.amazonaws.com/cdn.ancap.com.au/app/public/assets/c795cc9feb2a00f10e2fbfae0b8f7c2f7a2e1663/original.pdf?%201634173431</b:URL>
    <b:RefOrder>56</b:RefOrder>
  </b:Source>
  <b:Source>
    <b:Tag>ANC16</b:Tag>
    <b:SourceType>ElectronicSource</b:SourceType>
    <b:Guid>{A13719CF-4E9B-45BE-9C4A-9CB0E87D9700}</b:Guid>
    <b:Author>
      <b:Author>
        <b:Corporate>ANCAP</b:Corporate>
      </b:Author>
    </b:Author>
    <b:Title>ANCAP Submission: New Car Retailing Industry - a market study by the Australian Competition &amp; Consumer Commission</b:Title>
    <b:Year>2016</b:Year>
    <b:URL>https://s3.amazonaws.com/cdn.ancap.com.au/app/public/assets/5e1ccd77ae6bd1ad3a255ec2c8d9b559b49d5d58/original.pdf?1551158042</b:URL>
    <b:RefOrder>57</b:RefOrder>
  </b:Source>
  <b:Source>
    <b:Tag>Qua20</b:Tag>
    <b:SourceType>ElectronicSource</b:SourceType>
    <b:Guid>{9FEDDCEF-FF93-4E0D-810C-47B61CEFEAF6}</b:Guid>
    <b:Author>
      <b:Author>
        <b:Corporate>Qualcomm</b:Corporate>
      </b:Author>
    </b:Author>
    <b:Title>C-V2X delivers outstanding performance for automotive safety</b:Title>
    <b:Year>2020</b:Year>
    <b:URL>https://www.qualcomm.com/news/onq/2020/11/19/c-v2x-delivers-outstanding-performance-automotive-safety</b:URL>
    <b:RefOrder>48</b:RefOrder>
  </b:Source>
  <b:Source>
    <b:Tag>Get20</b:Tag>
    <b:SourceType>ElectronicSource</b:SourceType>
    <b:Guid>{2198D66D-AFB4-4BC7-B09F-5A28DC6D4E23}</b:Guid>
    <b:Author>
      <b:Author>
        <b:NameList>
          <b:Person>
            <b:Last>Gettman</b:Last>
            <b:First>Douglas</b:First>
          </b:Person>
        </b:NameList>
      </b:Author>
    </b:Author>
    <b:Title>DSRC and C-V2X: Similarities, Differences, and the Future of Connected Vehicles</b:Title>
    <b:Year>2020</b:Year>
    <b:URL>https://www.kimley-horn.com/dsrc-cv2x-comparison-future-connected-vehicles/#:~:text=Initial%20tests%20of%20C%2DV2X,for%20the%20key%20safety%20applications</b:URL>
    <b:RefOrder>49</b:RefOrder>
  </b:Source>
  <b:Source>
    <b:Tag>Omn21</b:Tag>
    <b:SourceType>ElectronicSource</b:SourceType>
    <b:Guid>{F3FCA6DF-CB83-4E9E-8F54-50DD4C020515}</b:Guid>
    <b:Author>
      <b:Author>
        <b:Corporate>Omniair Consortium</b:Corporate>
      </b:Author>
    </b:Author>
    <b:Title>Reservations for certification testing for C-V2X Devices and Dual-Use RSUS</b:Title>
    <b:Year>2021</b:Year>
    <b:URL>https://omniair.org/reservations-for-c-v2x-and-dual-use-certification/</b:URL>
    <b:RefOrder>50</b:RefOrder>
  </b:Source>
  <b:Source>
    <b:Tag>FCC20</b:Tag>
    <b:SourceType>ElectronicSource</b:SourceType>
    <b:Guid>{818CC99F-838D-4C81-92F7-362050EA7DFB}</b:Guid>
    <b:Author>
      <b:Author>
        <b:Corporate>FCC</b:Corporate>
      </b:Author>
    </b:Author>
    <b:Title>FCC Modernizes 5.9 GHz Band to Improve Wi-Fi and Automotive Safety</b:Title>
    <b:Year>2020</b:Year>
    <b:URL>https://www.fcc.gov/document/fcc-modernizes-59-ghz-band-improve-wi-fi-and-automotive-safety</b:URL>
    <b:RefOrder>51</b:RefOrder>
  </b:Source>
  <b:Source>
    <b:Tag>Int21</b:Tag>
    <b:SourceType>ElectronicSource</b:SourceType>
    <b:Guid>{3ACF1A5A-6882-44B2-A778-2C844F76CED9}</b:Guid>
    <b:Author>
      <b:Author>
        <b:Corporate>Intelligent Transportation Society of America and the American Association of State Highway and Transportation Officials</b:Corporate>
      </b:Author>
    </b:Author>
    <b:Title>Notice of Appeal</b:Title>
    <b:Year>2021</b:Year>
    <b:PublicationTitle>Use of the 5.850-5.925 GHz Band</b:PublicationTitle>
    <b:URL>https://itsa.org/wp-content/uploads/2021/06/5.9-GHz-Notice-of-Appeal-Exhibit.pdf</b:URL>
    <b:RefOrder>52</b:RefOrder>
  </b:Source>
  <b:Source>
    <b:Tag>Mak17</b:Tag>
    <b:SourceType>ElectronicSource</b:SourceType>
    <b:Guid>{9C05D2D8-4A25-4B57-8212-E40A2C1C2676}</b:Guid>
    <b:Author>
      <b:Author>
        <b:NameList>
          <b:Person>
            <b:Last>Makano</b:Last>
            <b:First>Hiroshi</b:First>
          </b:Person>
        </b:NameList>
      </b:Author>
    </b:Author>
    <b:Title>C-ITS and Connected Automated Driving in Japan</b:Title>
    <b:Year>2017</b:Year>
    <b:URL>http://www.nilim.go.jp/lab/qcg/japanese/3paper/pdf/2017_13.pdf</b:URL>
    <b:RefOrder>42</b:RefOrder>
  </b:Source>
  <b:Source>
    <b:Tag>Min19</b:Tag>
    <b:SourceType>ElectronicSource</b:SourceType>
    <b:Guid>{2912A7D7-6440-4949-98AF-41376B485912}</b:Guid>
    <b:Author>
      <b:Author>
        <b:Corporate>Ministry of Land, Infrastructure, Transport and Tourism</b:Corporate>
      </b:Author>
    </b:Author>
    <b:Title>White Paper on Land, Infrastructure, Transport and Tourism in Japan</b:Title>
    <b:Year>2019</b:Year>
    <b:URL>https://www.mlit.go.jp/common/001325161.pdf</b:URL>
    <b:RefOrder>43</b:RefOrder>
  </b:Source>
  <b:Source>
    <b:Tag>GM19</b:Tag>
    <b:SourceType>ElectronicSource</b:SourceType>
    <b:Guid>{F5E15019-7640-4747-8B23-51348249970E}</b:Guid>
    <b:Author>
      <b:Author>
        <b:Corporate>GM</b:Corporate>
      </b:Author>
    </b:Author>
    <b:Title>GM Outlines China Advanced Technology Roadmap for Accelerating “Drive to 2030”</b:Title>
    <b:Year>2019</b:Year>
    <b:URL>https://media.gm.com/media/cn/en/gm/home.detail.html/content/Pages/news/cn/en/2020/Aug/0819-gm-tech-day.html</b:URL>
    <b:RefOrder>44</b:RefOrder>
  </b:Source>
  <b:Source>
    <b:Tag>USD21</b:Tag>
    <b:SourceType>ElectronicSource</b:SourceType>
    <b:Guid>{A7989B86-40F4-41C0-B702-68E51768F8CB}</b:Guid>
    <b:Author>
      <b:Author>
        <b:Corporate>USDOT</b:Corporate>
      </b:Author>
    </b:Author>
    <b:Title>Interactive Connected Vehicle Deployment Map</b:Title>
    <b:Year>2021</b:Year>
    <b:URL>https://www.transportation.gov/research-and-technology/interactive-connected-vehicle-deployment-map</b:URL>
    <b:RefOrder>40</b:RefOrder>
  </b:Source>
  <b:Source>
    <b:Tag>MDO17</b:Tag>
    <b:SourceType>ElectronicSource</b:SourceType>
    <b:Guid>{59876612-C942-47D3-8230-45216E4D3ED8}</b:Guid>
    <b:Author>
      <b:Author>
        <b:Corporate>MDOT and CAR</b:Corporate>
      </b:Author>
    </b:Author>
    <b:Title>International Scan of Connected and Automated Vehicle Technology Deployment Efforts</b:Title>
    <b:Year>2017</b:Year>
    <b:URL>https://www.cargroup.org/wp-content/uploads/2017/04/CAV_International_Survey_2017_555402_7.pdf</b:URL>
    <b:RefOrder>41</b:RefOrder>
  </b:Source>
  <b:Source>
    <b:Tag>Placeholder1</b:Tag>
    <b:SourceType>ElectronicSource</b:SourceType>
    <b:Guid>{2CE70A22-4B3C-44C5-8792-4C74C38C9BE7}</b:Guid>
    <b:Author>
      <b:Author>
        <b:Corporate>C-Roads</b:Corporate>
      </b:Author>
    </b:Author>
    <b:Title>The C-Roads Platform</b:Title>
    <b:Year>2021</b:Year>
    <b:PublicationTitle>An overview of harmonised C-ITS deployment in Europe</b:PublicationTitle>
    <b:URL>https://www.c-roads.eu/fileadmin/user_upload/media/Dokumente/C-Roads_Brochure_2021_final_2.pdf</b:URL>
    <b:RefOrder>33</b:RefOrder>
  </b:Source>
  <b:Source>
    <b:Tag>C2C22</b:Tag>
    <b:SourceType>ElectronicSource</b:SourceType>
    <b:Guid>{8C757A78-3ACE-4732-9769-37F45AF4F006}</b:Guid>
    <b:Author>
      <b:Author>
        <b:Corporate>C2CCC</b:Corporate>
      </b:Author>
    </b:Author>
    <b:Title>CAR 2 CAR Communication Consortium</b:Title>
    <b:Year>2022</b:Year>
    <b:URL>https://www.car-2-car.org/about-us/ </b:URL>
    <b:RefOrder>34</b:RefOrder>
  </b:Source>
  <b:Source>
    <b:Tag>CCA21</b:Tag>
    <b:SourceType>ElectronicSource</b:SourceType>
    <b:Guid>{6BE191BD-8BD8-4B0C-9CAA-78F03DA92564}</b:Guid>
    <b:Author>
      <b:Author>
        <b:Corporate>CCAM</b:Corporate>
      </b:Author>
    </b:Author>
    <b:Title>Connected, Cooperative &amp; Automated Mobility</b:Title>
    <b:Year>2021</b:Year>
    <b:URL>https://www.ccam.eu/ </b:URL>
    <b:RefOrder>35</b:RefOrder>
  </b:Source>
  <b:Source>
    <b:Tag>CIT20</b:Tag>
    <b:SourceType>ElectronicSource</b:SourceType>
    <b:Guid>{2A2CC515-7C17-440D-9E79-499A6496AD24}</b:Guid>
    <b:Author>
      <b:Author>
        <b:Corporate>C-ITS Deployment Group</b:Corporate>
      </b:Author>
    </b:Author>
    <b:Title>C-ITS Deployment</b:Title>
    <b:Year>2020a</b:Year>
    <b:URL>https://c-its-deployment-group.eu/activities/c-its-deployments/ </b:URL>
    <b:RefOrder>36</b:RefOrder>
  </b:Source>
  <b:Source>
    <b:Tag>CIT0a</b:Tag>
    <b:SourceType>ElectronicSource</b:SourceType>
    <b:Guid>{2FFFCBC4-B93F-49E9-BF90-C3781EB55915}</b:Guid>
    <b:Author>
      <b:Author>
        <b:Corporate>C-ITS Deployment Group</b:Corporate>
      </b:Author>
    </b:Author>
    <b:Title>ASFINAG connects roads with vehicles on a large scale in Europe</b:Title>
    <b:Year>2020b</b:Year>
    <b:URL>https://c-its-deployment-group.eu/activities/c-its-deployments/2020-10-09-asfinag-connects-roads-with-vehicles-on-a-large-scale-in-europe/ </b:URL>
    <b:RefOrder>37</b:RefOrder>
  </b:Source>
  <b:Source>
    <b:Tag>Mau20</b:Tag>
    <b:SourceType>ElectronicSource</b:SourceType>
    <b:Guid>{2DD8CBB9-CFA1-4FAD-BB19-079891EC5F5D}</b:Guid>
    <b:Author>
      <b:Author>
        <b:NameList>
          <b:Person>
            <b:Last>Mauro</b:Last>
            <b:First>Vito</b:First>
          </b:Person>
        </b:NameList>
      </b:Author>
    </b:Author>
    <b:Title>A national ecosystem for the delivery of C-ITS services</b:Title>
    <b:Year>2020</b:Year>
    <b:URL>https://www.stradeeautostrade.it/en/smart-road-digital-transformation/a-national-ecosystem-for-the-delivery-of-c-its-services/</b:URL>
    <b:RefOrder>38</b:RefOrder>
  </b:Source>
  <b:Source>
    <b:Tag>Eur10</b:Tag>
    <b:SourceType>ElectronicSource</b:SourceType>
    <b:Guid>{68D36D2C-4792-4363-99F9-D8428F379ECD}</b:Guid>
    <b:Author>
      <b:Author>
        <b:Corporate>European Union</b:Corporate>
      </b:Author>
    </b:Author>
    <b:Title>Directive 2010/40/EU of the European Parliament and of the Council of 7 July 2010 on the framework for the deployment of Intelligent Transport Systems in the field of road transport and for interfaces with other modes of transport Text with EEA relevance</b:Title>
    <b:Year>2010</b:Year>
    <b:URL>http://data.europa.eu/eli/dir/2010/40/oj</b:URL>
    <b:RefOrder>39</b:RefOrder>
  </b:Source>
  <b:Source>
    <b:Tag>Aus20</b:Tag>
    <b:SourceType>ElectronicSource</b:SourceType>
    <b:Guid>{E6D5C1F1-B48D-4B4D-825A-6331075E59E0}</b:Guid>
    <b:Author>
      <b:Author>
        <b:Corporate>Austroads</b:Corporate>
      </b:Author>
    </b:Author>
    <b:Title>Assessing Emerging C-ITS Standards for Local Adoption</b:Title>
    <b:Year>2015</b:Year>
    <b:Edition>26</b:Edition>
    <b:URL>https://austroads.com.au/latest-news/assessing-emerging-c-its-standards-for-local-adoption</b:URL>
    <b:RefOrder>60</b:RefOrder>
  </b:Source>
  <b:Source>
    <b:Tag>CEN21</b:Tag>
    <b:SourceType>Report</b:SourceType>
    <b:Guid>{2C965D10-4299-4AC2-81E0-2ED1A2BDCB57}</b:Guid>
    <b:Title>Cooperative intelligent transport systems (C-ITS) — Guidelines on the usage of standards — Part 1: Standardization landscape and releases</b:Title>
    <b:Year>2021</b:Year>
    <b:Publisher>ISO</b:Publisher>
    <b:Author>
      <b:Author>
        <b:Corporate>ISO/TR21186-1</b:Corporate>
      </b:Author>
    </b:Author>
    <b:RefOrder>61</b:RefOrder>
  </b:Source>
  <b:Source>
    <b:Tag>Eur21</b:Tag>
    <b:SourceType>Report</b:SourceType>
    <b:Guid>{56F3B56E-5AF4-4BEA-9D56-A3CE3582F51C}</b:Guid>
    <b:Title>Impact Assessment Report</b:Title>
    <b:Year>2021b</b:Year>
    <b:Publisher>European Commission</b:Publisher>
    <b:City>Strasbourg</b:City>
    <b:Author>
      <b:Author>
        <b:Corporate>European Commission</b:Corporate>
      </b:Author>
    </b:Author>
    <b:YearAccessed>2022</b:YearAccessed>
    <b:MonthAccessed>March</b:MonthAccessed>
    <b:DayAccessed>1</b:DayAccessed>
    <b:URL>https://ec.europa.eu/info/law/better-regulation/</b:URL>
    <b:RefOrder>31</b:RefOrder>
  </b:Source>
  <b:Source>
    <b:Tag>Eur20</b:Tag>
    <b:SourceType>ElectronicSource</b:SourceType>
    <b:Guid>{82D05BFB-AC4C-45D4-BB7E-B41A377ADF0A}</b:Guid>
    <b:Author>
      <b:Author>
        <b:Corporate>European Commission</b:Corporate>
      </b:Author>
    </b:Author>
    <b:Title>Intelligent transport systems (review of EU rules)</b:Title>
    <b:Year>2021a</b:Year>
    <b:URL>https://ec.europa.eu/info/law/better-regulation/have-your-say/initiatives/12534-Intelligent-transport-systems-review-of-EU-rules-_en</b:URL>
    <b:City>Strasbourg</b:City>
    <b:YearAccessed>2021</b:YearAccessed>
    <b:MonthAccessed>March</b:MonthAccessed>
    <b:DayAccessed>1</b:DayAccessed>
    <b:RefOrder>32</b:RefOrder>
  </b:Source>
</b:Sources>
</file>

<file path=customXml/itemProps1.xml><?xml version="1.0" encoding="utf-8"?>
<ds:datastoreItem xmlns:ds="http://schemas.openxmlformats.org/officeDocument/2006/customXml" ds:itemID="{77DD34CF-03A7-4EFF-B88C-CD536CF5EE73}">
  <ds:schemaRefs>
    <ds:schemaRef ds:uri="http://schemas.microsoft.com/sharepoint/v3/contenttype/forms"/>
  </ds:schemaRefs>
</ds:datastoreItem>
</file>

<file path=customXml/itemProps2.xml><?xml version="1.0" encoding="utf-8"?>
<ds:datastoreItem xmlns:ds="http://schemas.openxmlformats.org/officeDocument/2006/customXml" ds:itemID="{53628084-4B90-4783-941C-CF371C92954F}">
  <ds:schemaRefs>
    <ds:schemaRef ds:uri="http://schemas.microsoft.com/office/2006/documentManagement/types"/>
    <ds:schemaRef ds:uri="http://schemas.microsoft.com/office/infopath/2007/PartnerControls"/>
    <ds:schemaRef ds:uri="0fc4ddf3-1c1e-4bff-86ff-32d95fd4b771"/>
    <ds:schemaRef ds:uri="http://purl.org/dc/elements/1.1/"/>
    <ds:schemaRef ds:uri="http://schemas.microsoft.com/office/2006/metadata/properties"/>
    <ds:schemaRef ds:uri="http://purl.org/dc/terms/"/>
    <ds:schemaRef ds:uri="http://schemas.openxmlformats.org/package/2006/metadata/core-properties"/>
    <ds:schemaRef ds:uri="0c54d9ea-5a88-4cc0-a438-1d78cd377f63"/>
    <ds:schemaRef ds:uri="http://www.w3.org/XML/1998/namespace"/>
    <ds:schemaRef ds:uri="http://purl.org/dc/dcmitype/"/>
  </ds:schemaRefs>
</ds:datastoreItem>
</file>

<file path=customXml/itemProps3.xml><?xml version="1.0" encoding="utf-8"?>
<ds:datastoreItem xmlns:ds="http://schemas.openxmlformats.org/officeDocument/2006/customXml" ds:itemID="{1269FC8E-6516-4857-9BBD-8E08B84C0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4ddf3-1c1e-4bff-86ff-32d95fd4b771"/>
    <ds:schemaRef ds:uri="0c54d9ea-5a88-4cc0-a438-1d78cd377f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2D18E9-CF43-4C33-9F2C-FFDE2B54E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 EN Report.dotm</Template>
  <TotalTime>5635</TotalTime>
  <Pages>87</Pages>
  <Words>31626</Words>
  <Characters>193238</Characters>
  <Application>Microsoft Office Word</Application>
  <DocSecurity>0</DocSecurity>
  <Lines>3578</Lines>
  <Paragraphs>1798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Advice on Strategies to Support C-ITS Deployment</vt:lpstr>
      <vt:lpstr>Enter Project Title</vt:lpstr>
    </vt:vector>
  </TitlesOfParts>
  <Company/>
  <LinksUpToDate>false</LinksUpToDate>
  <CharactersWithSpaces>223066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 on Strategies to Support C-ITS Deployment</dc:title>
  <dc:subject>PS123260-101</dc:subject>
  <dc:creator>Shivaani.Polley@wsp.com</dc:creator>
  <cp:keywords>Department of Infrastructure, Transport, Regional Development and Communications</cp:keywords>
  <dc:description>March 2022</dc:description>
  <cp:lastModifiedBy>MAGYARY Gabrielle</cp:lastModifiedBy>
  <cp:revision>5</cp:revision>
  <cp:lastPrinted>2022-12-12T23:26:00Z</cp:lastPrinted>
  <dcterms:created xsi:type="dcterms:W3CDTF">2022-12-09T01:27:00Z</dcterms:created>
  <dcterms:modified xsi:type="dcterms:W3CDTF">2022-12-12T23:27:00Z</dcterms:modified>
  <dc:language>Français</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obalDocType">
    <vt:lpwstr>Report</vt:lpwstr>
  </property>
  <property fmtid="{D5CDD505-2E9C-101B-9397-08002B2CF9AE}" pid="3" name="GlobalVersion">
    <vt:lpwstr>3.1</vt:lpwstr>
  </property>
  <property fmtid="{D5CDD505-2E9C-101B-9397-08002B2CF9AE}" pid="4" name="GlobalLanguage">
    <vt:lpwstr>English</vt:lpwstr>
  </property>
  <property fmtid="{D5CDD505-2E9C-101B-9397-08002B2CF9AE}" pid="5" name="GlobalRegion">
    <vt:lpwstr>AU</vt:lpwstr>
  </property>
  <property fmtid="{D5CDD505-2E9C-101B-9397-08002B2CF9AE}" pid="6" name="xDate">
    <vt:lpwstr>11 June 2020</vt:lpwstr>
  </property>
  <property fmtid="{D5CDD505-2E9C-101B-9397-08002B2CF9AE}" pid="7" name="xSalutation">
    <vt:lpwstr>Dear </vt:lpwstr>
  </property>
  <property fmtid="{D5CDD505-2E9C-101B-9397-08002B2CF9AE}" pid="8" name="xSubject">
    <vt:lpwstr>Project Title_x000d_
Sub-title</vt:lpwstr>
  </property>
  <property fmtid="{D5CDD505-2E9C-101B-9397-08002B2CF9AE}" pid="9" name="xSignoff">
    <vt:lpwstr/>
  </property>
  <property fmtid="{D5CDD505-2E9C-101B-9397-08002B2CF9AE}" pid="10" name="xEnclosuresLabel">
    <vt:lpwstr/>
  </property>
  <property fmtid="{D5CDD505-2E9C-101B-9397-08002B2CF9AE}" pid="11" name="xEnclosures1">
    <vt:lpwstr/>
  </property>
  <property fmtid="{D5CDD505-2E9C-101B-9397-08002B2CF9AE}" pid="12" name="xEnclosures2">
    <vt:lpwstr>_x000b_</vt:lpwstr>
  </property>
  <property fmtid="{D5CDD505-2E9C-101B-9397-08002B2CF9AE}" pid="13" name="xEnclosures3">
    <vt:lpwstr>_x000b_</vt:lpwstr>
  </property>
  <property fmtid="{D5CDD505-2E9C-101B-9397-08002B2CF9AE}" pid="14" name="xEnclosures4">
    <vt:lpwstr>_x000b_</vt:lpwstr>
  </property>
  <property fmtid="{D5CDD505-2E9C-101B-9397-08002B2CF9AE}" pid="15" name="xEnclosures5">
    <vt:lpwstr>_x000b_</vt:lpwstr>
  </property>
  <property fmtid="{D5CDD505-2E9C-101B-9397-08002B2CF9AE}" pid="16" name="xEnclosures1Load">
    <vt:lpwstr/>
  </property>
  <property fmtid="{D5CDD505-2E9C-101B-9397-08002B2CF9AE}" pid="17" name="xEnclosures2Load">
    <vt:lpwstr/>
  </property>
  <property fmtid="{D5CDD505-2E9C-101B-9397-08002B2CF9AE}" pid="18" name="xEnclosures3Load">
    <vt:lpwstr/>
  </property>
  <property fmtid="{D5CDD505-2E9C-101B-9397-08002B2CF9AE}" pid="19" name="xEnclosures4Load">
    <vt:lpwstr/>
  </property>
  <property fmtid="{D5CDD505-2E9C-101B-9397-08002B2CF9AE}" pid="20" name="xEnclosures5Load">
    <vt:lpwstr/>
  </property>
  <property fmtid="{D5CDD505-2E9C-101B-9397-08002B2CF9AE}" pid="21" name="xEnclOnly">
    <vt:lpwstr>N</vt:lpwstr>
  </property>
  <property fmtid="{D5CDD505-2E9C-101B-9397-08002B2CF9AE}" pid="22" name="xCCName2Load">
    <vt:lpwstr/>
  </property>
  <property fmtid="{D5CDD505-2E9C-101B-9397-08002B2CF9AE}" pid="23" name="xCCName3Load">
    <vt:lpwstr/>
  </property>
  <property fmtid="{D5CDD505-2E9C-101B-9397-08002B2CF9AE}" pid="24" name="xCCName4Load">
    <vt:lpwstr/>
  </property>
  <property fmtid="{D5CDD505-2E9C-101B-9397-08002B2CF9AE}" pid="25" name="xCCName5Load">
    <vt:lpwstr/>
  </property>
  <property fmtid="{D5CDD505-2E9C-101B-9397-08002B2CF9AE}" pid="26" name="xCCName6Load">
    <vt:lpwstr/>
  </property>
  <property fmtid="{D5CDD505-2E9C-101B-9397-08002B2CF9AE}" pid="27" name="xCCCompany2Load">
    <vt:lpwstr/>
  </property>
  <property fmtid="{D5CDD505-2E9C-101B-9397-08002B2CF9AE}" pid="28" name="xCCCompany3Load">
    <vt:lpwstr/>
  </property>
  <property fmtid="{D5CDD505-2E9C-101B-9397-08002B2CF9AE}" pid="29" name="xCCCompany4Load">
    <vt:lpwstr/>
  </property>
  <property fmtid="{D5CDD505-2E9C-101B-9397-08002B2CF9AE}" pid="30" name="xCCCompany5Load">
    <vt:lpwstr/>
  </property>
  <property fmtid="{D5CDD505-2E9C-101B-9397-08002B2CF9AE}" pid="31" name="xCCCompany6Load">
    <vt:lpwstr/>
  </property>
  <property fmtid="{D5CDD505-2E9C-101B-9397-08002B2CF9AE}" pid="32" name="xCCName1Load">
    <vt:lpwstr/>
  </property>
  <property fmtid="{D5CDD505-2E9C-101B-9397-08002B2CF9AE}" pid="33" name="xCCString">
    <vt:lpwstr>cc1, cc2, company 2, cc3, cc4, company 4</vt:lpwstr>
  </property>
  <property fmtid="{D5CDD505-2E9C-101B-9397-08002B2CF9AE}" pid="34" name="xEnclosureString">
    <vt:lpwstr/>
  </property>
  <property fmtid="{D5CDD505-2E9C-101B-9397-08002B2CF9AE}" pid="35" name="xSubject2">
    <vt:lpwstr/>
  </property>
  <property fmtid="{D5CDD505-2E9C-101B-9397-08002B2CF9AE}" pid="36" name="xSubject3">
    <vt:lpwstr/>
  </property>
  <property fmtid="{D5CDD505-2E9C-101B-9397-08002B2CF9AE}" pid="37" name="xShowObjects">
    <vt:lpwstr/>
  </property>
  <property fmtid="{D5CDD505-2E9C-101B-9397-08002B2CF9AE}" pid="38" name="xOurRef">
    <vt:lpwstr/>
  </property>
  <property fmtid="{D5CDD505-2E9C-101B-9397-08002B2CF9AE}" pid="39" name="xCCCompany1Load">
    <vt:lpwstr/>
  </property>
  <property fmtid="{D5CDD505-2E9C-101B-9397-08002B2CF9AE}" pid="40" name="xRecipientName">
    <vt:lpwstr>&lt;Recipient Name&gt;</vt:lpwstr>
  </property>
  <property fmtid="{D5CDD505-2E9C-101B-9397-08002B2CF9AE}" pid="41" name="xRecipientAddress">
    <vt:lpwstr>&lt;Position Title&gt;_x000d_
&lt;Company Name&gt;_x000d_
&lt;Address Line 1&gt;_x000d_
&lt;Address Line 2&gt;</vt:lpwstr>
  </property>
  <property fmtid="{D5CDD505-2E9C-101B-9397-08002B2CF9AE}" pid="42" name="xcboDeliveryMethod">
    <vt:lpwstr/>
  </property>
  <property fmtid="{D5CDD505-2E9C-101B-9397-08002B2CF9AE}" pid="43" name="xtxtDeliveryMethod">
    <vt:lpwstr/>
  </property>
  <property fmtid="{D5CDD505-2E9C-101B-9397-08002B2CF9AE}" pid="44" name="xYourRef">
    <vt:lpwstr/>
  </property>
  <property fmtid="{D5CDD505-2E9C-101B-9397-08002B2CF9AE}" pid="45" name="xCC1Fax">
    <vt:lpwstr/>
  </property>
  <property fmtid="{D5CDD505-2E9C-101B-9397-08002B2CF9AE}" pid="46" name="xCC2Fax">
    <vt:lpwstr/>
  </property>
  <property fmtid="{D5CDD505-2E9C-101B-9397-08002B2CF9AE}" pid="47" name="xCC3Fax">
    <vt:lpwstr/>
  </property>
  <property fmtid="{D5CDD505-2E9C-101B-9397-08002B2CF9AE}" pid="48" name="xCC4Fax">
    <vt:lpwstr/>
  </property>
  <property fmtid="{D5CDD505-2E9C-101B-9397-08002B2CF9AE}" pid="49" name="xCC5Fax">
    <vt:lpwstr/>
  </property>
  <property fmtid="{D5CDD505-2E9C-101B-9397-08002B2CF9AE}" pid="50" name="xCC6Fax">
    <vt:lpwstr/>
  </property>
  <property fmtid="{D5CDD505-2E9C-101B-9397-08002B2CF9AE}" pid="51" name="xMergeLetter">
    <vt:lpwstr>N</vt:lpwstr>
  </property>
  <property fmtid="{D5CDD505-2E9C-101B-9397-08002B2CF9AE}" pid="52" name="xCCName7Load">
    <vt:lpwstr/>
  </property>
  <property fmtid="{D5CDD505-2E9C-101B-9397-08002B2CF9AE}" pid="53" name="xCCName8Load">
    <vt:lpwstr/>
  </property>
  <property fmtid="{D5CDD505-2E9C-101B-9397-08002B2CF9AE}" pid="54" name="xCCName9Load">
    <vt:lpwstr/>
  </property>
  <property fmtid="{D5CDD505-2E9C-101B-9397-08002B2CF9AE}" pid="55" name="xCCName10Load">
    <vt:lpwstr/>
  </property>
  <property fmtid="{D5CDD505-2E9C-101B-9397-08002B2CF9AE}" pid="56" name="xCCCompany7Load">
    <vt:lpwstr/>
  </property>
  <property fmtid="{D5CDD505-2E9C-101B-9397-08002B2CF9AE}" pid="57" name="xCCCompany8Load">
    <vt:lpwstr/>
  </property>
  <property fmtid="{D5CDD505-2E9C-101B-9397-08002B2CF9AE}" pid="58" name="xCCCompany9Load">
    <vt:lpwstr/>
  </property>
  <property fmtid="{D5CDD505-2E9C-101B-9397-08002B2CF9AE}" pid="59" name="xCCCompany10Load">
    <vt:lpwstr/>
  </property>
  <property fmtid="{D5CDD505-2E9C-101B-9397-08002B2CF9AE}" pid="60" name="xCC7Fax">
    <vt:lpwstr/>
  </property>
  <property fmtid="{D5CDD505-2E9C-101B-9397-08002B2CF9AE}" pid="61" name="xCC8Fax">
    <vt:lpwstr/>
  </property>
  <property fmtid="{D5CDD505-2E9C-101B-9397-08002B2CF9AE}" pid="62" name="xCC9Fax">
    <vt:lpwstr/>
  </property>
  <property fmtid="{D5CDD505-2E9C-101B-9397-08002B2CF9AE}" pid="63" name="xCC10Fax">
    <vt:lpwstr/>
  </property>
  <property fmtid="{D5CDD505-2E9C-101B-9397-08002B2CF9AE}" pid="64" name="xtxtCC1Encl">
    <vt:lpwstr/>
  </property>
  <property fmtid="{D5CDD505-2E9C-101B-9397-08002B2CF9AE}" pid="65" name="xtxtCC2Encl">
    <vt:lpwstr/>
  </property>
  <property fmtid="{D5CDD505-2E9C-101B-9397-08002B2CF9AE}" pid="66" name="xtxtCC3Encl">
    <vt:lpwstr/>
  </property>
  <property fmtid="{D5CDD505-2E9C-101B-9397-08002B2CF9AE}" pid="67" name="xtxtCC4Encl">
    <vt:lpwstr/>
  </property>
  <property fmtid="{D5CDD505-2E9C-101B-9397-08002B2CF9AE}" pid="68" name="xtxtCC5Encl">
    <vt:lpwstr/>
  </property>
  <property fmtid="{D5CDD505-2E9C-101B-9397-08002B2CF9AE}" pid="69" name="xtxtCC6Encl">
    <vt:lpwstr/>
  </property>
  <property fmtid="{D5CDD505-2E9C-101B-9397-08002B2CF9AE}" pid="70" name="xtxtCC7Encl">
    <vt:lpwstr/>
  </property>
  <property fmtid="{D5CDD505-2E9C-101B-9397-08002B2CF9AE}" pid="71" name="xtxtCC8Encl">
    <vt:lpwstr/>
  </property>
  <property fmtid="{D5CDD505-2E9C-101B-9397-08002B2CF9AE}" pid="72" name="xtxtCC9Encl">
    <vt:lpwstr/>
  </property>
  <property fmtid="{D5CDD505-2E9C-101B-9397-08002B2CF9AE}" pid="73" name="xtxtCC10Encl">
    <vt:lpwstr/>
  </property>
  <property fmtid="{D5CDD505-2E9C-101B-9397-08002B2CF9AE}" pid="74" name="xWindowFacedEnvelope">
    <vt:lpwstr>false</vt:lpwstr>
  </property>
  <property fmtid="{D5CDD505-2E9C-101B-9397-08002B2CF9AE}" pid="75" name="xClassification">
    <vt:lpwstr>Confidential</vt:lpwstr>
  </property>
  <property fmtid="{D5CDD505-2E9C-101B-9397-08002B2CF9AE}" pid="76" name="xSubtitle">
    <vt:lpwstr>Findings</vt:lpwstr>
  </property>
  <property fmtid="{D5CDD505-2E9C-101B-9397-08002B2CF9AE}" pid="77" name="xProposalNo">
    <vt:lpwstr/>
  </property>
  <property fmtid="{D5CDD505-2E9C-101B-9397-08002B2CF9AE}" pid="78" name="xSenderName2">
    <vt:lpwstr/>
  </property>
  <property fmtid="{D5CDD505-2E9C-101B-9397-08002B2CF9AE}" pid="79" name="xSenderPosition2">
    <vt:lpwstr/>
  </property>
  <property fmtid="{D5CDD505-2E9C-101B-9397-08002B2CF9AE}" pid="80" name="xSignature2NotRequired">
    <vt:lpwstr>T</vt:lpwstr>
  </property>
  <property fmtid="{D5CDD505-2E9C-101B-9397-08002B2CF9AE}" pid="81" name="xSenderPositionLoad2">
    <vt:lpwstr/>
  </property>
  <property fmtid="{D5CDD505-2E9C-101B-9397-08002B2CF9AE}" pid="82" name="xSenderPhone2">
    <vt:lpwstr/>
  </property>
  <property fmtid="{D5CDD505-2E9C-101B-9397-08002B2CF9AE}" pid="83" name="xFooterText">
    <vt:lpwstr/>
  </property>
  <property fmtid="{D5CDD505-2E9C-101B-9397-08002B2CF9AE}" pid="84" name="xWatermark">
    <vt:lpwstr/>
  </property>
  <property fmtid="{D5CDD505-2E9C-101B-9397-08002B2CF9AE}" pid="85" name="xCompanyName">
    <vt:lpwstr>WSP</vt:lpwstr>
  </property>
  <property fmtid="{D5CDD505-2E9C-101B-9397-08002B2CF9AE}" pid="86" name="xCompanyNameCopyright">
    <vt:lpwstr>WSP</vt:lpwstr>
  </property>
  <property fmtid="{D5CDD505-2E9C-101B-9397-08002B2CF9AE}" pid="87" name="xSenderName">
    <vt:lpwstr/>
  </property>
  <property fmtid="{D5CDD505-2E9C-101B-9397-08002B2CF9AE}" pid="88" name="xSenderPosition">
    <vt:lpwstr/>
  </property>
  <property fmtid="{D5CDD505-2E9C-101B-9397-08002B2CF9AE}" pid="89" name="xListofAttachments">
    <vt:lpwstr>False</vt:lpwstr>
  </property>
  <property fmtid="{D5CDD505-2E9C-101B-9397-08002B2CF9AE}" pid="90" name="xSenderPhone">
    <vt:lpwstr/>
  </property>
  <property fmtid="{D5CDD505-2E9C-101B-9397-08002B2CF9AE}" pid="91" name="xSenderEmail">
    <vt:lpwstr/>
  </property>
  <property fmtid="{D5CDD505-2E9C-101B-9397-08002B2CF9AE}" pid="92" name="xSenderEmail2">
    <vt:lpwstr/>
  </property>
  <property fmtid="{D5CDD505-2E9C-101B-9397-08002B2CF9AE}" pid="93" name="xAppendixName">
    <vt:lpwstr>Appendix</vt:lpwstr>
  </property>
  <property fmtid="{D5CDD505-2E9C-101B-9397-08002B2CF9AE}" pid="94" name="xWSPEntity">
    <vt:lpwstr>WSP Australia Pty Limited</vt:lpwstr>
  </property>
  <property fmtid="{D5CDD505-2E9C-101B-9397-08002B2CF9AE}" pid="95" name="xWSPCountry">
    <vt:lpwstr>Australia</vt:lpwstr>
  </property>
  <property fmtid="{D5CDD505-2E9C-101B-9397-08002B2CF9AE}" pid="96" name="xWSPBranch">
    <vt:lpwstr>Brisbane</vt:lpwstr>
  </property>
  <property fmtid="{D5CDD505-2E9C-101B-9397-08002B2CF9AE}" pid="97" name="ContentTypeId">
    <vt:lpwstr>0x010100C08D124FD884CA419FF97379C383377E</vt:lpwstr>
  </property>
</Properties>
</file>