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C1B5" w14:textId="77777777" w:rsidR="00906533" w:rsidRDefault="00247ED9" w:rsidP="00822DBF">
      <w:pPr>
        <w:spacing w:after="0"/>
        <w:ind w:left="-1418"/>
      </w:pPr>
      <w:r>
        <w:rPr>
          <w:noProof/>
        </w:rPr>
        <w:drawing>
          <wp:inline distT="0" distB="0" distL="0" distR="0" wp14:anchorId="3784A344" wp14:editId="76784A75">
            <wp:extent cx="7538135" cy="1936750"/>
            <wp:effectExtent l="0" t="0" r="5715" b="6350"/>
            <wp:docPr id="3" name="Picture 3" descr="Australian Government, Department of Infrastructure, Transport, Regional Development, Communications, Sport and the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with-inlin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79010" cy="1947252"/>
                    </a:xfrm>
                    <a:prstGeom prst="rect">
                      <a:avLst/>
                    </a:prstGeom>
                  </pic:spPr>
                </pic:pic>
              </a:graphicData>
            </a:graphic>
          </wp:inline>
        </w:drawing>
      </w:r>
    </w:p>
    <w:p w14:paraId="74A0AD1C" w14:textId="77777777" w:rsidR="00D13C03" w:rsidRDefault="00D13C03" w:rsidP="00906533">
      <w:pPr>
        <w:spacing w:after="0"/>
        <w:sectPr w:rsidR="00D13C03" w:rsidSect="00EA415A">
          <w:headerReference w:type="even" r:id="rId9"/>
          <w:headerReference w:type="default" r:id="rId10"/>
          <w:footerReference w:type="even" r:id="rId11"/>
          <w:footerReference w:type="default" r:id="rId12"/>
          <w:footerReference w:type="first" r:id="rId13"/>
          <w:pgSz w:w="11906" w:h="16838"/>
          <w:pgMar w:top="0" w:right="991" w:bottom="1276" w:left="1440" w:header="0" w:footer="0" w:gutter="0"/>
          <w:cols w:space="708"/>
          <w:titlePg/>
          <w:docGrid w:linePitch="360"/>
        </w:sectPr>
      </w:pPr>
    </w:p>
    <w:p w14:paraId="0D3224A1" w14:textId="2F618CD5" w:rsidR="00054EF4" w:rsidRPr="00560B10" w:rsidRDefault="00FF64D0" w:rsidP="00560B10">
      <w:pPr>
        <w:pStyle w:val="Heading1"/>
      </w:pPr>
      <w:r w:rsidRPr="00560B10">
        <w:t>Guidance to the Slot Manager</w:t>
      </w:r>
      <w:r w:rsidR="00054EF4" w:rsidRPr="00560B10">
        <w:t>—</w:t>
      </w:r>
      <w:r w:rsidR="00D2193D" w:rsidRPr="00560B10">
        <w:t>Publication of Information</w:t>
      </w:r>
    </w:p>
    <w:p w14:paraId="2A866F89" w14:textId="2520B39C" w:rsidR="00054EF4" w:rsidRPr="00B041CB" w:rsidRDefault="00D2193D" w:rsidP="00054EF4">
      <w:pPr>
        <w:suppressAutoHyphens/>
        <w:spacing w:before="160" w:after="80"/>
        <w:rPr>
          <w:rFonts w:eastAsia="Calibri" w:cs="Times New Roman"/>
          <w:b/>
          <w:color w:val="081E3E"/>
          <w:kern w:val="12"/>
          <w:szCs w:val="20"/>
        </w:rPr>
      </w:pPr>
      <w:r>
        <w:rPr>
          <w:rFonts w:eastAsia="Calibri" w:cs="Times New Roman"/>
          <w:b/>
          <w:color w:val="081E3E"/>
          <w:kern w:val="12"/>
          <w:szCs w:val="20"/>
        </w:rPr>
        <w:t>January</w:t>
      </w:r>
      <w:r w:rsidR="00054EF4" w:rsidRPr="00B041CB">
        <w:rPr>
          <w:rFonts w:eastAsia="Calibri" w:cs="Times New Roman"/>
          <w:b/>
          <w:color w:val="081E3E"/>
          <w:kern w:val="12"/>
          <w:szCs w:val="20"/>
        </w:rPr>
        <w:t xml:space="preserve"> </w:t>
      </w:r>
      <w:r w:rsidR="00054EF4">
        <w:rPr>
          <w:rFonts w:eastAsia="Calibri" w:cs="Times New Roman"/>
          <w:b/>
          <w:color w:val="081E3E"/>
          <w:kern w:val="12"/>
          <w:szCs w:val="20"/>
        </w:rPr>
        <w:t>2026</w:t>
      </w:r>
    </w:p>
    <w:p w14:paraId="5FA34C41" w14:textId="77777777" w:rsidR="00B041CB" w:rsidRPr="00B041CB" w:rsidRDefault="00B041CB" w:rsidP="00906533">
      <w:pPr>
        <w:pBdr>
          <w:bottom w:val="single" w:sz="4" w:space="1" w:color="C0D48F"/>
        </w:pBdr>
        <w:suppressAutoHyphens/>
        <w:spacing w:before="160" w:after="360"/>
        <w:rPr>
          <w:rFonts w:eastAsia="Calibri" w:cs="Times New Roman"/>
          <w:color w:val="000000"/>
          <w:kern w:val="12"/>
          <w:szCs w:val="20"/>
        </w:rPr>
      </w:pPr>
    </w:p>
    <w:p w14:paraId="16B14969" w14:textId="77777777" w:rsidR="00FE6ADD" w:rsidRDefault="00FE6ADD" w:rsidP="00906533">
      <w:pPr>
        <w:pStyle w:val="Subtitle"/>
        <w:spacing w:before="0" w:after="0"/>
        <w:sectPr w:rsidR="00FE6ADD" w:rsidSect="00953CCD">
          <w:type w:val="continuous"/>
          <w:pgSz w:w="11906" w:h="16838"/>
          <w:pgMar w:top="1276" w:right="991" w:bottom="1276" w:left="1440" w:header="567" w:footer="0" w:gutter="0"/>
          <w:cols w:space="708"/>
          <w:titlePg/>
          <w:docGrid w:linePitch="360"/>
        </w:sectPr>
      </w:pPr>
    </w:p>
    <w:p w14:paraId="3D109E19" w14:textId="03D4CD0C" w:rsidR="00E9413F" w:rsidRPr="002E1C5C" w:rsidRDefault="00E9413F" w:rsidP="00E9413F">
      <w:pPr>
        <w:spacing w:after="120"/>
        <w:rPr>
          <w:bCs/>
        </w:rPr>
      </w:pPr>
      <w:bookmarkStart w:id="0" w:name="_How_to_add"/>
      <w:bookmarkEnd w:id="0"/>
      <w:r w:rsidRPr="002E1C5C">
        <w:rPr>
          <w:bCs/>
        </w:rPr>
        <w:t xml:space="preserve">This document </w:t>
      </w:r>
      <w:r>
        <w:rPr>
          <w:bCs/>
        </w:rPr>
        <w:t>provides guidance to the Slot Manager for publishing information about slot utilisation, gate movements and compliance</w:t>
      </w:r>
      <w:r w:rsidRPr="002E1C5C">
        <w:rPr>
          <w:bCs/>
        </w:rPr>
        <w:t xml:space="preserve"> </w:t>
      </w:r>
      <w:r>
        <w:rPr>
          <w:bCs/>
        </w:rPr>
        <w:t>with</w:t>
      </w:r>
      <w:r w:rsidRPr="002E1C5C">
        <w:rPr>
          <w:bCs/>
        </w:rPr>
        <w:t xml:space="preserve"> demand management legislation relevant to Sydney Airport</w:t>
      </w:r>
      <w:r>
        <w:rPr>
          <w:bCs/>
        </w:rPr>
        <w:t>,</w:t>
      </w:r>
      <w:r w:rsidRPr="002E1C5C">
        <w:rPr>
          <w:bCs/>
        </w:rPr>
        <w:t xml:space="preserve"> compris</w:t>
      </w:r>
      <w:r>
        <w:rPr>
          <w:bCs/>
        </w:rPr>
        <w:t>ing:</w:t>
      </w:r>
    </w:p>
    <w:p w14:paraId="418DF8C7" w14:textId="546CE06F" w:rsidR="00E9413F" w:rsidRPr="002E1C5C" w:rsidRDefault="00E9413F" w:rsidP="00280F0C">
      <w:pPr>
        <w:pStyle w:val="Listparagraphbullets"/>
      </w:pPr>
      <w:r w:rsidRPr="00280F0C">
        <w:rPr>
          <w:i/>
          <w:iCs/>
        </w:rPr>
        <w:t>Sydney Airport Demand Management Act 1997</w:t>
      </w:r>
      <w:r w:rsidRPr="002E1C5C">
        <w:t xml:space="preserve"> (the Act)</w:t>
      </w:r>
    </w:p>
    <w:p w14:paraId="7E8DC002" w14:textId="77777777" w:rsidR="00E9413F" w:rsidRPr="002E1C5C" w:rsidRDefault="00E9413F" w:rsidP="00280F0C">
      <w:pPr>
        <w:pStyle w:val="Listparagraphbullets"/>
      </w:pPr>
      <w:r w:rsidRPr="002E1C5C">
        <w:t xml:space="preserve">Sydney Airport Demand Management Regulations 2025 (the Regulations) and </w:t>
      </w:r>
    </w:p>
    <w:p w14:paraId="1F0C0523" w14:textId="77777777" w:rsidR="00E9413F" w:rsidRDefault="00E9413F" w:rsidP="00280F0C">
      <w:pPr>
        <w:pStyle w:val="Listparagraphbullets"/>
      </w:pPr>
      <w:r w:rsidRPr="002E1C5C">
        <w:t>Sydney Airport Slot Management Scheme 2025 (the Scheme).</w:t>
      </w:r>
    </w:p>
    <w:p w14:paraId="2B2DE5A9" w14:textId="77777777" w:rsidR="00E9413F" w:rsidRPr="009D04AB" w:rsidRDefault="00E9413F" w:rsidP="00E9413F">
      <w:pPr>
        <w:spacing w:after="120"/>
        <w:rPr>
          <w:bCs/>
        </w:rPr>
      </w:pPr>
      <w:r>
        <w:t>The p</w:t>
      </w:r>
      <w:r w:rsidRPr="00C076E9">
        <w:t xml:space="preserve">ublication of information by </w:t>
      </w:r>
      <w:r>
        <w:t xml:space="preserve">the </w:t>
      </w:r>
      <w:r w:rsidRPr="00C076E9">
        <w:t xml:space="preserve">Slot Manager </w:t>
      </w:r>
      <w:r>
        <w:rPr>
          <w:bCs/>
        </w:rPr>
        <w:t>gives</w:t>
      </w:r>
      <w:r w:rsidRPr="009D04AB">
        <w:rPr>
          <w:bCs/>
        </w:rPr>
        <w:t xml:space="preserve"> stakeholders clear visibility into slot allocation and </w:t>
      </w:r>
      <w:r>
        <w:rPr>
          <w:bCs/>
        </w:rPr>
        <w:t>utilisation at Sydney Airport and</w:t>
      </w:r>
      <w:r w:rsidRPr="009D04AB">
        <w:rPr>
          <w:bCs/>
        </w:rPr>
        <w:t xml:space="preserve"> will drive </w:t>
      </w:r>
      <w:r>
        <w:rPr>
          <w:bCs/>
        </w:rPr>
        <w:t xml:space="preserve">airline </w:t>
      </w:r>
      <w:r w:rsidRPr="009D04AB">
        <w:rPr>
          <w:bCs/>
        </w:rPr>
        <w:t>accountability, improve efficiency, and enhance transparency in slot management at Sydney Airport.</w:t>
      </w:r>
    </w:p>
    <w:p w14:paraId="1AD044FC" w14:textId="6A4A56D8" w:rsidR="00E9413F" w:rsidRPr="00857B83" w:rsidRDefault="00E9413F" w:rsidP="00280F0C">
      <w:pPr>
        <w:pStyle w:val="Heading2"/>
      </w:pPr>
      <w:r w:rsidRPr="00857B83">
        <w:t>Section 47 of the Regulations</w:t>
      </w:r>
      <w:r w:rsidR="00287134">
        <w:t>—</w:t>
      </w:r>
      <w:r w:rsidRPr="00857B83">
        <w:t xml:space="preserve">Publication of information by </w:t>
      </w:r>
      <w:r>
        <w:t xml:space="preserve">the </w:t>
      </w:r>
      <w:r w:rsidRPr="00857B83">
        <w:t>Slot Manager</w:t>
      </w:r>
    </w:p>
    <w:p w14:paraId="42F3410D" w14:textId="77777777" w:rsidR="00E9413F" w:rsidRPr="00DE1989" w:rsidRDefault="00E9413F" w:rsidP="00E9413F">
      <w:r>
        <w:t>The guidance</w:t>
      </w:r>
      <w:r w:rsidRPr="00394249">
        <w:t xml:space="preserve"> outlines the information to be published by the Slot Manager as required by subsections 70</w:t>
      </w:r>
      <w:proofErr w:type="gramStart"/>
      <w:r w:rsidRPr="00394249">
        <w:t>E(</w:t>
      </w:r>
      <w:proofErr w:type="gramEnd"/>
      <w:r w:rsidRPr="00394249">
        <w:t>2) and (3) of the Act and section 47 of the</w:t>
      </w:r>
      <w:r>
        <w:t xml:space="preserve"> Regulations</w:t>
      </w:r>
      <w:r w:rsidRPr="00394249">
        <w:t xml:space="preserve">. </w:t>
      </w:r>
    </w:p>
    <w:p w14:paraId="091370D5" w14:textId="77777777" w:rsidR="00E9413F" w:rsidRDefault="00E9413F" w:rsidP="00E9413F">
      <w:r>
        <w:t xml:space="preserve">As per subsection 47(1) of the Regulations, the information to be published are: </w:t>
      </w:r>
    </w:p>
    <w:p w14:paraId="49DC5E71" w14:textId="77777777" w:rsidR="00E9413F" w:rsidRDefault="00E9413F" w:rsidP="00280F0C">
      <w:pPr>
        <w:pStyle w:val="ListLegal1"/>
        <w:numPr>
          <w:ilvl w:val="0"/>
          <w:numId w:val="19"/>
        </w:numPr>
        <w:spacing w:before="80" w:after="80"/>
        <w:ind w:left="567" w:hanging="567"/>
      </w:pPr>
      <w:r>
        <w:t>the utilisation of slots at Sydney Airport during the period</w:t>
      </w:r>
      <w:r>
        <w:rPr>
          <w:lang w:val="en-AU"/>
        </w:rPr>
        <w:t>,</w:t>
      </w:r>
    </w:p>
    <w:p w14:paraId="261FDE55" w14:textId="77777777" w:rsidR="00E9413F" w:rsidRDefault="00E9413F" w:rsidP="00280F0C">
      <w:pPr>
        <w:pStyle w:val="ListLegal1"/>
        <w:numPr>
          <w:ilvl w:val="0"/>
          <w:numId w:val="19"/>
        </w:numPr>
        <w:spacing w:before="80" w:after="80"/>
        <w:ind w:left="567" w:hanging="567"/>
      </w:pPr>
      <w:r>
        <w:t>gate movements at Sydney Airport during the period</w:t>
      </w:r>
      <w:r>
        <w:rPr>
          <w:lang w:val="en-AU"/>
        </w:rPr>
        <w:t>,</w:t>
      </w:r>
    </w:p>
    <w:p w14:paraId="2FA12F15" w14:textId="77777777" w:rsidR="00DC6538" w:rsidRDefault="00E9413F" w:rsidP="00DC6538">
      <w:pPr>
        <w:pStyle w:val="ListLegal1"/>
        <w:numPr>
          <w:ilvl w:val="0"/>
          <w:numId w:val="19"/>
        </w:numPr>
        <w:spacing w:before="80" w:after="80"/>
        <w:ind w:left="567" w:hanging="567"/>
      </w:pPr>
      <w:r>
        <w:t>information in relation to off-slot movements and no-slot movements at Sydney Airport given by operators to the Slot Manager during the period</w:t>
      </w:r>
      <w:r>
        <w:rPr>
          <w:lang w:val="en-AU"/>
        </w:rPr>
        <w:t>,</w:t>
      </w:r>
    </w:p>
    <w:p w14:paraId="5598080D" w14:textId="77777777" w:rsidR="00E9413F" w:rsidRDefault="00E9413F" w:rsidP="00DC6538">
      <w:pPr>
        <w:pStyle w:val="ListLegal1"/>
        <w:numPr>
          <w:ilvl w:val="0"/>
          <w:numId w:val="19"/>
        </w:numPr>
        <w:spacing w:before="80" w:after="80"/>
        <w:ind w:left="567" w:hanging="567"/>
      </w:pPr>
      <w:r w:rsidRPr="00DC6538">
        <w:rPr>
          <w:lang w:val="en-US"/>
        </w:rPr>
        <w:t>compliance by operators with the requirements of the Act during the period.</w:t>
      </w:r>
    </w:p>
    <w:p w14:paraId="4479C93E" w14:textId="77777777" w:rsidR="00E9413F" w:rsidRDefault="00E9413F" w:rsidP="00E9413F">
      <w:r>
        <w:t>Subs</w:t>
      </w:r>
      <w:r w:rsidRPr="00394249">
        <w:t>ection 47</w:t>
      </w:r>
      <w:r>
        <w:t>(2)</w:t>
      </w:r>
      <w:r w:rsidRPr="00394249">
        <w:t xml:space="preserve"> of the Regulations requires the Slot Manager to publish specific ‘information’ four times a year, 40 business days after the end</w:t>
      </w:r>
      <w:r>
        <w:t xml:space="preserve"> of a publication period </w:t>
      </w:r>
      <w:r w:rsidRPr="007F1E37">
        <w:t>or at any other time the Slot Manager considers appropriate.</w:t>
      </w:r>
      <w:r>
        <w:t xml:space="preserve"> The publication periods align with the middle and end of </w:t>
      </w:r>
      <w:hyperlink r:id="rId14" w:history="1">
        <w:r w:rsidRPr="00857B83">
          <w:rPr>
            <w:rStyle w:val="Hyperlink"/>
            <w:color w:val="0000FF"/>
          </w:rPr>
          <w:t>slot scheduling seasons</w:t>
        </w:r>
      </w:hyperlink>
      <w:r>
        <w:t>.</w:t>
      </w:r>
      <w:r>
        <w:rPr>
          <w:rStyle w:val="FootnoteReference"/>
        </w:rPr>
        <w:footnoteReference w:id="1"/>
      </w:r>
      <w:r>
        <w:t xml:space="preserve"> </w:t>
      </w:r>
    </w:p>
    <w:p w14:paraId="0F2A264B" w14:textId="77777777" w:rsidR="00E9413F" w:rsidRPr="00280F0C" w:rsidRDefault="00E9413F" w:rsidP="00280F0C">
      <w:r w:rsidRPr="00280F0C">
        <w:br w:type="page"/>
      </w:r>
    </w:p>
    <w:p w14:paraId="5F0BCBC2" w14:textId="13E02AA0" w:rsidR="00E9413F" w:rsidRPr="00AE5AD5" w:rsidRDefault="00E9413F" w:rsidP="00280F0C">
      <w:pPr>
        <w:pStyle w:val="Heading2"/>
      </w:pPr>
      <w:r w:rsidRPr="00AE5AD5">
        <w:lastRenderedPageBreak/>
        <w:t>Guidance on the information to be published by the Slot Manager</w:t>
      </w:r>
    </w:p>
    <w:p w14:paraId="6294BA60" w14:textId="77777777" w:rsidR="00E9413F" w:rsidRDefault="00E9413F" w:rsidP="00E9413F">
      <w:r w:rsidRPr="00B50B22">
        <w:t>The four sections below provide guidance on the specific information to be published by the Slot Manager, as specified in subsection 47(1) of the Regulations.</w:t>
      </w:r>
      <w:r>
        <w:t xml:space="preserve"> </w:t>
      </w:r>
    </w:p>
    <w:p w14:paraId="7EBEDA1A" w14:textId="77777777" w:rsidR="00E9413F" w:rsidRDefault="00E9413F" w:rsidP="00E9413F">
      <w:r w:rsidRPr="00B50B22">
        <w:t>The report associated with the middle of the scheduling season should cover information from the start of the scheduling season to the date of the mid-season (March to July and October to January)</w:t>
      </w:r>
      <w:r w:rsidRPr="00B50B22">
        <w:rPr>
          <w:vertAlign w:val="superscript"/>
        </w:rPr>
        <w:t>1</w:t>
      </w:r>
      <w:r w:rsidRPr="00B50B22">
        <w:t>. The report associated with the end of scheduling season should cover information from the start of the scheduling season to the end of the scheduling season (March to October and October to March).</w:t>
      </w:r>
      <w:r>
        <w:t xml:space="preserve"> These time periods are referred to as ‘reporting </w:t>
      </w:r>
      <w:proofErr w:type="gramStart"/>
      <w:r>
        <w:t>periods’</w:t>
      </w:r>
      <w:proofErr w:type="gramEnd"/>
      <w:r>
        <w:t>.</w:t>
      </w:r>
      <w:r w:rsidRPr="00B50B22">
        <w:t xml:space="preserve"> The Slot Manager may compile equivalent scheduling seasons together for a historical picture.</w:t>
      </w:r>
    </w:p>
    <w:p w14:paraId="7AC2007E" w14:textId="77777777" w:rsidR="00E9413F" w:rsidRPr="00B50B22" w:rsidRDefault="00E9413F" w:rsidP="00E9413F">
      <w:r>
        <w:t xml:space="preserve">The report will contain information either aggregated for the ‘reporting period’ or broken down ‘per calendar day’. Information at an aggregated level increases the understanding of airline and route performance and </w:t>
      </w:r>
      <w:r w:rsidRPr="000F1918">
        <w:t>information per calendar day will provide a detailed historic database of flights in and out of Sydney Airport.</w:t>
      </w:r>
    </w:p>
    <w:p w14:paraId="7F99D516" w14:textId="77777777" w:rsidR="00E9413F" w:rsidRDefault="00E9413F" w:rsidP="00E9413F">
      <w:pPr>
        <w:spacing w:after="120"/>
        <w:rPr>
          <w:bCs/>
        </w:rPr>
      </w:pPr>
      <w:r w:rsidRPr="00B50B22">
        <w:rPr>
          <w:bCs/>
        </w:rPr>
        <w:t>The Slot Manager should work with airline operators, Airservices Australia, the airport operator at Sydney Airport and the department to ensure that all data has been reviewed by relevant entities and</w:t>
      </w:r>
      <w:r w:rsidRPr="004439EF">
        <w:rPr>
          <w:bCs/>
        </w:rPr>
        <w:t xml:space="preserve"> </w:t>
      </w:r>
      <w:r w:rsidRPr="00B50B22">
        <w:rPr>
          <w:bCs/>
        </w:rPr>
        <w:t>that no commercially sensitive information is published.</w:t>
      </w:r>
      <w:r w:rsidRPr="004439EF">
        <w:rPr>
          <w:bCs/>
        </w:rPr>
        <w:t xml:space="preserve"> </w:t>
      </w:r>
      <w:r w:rsidRPr="00B50B22">
        <w:rPr>
          <w:bCs/>
        </w:rPr>
        <w:t>The Slot Manager should not publish ‘commercially sensitive information’</w:t>
      </w:r>
      <w:r w:rsidRPr="00B50B22">
        <w:rPr>
          <w:rStyle w:val="FootnoteReference"/>
          <w:bCs/>
        </w:rPr>
        <w:footnoteReference w:id="2"/>
      </w:r>
      <w:r w:rsidRPr="00B50B22">
        <w:rPr>
          <w:bCs/>
        </w:rPr>
        <w:t>.</w:t>
      </w:r>
    </w:p>
    <w:p w14:paraId="4B909BD0" w14:textId="77777777" w:rsidR="00E9413F" w:rsidRDefault="00E9413F" w:rsidP="00E9413F">
      <w:pPr>
        <w:spacing w:after="120"/>
        <w:jc w:val="both"/>
        <w:rPr>
          <w:bCs/>
        </w:rPr>
      </w:pPr>
      <w:r>
        <w:rPr>
          <w:bCs/>
        </w:rPr>
        <w:t>Key elements to include across the reporting:</w:t>
      </w:r>
    </w:p>
    <w:p w14:paraId="05B646EB" w14:textId="77777777" w:rsidR="00E9413F" w:rsidRDefault="00E9413F" w:rsidP="003F2271">
      <w:pPr>
        <w:pStyle w:val="Listparagraphbullets"/>
      </w:pPr>
      <w:r>
        <w:t xml:space="preserve">Definitions of key technical terms used in the publication (see </w:t>
      </w:r>
      <w:r w:rsidRPr="001D6A76">
        <w:rPr>
          <w:b/>
          <w:bCs/>
        </w:rPr>
        <w:t>Appendix A</w:t>
      </w:r>
      <w:r>
        <w:t xml:space="preserve"> for key terms),</w:t>
      </w:r>
    </w:p>
    <w:p w14:paraId="3CCB5C5E" w14:textId="77777777" w:rsidR="00E9413F" w:rsidRDefault="00E9413F" w:rsidP="003F2271">
      <w:pPr>
        <w:pStyle w:val="Listparagraphbullets"/>
      </w:pPr>
      <w:r>
        <w:t>Visualisations of any comparative data or time series data, including line and bar graphs where applicable,</w:t>
      </w:r>
    </w:p>
    <w:p w14:paraId="60A3686D" w14:textId="77777777" w:rsidR="00E9413F" w:rsidRPr="001E2358" w:rsidRDefault="00E9413F" w:rsidP="003F2271">
      <w:pPr>
        <w:pStyle w:val="Listparagraphbullets"/>
      </w:pPr>
      <w:r>
        <w:t>All data should be in Sydney’s local time zone, AEST or AEDT.</w:t>
      </w:r>
    </w:p>
    <w:p w14:paraId="77E9F51C" w14:textId="36CB7FB6" w:rsidR="00E9413F" w:rsidRPr="00714E32" w:rsidRDefault="00680E8E" w:rsidP="00714E32">
      <w:pPr>
        <w:pStyle w:val="Heading3"/>
      </w:pPr>
      <w:r w:rsidRPr="00714E32">
        <w:t>S</w:t>
      </w:r>
      <w:r w:rsidR="00E9413F" w:rsidRPr="00714E32">
        <w:t>ubsection 47(1) (a)</w:t>
      </w:r>
      <w:r w:rsidR="00287134" w:rsidRPr="00714E32">
        <w:t>—</w:t>
      </w:r>
      <w:r w:rsidR="00E9413F" w:rsidRPr="00714E32">
        <w:t>the utilisation of slots at Sydney Airport during the period</w:t>
      </w:r>
    </w:p>
    <w:p w14:paraId="656D395E" w14:textId="77777777" w:rsidR="00E9413F" w:rsidRPr="00D24D61" w:rsidRDefault="00E9413F" w:rsidP="00C868C7">
      <w:pPr>
        <w:pStyle w:val="Heading4"/>
        <w:rPr>
          <w:b w:val="0"/>
        </w:rPr>
      </w:pPr>
      <w:r w:rsidRPr="00D24D61">
        <w:t>Purpose of slot utilisation information</w:t>
      </w:r>
    </w:p>
    <w:p w14:paraId="2A3EB147" w14:textId="77777777" w:rsidR="00E9413F" w:rsidRPr="002F1D6C" w:rsidRDefault="00E9413F" w:rsidP="00E9413F">
      <w:r w:rsidRPr="00A4734B">
        <w:t>Paragraph 47(1)(</w:t>
      </w:r>
      <w:r>
        <w:t>a</w:t>
      </w:r>
      <w:r w:rsidRPr="00A4734B">
        <w:t xml:space="preserve">) enables information to be published by the Slot Manager in relation to </w:t>
      </w:r>
      <w:r>
        <w:t>slot utilisation</w:t>
      </w:r>
      <w:r w:rsidRPr="00A4734B">
        <w:t xml:space="preserve"> at Sydney Airport during the period</w:t>
      </w:r>
      <w:r>
        <w:t xml:space="preserve">. It </w:t>
      </w:r>
      <w:r w:rsidRPr="00A4734B">
        <w:t xml:space="preserve">is intended to increase transparency and accountability in how slots are allocated and used by operators at Sydney Airport including transparency on information given by operators in relation to off-slot movements and failures to use an allocated slot. </w:t>
      </w:r>
    </w:p>
    <w:p w14:paraId="4223BA5F" w14:textId="77777777" w:rsidR="00E9413F" w:rsidRPr="00C81658" w:rsidRDefault="00E9413F" w:rsidP="00C868C7">
      <w:pPr>
        <w:pStyle w:val="Heading4"/>
        <w:rPr>
          <w:b w:val="0"/>
        </w:rPr>
      </w:pPr>
      <w:r>
        <w:t>Information to be published regarding slot utilisation</w:t>
      </w:r>
      <w:r w:rsidRPr="00C81658">
        <w:t xml:space="preserve"> for the relevant publication period</w:t>
      </w:r>
    </w:p>
    <w:p w14:paraId="6FB1B696" w14:textId="77777777" w:rsidR="00E9413F" w:rsidRDefault="00E9413F" w:rsidP="00C868C7">
      <w:pPr>
        <w:pStyle w:val="Listparagraphbullets"/>
      </w:pPr>
      <w:r>
        <w:t>international and domestic rates of slot utilisation and non-utilisation, including a breakdown of domestic (non-NSW) and regional (NSW) slot utilisation for the reporting period,</w:t>
      </w:r>
    </w:p>
    <w:p w14:paraId="0FB67DCC" w14:textId="77777777" w:rsidR="00E9413F" w:rsidRPr="008E16BD" w:rsidRDefault="00E9413F" w:rsidP="00C868C7">
      <w:pPr>
        <w:pStyle w:val="Listparagraphbullets"/>
      </w:pPr>
      <w:r>
        <w:t>detail</w:t>
      </w:r>
      <w:r w:rsidRPr="00991CA1">
        <w:t xml:space="preserve"> </w:t>
      </w:r>
      <w:r>
        <w:t xml:space="preserve">of utilised and unutilised slots </w:t>
      </w:r>
      <w:r w:rsidRPr="00991CA1">
        <w:t xml:space="preserve">across peak and </w:t>
      </w:r>
      <w:proofErr w:type="gramStart"/>
      <w:r w:rsidRPr="00991CA1">
        <w:t>off peak</w:t>
      </w:r>
      <w:proofErr w:type="gramEnd"/>
      <w:r w:rsidRPr="00991CA1">
        <w:t xml:space="preserve"> periods</w:t>
      </w:r>
      <w:r>
        <w:t xml:space="preserve"> by operator, operator type and route (see </w:t>
      </w:r>
      <w:hyperlink w:anchor="_Table_1:" w:history="1">
        <w:r>
          <w:rPr>
            <w:rStyle w:val="Hyperlink"/>
            <w:b/>
            <w:bCs/>
          </w:rPr>
          <w:t>T</w:t>
        </w:r>
        <w:r w:rsidRPr="006F7750">
          <w:rPr>
            <w:rStyle w:val="Hyperlink"/>
            <w:b/>
            <w:bCs/>
          </w:rPr>
          <w:t>able 1</w:t>
        </w:r>
      </w:hyperlink>
      <w:r>
        <w:t xml:space="preserve"> for an example of information expected),</w:t>
      </w:r>
    </w:p>
    <w:p w14:paraId="6704C4C3" w14:textId="77777777" w:rsidR="00E9413F" w:rsidRPr="00F161C4" w:rsidRDefault="00E9413F" w:rsidP="00C868C7">
      <w:pPr>
        <w:pStyle w:val="Listparagraphbullets"/>
        <w:rPr>
          <w:rFonts w:cs="Times New Roman (Body CS)"/>
          <w:b/>
          <w:caps/>
          <w:color w:val="49515C" w:themeColor="accent4" w:themeShade="80"/>
        </w:rPr>
      </w:pPr>
      <w:r w:rsidRPr="00D24D61">
        <w:t xml:space="preserve">number of declared exemptions </w:t>
      </w:r>
      <w:r>
        <w:t>granted per</w:t>
      </w:r>
      <w:r w:rsidRPr="00D24D61">
        <w:t xml:space="preserve"> reporting period and exemption codes </w:t>
      </w:r>
      <w:r>
        <w:t>by international or domestic flight,</w:t>
      </w:r>
    </w:p>
    <w:p w14:paraId="3CFD5BE2" w14:textId="77777777" w:rsidR="00E9413F" w:rsidRPr="007904EC" w:rsidRDefault="00E9413F" w:rsidP="00C868C7">
      <w:pPr>
        <w:pStyle w:val="Listparagraphbullets"/>
      </w:pPr>
      <w:r>
        <w:t xml:space="preserve">number of no-slot movements per calendar day, and </w:t>
      </w:r>
    </w:p>
    <w:p w14:paraId="5EBACE48" w14:textId="77777777" w:rsidR="00E9413F" w:rsidRPr="00365B09" w:rsidRDefault="00E9413F" w:rsidP="00C868C7">
      <w:pPr>
        <w:pStyle w:val="Listparagraphbullets"/>
        <w:rPr>
          <w:rFonts w:cs="Times New Roman (Body CS)"/>
          <w:b/>
          <w:caps/>
          <w:color w:val="49515C" w:themeColor="accent4" w:themeShade="80"/>
        </w:rPr>
      </w:pPr>
      <w:r w:rsidRPr="00365B09">
        <w:t>total number of no-slot movements by operator and operator type during the reporting period</w:t>
      </w:r>
    </w:p>
    <w:p w14:paraId="3F88908D" w14:textId="06DA6668" w:rsidR="00E9413F" w:rsidRPr="00F37349" w:rsidRDefault="002E7717" w:rsidP="00714E32">
      <w:pPr>
        <w:pStyle w:val="Heading3"/>
        <w:rPr>
          <w:rFonts w:cstheme="minorHAnsi"/>
        </w:rPr>
      </w:pPr>
      <w:r>
        <w:lastRenderedPageBreak/>
        <w:t>S</w:t>
      </w:r>
      <w:r w:rsidR="00E9413F">
        <w:t>ubsection 47(1) (b)</w:t>
      </w:r>
      <w:r w:rsidR="00287134">
        <w:t>—</w:t>
      </w:r>
      <w:r w:rsidR="00E9413F">
        <w:t>g</w:t>
      </w:r>
      <w:r w:rsidR="00E9413F" w:rsidRPr="003C2F9E">
        <w:t>ate movements at Sydney Airport during the period</w:t>
      </w:r>
    </w:p>
    <w:p w14:paraId="751E3661" w14:textId="77777777" w:rsidR="00E9413F" w:rsidRPr="00883ED1" w:rsidRDefault="00E9413F" w:rsidP="00C868C7">
      <w:pPr>
        <w:pStyle w:val="Heading4"/>
      </w:pPr>
      <w:r w:rsidRPr="00883ED1">
        <w:t>Purpose of gate movement information</w:t>
      </w:r>
    </w:p>
    <w:p w14:paraId="23191A2E" w14:textId="77777777" w:rsidR="00E9413F" w:rsidRDefault="00E9413F" w:rsidP="00E9413F">
      <w:r w:rsidRPr="000F1918">
        <w:t>Outside of peak hours, Syd</w:t>
      </w:r>
      <w:r>
        <w:t>n</w:t>
      </w:r>
      <w:r w:rsidRPr="000F1918">
        <w:t xml:space="preserve">ey Airport is not at capacity for gate movements. As per Sydney’s draft </w:t>
      </w:r>
      <w:hyperlink r:id="rId15" w:history="1">
        <w:r w:rsidRPr="00A14A60">
          <w:rPr>
            <w:rStyle w:val="Hyperlink"/>
          </w:rPr>
          <w:t>Master Plan 2045</w:t>
        </w:r>
      </w:hyperlink>
      <w:r w:rsidRPr="000F1918">
        <w:t xml:space="preserve">, the number of passengers going through the airport is expected to increase by 75% over the next 20 years. </w:t>
      </w:r>
    </w:p>
    <w:p w14:paraId="150E22C4" w14:textId="7B288F8A" w:rsidR="00E9413F" w:rsidRDefault="00E9413F" w:rsidP="00E9413F">
      <w:r>
        <w:t xml:space="preserve">The publication of gate movement </w:t>
      </w:r>
      <w:r w:rsidRPr="000F1918">
        <w:t>will ensure accurate records are kept</w:t>
      </w:r>
      <w:r>
        <w:t>, supporting slot management and effective</w:t>
      </w:r>
      <w:r w:rsidRPr="000F1918">
        <w:t xml:space="preserve"> compliance monitoring</w:t>
      </w:r>
      <w:r>
        <w:t xml:space="preserve"> as capacity decreases. It will also </w:t>
      </w:r>
      <w:r w:rsidRPr="000F1918">
        <w:t>increase public awareness of the slot management system at Sydney Airport.</w:t>
      </w:r>
    </w:p>
    <w:p w14:paraId="0F67A8B4" w14:textId="77777777" w:rsidR="00E9413F" w:rsidRPr="00FA4EB5" w:rsidRDefault="00E9413F" w:rsidP="00C868C7">
      <w:pPr>
        <w:pStyle w:val="Heading4"/>
      </w:pPr>
      <w:r>
        <w:t>Information to be published regarding n</w:t>
      </w:r>
      <w:r w:rsidRPr="00FA4EB5">
        <w:t xml:space="preserve">umber of gate movements </w:t>
      </w:r>
      <w:r w:rsidRPr="00C81658">
        <w:t>for the relevant publication period</w:t>
      </w:r>
    </w:p>
    <w:p w14:paraId="16BFB10C" w14:textId="77777777" w:rsidR="00E9413F" w:rsidRPr="00FA4EB5" w:rsidRDefault="00E9413F" w:rsidP="00C868C7">
      <w:pPr>
        <w:pStyle w:val="Listparagraphbullets"/>
        <w:spacing w:after="0"/>
      </w:pPr>
      <w:r w:rsidRPr="00075DF1">
        <w:t>For each calendar day, provide number of movements per hour</w:t>
      </w:r>
      <w:r>
        <w:t xml:space="preserve"> with a breakdown by:</w:t>
      </w:r>
      <w:r w:rsidRPr="00FA4EB5">
        <w:t xml:space="preserve"> </w:t>
      </w:r>
    </w:p>
    <w:p w14:paraId="52F7E0EA" w14:textId="77777777" w:rsidR="00E9413F" w:rsidRPr="00FA4EB5" w:rsidRDefault="00E9413F" w:rsidP="00C868C7">
      <w:pPr>
        <w:pStyle w:val="Listparagraphbulletssecondlevel"/>
      </w:pPr>
      <w:r w:rsidRPr="00FA4EB5">
        <w:t>arrival</w:t>
      </w:r>
      <w:r>
        <w:t>s</w:t>
      </w:r>
      <w:r w:rsidRPr="00FA4EB5">
        <w:t xml:space="preserve"> and departure</w:t>
      </w:r>
      <w:r>
        <w:t>s</w:t>
      </w:r>
    </w:p>
    <w:p w14:paraId="0A7C5CC2" w14:textId="77777777" w:rsidR="00E9413F" w:rsidRPr="00FA0BB5" w:rsidRDefault="00E9413F" w:rsidP="00C868C7">
      <w:pPr>
        <w:pStyle w:val="Listparagraphbulletssecondlevel"/>
        <w:rPr>
          <w:b/>
        </w:rPr>
      </w:pPr>
      <w:r>
        <w:t xml:space="preserve">international &amp; domestic flights </w:t>
      </w:r>
    </w:p>
    <w:p w14:paraId="5FFF3998" w14:textId="77777777" w:rsidR="00E9413F" w:rsidRPr="00FA0BB5" w:rsidRDefault="00E9413F" w:rsidP="00C868C7">
      <w:pPr>
        <w:pStyle w:val="Listparagraphbulletssecondlevel"/>
        <w:rPr>
          <w:b/>
        </w:rPr>
      </w:pPr>
      <w:r>
        <w:t>domestic (non-NSW) and regional (NSW) flights</w:t>
      </w:r>
    </w:p>
    <w:p w14:paraId="5D51621F" w14:textId="77777777" w:rsidR="00E9413F" w:rsidRPr="00FA4EB5" w:rsidRDefault="00E9413F" w:rsidP="00D34B78">
      <w:pPr>
        <w:pStyle w:val="Listparagraphbullets"/>
        <w:spacing w:after="0"/>
      </w:pPr>
      <w:r w:rsidRPr="00075DF1">
        <w:t xml:space="preserve">For each calendar day, provide planned movements at HBD versus actual movements </w:t>
      </w:r>
      <w:r>
        <w:t>with a breakdown by:</w:t>
      </w:r>
      <w:r w:rsidRPr="00FA4EB5">
        <w:t xml:space="preserve"> </w:t>
      </w:r>
    </w:p>
    <w:p w14:paraId="162E1A4D" w14:textId="77777777" w:rsidR="00E9413F" w:rsidRPr="00FA4EB5" w:rsidRDefault="00E9413F" w:rsidP="00C868C7">
      <w:pPr>
        <w:pStyle w:val="Listparagraphbulletssecondlevel"/>
      </w:pPr>
      <w:r w:rsidRPr="00FA4EB5">
        <w:t>arrival</w:t>
      </w:r>
      <w:r>
        <w:t>s</w:t>
      </w:r>
      <w:r w:rsidRPr="00FA4EB5">
        <w:t xml:space="preserve"> and departure</w:t>
      </w:r>
      <w:r>
        <w:t>s</w:t>
      </w:r>
    </w:p>
    <w:p w14:paraId="01B3CA0D" w14:textId="77777777" w:rsidR="00E9413F" w:rsidRPr="00FA0BB5" w:rsidRDefault="00E9413F" w:rsidP="00C868C7">
      <w:pPr>
        <w:pStyle w:val="Listparagraphbulletssecondlevel"/>
        <w:rPr>
          <w:b/>
        </w:rPr>
      </w:pPr>
      <w:r>
        <w:t xml:space="preserve">international &amp; domestic flights </w:t>
      </w:r>
    </w:p>
    <w:p w14:paraId="695B1289" w14:textId="77777777" w:rsidR="00E9413F" w:rsidRPr="00FA0BB5" w:rsidRDefault="00E9413F" w:rsidP="00C868C7">
      <w:pPr>
        <w:pStyle w:val="Listparagraphbulletssecondlevel"/>
        <w:rPr>
          <w:b/>
        </w:rPr>
      </w:pPr>
      <w:r>
        <w:t>domestic (non-NSW) and regional (NSW) flights</w:t>
      </w:r>
    </w:p>
    <w:p w14:paraId="65E30C5A" w14:textId="77777777" w:rsidR="00E9413F" w:rsidRPr="001E2358" w:rsidRDefault="00E9413F" w:rsidP="00C868C7">
      <w:pPr>
        <w:pStyle w:val="Listparagraphbulletssecondlevel"/>
        <w:rPr>
          <w:b/>
        </w:rPr>
      </w:pPr>
      <w:r w:rsidRPr="002754A6">
        <w:t xml:space="preserve">peak and </w:t>
      </w:r>
      <w:proofErr w:type="gramStart"/>
      <w:r w:rsidRPr="002754A6">
        <w:t>off peak</w:t>
      </w:r>
      <w:proofErr w:type="gramEnd"/>
      <w:r w:rsidRPr="002754A6">
        <w:t xml:space="preserve"> </w:t>
      </w:r>
      <w:r>
        <w:t xml:space="preserve">movements on </w:t>
      </w:r>
      <w:proofErr w:type="gramStart"/>
      <w:r>
        <w:t>week days</w:t>
      </w:r>
      <w:proofErr w:type="gramEnd"/>
      <w:r>
        <w:t xml:space="preserve"> (information not required on weekends)</w:t>
      </w:r>
    </w:p>
    <w:p w14:paraId="525DCFD5" w14:textId="25F588B9" w:rsidR="00E9413F" w:rsidRDefault="002E7717" w:rsidP="00714E32">
      <w:pPr>
        <w:pStyle w:val="Heading3"/>
      </w:pPr>
      <w:r>
        <w:t>S</w:t>
      </w:r>
      <w:r w:rsidR="00E9413F">
        <w:t xml:space="preserve">ubsection </w:t>
      </w:r>
      <w:r w:rsidR="00E9413F" w:rsidRPr="009155EB">
        <w:t>47(1) (c)</w:t>
      </w:r>
      <w:r w:rsidR="00287134">
        <w:t>—</w:t>
      </w:r>
      <w:r w:rsidR="00E9413F" w:rsidRPr="009155EB">
        <w:t xml:space="preserve">information in relation to off-slot movements and </w:t>
      </w:r>
      <w:r w:rsidR="00E9413F" w:rsidRPr="00F161C4">
        <w:t xml:space="preserve">failures to use an allocated slot </w:t>
      </w:r>
      <w:r w:rsidR="00E9413F" w:rsidRPr="009155EB">
        <w:t>at Sydney Airport given by operators to the Slot Manager during the period</w:t>
      </w:r>
    </w:p>
    <w:p w14:paraId="73FAF0DF" w14:textId="77777777" w:rsidR="00E9413F" w:rsidRPr="007904EC" w:rsidRDefault="00E9413F" w:rsidP="00D34B78">
      <w:pPr>
        <w:pStyle w:val="Heading4"/>
      </w:pPr>
      <w:r w:rsidRPr="00A4734B">
        <w:t>Purpose</w:t>
      </w:r>
      <w:r>
        <w:t xml:space="preserve"> of off-slot and failures to use an allocated slot information</w:t>
      </w:r>
    </w:p>
    <w:p w14:paraId="7CF79AB0" w14:textId="77777777" w:rsidR="00E9413F" w:rsidRDefault="00E9413F" w:rsidP="00E9413F">
      <w:r>
        <w:t>F</w:t>
      </w:r>
      <w:r w:rsidRPr="00074AAA">
        <w:t>ailures to use an allocated slot</w:t>
      </w:r>
      <w:r>
        <w:t xml:space="preserve"> and off-slot movements can cause disruption at airports and have flow-on effects to other aircraft. The increased reporting seeks to reduce rates of </w:t>
      </w:r>
      <w:r w:rsidRPr="00074AAA">
        <w:t xml:space="preserve">failures to use an allocated slot </w:t>
      </w:r>
      <w:r>
        <w:t>and off-slot movements through improving awareness of their impacts and supporting any administrative action by the Slot Manager or regulatory action by the department.</w:t>
      </w:r>
    </w:p>
    <w:p w14:paraId="41F63F8F" w14:textId="77777777" w:rsidR="00E9413F" w:rsidRDefault="00E9413F" w:rsidP="00D34B78">
      <w:pPr>
        <w:pStyle w:val="Heading4"/>
      </w:pPr>
      <w:r>
        <w:t xml:space="preserve">Information to be published regarding off-slot movements and failures to use an allocated slot </w:t>
      </w:r>
    </w:p>
    <w:p w14:paraId="1EF120E6" w14:textId="77777777" w:rsidR="00E9413F" w:rsidRPr="00D24D61" w:rsidRDefault="00E9413F" w:rsidP="00D34B78">
      <w:pPr>
        <w:pStyle w:val="Listparagraphbullets"/>
      </w:pPr>
      <w:r w:rsidRPr="00C224CA">
        <w:t>reason</w:t>
      </w:r>
      <w:r>
        <w:t xml:space="preserve"> code</w:t>
      </w:r>
      <w:r w:rsidRPr="00C224CA">
        <w:t>s for failure</w:t>
      </w:r>
      <w:r>
        <w:t xml:space="preserve"> </w:t>
      </w:r>
      <w:r w:rsidRPr="00D24D61">
        <w:t>to</w:t>
      </w:r>
      <w:r>
        <w:t xml:space="preserve"> </w:t>
      </w:r>
      <w:r w:rsidRPr="00D24D61">
        <w:t>use slot by operator</w:t>
      </w:r>
      <w:r>
        <w:t>, operator type</w:t>
      </w:r>
      <w:r w:rsidRPr="00D24D61">
        <w:t xml:space="preserve"> and route</w:t>
      </w:r>
      <w:r>
        <w:t xml:space="preserve"> </w:t>
      </w:r>
      <w:r w:rsidRPr="004611D0">
        <w:t>for the reporting period</w:t>
      </w:r>
      <w:r>
        <w:t>.</w:t>
      </w:r>
    </w:p>
    <w:p w14:paraId="2387EA21" w14:textId="77777777" w:rsidR="00E9413F" w:rsidRPr="00D24D61" w:rsidRDefault="00E9413F" w:rsidP="00D34B78">
      <w:pPr>
        <w:pStyle w:val="Listparagraphbullets"/>
      </w:pPr>
      <w:r w:rsidRPr="00D24D61">
        <w:t>reason codes for off</w:t>
      </w:r>
      <w:r>
        <w:t>-</w:t>
      </w:r>
      <w:r w:rsidRPr="00D24D61">
        <w:t>slot movements by operator</w:t>
      </w:r>
      <w:r>
        <w:t>, operator type</w:t>
      </w:r>
      <w:r w:rsidRPr="00D24D61">
        <w:t xml:space="preserve"> and route</w:t>
      </w:r>
      <w:r>
        <w:t xml:space="preserve"> </w:t>
      </w:r>
      <w:r w:rsidRPr="004611D0">
        <w:t>for the reporting period</w:t>
      </w:r>
      <w:r>
        <w:t>.</w:t>
      </w:r>
    </w:p>
    <w:p w14:paraId="546C21C3" w14:textId="77777777" w:rsidR="002E7717" w:rsidRDefault="002E7717">
      <w:pPr>
        <w:spacing w:line="259" w:lineRule="auto"/>
        <w:rPr>
          <w:rFonts w:eastAsia="SimSun" w:cs="Times New Roman"/>
          <w:b/>
          <w:color w:val="595C6E"/>
          <w:kern w:val="12"/>
          <w:sz w:val="26"/>
          <w:szCs w:val="24"/>
        </w:rPr>
      </w:pPr>
      <w:r>
        <w:br w:type="page"/>
      </w:r>
    </w:p>
    <w:p w14:paraId="637586C7" w14:textId="5AED15DA" w:rsidR="00E9413F" w:rsidRPr="001E2358" w:rsidRDefault="002E7717" w:rsidP="00714E32">
      <w:pPr>
        <w:pStyle w:val="Heading3"/>
      </w:pPr>
      <w:r>
        <w:lastRenderedPageBreak/>
        <w:t>S</w:t>
      </w:r>
      <w:r w:rsidR="00E9413F" w:rsidRPr="001E2358">
        <w:t>ubsection 47(1) (d)</w:t>
      </w:r>
      <w:r w:rsidR="00287134">
        <w:t>—</w:t>
      </w:r>
      <w:r w:rsidR="00E9413F" w:rsidRPr="001E2358">
        <w:t>compliance by operators with the requirements of the Act during the period</w:t>
      </w:r>
    </w:p>
    <w:p w14:paraId="2EC076E8" w14:textId="77777777" w:rsidR="00E9413F" w:rsidRDefault="00E9413F" w:rsidP="00D34B78">
      <w:pPr>
        <w:pStyle w:val="Heading4"/>
      </w:pPr>
      <w:r>
        <w:t>Purpose of information regarding operator compliance with the Act</w:t>
      </w:r>
    </w:p>
    <w:p w14:paraId="289E6A5D" w14:textId="77777777" w:rsidR="00E9413F" w:rsidRDefault="00E9413F" w:rsidP="00D34B78">
      <w:r w:rsidRPr="005D0EB5">
        <w:t xml:space="preserve">Transparency in </w:t>
      </w:r>
      <w:r>
        <w:t xml:space="preserve">administrative and regulatory action </w:t>
      </w:r>
      <w:r w:rsidRPr="005D0EB5">
        <w:t>is critical for industry and public confidence. Regular publication of key information</w:t>
      </w:r>
      <w:r>
        <w:t xml:space="preserve"> regarding actions taken against non-compliance</w:t>
      </w:r>
      <w:r w:rsidRPr="005D0EB5">
        <w:t xml:space="preserve"> is intended to provide stakeholders with </w:t>
      </w:r>
      <w:r>
        <w:t xml:space="preserve">confidence that the enforcement provisions of the Act are being enacted. </w:t>
      </w:r>
    </w:p>
    <w:p w14:paraId="60634195" w14:textId="77777777" w:rsidR="00E9413F" w:rsidRDefault="00E9413F" w:rsidP="00D34B78">
      <w:pPr>
        <w:pStyle w:val="Heading4"/>
      </w:pPr>
      <w:r>
        <w:t>Information to be published regarding compliance with the Act</w:t>
      </w:r>
    </w:p>
    <w:p w14:paraId="2624A027" w14:textId="77777777" w:rsidR="00E9413F" w:rsidRPr="00F41128" w:rsidRDefault="00E9413F" w:rsidP="00D34B78">
      <w:pPr>
        <w:pStyle w:val="Listparagraphbullets"/>
      </w:pPr>
      <w:r>
        <w:t>Performance against the c</w:t>
      </w:r>
      <w:r w:rsidRPr="00282C7A">
        <w:t xml:space="preserve">onditions test </w:t>
      </w:r>
      <w:r>
        <w:t>per section 10 of the Scheme</w:t>
      </w:r>
      <w:r w:rsidRPr="00282C7A">
        <w:t xml:space="preserve"> by</w:t>
      </w:r>
      <w:r>
        <w:t xml:space="preserve"> operator</w:t>
      </w:r>
      <w:r w:rsidRPr="00282C7A">
        <w:t xml:space="preserve"> </w:t>
      </w:r>
      <w:r>
        <w:t>for</w:t>
      </w:r>
      <w:r w:rsidRPr="00282C7A">
        <w:t xml:space="preserve"> </w:t>
      </w:r>
      <w:r>
        <w:t>any relevant conditions (aircraf</w:t>
      </w:r>
      <w:r w:rsidRPr="00282C7A">
        <w:t>t</w:t>
      </w:r>
      <w:r>
        <w:t xml:space="preserve"> type</w:t>
      </w:r>
      <w:r w:rsidRPr="00282C7A">
        <w:t xml:space="preserve">, </w:t>
      </w:r>
      <w:r>
        <w:t>size of aircraf</w:t>
      </w:r>
      <w:r w:rsidRPr="00282C7A">
        <w:t xml:space="preserve">t, </w:t>
      </w:r>
      <w:r>
        <w:t xml:space="preserve">aircraft </w:t>
      </w:r>
      <w:r w:rsidRPr="00282C7A">
        <w:t>operator, arrival or destination</w:t>
      </w:r>
      <w:r>
        <w:t xml:space="preserve"> airport, or freight or passenger aircraft).</w:t>
      </w:r>
    </w:p>
    <w:p w14:paraId="6620BA8D" w14:textId="3D5A430E" w:rsidR="00E9413F" w:rsidRDefault="00E9413F" w:rsidP="00D34B78">
      <w:pPr>
        <w:pStyle w:val="Listparagraphbullets"/>
      </w:pPr>
      <w:r>
        <w:t xml:space="preserve">Report on number of compliance notices of administrative actions given by the Slot Manager under section 32 of the Scheme by civil penalty category as outlined in section 10A of the Act (see </w:t>
      </w:r>
      <w:hyperlink w:anchor="_Table_3:_Count" w:history="1">
        <w:r>
          <w:rPr>
            <w:rStyle w:val="Hyperlink"/>
            <w:b/>
            <w:bCs/>
          </w:rPr>
          <w:t>T</w:t>
        </w:r>
        <w:r w:rsidRPr="00710939">
          <w:rPr>
            <w:rStyle w:val="Hyperlink"/>
            <w:b/>
            <w:bCs/>
          </w:rPr>
          <w:t xml:space="preserve">able </w:t>
        </w:r>
        <w:r w:rsidR="00090C84">
          <w:rPr>
            <w:rStyle w:val="Hyperlink"/>
            <w:b/>
            <w:bCs/>
          </w:rPr>
          <w:t>2</w:t>
        </w:r>
      </w:hyperlink>
      <w:r>
        <w:t xml:space="preserve"> for suggested format). Report on all compliance notices given, even if relating to the same slot misuse instance.</w:t>
      </w:r>
    </w:p>
    <w:p w14:paraId="10A1B0E1" w14:textId="77777777" w:rsidR="00E9413F" w:rsidRDefault="00E9413F" w:rsidP="006D73F9">
      <w:pPr>
        <w:pStyle w:val="Listparagraphbullets"/>
        <w:spacing w:after="0"/>
      </w:pPr>
      <w:r>
        <w:t>Report on operators failing or refusing to comply with section 42 of the Regulations allowing the Slot Manager to request access to records from airlines, including but not limited to:</w:t>
      </w:r>
    </w:p>
    <w:p w14:paraId="260B72AB" w14:textId="77777777" w:rsidR="00E9413F" w:rsidRPr="00961DD0" w:rsidRDefault="00E9413F" w:rsidP="00D34B78">
      <w:pPr>
        <w:pStyle w:val="Listparagraphbulletssecondlevel"/>
      </w:pPr>
      <w:r>
        <w:t>requests for information on apparent instances of slot misuse</w:t>
      </w:r>
    </w:p>
    <w:p w14:paraId="203AD62D" w14:textId="77777777" w:rsidR="00E9413F" w:rsidRDefault="00E9413F" w:rsidP="00D34B78">
      <w:pPr>
        <w:pStyle w:val="Listparagraphbulletssecondlevel"/>
      </w:pPr>
      <w:r>
        <w:t>requests for remedial action</w:t>
      </w:r>
    </w:p>
    <w:p w14:paraId="0C373DD7" w14:textId="77777777" w:rsidR="00E9413F" w:rsidRDefault="00E9413F" w:rsidP="00D34B78">
      <w:pPr>
        <w:pStyle w:val="Listparagraphbulletssecondlevel"/>
      </w:pPr>
      <w:r>
        <w:t>reasons for delay and cancellation requests.</w:t>
      </w:r>
    </w:p>
    <w:p w14:paraId="06543A1A" w14:textId="77777777" w:rsidR="00E9413F" w:rsidRPr="00E451A4" w:rsidRDefault="00E9413F" w:rsidP="00E9413F">
      <w:pPr>
        <w:spacing w:after="120"/>
        <w:jc w:val="both"/>
      </w:pPr>
      <w:r>
        <w:t xml:space="preserve">This document will be updated at a minimum every two years or as operationally required. </w:t>
      </w:r>
    </w:p>
    <w:tbl>
      <w:tblPr>
        <w:tblStyle w:val="DefaultTable1"/>
        <w:tblpPr w:leftFromText="180" w:rightFromText="180" w:vertAnchor="text" w:tblpY="59"/>
        <w:tblW w:w="5000" w:type="pct"/>
        <w:tblLook w:val="04A0" w:firstRow="1" w:lastRow="0" w:firstColumn="1" w:lastColumn="0" w:noHBand="0" w:noVBand="1"/>
        <w:tblDescription w:val="Version updates"/>
      </w:tblPr>
      <w:tblGrid>
        <w:gridCol w:w="1149"/>
        <w:gridCol w:w="1530"/>
        <w:gridCol w:w="3872"/>
        <w:gridCol w:w="2924"/>
      </w:tblGrid>
      <w:tr w:rsidR="007759EA" w14:paraId="6B2C8755" w14:textId="77777777" w:rsidTr="007759E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6" w:type="pct"/>
            <w:shd w:val="clear" w:color="auto" w:fill="081E3E"/>
            <w:hideMark/>
          </w:tcPr>
          <w:p w14:paraId="684598A3" w14:textId="77777777" w:rsidR="00E9413F" w:rsidRDefault="00E9413F" w:rsidP="00E22FC1">
            <w:pPr>
              <w:jc w:val="both"/>
              <w:rPr>
                <w:b w:val="0"/>
                <w:bCs/>
                <w:color w:val="FFFFFF"/>
              </w:rPr>
            </w:pPr>
            <w:r>
              <w:rPr>
                <w:bCs/>
                <w:color w:val="FFFFFF"/>
              </w:rPr>
              <w:t>Version</w:t>
            </w:r>
          </w:p>
        </w:tc>
        <w:tc>
          <w:tcPr>
            <w:tcW w:w="807" w:type="pct"/>
            <w:shd w:val="clear" w:color="auto" w:fill="081E3E"/>
            <w:hideMark/>
          </w:tcPr>
          <w:p w14:paraId="50FD90F6" w14:textId="77777777" w:rsidR="00E9413F" w:rsidRDefault="00E9413F" w:rsidP="00E22FC1">
            <w:pPr>
              <w:jc w:val="both"/>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Release date</w:t>
            </w:r>
          </w:p>
        </w:tc>
        <w:tc>
          <w:tcPr>
            <w:tcW w:w="2043" w:type="pct"/>
            <w:shd w:val="clear" w:color="auto" w:fill="081E3E"/>
            <w:hideMark/>
          </w:tcPr>
          <w:p w14:paraId="2AAF0EDA" w14:textId="77777777" w:rsidR="00E9413F" w:rsidRDefault="00E9413F" w:rsidP="00E22FC1">
            <w:pPr>
              <w:jc w:val="both"/>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Approver</w:t>
            </w:r>
          </w:p>
        </w:tc>
        <w:tc>
          <w:tcPr>
            <w:tcW w:w="1543" w:type="pct"/>
            <w:shd w:val="clear" w:color="auto" w:fill="081E3E"/>
            <w:hideMark/>
          </w:tcPr>
          <w:p w14:paraId="18D980BD" w14:textId="77777777" w:rsidR="00E9413F" w:rsidRDefault="00E9413F" w:rsidP="00E22FC1">
            <w:pPr>
              <w:jc w:val="both"/>
              <w:cnfStyle w:val="100000000000" w:firstRow="1" w:lastRow="0" w:firstColumn="0" w:lastColumn="0" w:oddVBand="0" w:evenVBand="0" w:oddHBand="0" w:evenHBand="0" w:firstRowFirstColumn="0" w:firstRowLastColumn="0" w:lastRowFirstColumn="0" w:lastRowLastColumn="0"/>
              <w:rPr>
                <w:b w:val="0"/>
                <w:bCs/>
                <w:color w:val="FFFFFF"/>
              </w:rPr>
            </w:pPr>
            <w:r>
              <w:rPr>
                <w:bCs/>
                <w:color w:val="FFFFFF"/>
              </w:rPr>
              <w:t>Reason for update</w:t>
            </w:r>
          </w:p>
        </w:tc>
      </w:tr>
      <w:tr w:rsidR="00E9413F" w14:paraId="63DCBD51" w14:textId="77777777" w:rsidTr="007759EA">
        <w:trPr>
          <w:cantSplit/>
        </w:trPr>
        <w:tc>
          <w:tcPr>
            <w:cnfStyle w:val="001000000000" w:firstRow="0" w:lastRow="0" w:firstColumn="1" w:lastColumn="0" w:oddVBand="0" w:evenVBand="0" w:oddHBand="0" w:evenHBand="0" w:firstRowFirstColumn="0" w:firstRowLastColumn="0" w:lastRowFirstColumn="0" w:lastRowLastColumn="0"/>
            <w:tcW w:w="606" w:type="pct"/>
          </w:tcPr>
          <w:p w14:paraId="2650BC52" w14:textId="77777777" w:rsidR="00E9413F" w:rsidRDefault="00E9413F" w:rsidP="00E22FC1">
            <w:pPr>
              <w:jc w:val="both"/>
              <w:rPr>
                <w:bCs/>
                <w:color w:val="000000"/>
              </w:rPr>
            </w:pPr>
            <w:r>
              <w:rPr>
                <w:bCs/>
                <w:color w:val="000000"/>
              </w:rPr>
              <w:t>1.0</w:t>
            </w:r>
          </w:p>
        </w:tc>
        <w:tc>
          <w:tcPr>
            <w:tcW w:w="807" w:type="pct"/>
          </w:tcPr>
          <w:p w14:paraId="025553C2" w14:textId="77777777" w:rsidR="00E9413F" w:rsidRDefault="00E9413F" w:rsidP="00E22FC1">
            <w:pPr>
              <w:jc w:val="both"/>
              <w:cnfStyle w:val="000000000000" w:firstRow="0" w:lastRow="0" w:firstColumn="0" w:lastColumn="0" w:oddVBand="0" w:evenVBand="0" w:oddHBand="0" w:evenHBand="0" w:firstRowFirstColumn="0" w:firstRowLastColumn="0" w:lastRowFirstColumn="0" w:lastRowLastColumn="0"/>
            </w:pPr>
            <w:r>
              <w:t>January 2026</w:t>
            </w:r>
          </w:p>
        </w:tc>
        <w:tc>
          <w:tcPr>
            <w:tcW w:w="2043" w:type="pct"/>
          </w:tcPr>
          <w:p w14:paraId="1E7AF546" w14:textId="23264E96" w:rsidR="00E9413F" w:rsidRDefault="00E9413F" w:rsidP="007759EA">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Andrew Morgan, A/g Assistant Secretary</w:t>
            </w:r>
          </w:p>
        </w:tc>
        <w:tc>
          <w:tcPr>
            <w:tcW w:w="1543" w:type="pct"/>
          </w:tcPr>
          <w:p w14:paraId="6E202FF5" w14:textId="77777777" w:rsidR="00E9413F" w:rsidRDefault="00E9413F" w:rsidP="00E22FC1">
            <w:pPr>
              <w:jc w:val="both"/>
              <w:cnfStyle w:val="000000000000" w:firstRow="0" w:lastRow="0" w:firstColumn="0" w:lastColumn="0" w:oddVBand="0" w:evenVBand="0" w:oddHBand="0" w:evenHBand="0" w:firstRowFirstColumn="0" w:firstRowLastColumn="0" w:lastRowFirstColumn="0" w:lastRowLastColumn="0"/>
              <w:rPr>
                <w:color w:val="000000"/>
              </w:rPr>
            </w:pPr>
            <w:r>
              <w:rPr>
                <w:color w:val="000000"/>
              </w:rPr>
              <w:t xml:space="preserve">Initial Release </w:t>
            </w:r>
          </w:p>
        </w:tc>
      </w:tr>
      <w:tr w:rsidR="00090C84" w14:paraId="3A12F313" w14:textId="77777777" w:rsidTr="007759EA">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606" w:type="pct"/>
          </w:tcPr>
          <w:p w14:paraId="517FA5CA" w14:textId="4A0B2331" w:rsidR="00090C84" w:rsidRDefault="00090C84" w:rsidP="00E22FC1">
            <w:pPr>
              <w:jc w:val="both"/>
              <w:rPr>
                <w:bCs/>
                <w:color w:val="000000"/>
              </w:rPr>
            </w:pPr>
            <w:r>
              <w:rPr>
                <w:bCs/>
                <w:color w:val="000000"/>
              </w:rPr>
              <w:t>1.1</w:t>
            </w:r>
          </w:p>
        </w:tc>
        <w:tc>
          <w:tcPr>
            <w:tcW w:w="807" w:type="pct"/>
          </w:tcPr>
          <w:p w14:paraId="29081804" w14:textId="46DDE9F3" w:rsidR="00090C84" w:rsidRDefault="00090C84" w:rsidP="00E22FC1">
            <w:pPr>
              <w:jc w:val="both"/>
              <w:cnfStyle w:val="000000010000" w:firstRow="0" w:lastRow="0" w:firstColumn="0" w:lastColumn="0" w:oddVBand="0" w:evenVBand="0" w:oddHBand="0" w:evenHBand="1" w:firstRowFirstColumn="0" w:firstRowLastColumn="0" w:lastRowFirstColumn="0" w:lastRowLastColumn="0"/>
            </w:pPr>
            <w:r>
              <w:t>February 2026</w:t>
            </w:r>
          </w:p>
        </w:tc>
        <w:tc>
          <w:tcPr>
            <w:tcW w:w="2043" w:type="pct"/>
          </w:tcPr>
          <w:p w14:paraId="368E2A65" w14:textId="56CBBF3C" w:rsidR="00090C84" w:rsidRDefault="00090C84" w:rsidP="00E22FC1">
            <w:pPr>
              <w:jc w:val="both"/>
              <w:cnfStyle w:val="000000010000" w:firstRow="0" w:lastRow="0" w:firstColumn="0" w:lastColumn="0" w:oddVBand="0" w:evenVBand="0" w:oddHBand="0" w:evenHBand="1" w:firstRowFirstColumn="0" w:firstRowLastColumn="0" w:lastRowFirstColumn="0" w:lastRowLastColumn="0"/>
              <w:rPr>
                <w:color w:val="000000"/>
              </w:rPr>
            </w:pPr>
            <w:r>
              <w:rPr>
                <w:color w:val="000000"/>
              </w:rPr>
              <w:t>N/A</w:t>
            </w:r>
          </w:p>
        </w:tc>
        <w:tc>
          <w:tcPr>
            <w:tcW w:w="1543" w:type="pct"/>
          </w:tcPr>
          <w:p w14:paraId="06FD2F79" w14:textId="3EA72A8E" w:rsidR="00090C84" w:rsidRDefault="007759EA" w:rsidP="00E22FC1">
            <w:pPr>
              <w:jc w:val="both"/>
              <w:cnfStyle w:val="000000010000" w:firstRow="0" w:lastRow="0" w:firstColumn="0" w:lastColumn="0" w:oddVBand="0" w:evenVBand="0" w:oddHBand="0" w:evenHBand="1" w:firstRowFirstColumn="0" w:firstRowLastColumn="0" w:lastRowFirstColumn="0" w:lastRowLastColumn="0"/>
              <w:rPr>
                <w:color w:val="000000"/>
              </w:rPr>
            </w:pPr>
            <w:r>
              <w:rPr>
                <w:color w:val="000000"/>
              </w:rPr>
              <w:t>Clarifications to 47(1) (d)</w:t>
            </w:r>
          </w:p>
        </w:tc>
      </w:tr>
    </w:tbl>
    <w:p w14:paraId="2657BB3F" w14:textId="77777777" w:rsidR="00E9413F" w:rsidRDefault="00E9413F" w:rsidP="00E9413F">
      <w:pPr>
        <w:jc w:val="both"/>
      </w:pPr>
    </w:p>
    <w:p w14:paraId="7D9B85E5" w14:textId="71D0C4C5" w:rsidR="00E9413F" w:rsidRDefault="00E9413F">
      <w:pPr>
        <w:spacing w:line="259" w:lineRule="auto"/>
      </w:pPr>
      <w:r>
        <w:br w:type="page"/>
      </w:r>
    </w:p>
    <w:p w14:paraId="4DDC1D7E" w14:textId="123FFC3A" w:rsidR="006118FD" w:rsidRDefault="0047220E" w:rsidP="00D762EB">
      <w:pPr>
        <w:pStyle w:val="Heading2"/>
      </w:pPr>
      <w:r>
        <w:lastRenderedPageBreak/>
        <w:t>Appendix A</w:t>
      </w:r>
      <w:r w:rsidR="00D762EB">
        <w:t>—</w:t>
      </w:r>
      <w:r w:rsidR="006118FD">
        <w:t>Key Definitions</w:t>
      </w:r>
    </w:p>
    <w:p w14:paraId="10644225" w14:textId="77777777" w:rsidR="006118FD" w:rsidRPr="00836DBC" w:rsidRDefault="006118FD" w:rsidP="006118FD">
      <w:r w:rsidRPr="00836DBC">
        <w:t>The Bureau of Infrastructure and Transport Research Economics (</w:t>
      </w:r>
      <w:r w:rsidRPr="00836DBC">
        <w:rPr>
          <w:b/>
          <w:bCs/>
        </w:rPr>
        <w:t>BITRE</w:t>
      </w:r>
      <w:r w:rsidRPr="00836DBC">
        <w:t>) provides statistical time series and research on infrastructure and transport issues to inform Australian Government policy development and wider community understanding.</w:t>
      </w:r>
    </w:p>
    <w:p w14:paraId="714A30F9" w14:textId="77777777" w:rsidR="006118FD" w:rsidRPr="004F3C30" w:rsidRDefault="006118FD" w:rsidP="006118FD">
      <w:r w:rsidRPr="004F3C30">
        <w:rPr>
          <w:b/>
          <w:bCs/>
        </w:rPr>
        <w:t>Cancellations</w:t>
      </w:r>
      <w:r w:rsidRPr="004F3C30">
        <w:t xml:space="preserve"> in this document refer to any slot </w:t>
      </w:r>
      <w:r>
        <w:t>that has not been handed back to the Slot Manager before HBD and was not operated. This includes slots that were allocated after HBD and subsequently not operated.</w:t>
      </w:r>
      <w:r w:rsidRPr="004F3C30">
        <w:t xml:space="preserve"> It is also known as </w:t>
      </w:r>
      <w:r w:rsidRPr="004F3C30">
        <w:rPr>
          <w:b/>
          <w:bCs/>
        </w:rPr>
        <w:t>failure to use</w:t>
      </w:r>
      <w:r w:rsidRPr="004F3C30">
        <w:t xml:space="preserve"> an allocated slot.</w:t>
      </w:r>
    </w:p>
    <w:p w14:paraId="4645AEC0" w14:textId="44FF1F5C" w:rsidR="006118FD" w:rsidRPr="004F3C30" w:rsidRDefault="006118FD" w:rsidP="006118FD">
      <w:r w:rsidRPr="004F3C30">
        <w:rPr>
          <w:b/>
          <w:bCs/>
        </w:rPr>
        <w:t>Declared exemptions</w:t>
      </w:r>
      <w:r w:rsidRPr="004F3C30">
        <w:t xml:space="preserve"> refer to cancellations of slots that the Slot </w:t>
      </w:r>
      <w:r w:rsidRPr="00953A23">
        <w:t xml:space="preserve">Manager determine were outside of the airline’s control and do not count toward ‘use it or lose it’ calculations.  A declared exemption is also an exception to a civil penalty for a </w:t>
      </w:r>
      <w:r w:rsidRPr="00953A23">
        <w:rPr>
          <w:i/>
          <w:iCs/>
        </w:rPr>
        <w:t>failure to use a slot</w:t>
      </w:r>
      <w:r w:rsidR="00287134">
        <w:t>—</w:t>
      </w:r>
      <w:r w:rsidRPr="00953A23">
        <w:t xml:space="preserve">for not handing the slot back to the Slot Manager </w:t>
      </w:r>
      <w:r>
        <w:t xml:space="preserve">at least </w:t>
      </w:r>
      <w:r w:rsidRPr="00953A23">
        <w:t>1 day before the scheduled gate movement.</w:t>
      </w:r>
    </w:p>
    <w:p w14:paraId="7A4DE3F9" w14:textId="77777777" w:rsidR="006118FD" w:rsidRPr="004F3C30" w:rsidRDefault="006118FD" w:rsidP="006118FD">
      <w:r w:rsidRPr="004F3C30">
        <w:rPr>
          <w:b/>
          <w:bCs/>
        </w:rPr>
        <w:t xml:space="preserve">Gate movement </w:t>
      </w:r>
      <w:r w:rsidRPr="004F3C30">
        <w:t>means the first movement of an aircraft after its external doors have been closed in preparation for an aircraft movement that is a take</w:t>
      </w:r>
      <w:r w:rsidRPr="004F3C30">
        <w:rPr>
          <w:rFonts w:ascii="Cambria Math" w:hAnsi="Cambria Math" w:cs="Cambria Math"/>
        </w:rPr>
        <w:t>‑</w:t>
      </w:r>
      <w:r w:rsidRPr="004F3C30">
        <w:t>off or the last movement of an aircraft immediately before the moment when, after an aircraft movement that is a landing, the aircraft parks at a bay.</w:t>
      </w:r>
    </w:p>
    <w:p w14:paraId="192FBAB3" w14:textId="77777777" w:rsidR="006118FD" w:rsidRPr="004F3C30" w:rsidRDefault="006118FD" w:rsidP="006118FD">
      <w:r w:rsidRPr="004F3C30">
        <w:rPr>
          <w:b/>
          <w:bCs/>
        </w:rPr>
        <w:t>HBD</w:t>
      </w:r>
      <w:r w:rsidRPr="004F3C30">
        <w:t xml:space="preserve"> refers to the Historical Baseline Date. It occurs approximately two months before a season is set to begin. Slot series held by operators on that date are eligible to receive historical precedence for the following equivalent slot scheduling season. </w:t>
      </w:r>
    </w:p>
    <w:p w14:paraId="571A2697" w14:textId="77777777" w:rsidR="006118FD" w:rsidRPr="004F3C30" w:rsidRDefault="006118FD" w:rsidP="006118FD">
      <w:r w:rsidRPr="004F3C30">
        <w:rPr>
          <w:b/>
          <w:bCs/>
        </w:rPr>
        <w:t>No-slot movements</w:t>
      </w:r>
      <w:r w:rsidRPr="004F3C30">
        <w:t xml:space="preserve"> refer to aircraft conducting a gate movement without an allocated slot. </w:t>
      </w:r>
    </w:p>
    <w:p w14:paraId="21474639" w14:textId="77777777" w:rsidR="006118FD" w:rsidRPr="004F3C30" w:rsidRDefault="006118FD" w:rsidP="006118FD">
      <w:r w:rsidRPr="004F3C30">
        <w:rPr>
          <w:b/>
          <w:bCs/>
        </w:rPr>
        <w:t>Off-slot movements</w:t>
      </w:r>
      <w:r w:rsidRPr="004F3C30">
        <w:t xml:space="preserve"> refer to aircraft </w:t>
      </w:r>
      <w:r>
        <w:t xml:space="preserve">movements </w:t>
      </w:r>
      <w:r w:rsidRPr="004F3C30">
        <w:t xml:space="preserve">that are early or late by more than 15 minutes for flights less than 3 hours or by more than 30 minutes for flights longer than 3 hours. </w:t>
      </w:r>
      <w:r w:rsidRPr="004F3C30">
        <w:br/>
      </w:r>
      <w:r w:rsidRPr="00CA0EA0">
        <w:rPr>
          <w:i/>
          <w:iCs/>
        </w:rPr>
        <w:t>Note</w:t>
      </w:r>
      <w:r w:rsidRPr="004F3C30">
        <w:t xml:space="preserve">: this is different from BITRE’s method of recording off-slot movements. BITRE record </w:t>
      </w:r>
      <w:r>
        <w:t>domestic late gate</w:t>
      </w:r>
      <w:r w:rsidRPr="004F3C30">
        <w:t xml:space="preserve"> movements as delays, and do not include early gate movements. For demand management purposes, it is important that aircraft are neither early nor late to their gate movements as this </w:t>
      </w:r>
      <w:r>
        <w:t xml:space="preserve">has knock-on </w:t>
      </w:r>
      <w:r w:rsidRPr="004F3C30">
        <w:t>impacts</w:t>
      </w:r>
      <w:r>
        <w:t xml:space="preserve"> on </w:t>
      </w:r>
      <w:r w:rsidRPr="004F3C30">
        <w:t>demand management</w:t>
      </w:r>
      <w:r>
        <w:t xml:space="preserve"> at Sydney Airport</w:t>
      </w:r>
      <w:r w:rsidRPr="004F3C30">
        <w:t>.</w:t>
      </w:r>
    </w:p>
    <w:p w14:paraId="465DCA9B" w14:textId="77777777" w:rsidR="006118FD" w:rsidRPr="004F3C30" w:rsidRDefault="006118FD" w:rsidP="006118FD">
      <w:r w:rsidRPr="004F3C30">
        <w:rPr>
          <w:b/>
          <w:bCs/>
        </w:rPr>
        <w:t>Peak period</w:t>
      </w:r>
      <w:r w:rsidRPr="004F3C30">
        <w:t xml:space="preserve"> for slots is 7 to 11 am and 5 to 8 pm on weekdays. This may differ from actual peak hours at Sydney </w:t>
      </w:r>
      <w:proofErr w:type="gramStart"/>
      <w:r w:rsidRPr="004F3C30">
        <w:t>Airport,</w:t>
      </w:r>
      <w:proofErr w:type="gramEnd"/>
      <w:r w:rsidRPr="004F3C30">
        <w:t xml:space="preserve"> however it is defined under the Scheme to apply to protected regional services slot series to ensure peak time travel to regional areas is protected. </w:t>
      </w:r>
    </w:p>
    <w:p w14:paraId="1732643E" w14:textId="77777777" w:rsidR="006118FD" w:rsidRPr="004F3C30" w:rsidRDefault="006118FD" w:rsidP="006118FD">
      <w:r w:rsidRPr="004F3C30">
        <w:rPr>
          <w:b/>
          <w:bCs/>
        </w:rPr>
        <w:t>Operational window cancellations</w:t>
      </w:r>
      <w:r w:rsidRPr="004F3C30">
        <w:t xml:space="preserve"> occur between 7 days and up until the scheduled slot.</w:t>
      </w:r>
    </w:p>
    <w:p w14:paraId="033C6064" w14:textId="77777777" w:rsidR="006118FD" w:rsidRPr="004F3C30" w:rsidRDefault="006118FD" w:rsidP="006118FD">
      <w:r w:rsidRPr="004F3C30">
        <w:rPr>
          <w:b/>
          <w:bCs/>
        </w:rPr>
        <w:t>Operator type</w:t>
      </w:r>
      <w:r w:rsidRPr="004F3C30">
        <w:t xml:space="preserve"> </w:t>
      </w:r>
      <w:r w:rsidRPr="00900750">
        <w:t>refers to either passenger flights or freight flights.</w:t>
      </w:r>
    </w:p>
    <w:p w14:paraId="3E4A82D7" w14:textId="77777777" w:rsidR="006118FD" w:rsidRPr="004F3C30" w:rsidRDefault="006118FD" w:rsidP="006118FD">
      <w:r w:rsidRPr="004F3C30">
        <w:rPr>
          <w:b/>
          <w:bCs/>
        </w:rPr>
        <w:t>Scheduling seasons</w:t>
      </w:r>
      <w:r w:rsidRPr="004F3C30">
        <w:t xml:space="preserve"> are </w:t>
      </w:r>
      <w:r>
        <w:t>N</w:t>
      </w:r>
      <w:r w:rsidRPr="004F3C30">
        <w:t xml:space="preserve">orthern </w:t>
      </w:r>
      <w:r>
        <w:t>W</w:t>
      </w:r>
      <w:r w:rsidRPr="004F3C30">
        <w:t xml:space="preserve">inter or </w:t>
      </w:r>
      <w:r>
        <w:t>N</w:t>
      </w:r>
      <w:r w:rsidRPr="004F3C30">
        <w:t xml:space="preserve">orthern </w:t>
      </w:r>
      <w:r>
        <w:t>S</w:t>
      </w:r>
      <w:r w:rsidRPr="004F3C30">
        <w:t xml:space="preserve">ummer periods. Equivalent slot scheduling seasons refer to the preceding or following year’s </w:t>
      </w:r>
      <w:r>
        <w:t>N</w:t>
      </w:r>
      <w:r w:rsidRPr="004F3C30">
        <w:t xml:space="preserve">orthern </w:t>
      </w:r>
      <w:r>
        <w:t>W</w:t>
      </w:r>
      <w:r w:rsidRPr="004F3C30">
        <w:t xml:space="preserve">inter or </w:t>
      </w:r>
      <w:r>
        <w:t>N</w:t>
      </w:r>
      <w:r w:rsidRPr="004F3C30">
        <w:t xml:space="preserve">orthern </w:t>
      </w:r>
      <w:r>
        <w:t>S</w:t>
      </w:r>
      <w:r w:rsidRPr="004F3C30">
        <w:t>ummer</w:t>
      </w:r>
      <w:r>
        <w:t xml:space="preserve"> periods</w:t>
      </w:r>
      <w:r w:rsidRPr="004F3C30">
        <w:t>.</w:t>
      </w:r>
    </w:p>
    <w:p w14:paraId="4B8A59E2" w14:textId="77777777" w:rsidR="006118FD" w:rsidRPr="004F3C30" w:rsidRDefault="006118FD" w:rsidP="006118FD">
      <w:r w:rsidRPr="004F3C30">
        <w:rPr>
          <w:b/>
          <w:bCs/>
        </w:rPr>
        <w:t>Scheduling window cancellations</w:t>
      </w:r>
      <w:r w:rsidRPr="004F3C30">
        <w:t xml:space="preserve"> occur </w:t>
      </w:r>
      <w:r>
        <w:t xml:space="preserve">from HBD </w:t>
      </w:r>
      <w:r w:rsidRPr="004F3C30">
        <w:t xml:space="preserve">up until </w:t>
      </w:r>
      <w:r>
        <w:t>8</w:t>
      </w:r>
      <w:r w:rsidRPr="004F3C30">
        <w:t xml:space="preserve"> days before the scheduled </w:t>
      </w:r>
      <w:r>
        <w:t>date</w:t>
      </w:r>
      <w:r w:rsidRPr="004F3C30">
        <w:t>.</w:t>
      </w:r>
    </w:p>
    <w:p w14:paraId="15A7138A" w14:textId="77777777" w:rsidR="006118FD" w:rsidRPr="004F3C30" w:rsidRDefault="006118FD" w:rsidP="006118FD">
      <w:r w:rsidRPr="004F3C30">
        <w:t xml:space="preserve">A </w:t>
      </w:r>
      <w:r w:rsidRPr="004F3C30">
        <w:rPr>
          <w:b/>
          <w:bCs/>
        </w:rPr>
        <w:t>slot</w:t>
      </w:r>
      <w:r w:rsidRPr="004F3C30">
        <w:t xml:space="preserve"> is permission for a gate movement.</w:t>
      </w:r>
    </w:p>
    <w:p w14:paraId="45A53FD8" w14:textId="77777777" w:rsidR="006118FD" w:rsidRPr="004F3C30" w:rsidRDefault="006118FD" w:rsidP="006118FD">
      <w:r w:rsidRPr="004F3C30">
        <w:t xml:space="preserve">A </w:t>
      </w:r>
      <w:r w:rsidRPr="004F3C30">
        <w:rPr>
          <w:b/>
          <w:bCs/>
        </w:rPr>
        <w:t>slot group</w:t>
      </w:r>
      <w:r w:rsidRPr="004F3C30">
        <w:t xml:space="preserve"> is between 2 and 4 (inclusive) slots in a season that are held by an airline that operate on the same weekday and time e.g. Sundays at 5pm.</w:t>
      </w:r>
    </w:p>
    <w:p w14:paraId="6F8F0979" w14:textId="77777777" w:rsidR="006118FD" w:rsidRPr="004F3C30" w:rsidRDefault="006118FD" w:rsidP="006118FD">
      <w:r w:rsidRPr="004F3C30">
        <w:rPr>
          <w:b/>
          <w:bCs/>
        </w:rPr>
        <w:t>Slot series</w:t>
      </w:r>
      <w:r w:rsidRPr="004F3C30">
        <w:t xml:space="preserve"> are 5 or more slots in a season that are held by an airline that operate on the same weekday and time e.g. Sundays at 5pm.</w:t>
      </w:r>
    </w:p>
    <w:p w14:paraId="6E76AD4E" w14:textId="77777777" w:rsidR="00355B90" w:rsidRDefault="006118FD" w:rsidP="006118FD">
      <w:pPr>
        <w:spacing w:line="259" w:lineRule="auto"/>
        <w:sectPr w:rsidR="00355B90" w:rsidSect="00953CCD">
          <w:type w:val="continuous"/>
          <w:pgSz w:w="11906" w:h="16838"/>
          <w:pgMar w:top="1276" w:right="991" w:bottom="1276" w:left="1440" w:header="567" w:footer="0" w:gutter="0"/>
          <w:cols w:space="708"/>
          <w:titlePg/>
          <w:docGrid w:linePitch="360"/>
        </w:sectPr>
      </w:pPr>
      <w:r w:rsidRPr="004F3C30">
        <w:rPr>
          <w:b/>
          <w:bCs/>
        </w:rPr>
        <w:t xml:space="preserve">Use it or lose it test </w:t>
      </w:r>
      <w:r w:rsidRPr="004F3C30">
        <w:t xml:space="preserve">is a test that applies to slot series. To retain historical precedence to a slot series for the following equivalent slot scheduling season, an operator must operate </w:t>
      </w:r>
      <w:r>
        <w:t xml:space="preserve">at least </w:t>
      </w:r>
      <w:r w:rsidRPr="004F3C30">
        <w:t>80% of the slots in a slot series.</w:t>
      </w:r>
    </w:p>
    <w:p w14:paraId="54D0EC50" w14:textId="0FC2BCA4" w:rsidR="00306093" w:rsidRPr="004661BB" w:rsidRDefault="00306093" w:rsidP="00306093">
      <w:pPr>
        <w:pStyle w:val="Heading2"/>
      </w:pPr>
      <w:r>
        <w:lastRenderedPageBreak/>
        <w:t>Appendix B—Example tables of information</w:t>
      </w:r>
    </w:p>
    <w:p w14:paraId="6E06A94D" w14:textId="77777777" w:rsidR="00306093" w:rsidRDefault="00306093" w:rsidP="00714E32">
      <w:pPr>
        <w:pStyle w:val="Heading3"/>
      </w:pPr>
      <w:r>
        <w:t>Table 1: Detail of slot utilisation example</w:t>
      </w:r>
    </w:p>
    <w:tbl>
      <w:tblPr>
        <w:tblStyle w:val="DefaultTable11"/>
        <w:tblW w:w="5755" w:type="pct"/>
        <w:tblInd w:w="-1134" w:type="dxa"/>
        <w:tblLayout w:type="fixed"/>
        <w:tblLook w:val="04A0" w:firstRow="1" w:lastRow="0" w:firstColumn="1" w:lastColumn="0" w:noHBand="0" w:noVBand="1"/>
        <w:tblCaption w:val="Table 1: Detail of slot utilisation example"/>
        <w:tblDescription w:val="Table displaying slot utilisation and operational performance for four airline–route combinations. Columns include airline, port, arrival/departure, flight type, planned movements at the Historical Baseline Date (peak and off‑peak), percentage of slots failed to use in the scheduling window (peak and off‑peak), percentage of slots failed to use in the operational window (peak and off‑peak), actual movements (peak and off‑peak), percentage of off‑slot movements (peak and off‑peak), and percentage of on‑time movements (peak and off‑peak). Rows show results for ABC Air operating from MEL with two freight entries, and Air BCD operating from CBR with two passenger entries. The data demonstrates variation in slot utilisation, operational performance, and punctuality across operators and time periods."/>
      </w:tblPr>
      <w:tblGrid>
        <w:gridCol w:w="854"/>
        <w:gridCol w:w="713"/>
        <w:gridCol w:w="566"/>
        <w:gridCol w:w="1135"/>
        <w:gridCol w:w="1184"/>
        <w:gridCol w:w="1181"/>
        <w:gridCol w:w="1085"/>
        <w:gridCol w:w="1085"/>
        <w:gridCol w:w="1161"/>
        <w:gridCol w:w="1161"/>
        <w:gridCol w:w="1181"/>
        <w:gridCol w:w="1181"/>
        <w:gridCol w:w="990"/>
        <w:gridCol w:w="996"/>
        <w:gridCol w:w="987"/>
        <w:gridCol w:w="983"/>
      </w:tblGrid>
      <w:tr w:rsidR="00513182" w:rsidRPr="00654F9E" w14:paraId="303D7A9E" w14:textId="77777777" w:rsidTr="003A11A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 w:type="pct"/>
          </w:tcPr>
          <w:p w14:paraId="6F6A5FAD" w14:textId="58397E7F" w:rsidR="00422B5D" w:rsidRPr="008E534F" w:rsidRDefault="00422B5D" w:rsidP="002051B4">
            <w:pPr>
              <w:pStyle w:val="Tablerowcolumnheading"/>
              <w:keepNext/>
              <w:ind w:left="-140" w:firstLine="140"/>
              <w:rPr>
                <w:b/>
                <w:sz w:val="22"/>
                <w:szCs w:val="22"/>
              </w:rPr>
            </w:pPr>
            <w:r w:rsidRPr="00A73D31">
              <w:rPr>
                <w:rFonts w:eastAsia="Times New Roman" w:cs="Calibri"/>
                <w:color w:val="auto"/>
                <w:lang w:eastAsia="en-AU"/>
              </w:rPr>
              <w:t>Airline</w:t>
            </w:r>
          </w:p>
        </w:tc>
        <w:tc>
          <w:tcPr>
            <w:tcW w:w="217" w:type="pct"/>
          </w:tcPr>
          <w:p w14:paraId="6E5958B5" w14:textId="30B6ACD9" w:rsidR="00422B5D" w:rsidRPr="008E534F"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szCs w:val="22"/>
              </w:rPr>
            </w:pPr>
            <w:r w:rsidRPr="00A73D31">
              <w:rPr>
                <w:rFonts w:eastAsia="Times New Roman" w:cs="Calibri"/>
                <w:color w:val="auto"/>
                <w:lang w:eastAsia="en-AU"/>
              </w:rPr>
              <w:t>Port</w:t>
            </w:r>
          </w:p>
        </w:tc>
        <w:tc>
          <w:tcPr>
            <w:tcW w:w="172" w:type="pct"/>
          </w:tcPr>
          <w:p w14:paraId="42B99B84" w14:textId="70DA58FF" w:rsidR="00422B5D" w:rsidRPr="008E534F"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szCs w:val="22"/>
              </w:rPr>
            </w:pPr>
            <w:r>
              <w:rPr>
                <w:rFonts w:eastAsia="Times New Roman" w:cs="Calibri"/>
                <w:color w:val="auto"/>
                <w:lang w:eastAsia="en-AU"/>
              </w:rPr>
              <w:t>A/D</w:t>
            </w:r>
          </w:p>
        </w:tc>
        <w:tc>
          <w:tcPr>
            <w:tcW w:w="345" w:type="pct"/>
          </w:tcPr>
          <w:p w14:paraId="59A3761A" w14:textId="24A8E50F" w:rsidR="00422B5D" w:rsidRPr="008E534F"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szCs w:val="22"/>
              </w:rPr>
            </w:pPr>
            <w:r>
              <w:rPr>
                <w:rFonts w:eastAsia="Times New Roman" w:cs="Calibri"/>
                <w:color w:val="auto"/>
                <w:lang w:eastAsia="en-AU"/>
              </w:rPr>
              <w:t>Type</w:t>
            </w:r>
          </w:p>
        </w:tc>
        <w:tc>
          <w:tcPr>
            <w:tcW w:w="360" w:type="pct"/>
          </w:tcPr>
          <w:p w14:paraId="22F5DAF4" w14:textId="77777777" w:rsidR="004778F1" w:rsidRDefault="00422B5D" w:rsidP="004778F1">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sidRPr="00A73D31">
              <w:rPr>
                <w:rFonts w:eastAsia="Times New Roman" w:cs="Calibri"/>
                <w:color w:val="auto"/>
                <w:lang w:eastAsia="en-AU"/>
              </w:rPr>
              <w:t>Planned movements</w:t>
            </w:r>
            <w:r>
              <w:rPr>
                <w:rFonts w:eastAsia="Times New Roman" w:cs="Calibri"/>
                <w:color w:val="auto"/>
                <w:lang w:eastAsia="en-AU"/>
              </w:rPr>
              <w:t xml:space="preserve"> at HBD</w:t>
            </w:r>
          </w:p>
          <w:p w14:paraId="1BA8C507" w14:textId="4CDD9A02" w:rsidR="00422B5D" w:rsidRPr="008E534F" w:rsidRDefault="004778F1" w:rsidP="00624335">
            <w:pPr>
              <w:pStyle w:val="Tablerowcolumnheading"/>
              <w:keepNext/>
              <w:spacing w:before="800"/>
              <w:cnfStyle w:val="100000000000" w:firstRow="1" w:lastRow="0" w:firstColumn="0" w:lastColumn="0" w:oddVBand="0" w:evenVBand="0" w:oddHBand="0" w:evenHBand="0" w:firstRowFirstColumn="0" w:firstRowLastColumn="0" w:lastRowFirstColumn="0" w:lastRowLastColumn="0"/>
              <w:rPr>
                <w:szCs w:val="22"/>
              </w:rPr>
            </w:pPr>
            <w:r w:rsidRPr="00A73D31">
              <w:rPr>
                <w:rFonts w:eastAsia="Times New Roman" w:cs="Calibri"/>
                <w:b/>
                <w:color w:val="auto"/>
                <w:lang w:eastAsia="en-AU"/>
              </w:rPr>
              <w:t>Peak</w:t>
            </w:r>
          </w:p>
        </w:tc>
        <w:tc>
          <w:tcPr>
            <w:tcW w:w="359" w:type="pct"/>
          </w:tcPr>
          <w:p w14:paraId="059D261E" w14:textId="77777777" w:rsidR="004778F1" w:rsidRDefault="00422B5D" w:rsidP="004778F1">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sidRPr="00A73D31">
              <w:rPr>
                <w:rFonts w:eastAsia="Times New Roman" w:cs="Calibri"/>
                <w:color w:val="auto"/>
                <w:lang w:eastAsia="en-AU"/>
              </w:rPr>
              <w:t>Planned movements</w:t>
            </w:r>
            <w:r>
              <w:rPr>
                <w:rFonts w:eastAsia="Times New Roman" w:cs="Calibri"/>
                <w:color w:val="auto"/>
                <w:lang w:eastAsia="en-AU"/>
              </w:rPr>
              <w:t xml:space="preserve"> at HBD</w:t>
            </w:r>
          </w:p>
          <w:p w14:paraId="5E059E25" w14:textId="78CC05B1" w:rsidR="00422B5D" w:rsidRPr="008E534F" w:rsidRDefault="004778F1" w:rsidP="00624335">
            <w:pPr>
              <w:pStyle w:val="Tablerowcolumnheading"/>
              <w:keepNext/>
              <w:spacing w:before="800"/>
              <w:cnfStyle w:val="100000000000" w:firstRow="1" w:lastRow="0" w:firstColumn="0" w:lastColumn="0" w:oddVBand="0" w:evenVBand="0" w:oddHBand="0" w:evenHBand="0" w:firstRowFirstColumn="0" w:firstRowLastColumn="0" w:lastRowFirstColumn="0" w:lastRowLastColumn="0"/>
              <w:rPr>
                <w:szCs w:val="22"/>
              </w:rPr>
            </w:pPr>
            <w:r w:rsidRPr="00A73D31">
              <w:rPr>
                <w:rFonts w:eastAsia="Times New Roman" w:cs="Calibri"/>
                <w:b/>
                <w:color w:val="auto"/>
                <w:lang w:eastAsia="en-AU"/>
              </w:rPr>
              <w:t>Off Peak</w:t>
            </w:r>
          </w:p>
        </w:tc>
        <w:tc>
          <w:tcPr>
            <w:tcW w:w="330" w:type="pct"/>
          </w:tcPr>
          <w:p w14:paraId="3B4FFC89" w14:textId="77777777" w:rsidR="00422B5D"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Pr>
                <w:rFonts w:eastAsia="Times New Roman" w:cs="Calibri"/>
                <w:color w:val="auto"/>
                <w:lang w:eastAsia="en-AU"/>
              </w:rPr>
              <w:t>Slots held at HBD failed to use – scheduling window</w:t>
            </w:r>
          </w:p>
          <w:p w14:paraId="3480932E" w14:textId="41064C4A" w:rsidR="00422B5D" w:rsidRPr="00422B5D" w:rsidRDefault="00422B5D" w:rsidP="00422B5D">
            <w:pPr>
              <w:cnfStyle w:val="100000000000" w:firstRow="1" w:lastRow="0" w:firstColumn="0" w:lastColumn="0" w:oddVBand="0" w:evenVBand="0" w:oddHBand="0" w:evenHBand="0" w:firstRowFirstColumn="0" w:firstRowLastColumn="0" w:lastRowFirstColumn="0" w:lastRowLastColumn="0"/>
              <w:rPr>
                <w:lang w:eastAsia="en-AU"/>
              </w:rPr>
            </w:pPr>
            <w:r w:rsidRPr="00A73D31">
              <w:rPr>
                <w:rFonts w:eastAsia="Times New Roman" w:cs="Calibri"/>
                <w:color w:val="auto"/>
                <w:lang w:eastAsia="en-AU"/>
              </w:rPr>
              <w:t>Peak</w:t>
            </w:r>
          </w:p>
        </w:tc>
        <w:tc>
          <w:tcPr>
            <w:tcW w:w="330" w:type="pct"/>
          </w:tcPr>
          <w:p w14:paraId="30729DC9" w14:textId="77777777" w:rsidR="00422B5D"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Pr>
                <w:rFonts w:eastAsia="Times New Roman" w:cs="Calibri"/>
                <w:color w:val="auto"/>
                <w:lang w:eastAsia="en-AU"/>
              </w:rPr>
              <w:t>Slots held at HBD failed to use – scheduling window</w:t>
            </w:r>
          </w:p>
          <w:p w14:paraId="76A6F729" w14:textId="6C5D13EF" w:rsidR="003A38B0" w:rsidRPr="003A38B0" w:rsidRDefault="003A38B0" w:rsidP="003A38B0">
            <w:pPr>
              <w:cnfStyle w:val="100000000000" w:firstRow="1" w:lastRow="0" w:firstColumn="0" w:lastColumn="0" w:oddVBand="0" w:evenVBand="0" w:oddHBand="0" w:evenHBand="0" w:firstRowFirstColumn="0" w:firstRowLastColumn="0" w:lastRowFirstColumn="0" w:lastRowLastColumn="0"/>
              <w:rPr>
                <w:lang w:eastAsia="en-AU"/>
              </w:rPr>
            </w:pPr>
            <w:r w:rsidRPr="00A73D31">
              <w:rPr>
                <w:rFonts w:eastAsia="Times New Roman" w:cs="Calibri"/>
                <w:color w:val="auto"/>
                <w:lang w:eastAsia="en-AU"/>
              </w:rPr>
              <w:t>Off peak</w:t>
            </w:r>
          </w:p>
        </w:tc>
        <w:tc>
          <w:tcPr>
            <w:tcW w:w="353" w:type="pct"/>
          </w:tcPr>
          <w:p w14:paraId="586602B7" w14:textId="77777777" w:rsidR="00422B5D"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Pr>
                <w:rFonts w:eastAsia="Times New Roman" w:cs="Calibri"/>
                <w:color w:val="auto"/>
                <w:lang w:eastAsia="en-AU"/>
              </w:rPr>
              <w:t>Slots held at HBD failed to use – operational window</w:t>
            </w:r>
          </w:p>
          <w:p w14:paraId="4CF2B8E4" w14:textId="0F133ED6" w:rsidR="00422B5D" w:rsidRPr="00422B5D" w:rsidRDefault="00422B5D" w:rsidP="00422B5D">
            <w:pPr>
              <w:cnfStyle w:val="100000000000" w:firstRow="1" w:lastRow="0" w:firstColumn="0" w:lastColumn="0" w:oddVBand="0" w:evenVBand="0" w:oddHBand="0" w:evenHBand="0" w:firstRowFirstColumn="0" w:firstRowLastColumn="0" w:lastRowFirstColumn="0" w:lastRowLastColumn="0"/>
              <w:rPr>
                <w:lang w:eastAsia="en-AU"/>
              </w:rPr>
            </w:pPr>
            <w:r w:rsidRPr="00A73D31">
              <w:rPr>
                <w:rFonts w:eastAsia="Times New Roman" w:cs="Calibri"/>
                <w:color w:val="auto"/>
                <w:lang w:eastAsia="en-AU"/>
              </w:rPr>
              <w:t>Peak</w:t>
            </w:r>
          </w:p>
        </w:tc>
        <w:tc>
          <w:tcPr>
            <w:tcW w:w="353" w:type="pct"/>
          </w:tcPr>
          <w:p w14:paraId="0B6DC148" w14:textId="77777777" w:rsidR="003A38B0" w:rsidRDefault="00422B5D" w:rsidP="003A38B0">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Pr>
                <w:rFonts w:eastAsia="Times New Roman" w:cs="Calibri"/>
                <w:color w:val="auto"/>
                <w:lang w:eastAsia="en-AU"/>
              </w:rPr>
              <w:t>Slots held at HBD failed to use – operational window</w:t>
            </w:r>
          </w:p>
          <w:p w14:paraId="77111247" w14:textId="6B04710A" w:rsidR="00422B5D" w:rsidRPr="008E534F" w:rsidRDefault="003A38B0" w:rsidP="003A38B0">
            <w:pPr>
              <w:pStyle w:val="Tablerowcolumnheading"/>
              <w:keepNext/>
              <w:cnfStyle w:val="100000000000" w:firstRow="1" w:lastRow="0" w:firstColumn="0" w:lastColumn="0" w:oddVBand="0" w:evenVBand="0" w:oddHBand="0" w:evenHBand="0" w:firstRowFirstColumn="0" w:firstRowLastColumn="0" w:lastRowFirstColumn="0" w:lastRowLastColumn="0"/>
              <w:rPr>
                <w:szCs w:val="22"/>
              </w:rPr>
            </w:pPr>
            <w:r w:rsidRPr="00A73D31">
              <w:rPr>
                <w:rFonts w:eastAsia="Times New Roman" w:cs="Calibri"/>
                <w:b/>
                <w:color w:val="auto"/>
                <w:lang w:eastAsia="en-AU"/>
              </w:rPr>
              <w:t>Off Peak</w:t>
            </w:r>
          </w:p>
        </w:tc>
        <w:tc>
          <w:tcPr>
            <w:tcW w:w="359" w:type="pct"/>
          </w:tcPr>
          <w:p w14:paraId="41DF4FD2" w14:textId="77777777" w:rsidR="00422B5D"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sidRPr="00A73D31">
              <w:rPr>
                <w:rFonts w:eastAsia="Times New Roman" w:cs="Calibri"/>
                <w:color w:val="auto"/>
                <w:lang w:eastAsia="en-AU"/>
              </w:rPr>
              <w:t>Actual movements</w:t>
            </w:r>
          </w:p>
          <w:p w14:paraId="463B2C7F" w14:textId="21F8080A" w:rsidR="00422B5D" w:rsidRPr="00422B5D" w:rsidRDefault="00422B5D" w:rsidP="003A38B0">
            <w:pPr>
              <w:spacing w:before="1040"/>
              <w:cnfStyle w:val="100000000000" w:firstRow="1" w:lastRow="0" w:firstColumn="0" w:lastColumn="0" w:oddVBand="0" w:evenVBand="0" w:oddHBand="0" w:evenHBand="0" w:firstRowFirstColumn="0" w:firstRowLastColumn="0" w:lastRowFirstColumn="0" w:lastRowLastColumn="0"/>
              <w:rPr>
                <w:lang w:eastAsia="en-AU"/>
              </w:rPr>
            </w:pPr>
            <w:r w:rsidRPr="00A73D31">
              <w:rPr>
                <w:rFonts w:eastAsia="Times New Roman" w:cs="Calibri"/>
                <w:color w:val="auto"/>
                <w:lang w:eastAsia="en-AU"/>
              </w:rPr>
              <w:t>Peak</w:t>
            </w:r>
          </w:p>
        </w:tc>
        <w:tc>
          <w:tcPr>
            <w:tcW w:w="359" w:type="pct"/>
          </w:tcPr>
          <w:p w14:paraId="7436654F" w14:textId="77777777" w:rsidR="003A38B0" w:rsidRDefault="00422B5D" w:rsidP="003A38B0">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sidRPr="00A73D31">
              <w:rPr>
                <w:rFonts w:eastAsia="Times New Roman" w:cs="Calibri"/>
                <w:color w:val="auto"/>
                <w:lang w:eastAsia="en-AU"/>
              </w:rPr>
              <w:t>Actual movements</w:t>
            </w:r>
          </w:p>
          <w:p w14:paraId="44615027" w14:textId="6EE5E0B2" w:rsidR="00422B5D" w:rsidRPr="008E534F" w:rsidRDefault="003A38B0" w:rsidP="003A38B0">
            <w:pPr>
              <w:pStyle w:val="Tablerowcolumnheading"/>
              <w:keepNext/>
              <w:spacing w:before="1040"/>
              <w:cnfStyle w:val="100000000000" w:firstRow="1" w:lastRow="0" w:firstColumn="0" w:lastColumn="0" w:oddVBand="0" w:evenVBand="0" w:oddHBand="0" w:evenHBand="0" w:firstRowFirstColumn="0" w:firstRowLastColumn="0" w:lastRowFirstColumn="0" w:lastRowLastColumn="0"/>
              <w:rPr>
                <w:szCs w:val="22"/>
              </w:rPr>
            </w:pPr>
            <w:r w:rsidRPr="00A73D31">
              <w:rPr>
                <w:rFonts w:eastAsia="Times New Roman" w:cs="Calibri"/>
                <w:b/>
                <w:color w:val="auto"/>
                <w:lang w:eastAsia="en-AU"/>
              </w:rPr>
              <w:t>Off Peak</w:t>
            </w:r>
          </w:p>
        </w:tc>
        <w:tc>
          <w:tcPr>
            <w:tcW w:w="301" w:type="pct"/>
          </w:tcPr>
          <w:p w14:paraId="6DA73C0D" w14:textId="77777777" w:rsidR="00422B5D"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proofErr w:type="gramStart"/>
            <w:r w:rsidRPr="00A73D31">
              <w:rPr>
                <w:rFonts w:eastAsia="Times New Roman" w:cs="Calibri"/>
                <w:color w:val="auto"/>
                <w:lang w:eastAsia="en-AU"/>
              </w:rPr>
              <w:t>Off</w:t>
            </w:r>
            <w:r>
              <w:rPr>
                <w:rFonts w:eastAsia="Times New Roman" w:cs="Calibri"/>
                <w:color w:val="auto"/>
                <w:lang w:eastAsia="en-AU"/>
              </w:rPr>
              <w:t>-s</w:t>
            </w:r>
            <w:r w:rsidRPr="00A73D31">
              <w:rPr>
                <w:rFonts w:eastAsia="Times New Roman" w:cs="Calibri"/>
                <w:color w:val="auto"/>
                <w:lang w:eastAsia="en-AU"/>
              </w:rPr>
              <w:t>lot</w:t>
            </w:r>
            <w:proofErr w:type="gramEnd"/>
            <w:r w:rsidRPr="00A73D31">
              <w:rPr>
                <w:rFonts w:eastAsia="Times New Roman" w:cs="Calibri"/>
                <w:color w:val="auto"/>
                <w:lang w:eastAsia="en-AU"/>
              </w:rPr>
              <w:t xml:space="preserve"> (early or delayed)</w:t>
            </w:r>
          </w:p>
          <w:p w14:paraId="1DF02EFA" w14:textId="23B2E255" w:rsidR="00422B5D" w:rsidRPr="00422B5D" w:rsidRDefault="00422B5D" w:rsidP="00624335">
            <w:pPr>
              <w:spacing w:before="800"/>
              <w:cnfStyle w:val="100000000000" w:firstRow="1" w:lastRow="0" w:firstColumn="0" w:lastColumn="0" w:oddVBand="0" w:evenVBand="0" w:oddHBand="0" w:evenHBand="0" w:firstRowFirstColumn="0" w:firstRowLastColumn="0" w:lastRowFirstColumn="0" w:lastRowLastColumn="0"/>
              <w:rPr>
                <w:lang w:eastAsia="en-AU"/>
              </w:rPr>
            </w:pPr>
            <w:r w:rsidRPr="00A73D31">
              <w:rPr>
                <w:rFonts w:eastAsia="Times New Roman" w:cs="Calibri"/>
                <w:color w:val="auto"/>
                <w:lang w:eastAsia="en-AU"/>
              </w:rPr>
              <w:t>Peak</w:t>
            </w:r>
          </w:p>
        </w:tc>
        <w:tc>
          <w:tcPr>
            <w:tcW w:w="303" w:type="pct"/>
          </w:tcPr>
          <w:p w14:paraId="43A83B92" w14:textId="77777777" w:rsidR="003A38B0" w:rsidRDefault="00422B5D" w:rsidP="003A38B0">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proofErr w:type="gramStart"/>
            <w:r w:rsidRPr="00A73D31">
              <w:rPr>
                <w:rFonts w:eastAsia="Times New Roman" w:cs="Calibri"/>
                <w:color w:val="auto"/>
                <w:lang w:eastAsia="en-AU"/>
              </w:rPr>
              <w:t>Off</w:t>
            </w:r>
            <w:r>
              <w:rPr>
                <w:rFonts w:eastAsia="Times New Roman" w:cs="Calibri"/>
                <w:color w:val="auto"/>
                <w:lang w:eastAsia="en-AU"/>
              </w:rPr>
              <w:t>-s</w:t>
            </w:r>
            <w:r w:rsidRPr="00A73D31">
              <w:rPr>
                <w:rFonts w:eastAsia="Times New Roman" w:cs="Calibri"/>
                <w:color w:val="auto"/>
                <w:lang w:eastAsia="en-AU"/>
              </w:rPr>
              <w:t>lot</w:t>
            </w:r>
            <w:proofErr w:type="gramEnd"/>
            <w:r w:rsidRPr="00A73D31">
              <w:rPr>
                <w:rFonts w:eastAsia="Times New Roman" w:cs="Calibri"/>
                <w:color w:val="auto"/>
                <w:lang w:eastAsia="en-AU"/>
              </w:rPr>
              <w:t xml:space="preserve"> (early or delayed)</w:t>
            </w:r>
          </w:p>
          <w:p w14:paraId="6675215E" w14:textId="19410B0C" w:rsidR="00422B5D" w:rsidRPr="008E534F" w:rsidRDefault="003A38B0" w:rsidP="00624335">
            <w:pPr>
              <w:pStyle w:val="Tablerowcolumnheading"/>
              <w:keepNext/>
              <w:spacing w:before="800"/>
              <w:cnfStyle w:val="100000000000" w:firstRow="1" w:lastRow="0" w:firstColumn="0" w:lastColumn="0" w:oddVBand="0" w:evenVBand="0" w:oddHBand="0" w:evenHBand="0" w:firstRowFirstColumn="0" w:firstRowLastColumn="0" w:lastRowFirstColumn="0" w:lastRowLastColumn="0"/>
              <w:rPr>
                <w:szCs w:val="22"/>
              </w:rPr>
            </w:pPr>
            <w:r w:rsidRPr="00A73D31">
              <w:rPr>
                <w:rFonts w:eastAsia="Times New Roman" w:cs="Calibri"/>
                <w:b/>
                <w:color w:val="auto"/>
                <w:lang w:eastAsia="en-AU"/>
              </w:rPr>
              <w:t>Off Peak</w:t>
            </w:r>
          </w:p>
        </w:tc>
        <w:tc>
          <w:tcPr>
            <w:tcW w:w="300" w:type="pct"/>
          </w:tcPr>
          <w:p w14:paraId="23B938E7" w14:textId="77777777" w:rsidR="00422B5D" w:rsidRDefault="00422B5D" w:rsidP="00422B5D">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sidRPr="00A73D31">
              <w:rPr>
                <w:rFonts w:eastAsia="Times New Roman" w:cs="Calibri"/>
                <w:color w:val="auto"/>
                <w:lang w:eastAsia="en-AU"/>
              </w:rPr>
              <w:t xml:space="preserve">On </w:t>
            </w:r>
            <w:r>
              <w:rPr>
                <w:rFonts w:eastAsia="Times New Roman" w:cs="Calibri"/>
                <w:color w:val="auto"/>
                <w:lang w:eastAsia="en-AU"/>
              </w:rPr>
              <w:t>t</w:t>
            </w:r>
            <w:r w:rsidRPr="00A73D31">
              <w:rPr>
                <w:rFonts w:eastAsia="Times New Roman" w:cs="Calibri"/>
                <w:color w:val="auto"/>
                <w:lang w:eastAsia="en-AU"/>
              </w:rPr>
              <w:t>ime</w:t>
            </w:r>
          </w:p>
          <w:p w14:paraId="5EE56748" w14:textId="097D8355" w:rsidR="00422B5D" w:rsidRPr="00422B5D" w:rsidRDefault="00422B5D" w:rsidP="004778F1">
            <w:pPr>
              <w:spacing w:before="1260"/>
              <w:cnfStyle w:val="100000000000" w:firstRow="1" w:lastRow="0" w:firstColumn="0" w:lastColumn="0" w:oddVBand="0" w:evenVBand="0" w:oddHBand="0" w:evenHBand="0" w:firstRowFirstColumn="0" w:firstRowLastColumn="0" w:lastRowFirstColumn="0" w:lastRowLastColumn="0"/>
              <w:rPr>
                <w:lang w:eastAsia="en-AU"/>
              </w:rPr>
            </w:pPr>
            <w:r w:rsidRPr="00A73D31">
              <w:rPr>
                <w:rFonts w:eastAsia="Times New Roman" w:cs="Calibri"/>
                <w:color w:val="auto"/>
                <w:lang w:eastAsia="en-AU"/>
              </w:rPr>
              <w:t>Peak</w:t>
            </w:r>
          </w:p>
        </w:tc>
        <w:tc>
          <w:tcPr>
            <w:tcW w:w="299" w:type="pct"/>
          </w:tcPr>
          <w:p w14:paraId="44612D7B" w14:textId="77777777" w:rsidR="003A38B0" w:rsidRDefault="00422B5D" w:rsidP="003A38B0">
            <w:pPr>
              <w:pStyle w:val="Tablerowcolumnheading"/>
              <w:keepNext/>
              <w:cnfStyle w:val="100000000000" w:firstRow="1" w:lastRow="0" w:firstColumn="0" w:lastColumn="0" w:oddVBand="0" w:evenVBand="0" w:oddHBand="0" w:evenHBand="0" w:firstRowFirstColumn="0" w:firstRowLastColumn="0" w:lastRowFirstColumn="0" w:lastRowLastColumn="0"/>
              <w:rPr>
                <w:rFonts w:eastAsia="Times New Roman" w:cs="Calibri"/>
                <w:b/>
                <w:color w:val="auto"/>
                <w:lang w:eastAsia="en-AU"/>
              </w:rPr>
            </w:pPr>
            <w:r w:rsidRPr="00A73D31">
              <w:rPr>
                <w:rFonts w:eastAsia="Times New Roman" w:cs="Calibri"/>
                <w:color w:val="auto"/>
                <w:lang w:eastAsia="en-AU"/>
              </w:rPr>
              <w:t xml:space="preserve">On </w:t>
            </w:r>
            <w:r>
              <w:rPr>
                <w:rFonts w:eastAsia="Times New Roman" w:cs="Calibri"/>
                <w:color w:val="auto"/>
                <w:lang w:eastAsia="en-AU"/>
              </w:rPr>
              <w:t>t</w:t>
            </w:r>
            <w:r w:rsidRPr="00A73D31">
              <w:rPr>
                <w:rFonts w:eastAsia="Times New Roman" w:cs="Calibri"/>
                <w:color w:val="auto"/>
                <w:lang w:eastAsia="en-AU"/>
              </w:rPr>
              <w:t>ime</w:t>
            </w:r>
          </w:p>
          <w:p w14:paraId="21B823AD" w14:textId="251B1E34" w:rsidR="00422B5D" w:rsidRPr="008E534F" w:rsidRDefault="003A38B0" w:rsidP="004778F1">
            <w:pPr>
              <w:pStyle w:val="Tablerowcolumnheadingcentred"/>
              <w:keepNext/>
              <w:spacing w:before="1260"/>
              <w:cnfStyle w:val="100000000000" w:firstRow="1" w:lastRow="0" w:firstColumn="0" w:lastColumn="0" w:oddVBand="0" w:evenVBand="0" w:oddHBand="0" w:evenHBand="0" w:firstRowFirstColumn="0" w:firstRowLastColumn="0" w:lastRowFirstColumn="0" w:lastRowLastColumn="0"/>
              <w:rPr>
                <w:b/>
                <w:sz w:val="22"/>
                <w:szCs w:val="22"/>
              </w:rPr>
            </w:pPr>
            <w:r w:rsidRPr="00A73D31">
              <w:rPr>
                <w:rFonts w:eastAsia="Times New Roman" w:cs="Calibri"/>
                <w:b/>
                <w:color w:val="auto"/>
                <w:lang w:eastAsia="en-AU"/>
              </w:rPr>
              <w:t>Off Peak</w:t>
            </w:r>
          </w:p>
        </w:tc>
      </w:tr>
      <w:tr w:rsidR="00513182" w:rsidRPr="00654F9E" w14:paraId="3E573D42" w14:textId="77777777" w:rsidTr="003A11A7">
        <w:trPr>
          <w:cantSplit/>
        </w:trPr>
        <w:tc>
          <w:tcPr>
            <w:cnfStyle w:val="001000000000" w:firstRow="0" w:lastRow="0" w:firstColumn="1" w:lastColumn="0" w:oddVBand="0" w:evenVBand="0" w:oddHBand="0" w:evenHBand="0" w:firstRowFirstColumn="0" w:firstRowLastColumn="0" w:lastRowFirstColumn="0" w:lastRowLastColumn="0"/>
            <w:tcW w:w="260" w:type="pct"/>
          </w:tcPr>
          <w:p w14:paraId="4195BFE9" w14:textId="483955D9" w:rsidR="004778F1" w:rsidRPr="008E534F" w:rsidRDefault="004778F1" w:rsidP="004778F1">
            <w:pPr>
              <w:pStyle w:val="Tabletext"/>
            </w:pPr>
            <w:r w:rsidRPr="00A73D31">
              <w:rPr>
                <w:rFonts w:cs="Calibri"/>
                <w:color w:val="auto"/>
                <w:lang w:eastAsia="en-AU"/>
              </w:rPr>
              <w:t>ABC Air</w:t>
            </w:r>
          </w:p>
        </w:tc>
        <w:tc>
          <w:tcPr>
            <w:tcW w:w="217" w:type="pct"/>
          </w:tcPr>
          <w:p w14:paraId="2279872D" w14:textId="5A9F4776"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Pr>
                <w:rFonts w:cs="Calibri"/>
                <w:color w:val="auto"/>
                <w:lang w:eastAsia="en-AU"/>
              </w:rPr>
              <w:t>MEL</w:t>
            </w:r>
          </w:p>
        </w:tc>
        <w:tc>
          <w:tcPr>
            <w:tcW w:w="172" w:type="pct"/>
          </w:tcPr>
          <w:p w14:paraId="5742492B" w14:textId="2B856DB5"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A</w:t>
            </w:r>
          </w:p>
        </w:tc>
        <w:tc>
          <w:tcPr>
            <w:tcW w:w="345" w:type="pct"/>
          </w:tcPr>
          <w:p w14:paraId="689960D3" w14:textId="38CE8B8D"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Pr>
                <w:rFonts w:cs="Calibri"/>
                <w:color w:val="auto"/>
                <w:lang w:eastAsia="en-AU"/>
              </w:rPr>
              <w:t>Freight</w:t>
            </w:r>
          </w:p>
        </w:tc>
        <w:tc>
          <w:tcPr>
            <w:tcW w:w="360" w:type="pct"/>
          </w:tcPr>
          <w:p w14:paraId="687933D4" w14:textId="6ADC2B69"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20 965</w:t>
            </w:r>
          </w:p>
        </w:tc>
        <w:tc>
          <w:tcPr>
            <w:tcW w:w="359" w:type="pct"/>
          </w:tcPr>
          <w:p w14:paraId="44730AAE" w14:textId="2B93DB7F"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20 965</w:t>
            </w:r>
          </w:p>
        </w:tc>
        <w:tc>
          <w:tcPr>
            <w:tcW w:w="330" w:type="pct"/>
          </w:tcPr>
          <w:p w14:paraId="2252932C" w14:textId="12450037"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13.8%</w:t>
            </w:r>
          </w:p>
        </w:tc>
        <w:tc>
          <w:tcPr>
            <w:tcW w:w="330" w:type="pct"/>
          </w:tcPr>
          <w:p w14:paraId="51E624F7" w14:textId="32990AFB"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13.8%</w:t>
            </w:r>
          </w:p>
        </w:tc>
        <w:tc>
          <w:tcPr>
            <w:tcW w:w="353" w:type="pct"/>
          </w:tcPr>
          <w:p w14:paraId="5EF5E972" w14:textId="4377DA21"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13.8%</w:t>
            </w:r>
          </w:p>
        </w:tc>
        <w:tc>
          <w:tcPr>
            <w:tcW w:w="353" w:type="pct"/>
          </w:tcPr>
          <w:p w14:paraId="6A138FB6" w14:textId="52823086"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13.8%</w:t>
            </w:r>
          </w:p>
        </w:tc>
        <w:tc>
          <w:tcPr>
            <w:tcW w:w="359" w:type="pct"/>
          </w:tcPr>
          <w:p w14:paraId="2CCC8D48" w14:textId="1B4FB4CA"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18 072</w:t>
            </w:r>
          </w:p>
        </w:tc>
        <w:tc>
          <w:tcPr>
            <w:tcW w:w="359" w:type="pct"/>
          </w:tcPr>
          <w:p w14:paraId="6616D0B7" w14:textId="28F0430E"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18 072</w:t>
            </w:r>
          </w:p>
        </w:tc>
        <w:tc>
          <w:tcPr>
            <w:tcW w:w="301" w:type="pct"/>
          </w:tcPr>
          <w:p w14:paraId="2AD11987" w14:textId="0BBC226D"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33.2%</w:t>
            </w:r>
          </w:p>
        </w:tc>
        <w:tc>
          <w:tcPr>
            <w:tcW w:w="303" w:type="pct"/>
          </w:tcPr>
          <w:p w14:paraId="367E07E6" w14:textId="5334593F"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33.2%</w:t>
            </w:r>
          </w:p>
        </w:tc>
        <w:tc>
          <w:tcPr>
            <w:tcW w:w="300" w:type="pct"/>
          </w:tcPr>
          <w:p w14:paraId="28F0368C" w14:textId="15356863"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67.8%</w:t>
            </w:r>
          </w:p>
        </w:tc>
        <w:tc>
          <w:tcPr>
            <w:tcW w:w="299" w:type="pct"/>
          </w:tcPr>
          <w:p w14:paraId="226957BA" w14:textId="3242D886" w:rsidR="004778F1" w:rsidRPr="002B15B8" w:rsidRDefault="004778F1" w:rsidP="004778F1">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67.8%</w:t>
            </w:r>
          </w:p>
        </w:tc>
      </w:tr>
      <w:tr w:rsidR="00513182" w:rsidRPr="00654F9E" w14:paraId="42128267" w14:textId="77777777" w:rsidTr="003A11A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 w:type="pct"/>
          </w:tcPr>
          <w:p w14:paraId="33D5D9C7" w14:textId="3CB643DA" w:rsidR="00624335" w:rsidRPr="008E534F" w:rsidRDefault="00624335" w:rsidP="00624335">
            <w:pPr>
              <w:pStyle w:val="Tabletext"/>
            </w:pPr>
            <w:r w:rsidRPr="00A73D31">
              <w:rPr>
                <w:rFonts w:cs="Calibri"/>
                <w:color w:val="auto"/>
                <w:lang w:eastAsia="en-AU"/>
              </w:rPr>
              <w:t>ABC Air</w:t>
            </w:r>
          </w:p>
        </w:tc>
        <w:tc>
          <w:tcPr>
            <w:tcW w:w="217" w:type="pct"/>
          </w:tcPr>
          <w:p w14:paraId="401F83CC" w14:textId="3755E361"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MEL</w:t>
            </w:r>
          </w:p>
        </w:tc>
        <w:tc>
          <w:tcPr>
            <w:tcW w:w="172" w:type="pct"/>
          </w:tcPr>
          <w:p w14:paraId="31349D85" w14:textId="7500CA44"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A</w:t>
            </w:r>
          </w:p>
        </w:tc>
        <w:tc>
          <w:tcPr>
            <w:tcW w:w="345" w:type="pct"/>
          </w:tcPr>
          <w:p w14:paraId="5812FB39" w14:textId="3A5C7E3A"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Freight</w:t>
            </w:r>
          </w:p>
        </w:tc>
        <w:tc>
          <w:tcPr>
            <w:tcW w:w="360" w:type="pct"/>
          </w:tcPr>
          <w:p w14:paraId="5EB627A9" w14:textId="537910D9"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10</w:t>
            </w:r>
            <w:r>
              <w:rPr>
                <w:rFonts w:cs="Calibri"/>
                <w:color w:val="auto"/>
                <w:lang w:eastAsia="en-AU"/>
              </w:rPr>
              <w:t xml:space="preserve"> </w:t>
            </w:r>
            <w:r w:rsidRPr="00A73D31">
              <w:rPr>
                <w:rFonts w:cs="Calibri"/>
                <w:color w:val="auto"/>
                <w:lang w:eastAsia="en-AU"/>
              </w:rPr>
              <w:t>000</w:t>
            </w:r>
          </w:p>
        </w:tc>
        <w:tc>
          <w:tcPr>
            <w:tcW w:w="359" w:type="pct"/>
          </w:tcPr>
          <w:p w14:paraId="3BBAFFDA" w14:textId="668829E0"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10</w:t>
            </w:r>
            <w:r>
              <w:rPr>
                <w:rFonts w:cs="Calibri"/>
                <w:color w:val="auto"/>
                <w:lang w:eastAsia="en-AU"/>
              </w:rPr>
              <w:t xml:space="preserve"> </w:t>
            </w:r>
            <w:r w:rsidRPr="00A73D31">
              <w:rPr>
                <w:rFonts w:cs="Calibri"/>
                <w:color w:val="auto"/>
                <w:lang w:eastAsia="en-AU"/>
              </w:rPr>
              <w:t>965</w:t>
            </w:r>
          </w:p>
        </w:tc>
        <w:tc>
          <w:tcPr>
            <w:tcW w:w="330" w:type="pct"/>
          </w:tcPr>
          <w:p w14:paraId="603DE0A9" w14:textId="10BB5670"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13.8%</w:t>
            </w:r>
          </w:p>
        </w:tc>
        <w:tc>
          <w:tcPr>
            <w:tcW w:w="330" w:type="pct"/>
          </w:tcPr>
          <w:p w14:paraId="769BAE91" w14:textId="7DEFB4EA"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13.8%</w:t>
            </w:r>
          </w:p>
        </w:tc>
        <w:tc>
          <w:tcPr>
            <w:tcW w:w="353" w:type="pct"/>
          </w:tcPr>
          <w:p w14:paraId="036E06E7" w14:textId="6FFC77FB"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13.8%</w:t>
            </w:r>
          </w:p>
        </w:tc>
        <w:tc>
          <w:tcPr>
            <w:tcW w:w="353" w:type="pct"/>
          </w:tcPr>
          <w:p w14:paraId="389226E7" w14:textId="4393C581"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13.8%</w:t>
            </w:r>
          </w:p>
        </w:tc>
        <w:tc>
          <w:tcPr>
            <w:tcW w:w="359" w:type="pct"/>
          </w:tcPr>
          <w:p w14:paraId="2ADA704E" w14:textId="170CC04E"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8620</w:t>
            </w:r>
          </w:p>
        </w:tc>
        <w:tc>
          <w:tcPr>
            <w:tcW w:w="359" w:type="pct"/>
          </w:tcPr>
          <w:p w14:paraId="101F68A5" w14:textId="5F3A2D07"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9452</w:t>
            </w:r>
          </w:p>
        </w:tc>
        <w:tc>
          <w:tcPr>
            <w:tcW w:w="301" w:type="pct"/>
          </w:tcPr>
          <w:p w14:paraId="650DAFA6" w14:textId="55DE4454"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33.2%</w:t>
            </w:r>
          </w:p>
        </w:tc>
        <w:tc>
          <w:tcPr>
            <w:tcW w:w="303" w:type="pct"/>
          </w:tcPr>
          <w:p w14:paraId="2E7F1126" w14:textId="4AF01BBD"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33.2%</w:t>
            </w:r>
          </w:p>
        </w:tc>
        <w:tc>
          <w:tcPr>
            <w:tcW w:w="300" w:type="pct"/>
          </w:tcPr>
          <w:p w14:paraId="2E10881A" w14:textId="7864F79A"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67.8%</w:t>
            </w:r>
          </w:p>
        </w:tc>
        <w:tc>
          <w:tcPr>
            <w:tcW w:w="299" w:type="pct"/>
          </w:tcPr>
          <w:p w14:paraId="4B421AFF" w14:textId="547BB5E5" w:rsidR="00624335" w:rsidRPr="002B15B8" w:rsidRDefault="00624335" w:rsidP="00624335">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67.8%</w:t>
            </w:r>
          </w:p>
        </w:tc>
      </w:tr>
      <w:tr w:rsidR="00513182" w:rsidRPr="00654F9E" w14:paraId="798F12ED" w14:textId="77777777" w:rsidTr="003A11A7">
        <w:trPr>
          <w:cantSplit/>
        </w:trPr>
        <w:tc>
          <w:tcPr>
            <w:cnfStyle w:val="001000000000" w:firstRow="0" w:lastRow="0" w:firstColumn="1" w:lastColumn="0" w:oddVBand="0" w:evenVBand="0" w:oddHBand="0" w:evenHBand="0" w:firstRowFirstColumn="0" w:firstRowLastColumn="0" w:lastRowFirstColumn="0" w:lastRowLastColumn="0"/>
            <w:tcW w:w="260" w:type="pct"/>
          </w:tcPr>
          <w:p w14:paraId="5B21741F" w14:textId="2B373AB9" w:rsidR="00624335" w:rsidRPr="008E534F" w:rsidRDefault="00624335" w:rsidP="00624335">
            <w:pPr>
              <w:pStyle w:val="Tabletext"/>
            </w:pPr>
            <w:r w:rsidRPr="00A73D31">
              <w:rPr>
                <w:rFonts w:cs="Calibri"/>
                <w:color w:val="auto"/>
                <w:lang w:eastAsia="en-AU"/>
              </w:rPr>
              <w:t xml:space="preserve">Air BCD </w:t>
            </w:r>
          </w:p>
        </w:tc>
        <w:tc>
          <w:tcPr>
            <w:tcW w:w="217" w:type="pct"/>
          </w:tcPr>
          <w:p w14:paraId="4AA7666C" w14:textId="00D4A2A7" w:rsidR="00624335" w:rsidRPr="008E534F" w:rsidRDefault="00624335" w:rsidP="00624335">
            <w:pPr>
              <w:pStyle w:val="Tabletext"/>
              <w:cnfStyle w:val="000000000000" w:firstRow="0" w:lastRow="0" w:firstColumn="0" w:lastColumn="0" w:oddVBand="0" w:evenVBand="0" w:oddHBand="0" w:evenHBand="0" w:firstRowFirstColumn="0" w:firstRowLastColumn="0" w:lastRowFirstColumn="0" w:lastRowLastColumn="0"/>
            </w:pPr>
            <w:r>
              <w:rPr>
                <w:rFonts w:cs="Calibri"/>
                <w:color w:val="auto"/>
                <w:lang w:eastAsia="en-AU"/>
              </w:rPr>
              <w:t>CBR</w:t>
            </w:r>
          </w:p>
        </w:tc>
        <w:tc>
          <w:tcPr>
            <w:tcW w:w="172" w:type="pct"/>
          </w:tcPr>
          <w:p w14:paraId="6ACDB450" w14:textId="7870932B" w:rsidR="00624335" w:rsidRPr="008E534F" w:rsidRDefault="00624335"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D</w:t>
            </w:r>
          </w:p>
        </w:tc>
        <w:tc>
          <w:tcPr>
            <w:tcW w:w="345" w:type="pct"/>
          </w:tcPr>
          <w:p w14:paraId="71F7C52F" w14:textId="11CAC2CC" w:rsidR="00624335" w:rsidRPr="008E534F" w:rsidRDefault="00624335" w:rsidP="00624335">
            <w:pPr>
              <w:pStyle w:val="Tabletext"/>
              <w:cnfStyle w:val="000000000000" w:firstRow="0" w:lastRow="0" w:firstColumn="0" w:lastColumn="0" w:oddVBand="0" w:evenVBand="0" w:oddHBand="0" w:evenHBand="0" w:firstRowFirstColumn="0" w:firstRowLastColumn="0" w:lastRowFirstColumn="0" w:lastRowLastColumn="0"/>
            </w:pPr>
            <w:r>
              <w:rPr>
                <w:rFonts w:cs="Calibri"/>
                <w:color w:val="auto"/>
                <w:lang w:eastAsia="en-AU"/>
              </w:rPr>
              <w:t>Passenger</w:t>
            </w:r>
          </w:p>
        </w:tc>
        <w:tc>
          <w:tcPr>
            <w:tcW w:w="360" w:type="pct"/>
          </w:tcPr>
          <w:p w14:paraId="0A94F876" w14:textId="1D4D81DC"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130</w:t>
            </w:r>
          </w:p>
        </w:tc>
        <w:tc>
          <w:tcPr>
            <w:tcW w:w="359" w:type="pct"/>
          </w:tcPr>
          <w:p w14:paraId="1709F03E" w14:textId="27F25F32"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130</w:t>
            </w:r>
          </w:p>
        </w:tc>
        <w:tc>
          <w:tcPr>
            <w:tcW w:w="330" w:type="pct"/>
          </w:tcPr>
          <w:p w14:paraId="741400A1" w14:textId="75377ED7"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20.0%</w:t>
            </w:r>
          </w:p>
        </w:tc>
        <w:tc>
          <w:tcPr>
            <w:tcW w:w="330" w:type="pct"/>
          </w:tcPr>
          <w:p w14:paraId="407765D3" w14:textId="4B56B6C1"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20.0%</w:t>
            </w:r>
          </w:p>
        </w:tc>
        <w:tc>
          <w:tcPr>
            <w:tcW w:w="353" w:type="pct"/>
          </w:tcPr>
          <w:p w14:paraId="1EDFBB49" w14:textId="174D0A2B"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20.0%</w:t>
            </w:r>
          </w:p>
        </w:tc>
        <w:tc>
          <w:tcPr>
            <w:tcW w:w="353" w:type="pct"/>
          </w:tcPr>
          <w:p w14:paraId="0C684997" w14:textId="35AE34E1"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20.0%</w:t>
            </w:r>
          </w:p>
        </w:tc>
        <w:tc>
          <w:tcPr>
            <w:tcW w:w="359" w:type="pct"/>
          </w:tcPr>
          <w:p w14:paraId="2B797304" w14:textId="34605E9E"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104</w:t>
            </w:r>
          </w:p>
        </w:tc>
        <w:tc>
          <w:tcPr>
            <w:tcW w:w="359" w:type="pct"/>
          </w:tcPr>
          <w:p w14:paraId="6857BBD5" w14:textId="10E45DBA"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104</w:t>
            </w:r>
          </w:p>
        </w:tc>
        <w:tc>
          <w:tcPr>
            <w:tcW w:w="301" w:type="pct"/>
          </w:tcPr>
          <w:p w14:paraId="4AC97326" w14:textId="55048201"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5.7%</w:t>
            </w:r>
          </w:p>
        </w:tc>
        <w:tc>
          <w:tcPr>
            <w:tcW w:w="303" w:type="pct"/>
          </w:tcPr>
          <w:p w14:paraId="58A4B5EB" w14:textId="40978D4E"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5.7%</w:t>
            </w:r>
          </w:p>
        </w:tc>
        <w:tc>
          <w:tcPr>
            <w:tcW w:w="300" w:type="pct"/>
          </w:tcPr>
          <w:p w14:paraId="2D70A6C6" w14:textId="2E248046" w:rsidR="00624335" w:rsidRPr="008E534F"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94.3%</w:t>
            </w:r>
          </w:p>
        </w:tc>
        <w:tc>
          <w:tcPr>
            <w:tcW w:w="299" w:type="pct"/>
          </w:tcPr>
          <w:p w14:paraId="55BAC7C7" w14:textId="2228F611" w:rsidR="00624335" w:rsidRPr="002B15B8" w:rsidRDefault="000B50AB" w:rsidP="00624335">
            <w:pPr>
              <w:pStyle w:val="Tabletext"/>
              <w:cnfStyle w:val="000000000000" w:firstRow="0" w:lastRow="0" w:firstColumn="0" w:lastColumn="0" w:oddVBand="0" w:evenVBand="0" w:oddHBand="0" w:evenHBand="0" w:firstRowFirstColumn="0" w:firstRowLastColumn="0" w:lastRowFirstColumn="0" w:lastRowLastColumn="0"/>
            </w:pPr>
            <w:r w:rsidRPr="00A73D31">
              <w:rPr>
                <w:rFonts w:cs="Calibri"/>
                <w:color w:val="auto"/>
                <w:lang w:eastAsia="en-AU"/>
              </w:rPr>
              <w:t>94.3%</w:t>
            </w:r>
          </w:p>
        </w:tc>
      </w:tr>
      <w:tr w:rsidR="00513182" w:rsidRPr="00654F9E" w14:paraId="121952C0" w14:textId="77777777" w:rsidTr="003A11A7">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60" w:type="pct"/>
          </w:tcPr>
          <w:p w14:paraId="00D6150C" w14:textId="52970263" w:rsidR="00FA61AF" w:rsidRPr="008E534F" w:rsidRDefault="00FA61AF" w:rsidP="00FA61AF">
            <w:pPr>
              <w:pStyle w:val="Tabletext"/>
            </w:pPr>
            <w:r w:rsidRPr="00A73D31">
              <w:rPr>
                <w:rFonts w:cs="Calibri"/>
                <w:color w:val="auto"/>
                <w:lang w:eastAsia="en-AU"/>
              </w:rPr>
              <w:t xml:space="preserve">Air BCD </w:t>
            </w:r>
          </w:p>
        </w:tc>
        <w:tc>
          <w:tcPr>
            <w:tcW w:w="217" w:type="pct"/>
          </w:tcPr>
          <w:p w14:paraId="5877D4C2" w14:textId="0643817C"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CBR</w:t>
            </w:r>
          </w:p>
        </w:tc>
        <w:tc>
          <w:tcPr>
            <w:tcW w:w="172" w:type="pct"/>
          </w:tcPr>
          <w:p w14:paraId="201D6E3A" w14:textId="66CB2CA4"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sidRPr="00A73D31">
              <w:rPr>
                <w:rFonts w:cs="Calibri"/>
                <w:color w:val="auto"/>
                <w:lang w:eastAsia="en-AU"/>
              </w:rPr>
              <w:t>D</w:t>
            </w:r>
          </w:p>
        </w:tc>
        <w:tc>
          <w:tcPr>
            <w:tcW w:w="345" w:type="pct"/>
          </w:tcPr>
          <w:p w14:paraId="42F67085" w14:textId="1B7C6B11"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Passenger</w:t>
            </w:r>
          </w:p>
        </w:tc>
        <w:tc>
          <w:tcPr>
            <w:tcW w:w="360" w:type="pct"/>
          </w:tcPr>
          <w:p w14:paraId="0144D0CC" w14:textId="3ACF841C"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20</w:t>
            </w:r>
          </w:p>
        </w:tc>
        <w:tc>
          <w:tcPr>
            <w:tcW w:w="359" w:type="pct"/>
          </w:tcPr>
          <w:p w14:paraId="06D94B26" w14:textId="460BF2D3"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110</w:t>
            </w:r>
          </w:p>
        </w:tc>
        <w:tc>
          <w:tcPr>
            <w:tcW w:w="330" w:type="pct"/>
          </w:tcPr>
          <w:p w14:paraId="596DB151" w14:textId="536F5B86"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30.0%</w:t>
            </w:r>
          </w:p>
        </w:tc>
        <w:tc>
          <w:tcPr>
            <w:tcW w:w="330" w:type="pct"/>
          </w:tcPr>
          <w:p w14:paraId="01DCE9BB" w14:textId="7216F978"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18.2%</w:t>
            </w:r>
          </w:p>
        </w:tc>
        <w:tc>
          <w:tcPr>
            <w:tcW w:w="353" w:type="pct"/>
          </w:tcPr>
          <w:p w14:paraId="5843DEC4" w14:textId="766D6FF8"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30.0%</w:t>
            </w:r>
          </w:p>
        </w:tc>
        <w:tc>
          <w:tcPr>
            <w:tcW w:w="353" w:type="pct"/>
          </w:tcPr>
          <w:p w14:paraId="604B74EF" w14:textId="5F6D7534"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18.2%</w:t>
            </w:r>
          </w:p>
        </w:tc>
        <w:tc>
          <w:tcPr>
            <w:tcW w:w="359" w:type="pct"/>
          </w:tcPr>
          <w:p w14:paraId="7D1CBD38" w14:textId="05362C54"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14</w:t>
            </w:r>
          </w:p>
        </w:tc>
        <w:tc>
          <w:tcPr>
            <w:tcW w:w="359" w:type="pct"/>
          </w:tcPr>
          <w:p w14:paraId="0014C257" w14:textId="0A4F3D3A"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90</w:t>
            </w:r>
          </w:p>
        </w:tc>
        <w:tc>
          <w:tcPr>
            <w:tcW w:w="301" w:type="pct"/>
          </w:tcPr>
          <w:p w14:paraId="6C139523" w14:textId="1CECA214"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42.9%</w:t>
            </w:r>
          </w:p>
        </w:tc>
        <w:tc>
          <w:tcPr>
            <w:tcW w:w="303" w:type="pct"/>
          </w:tcPr>
          <w:p w14:paraId="2EC03274" w14:textId="3D12A219"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0.0%</w:t>
            </w:r>
          </w:p>
        </w:tc>
        <w:tc>
          <w:tcPr>
            <w:tcW w:w="300" w:type="pct"/>
          </w:tcPr>
          <w:p w14:paraId="2FF22615" w14:textId="0EE161D7" w:rsidR="00FA61AF" w:rsidRPr="008E534F"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57.1 %</w:t>
            </w:r>
          </w:p>
        </w:tc>
        <w:tc>
          <w:tcPr>
            <w:tcW w:w="299" w:type="pct"/>
          </w:tcPr>
          <w:p w14:paraId="77ABBA5C" w14:textId="777336E4" w:rsidR="00FA61AF" w:rsidRPr="002B15B8" w:rsidRDefault="00FA61AF" w:rsidP="00FA61AF">
            <w:pPr>
              <w:pStyle w:val="Tabletext"/>
              <w:cnfStyle w:val="000000010000" w:firstRow="0" w:lastRow="0" w:firstColumn="0" w:lastColumn="0" w:oddVBand="0" w:evenVBand="0" w:oddHBand="0" w:evenHBand="1" w:firstRowFirstColumn="0" w:firstRowLastColumn="0" w:lastRowFirstColumn="0" w:lastRowLastColumn="0"/>
            </w:pPr>
            <w:r>
              <w:rPr>
                <w:rFonts w:cs="Calibri"/>
                <w:color w:val="auto"/>
                <w:lang w:eastAsia="en-AU"/>
              </w:rPr>
              <w:t>100.0%</w:t>
            </w:r>
          </w:p>
        </w:tc>
      </w:tr>
    </w:tbl>
    <w:p w14:paraId="52D6744C" w14:textId="77777777" w:rsidR="00306093" w:rsidRPr="00FF2448" w:rsidRDefault="00306093" w:rsidP="00FF2448">
      <w:bookmarkStart w:id="1" w:name="_Table_2a:_End"/>
      <w:bookmarkStart w:id="2" w:name="_Table_2b:_Mid-season"/>
      <w:bookmarkEnd w:id="1"/>
      <w:bookmarkEnd w:id="2"/>
      <w:r w:rsidRPr="00FF2448">
        <w:br w:type="page"/>
      </w:r>
    </w:p>
    <w:p w14:paraId="08386A72" w14:textId="76C0082C" w:rsidR="00306093" w:rsidRDefault="00306093" w:rsidP="00714E32">
      <w:pPr>
        <w:pStyle w:val="Heading3"/>
      </w:pPr>
      <w:bookmarkStart w:id="3" w:name="_Table_3:_Count"/>
      <w:bookmarkEnd w:id="3"/>
      <w:r>
        <w:lastRenderedPageBreak/>
        <w:t xml:space="preserve">Table </w:t>
      </w:r>
      <w:r w:rsidR="00090C84">
        <w:t>2</w:t>
      </w:r>
      <w:r>
        <w:t>: Count of administrative actions taken by the Slot Manager for each civil penalty example</w:t>
      </w:r>
    </w:p>
    <w:tbl>
      <w:tblPr>
        <w:tblStyle w:val="DefaultTable11"/>
        <w:tblW w:w="5210" w:type="pct"/>
        <w:tblInd w:w="-284" w:type="dxa"/>
        <w:tblLook w:val="04A0" w:firstRow="1" w:lastRow="0" w:firstColumn="1" w:lastColumn="0" w:noHBand="0" w:noVBand="1"/>
        <w:tblCaption w:val="Table 3: Count of administrative actions taken by the Slot Manager for each civil penalty example"/>
        <w:tblDescription w:val="Table showing the number of administrative actions taken by the Slot Manager under civil penalty provisions for different types of slot‑related non‑compliance. Columns list actions under Scheme sections s32A to s32F. Rows list offences under Act sections 15 to 20, with each row showing how many times each type of administrative action was applied. The data illustrates the distribution of warnings, referrals, performance plans, suspensions and cancellations issued for various forms of slot misuse."/>
      </w:tblPr>
      <w:tblGrid>
        <w:gridCol w:w="3262"/>
        <w:gridCol w:w="1721"/>
        <w:gridCol w:w="1721"/>
        <w:gridCol w:w="2022"/>
        <w:gridCol w:w="2537"/>
        <w:gridCol w:w="1721"/>
        <w:gridCol w:w="1902"/>
      </w:tblGrid>
      <w:tr w:rsidR="00B95AAF" w:rsidRPr="00654F9E" w14:paraId="1606B0AA" w14:textId="77777777" w:rsidTr="005A716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6" w:type="pct"/>
          </w:tcPr>
          <w:p w14:paraId="4BAF3B1F" w14:textId="2296670C" w:rsidR="00FF2448" w:rsidRPr="00FF2448" w:rsidRDefault="00FF2448" w:rsidP="00FF2448">
            <w:pPr>
              <w:pStyle w:val="Tablerowcolumnheading"/>
              <w:keepNext/>
              <w:rPr>
                <w:b/>
                <w:bCs/>
                <w:sz w:val="22"/>
                <w:szCs w:val="22"/>
              </w:rPr>
            </w:pPr>
          </w:p>
        </w:tc>
        <w:tc>
          <w:tcPr>
            <w:tcW w:w="578" w:type="pct"/>
          </w:tcPr>
          <w:p w14:paraId="2F693540" w14:textId="77777777" w:rsidR="00FF2448" w:rsidRDefault="00FF2448" w:rsidP="00FF2448">
            <w:pPr>
              <w:cnfStyle w:val="100000000000" w:firstRow="1" w:lastRow="0" w:firstColumn="0" w:lastColumn="0" w:oddVBand="0" w:evenVBand="0" w:oddHBand="0" w:evenHBand="0" w:firstRowFirstColumn="0" w:firstRowLastColumn="0" w:lastRowFirstColumn="0" w:lastRowLastColumn="0"/>
              <w:rPr>
                <w:b w:val="0"/>
              </w:rPr>
            </w:pPr>
            <w:r>
              <w:t>Scheme s32A:</w:t>
            </w:r>
          </w:p>
          <w:p w14:paraId="1C7BF1ED" w14:textId="722C9BE8" w:rsidR="00FF2448" w:rsidRPr="00FF2448" w:rsidRDefault="00FF2448" w:rsidP="00FF2448">
            <w:pPr>
              <w:pStyle w:val="Tablerowcolumnheading"/>
              <w:keepNext/>
              <w:cnfStyle w:val="100000000000" w:firstRow="1" w:lastRow="0" w:firstColumn="0" w:lastColumn="0" w:oddVBand="0" w:evenVBand="0" w:oddHBand="0" w:evenHBand="0" w:firstRowFirstColumn="0" w:firstRowLastColumn="0" w:lastRowFirstColumn="0" w:lastRowLastColumn="0"/>
              <w:rPr>
                <w:b/>
                <w:bCs/>
                <w:szCs w:val="22"/>
              </w:rPr>
            </w:pPr>
            <w:r>
              <w:t>Inform and warn of the action that may be taken in response to non-compliance</w:t>
            </w:r>
          </w:p>
        </w:tc>
        <w:tc>
          <w:tcPr>
            <w:tcW w:w="578" w:type="pct"/>
          </w:tcPr>
          <w:p w14:paraId="3466144F" w14:textId="77777777" w:rsidR="00FF2448" w:rsidRDefault="00FF2448" w:rsidP="00FF2448">
            <w:pPr>
              <w:cnfStyle w:val="100000000000" w:firstRow="1" w:lastRow="0" w:firstColumn="0" w:lastColumn="0" w:oddVBand="0" w:evenVBand="0" w:oddHBand="0" w:evenHBand="0" w:firstRowFirstColumn="0" w:firstRowLastColumn="0" w:lastRowFirstColumn="0" w:lastRowLastColumn="0"/>
              <w:rPr>
                <w:b w:val="0"/>
              </w:rPr>
            </w:pPr>
            <w:r>
              <w:t>Scheme s32B:</w:t>
            </w:r>
          </w:p>
          <w:p w14:paraId="59FCC685" w14:textId="4B25EC72" w:rsidR="00FF2448" w:rsidRPr="00FF2448" w:rsidRDefault="00FF2448" w:rsidP="00FF2448">
            <w:pPr>
              <w:pStyle w:val="Tablerowcolumnheading"/>
              <w:keepNext/>
              <w:cnfStyle w:val="100000000000" w:firstRow="1" w:lastRow="0" w:firstColumn="0" w:lastColumn="0" w:oddVBand="0" w:evenVBand="0" w:oddHBand="0" w:evenHBand="0" w:firstRowFirstColumn="0" w:firstRowLastColumn="0" w:lastRowFirstColumn="0" w:lastRowLastColumn="0"/>
              <w:rPr>
                <w:b/>
                <w:bCs/>
                <w:szCs w:val="22"/>
              </w:rPr>
            </w:pPr>
            <w:r>
              <w:t>Refer the non</w:t>
            </w:r>
            <w:r>
              <w:rPr>
                <w:rFonts w:ascii="Cambria Math" w:hAnsi="Cambria Math" w:cs="Cambria Math"/>
              </w:rPr>
              <w:t>‑</w:t>
            </w:r>
            <w:r>
              <w:t>compliance to the Compliance Committee</w:t>
            </w:r>
          </w:p>
        </w:tc>
        <w:tc>
          <w:tcPr>
            <w:tcW w:w="679" w:type="pct"/>
          </w:tcPr>
          <w:p w14:paraId="08ECB1C7" w14:textId="77777777" w:rsidR="00FF2448" w:rsidRDefault="00FF2448" w:rsidP="00FF2448">
            <w:pPr>
              <w:cnfStyle w:val="100000000000" w:firstRow="1" w:lastRow="0" w:firstColumn="0" w:lastColumn="0" w:oddVBand="0" w:evenVBand="0" w:oddHBand="0" w:evenHBand="0" w:firstRowFirstColumn="0" w:firstRowLastColumn="0" w:lastRowFirstColumn="0" w:lastRowLastColumn="0"/>
              <w:rPr>
                <w:b w:val="0"/>
              </w:rPr>
            </w:pPr>
            <w:r>
              <w:t>Scheme s32C:</w:t>
            </w:r>
          </w:p>
          <w:p w14:paraId="5158C9B6" w14:textId="7B6CC308" w:rsidR="00FF2448" w:rsidRPr="00FF2448" w:rsidRDefault="00FF2448" w:rsidP="00FF2448">
            <w:pPr>
              <w:pStyle w:val="Tablerowcolumnheading"/>
              <w:keepNext/>
              <w:cnfStyle w:val="100000000000" w:firstRow="1" w:lastRow="0" w:firstColumn="0" w:lastColumn="0" w:oddVBand="0" w:evenVBand="0" w:oddHBand="0" w:evenHBand="0" w:firstRowFirstColumn="0" w:firstRowLastColumn="0" w:lastRowFirstColumn="0" w:lastRowLastColumn="0"/>
              <w:rPr>
                <w:b/>
                <w:bCs/>
                <w:szCs w:val="22"/>
              </w:rPr>
            </w:pPr>
            <w:r>
              <w:t>Refer the non</w:t>
            </w:r>
            <w:r>
              <w:rPr>
                <w:rFonts w:ascii="Cambria Math" w:hAnsi="Cambria Math" w:cs="Cambria Math"/>
              </w:rPr>
              <w:t>‑</w:t>
            </w:r>
            <w:r>
              <w:t>compliance to the Minister for possible action under Part 5 of the Act</w:t>
            </w:r>
          </w:p>
        </w:tc>
        <w:tc>
          <w:tcPr>
            <w:tcW w:w="852" w:type="pct"/>
          </w:tcPr>
          <w:p w14:paraId="1682FC66" w14:textId="77777777" w:rsidR="00FF2448" w:rsidRDefault="00FF2448" w:rsidP="00FF2448">
            <w:pPr>
              <w:cnfStyle w:val="100000000000" w:firstRow="1" w:lastRow="0" w:firstColumn="0" w:lastColumn="0" w:oddVBand="0" w:evenVBand="0" w:oddHBand="0" w:evenHBand="0" w:firstRowFirstColumn="0" w:firstRowLastColumn="0" w:lastRowFirstColumn="0" w:lastRowLastColumn="0"/>
              <w:rPr>
                <w:b w:val="0"/>
              </w:rPr>
            </w:pPr>
            <w:r>
              <w:t>Scheme s32D:</w:t>
            </w:r>
          </w:p>
          <w:p w14:paraId="563F2C73" w14:textId="3A199D83" w:rsidR="00FF2448" w:rsidRPr="00FF2448" w:rsidRDefault="00FF2448" w:rsidP="00FF2448">
            <w:pPr>
              <w:pStyle w:val="Tablerowcolumnheading"/>
              <w:keepNext/>
              <w:cnfStyle w:val="100000000000" w:firstRow="1" w:lastRow="0" w:firstColumn="0" w:lastColumn="0" w:oddVBand="0" w:evenVBand="0" w:oddHBand="0" w:evenHBand="0" w:firstRowFirstColumn="0" w:firstRowLastColumn="0" w:lastRowFirstColumn="0" w:lastRowLastColumn="0"/>
              <w:rPr>
                <w:b/>
                <w:bCs/>
                <w:szCs w:val="22"/>
              </w:rPr>
            </w:pPr>
            <w:proofErr w:type="gramStart"/>
            <w:r w:rsidRPr="00133DA4">
              <w:t>Enter into</w:t>
            </w:r>
            <w:proofErr w:type="gramEnd"/>
            <w:r w:rsidRPr="00133DA4">
              <w:t xml:space="preserve"> a performance plan</w:t>
            </w:r>
          </w:p>
        </w:tc>
        <w:tc>
          <w:tcPr>
            <w:tcW w:w="578" w:type="pct"/>
          </w:tcPr>
          <w:p w14:paraId="03BC76DF" w14:textId="77777777" w:rsidR="00FF2448" w:rsidRDefault="00FF2448" w:rsidP="00FF2448">
            <w:pPr>
              <w:cnfStyle w:val="100000000000" w:firstRow="1" w:lastRow="0" w:firstColumn="0" w:lastColumn="0" w:oddVBand="0" w:evenVBand="0" w:oddHBand="0" w:evenHBand="0" w:firstRowFirstColumn="0" w:firstRowLastColumn="0" w:lastRowFirstColumn="0" w:lastRowLastColumn="0"/>
              <w:rPr>
                <w:b w:val="0"/>
              </w:rPr>
            </w:pPr>
            <w:r>
              <w:t>Scheme s32E:</w:t>
            </w:r>
          </w:p>
          <w:p w14:paraId="50990FBE" w14:textId="7028F90A" w:rsidR="00FF2448" w:rsidRPr="00FF2448" w:rsidRDefault="00FF2448" w:rsidP="00FF2448">
            <w:pPr>
              <w:pStyle w:val="Tablerowcolumnheading"/>
              <w:keepNext/>
              <w:cnfStyle w:val="100000000000" w:firstRow="1" w:lastRow="0" w:firstColumn="0" w:lastColumn="0" w:oddVBand="0" w:evenVBand="0" w:oddHBand="0" w:evenHBand="0" w:firstRowFirstColumn="0" w:firstRowLastColumn="0" w:lastRowFirstColumn="0" w:lastRowLastColumn="0"/>
              <w:rPr>
                <w:b/>
                <w:bCs/>
                <w:szCs w:val="22"/>
              </w:rPr>
            </w:pPr>
            <w:r>
              <w:t>Suspend the slot, slot group or slot series allocated to the operator</w:t>
            </w:r>
          </w:p>
        </w:tc>
        <w:tc>
          <w:tcPr>
            <w:tcW w:w="640" w:type="pct"/>
          </w:tcPr>
          <w:p w14:paraId="6EE6DF07" w14:textId="77777777" w:rsidR="00FF2448" w:rsidRDefault="00FF2448" w:rsidP="00594BCF">
            <w:pPr>
              <w:cnfStyle w:val="100000000000" w:firstRow="1" w:lastRow="0" w:firstColumn="0" w:lastColumn="0" w:oddVBand="0" w:evenVBand="0" w:oddHBand="0" w:evenHBand="0" w:firstRowFirstColumn="0" w:firstRowLastColumn="0" w:lastRowFirstColumn="0" w:lastRowLastColumn="0"/>
              <w:rPr>
                <w:b w:val="0"/>
              </w:rPr>
            </w:pPr>
            <w:r>
              <w:t>Scheme s32F:</w:t>
            </w:r>
          </w:p>
          <w:p w14:paraId="1AFDCF4E" w14:textId="2A070D0D" w:rsidR="00FF2448" w:rsidRPr="00FF2448" w:rsidRDefault="00FF2448" w:rsidP="00832F78">
            <w:pPr>
              <w:pStyle w:val="Tablerowcolumnheadingcentred"/>
              <w:keepNext/>
              <w:jc w:val="left"/>
              <w:cnfStyle w:val="100000000000" w:firstRow="1" w:lastRow="0" w:firstColumn="0" w:lastColumn="0" w:oddVBand="0" w:evenVBand="0" w:oddHBand="0" w:evenHBand="0" w:firstRowFirstColumn="0" w:firstRowLastColumn="0" w:lastRowFirstColumn="0" w:lastRowLastColumn="0"/>
              <w:rPr>
                <w:b/>
                <w:bCs/>
                <w:sz w:val="22"/>
                <w:szCs w:val="22"/>
              </w:rPr>
            </w:pPr>
            <w:r>
              <w:t>Cancel the slot, slot group or slot series allocated to the operator.</w:t>
            </w:r>
          </w:p>
        </w:tc>
      </w:tr>
      <w:tr w:rsidR="00B95AAF" w:rsidRPr="00654F9E" w14:paraId="393A1740" w14:textId="77777777" w:rsidTr="005A7169">
        <w:trPr>
          <w:cantSplit/>
        </w:trPr>
        <w:tc>
          <w:tcPr>
            <w:cnfStyle w:val="001000000000" w:firstRow="0" w:lastRow="0" w:firstColumn="1" w:lastColumn="0" w:oddVBand="0" w:evenVBand="0" w:oddHBand="0" w:evenHBand="0" w:firstRowFirstColumn="0" w:firstRowLastColumn="0" w:lastRowFirstColumn="0" w:lastRowLastColumn="0"/>
            <w:tcW w:w="1096" w:type="pct"/>
            <w:vAlign w:val="center"/>
          </w:tcPr>
          <w:p w14:paraId="19B42E9F" w14:textId="130F5DEF" w:rsidR="00FF2448" w:rsidRPr="008E534F" w:rsidRDefault="00FF2448" w:rsidP="00FF2448">
            <w:pPr>
              <w:pStyle w:val="Tabletext"/>
            </w:pPr>
            <w:r>
              <w:rPr>
                <w:bCs/>
              </w:rPr>
              <w:t>Act s1</w:t>
            </w:r>
            <w:r w:rsidRPr="00335ABB">
              <w:rPr>
                <w:bCs/>
              </w:rPr>
              <w:t>5:</w:t>
            </w:r>
            <w:r>
              <w:rPr>
                <w:bCs/>
              </w:rPr>
              <w:t xml:space="preserve"> </w:t>
            </w:r>
            <w:r>
              <w:t>failing to use an allocated slot</w:t>
            </w:r>
          </w:p>
        </w:tc>
        <w:tc>
          <w:tcPr>
            <w:tcW w:w="578" w:type="pct"/>
            <w:vAlign w:val="center"/>
          </w:tcPr>
          <w:p w14:paraId="306D3A77" w14:textId="4F934342" w:rsidR="00FF2448" w:rsidRPr="002B15B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174</w:t>
            </w:r>
          </w:p>
        </w:tc>
        <w:tc>
          <w:tcPr>
            <w:tcW w:w="578" w:type="pct"/>
            <w:vAlign w:val="center"/>
          </w:tcPr>
          <w:p w14:paraId="6968C39D" w14:textId="5F8825F9" w:rsidR="00FF2448" w:rsidRPr="002B15B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7</w:t>
            </w:r>
          </w:p>
        </w:tc>
        <w:tc>
          <w:tcPr>
            <w:tcW w:w="679" w:type="pct"/>
            <w:vAlign w:val="center"/>
          </w:tcPr>
          <w:p w14:paraId="73255CD0" w14:textId="0525A9FC" w:rsidR="00FF2448" w:rsidRPr="002B15B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9</w:t>
            </w:r>
          </w:p>
        </w:tc>
        <w:tc>
          <w:tcPr>
            <w:tcW w:w="852" w:type="pct"/>
            <w:vAlign w:val="center"/>
          </w:tcPr>
          <w:p w14:paraId="7B667E49" w14:textId="10F6EAF0" w:rsidR="00FF2448" w:rsidRPr="002B15B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0</w:t>
            </w:r>
          </w:p>
        </w:tc>
        <w:tc>
          <w:tcPr>
            <w:tcW w:w="578" w:type="pct"/>
            <w:vAlign w:val="center"/>
          </w:tcPr>
          <w:p w14:paraId="2607B7EC" w14:textId="6B9FAA1D" w:rsidR="00FF2448" w:rsidRPr="002B15B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5</w:t>
            </w:r>
          </w:p>
        </w:tc>
        <w:tc>
          <w:tcPr>
            <w:tcW w:w="640" w:type="pct"/>
            <w:vAlign w:val="center"/>
          </w:tcPr>
          <w:p w14:paraId="1127A6E3" w14:textId="674E0BD3" w:rsidR="00FF2448" w:rsidRPr="002B15B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36</w:t>
            </w:r>
          </w:p>
        </w:tc>
      </w:tr>
      <w:tr w:rsidR="00FF2448" w:rsidRPr="00654F9E" w14:paraId="084BDDA0" w14:textId="77777777" w:rsidTr="005A7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6" w:type="pct"/>
            <w:vAlign w:val="center"/>
          </w:tcPr>
          <w:p w14:paraId="0B376B86" w14:textId="61820A88" w:rsidR="00FF2448" w:rsidRDefault="00FF2448" w:rsidP="00FF2448">
            <w:pPr>
              <w:pStyle w:val="Tabletext"/>
              <w:rPr>
                <w:bCs/>
              </w:rPr>
            </w:pPr>
            <w:r>
              <w:rPr>
                <w:bCs/>
              </w:rPr>
              <w:t>Act s16</w:t>
            </w:r>
            <w:r w:rsidRPr="00335ABB">
              <w:rPr>
                <w:bCs/>
              </w:rPr>
              <w:t>:</w:t>
            </w:r>
            <w:r>
              <w:rPr>
                <w:bCs/>
              </w:rPr>
              <w:t xml:space="preserve"> </w:t>
            </w:r>
            <w:r>
              <w:t>conducting a gate movement without an allocated slot</w:t>
            </w:r>
          </w:p>
        </w:tc>
        <w:tc>
          <w:tcPr>
            <w:tcW w:w="578" w:type="pct"/>
            <w:vAlign w:val="center"/>
          </w:tcPr>
          <w:p w14:paraId="6824A85A" w14:textId="54DAE137"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199</w:t>
            </w:r>
          </w:p>
        </w:tc>
        <w:tc>
          <w:tcPr>
            <w:tcW w:w="578" w:type="pct"/>
            <w:vAlign w:val="center"/>
          </w:tcPr>
          <w:p w14:paraId="615B7922" w14:textId="6BFEE4B4"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15</w:t>
            </w:r>
          </w:p>
        </w:tc>
        <w:tc>
          <w:tcPr>
            <w:tcW w:w="679" w:type="pct"/>
            <w:vAlign w:val="center"/>
          </w:tcPr>
          <w:p w14:paraId="0D42F189" w14:textId="2C98B28C"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1</w:t>
            </w:r>
          </w:p>
        </w:tc>
        <w:tc>
          <w:tcPr>
            <w:tcW w:w="852" w:type="pct"/>
            <w:vAlign w:val="center"/>
          </w:tcPr>
          <w:p w14:paraId="5C38C2A0" w14:textId="790660B9"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0</w:t>
            </w:r>
          </w:p>
        </w:tc>
        <w:tc>
          <w:tcPr>
            <w:tcW w:w="578" w:type="pct"/>
            <w:vAlign w:val="center"/>
          </w:tcPr>
          <w:p w14:paraId="088F5443" w14:textId="04B99E6F"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0</w:t>
            </w:r>
          </w:p>
        </w:tc>
        <w:tc>
          <w:tcPr>
            <w:tcW w:w="640" w:type="pct"/>
            <w:vAlign w:val="center"/>
          </w:tcPr>
          <w:p w14:paraId="7DA04389" w14:textId="5FFFBA4D"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0</w:t>
            </w:r>
          </w:p>
        </w:tc>
      </w:tr>
      <w:tr w:rsidR="00FF2448" w:rsidRPr="00654F9E" w14:paraId="7792B0EC" w14:textId="77777777" w:rsidTr="005A7169">
        <w:trPr>
          <w:cantSplit/>
        </w:trPr>
        <w:tc>
          <w:tcPr>
            <w:cnfStyle w:val="001000000000" w:firstRow="0" w:lastRow="0" w:firstColumn="1" w:lastColumn="0" w:oddVBand="0" w:evenVBand="0" w:oddHBand="0" w:evenHBand="0" w:firstRowFirstColumn="0" w:firstRowLastColumn="0" w:lastRowFirstColumn="0" w:lastRowLastColumn="0"/>
            <w:tcW w:w="1096" w:type="pct"/>
            <w:vAlign w:val="center"/>
          </w:tcPr>
          <w:p w14:paraId="01049132" w14:textId="519A3848" w:rsidR="00FF2448" w:rsidRDefault="00FF2448" w:rsidP="00FF2448">
            <w:pPr>
              <w:pStyle w:val="Tabletext"/>
              <w:rPr>
                <w:bCs/>
              </w:rPr>
            </w:pPr>
            <w:r>
              <w:rPr>
                <w:bCs/>
              </w:rPr>
              <w:t>Act s17</w:t>
            </w:r>
            <w:r w:rsidRPr="00335ABB">
              <w:rPr>
                <w:bCs/>
              </w:rPr>
              <w:t>:</w:t>
            </w:r>
            <w:r>
              <w:rPr>
                <w:bCs/>
              </w:rPr>
              <w:t xml:space="preserve"> </w:t>
            </w:r>
            <w:r>
              <w:t>conducting a gate movement outside the period for which the slot is allocated</w:t>
            </w:r>
          </w:p>
        </w:tc>
        <w:tc>
          <w:tcPr>
            <w:tcW w:w="578" w:type="pct"/>
            <w:vAlign w:val="center"/>
          </w:tcPr>
          <w:p w14:paraId="2742D6A0" w14:textId="246E0763"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175</w:t>
            </w:r>
          </w:p>
        </w:tc>
        <w:tc>
          <w:tcPr>
            <w:tcW w:w="578" w:type="pct"/>
            <w:vAlign w:val="center"/>
          </w:tcPr>
          <w:p w14:paraId="4A307917" w14:textId="2C1E23A7"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9</w:t>
            </w:r>
          </w:p>
        </w:tc>
        <w:tc>
          <w:tcPr>
            <w:tcW w:w="679" w:type="pct"/>
            <w:vAlign w:val="center"/>
          </w:tcPr>
          <w:p w14:paraId="40A238D7" w14:textId="1B4A8A79"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0</w:t>
            </w:r>
          </w:p>
        </w:tc>
        <w:tc>
          <w:tcPr>
            <w:tcW w:w="852" w:type="pct"/>
            <w:vAlign w:val="center"/>
          </w:tcPr>
          <w:p w14:paraId="2A6B6B38" w14:textId="15AEFE67"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60</w:t>
            </w:r>
          </w:p>
        </w:tc>
        <w:tc>
          <w:tcPr>
            <w:tcW w:w="578" w:type="pct"/>
            <w:vAlign w:val="center"/>
          </w:tcPr>
          <w:p w14:paraId="75FD1862" w14:textId="756282F7"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8</w:t>
            </w:r>
          </w:p>
        </w:tc>
        <w:tc>
          <w:tcPr>
            <w:tcW w:w="640" w:type="pct"/>
            <w:vAlign w:val="center"/>
          </w:tcPr>
          <w:p w14:paraId="099D6E07" w14:textId="5F473DDB"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13</w:t>
            </w:r>
          </w:p>
        </w:tc>
      </w:tr>
      <w:tr w:rsidR="00FF2448" w:rsidRPr="00654F9E" w14:paraId="55412426" w14:textId="77777777" w:rsidTr="005A7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6" w:type="pct"/>
            <w:vAlign w:val="center"/>
          </w:tcPr>
          <w:p w14:paraId="6CF99385" w14:textId="3F14AEEE" w:rsidR="00FF2448" w:rsidRDefault="00FF2448" w:rsidP="00FF2448">
            <w:pPr>
              <w:pStyle w:val="Tabletext"/>
              <w:rPr>
                <w:bCs/>
              </w:rPr>
            </w:pPr>
            <w:r>
              <w:rPr>
                <w:bCs/>
              </w:rPr>
              <w:t>Act s18</w:t>
            </w:r>
            <w:r w:rsidRPr="00335ABB">
              <w:rPr>
                <w:bCs/>
              </w:rPr>
              <w:t>:</w:t>
            </w:r>
            <w:r>
              <w:rPr>
                <w:bCs/>
              </w:rPr>
              <w:t xml:space="preserve"> </w:t>
            </w:r>
            <w:r>
              <w:t>conducting flight operations otherwise than in accordance with prescribed requirements for a slot</w:t>
            </w:r>
          </w:p>
        </w:tc>
        <w:tc>
          <w:tcPr>
            <w:tcW w:w="578" w:type="pct"/>
            <w:vAlign w:val="center"/>
          </w:tcPr>
          <w:p w14:paraId="3D9D4D47" w14:textId="1787B43C"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150</w:t>
            </w:r>
          </w:p>
        </w:tc>
        <w:tc>
          <w:tcPr>
            <w:tcW w:w="578" w:type="pct"/>
            <w:vAlign w:val="center"/>
          </w:tcPr>
          <w:p w14:paraId="56AA6F4A" w14:textId="4C1A181F"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2</w:t>
            </w:r>
          </w:p>
        </w:tc>
        <w:tc>
          <w:tcPr>
            <w:tcW w:w="679" w:type="pct"/>
            <w:vAlign w:val="center"/>
          </w:tcPr>
          <w:p w14:paraId="637C4332" w14:textId="201C2B30"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6</w:t>
            </w:r>
          </w:p>
        </w:tc>
        <w:tc>
          <w:tcPr>
            <w:tcW w:w="852" w:type="pct"/>
            <w:vAlign w:val="center"/>
          </w:tcPr>
          <w:p w14:paraId="312AC2C9" w14:textId="73B1A6AD"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0</w:t>
            </w:r>
          </w:p>
        </w:tc>
        <w:tc>
          <w:tcPr>
            <w:tcW w:w="578" w:type="pct"/>
            <w:vAlign w:val="center"/>
          </w:tcPr>
          <w:p w14:paraId="507F68E4" w14:textId="01543DAD"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9</w:t>
            </w:r>
          </w:p>
        </w:tc>
        <w:tc>
          <w:tcPr>
            <w:tcW w:w="640" w:type="pct"/>
            <w:vAlign w:val="center"/>
          </w:tcPr>
          <w:p w14:paraId="42E7E4CB" w14:textId="17CECF05"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3</w:t>
            </w:r>
          </w:p>
        </w:tc>
      </w:tr>
      <w:tr w:rsidR="00FF2448" w:rsidRPr="00654F9E" w14:paraId="5EBCC2ED" w14:textId="77777777" w:rsidTr="005A7169">
        <w:trPr>
          <w:cantSplit/>
        </w:trPr>
        <w:tc>
          <w:tcPr>
            <w:cnfStyle w:val="001000000000" w:firstRow="0" w:lastRow="0" w:firstColumn="1" w:lastColumn="0" w:oddVBand="0" w:evenVBand="0" w:oddHBand="0" w:evenHBand="0" w:firstRowFirstColumn="0" w:firstRowLastColumn="0" w:lastRowFirstColumn="0" w:lastRowLastColumn="0"/>
            <w:tcW w:w="1096" w:type="pct"/>
            <w:vAlign w:val="center"/>
          </w:tcPr>
          <w:p w14:paraId="4F35A838" w14:textId="0A8EDD2F" w:rsidR="00FF2448" w:rsidRDefault="00FF2448" w:rsidP="00FF2448">
            <w:pPr>
              <w:pStyle w:val="Tabletext"/>
              <w:rPr>
                <w:bCs/>
              </w:rPr>
            </w:pPr>
            <w:r>
              <w:rPr>
                <w:bCs/>
              </w:rPr>
              <w:t>Act s19</w:t>
            </w:r>
            <w:r w:rsidRPr="00335ABB">
              <w:rPr>
                <w:bCs/>
              </w:rPr>
              <w:t>:</w:t>
            </w:r>
            <w:r>
              <w:rPr>
                <w:bCs/>
              </w:rPr>
              <w:t xml:space="preserve"> </w:t>
            </w:r>
            <w:r>
              <w:t>applying for the allocation of slots without reasonably practicable plans to use the gate movements permitted by the slots</w:t>
            </w:r>
          </w:p>
        </w:tc>
        <w:tc>
          <w:tcPr>
            <w:tcW w:w="578" w:type="pct"/>
            <w:vAlign w:val="center"/>
          </w:tcPr>
          <w:p w14:paraId="58833E77" w14:textId="25C81ACF"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15</w:t>
            </w:r>
          </w:p>
        </w:tc>
        <w:tc>
          <w:tcPr>
            <w:tcW w:w="578" w:type="pct"/>
            <w:vAlign w:val="center"/>
          </w:tcPr>
          <w:p w14:paraId="3E003811" w14:textId="08B93CA9"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19</w:t>
            </w:r>
          </w:p>
        </w:tc>
        <w:tc>
          <w:tcPr>
            <w:tcW w:w="679" w:type="pct"/>
            <w:vAlign w:val="center"/>
          </w:tcPr>
          <w:p w14:paraId="2973C00A" w14:textId="4558E17B"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3</w:t>
            </w:r>
          </w:p>
        </w:tc>
        <w:tc>
          <w:tcPr>
            <w:tcW w:w="852" w:type="pct"/>
            <w:vAlign w:val="center"/>
          </w:tcPr>
          <w:p w14:paraId="589B0DA2" w14:textId="7DCF0D76"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0</w:t>
            </w:r>
          </w:p>
        </w:tc>
        <w:tc>
          <w:tcPr>
            <w:tcW w:w="578" w:type="pct"/>
            <w:vAlign w:val="center"/>
          </w:tcPr>
          <w:p w14:paraId="4F66DD10" w14:textId="0B4469A6"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9</w:t>
            </w:r>
          </w:p>
        </w:tc>
        <w:tc>
          <w:tcPr>
            <w:tcW w:w="640" w:type="pct"/>
            <w:vAlign w:val="center"/>
          </w:tcPr>
          <w:p w14:paraId="383B8727" w14:textId="5A95A97E" w:rsidR="00FF2448" w:rsidRDefault="00FF2448" w:rsidP="005A7169">
            <w:pPr>
              <w:pStyle w:val="Tabletext"/>
              <w:jc w:val="center"/>
              <w:cnfStyle w:val="000000000000" w:firstRow="0" w:lastRow="0" w:firstColumn="0" w:lastColumn="0" w:oddVBand="0" w:evenVBand="0" w:oddHBand="0" w:evenHBand="0" w:firstRowFirstColumn="0" w:firstRowLastColumn="0" w:lastRowFirstColumn="0" w:lastRowLastColumn="0"/>
            </w:pPr>
            <w:r>
              <w:t>8</w:t>
            </w:r>
          </w:p>
        </w:tc>
      </w:tr>
      <w:tr w:rsidR="00FF2448" w:rsidRPr="00654F9E" w14:paraId="1FC4C4DD" w14:textId="77777777" w:rsidTr="005A7169">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096" w:type="pct"/>
            <w:vAlign w:val="center"/>
          </w:tcPr>
          <w:p w14:paraId="459D9B73" w14:textId="5AC11126" w:rsidR="00FF2448" w:rsidRDefault="00FF2448" w:rsidP="00FF2448">
            <w:pPr>
              <w:pStyle w:val="Tabletext"/>
              <w:rPr>
                <w:bCs/>
              </w:rPr>
            </w:pPr>
            <w:r>
              <w:rPr>
                <w:bCs/>
              </w:rPr>
              <w:t>Act s20</w:t>
            </w:r>
            <w:r w:rsidRPr="00335ABB">
              <w:rPr>
                <w:bCs/>
              </w:rPr>
              <w:t>:</w:t>
            </w:r>
            <w:r>
              <w:rPr>
                <w:bCs/>
              </w:rPr>
              <w:t xml:space="preserve"> </w:t>
            </w:r>
            <w:r>
              <w:t>failing to return certain unused slots to the Slot Manager, or to transfer the slots to another operator.</w:t>
            </w:r>
          </w:p>
        </w:tc>
        <w:tc>
          <w:tcPr>
            <w:tcW w:w="578" w:type="pct"/>
            <w:vAlign w:val="center"/>
          </w:tcPr>
          <w:p w14:paraId="4A615D59" w14:textId="3BBBC7DB"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5</w:t>
            </w:r>
          </w:p>
        </w:tc>
        <w:tc>
          <w:tcPr>
            <w:tcW w:w="578" w:type="pct"/>
            <w:vAlign w:val="center"/>
          </w:tcPr>
          <w:p w14:paraId="1446FF9E" w14:textId="2DEEE95D"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7</w:t>
            </w:r>
          </w:p>
        </w:tc>
        <w:tc>
          <w:tcPr>
            <w:tcW w:w="679" w:type="pct"/>
            <w:vAlign w:val="center"/>
          </w:tcPr>
          <w:p w14:paraId="02C9138A" w14:textId="417B4F3B"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26</w:t>
            </w:r>
          </w:p>
        </w:tc>
        <w:tc>
          <w:tcPr>
            <w:tcW w:w="852" w:type="pct"/>
            <w:vAlign w:val="center"/>
          </w:tcPr>
          <w:p w14:paraId="76FF3F04" w14:textId="329B57FC"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0</w:t>
            </w:r>
          </w:p>
        </w:tc>
        <w:tc>
          <w:tcPr>
            <w:tcW w:w="578" w:type="pct"/>
            <w:vAlign w:val="center"/>
          </w:tcPr>
          <w:p w14:paraId="39216AE7" w14:textId="0C8B3850"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2</w:t>
            </w:r>
          </w:p>
        </w:tc>
        <w:tc>
          <w:tcPr>
            <w:tcW w:w="640" w:type="pct"/>
            <w:vAlign w:val="center"/>
          </w:tcPr>
          <w:p w14:paraId="520EE06E" w14:textId="53FC1FC4" w:rsidR="00FF2448" w:rsidRDefault="00FF2448" w:rsidP="005A7169">
            <w:pPr>
              <w:pStyle w:val="Tabletext"/>
              <w:jc w:val="center"/>
              <w:cnfStyle w:val="000000010000" w:firstRow="0" w:lastRow="0" w:firstColumn="0" w:lastColumn="0" w:oddVBand="0" w:evenVBand="0" w:oddHBand="0" w:evenHBand="1" w:firstRowFirstColumn="0" w:firstRowLastColumn="0" w:lastRowFirstColumn="0" w:lastRowLastColumn="0"/>
            </w:pPr>
            <w:r>
              <w:t>9</w:t>
            </w:r>
          </w:p>
        </w:tc>
      </w:tr>
    </w:tbl>
    <w:p w14:paraId="79EF17BD" w14:textId="77777777" w:rsidR="001B5810" w:rsidRDefault="001B5810" w:rsidP="001B5810"/>
    <w:sectPr w:rsidR="001B5810" w:rsidSect="00306093">
      <w:footerReference w:type="default" r:id="rId16"/>
      <w:headerReference w:type="first" r:id="rId17"/>
      <w:footerReference w:type="first" r:id="rId18"/>
      <w:pgSz w:w="16838" w:h="11906" w:orient="landscape"/>
      <w:pgMar w:top="1440" w:right="1276" w:bottom="991" w:left="1276"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0BCA5" w14:textId="77777777" w:rsidR="00F37458" w:rsidRDefault="00F37458" w:rsidP="00FC413F">
      <w:pPr>
        <w:spacing w:after="0"/>
      </w:pPr>
      <w:r>
        <w:separator/>
      </w:r>
    </w:p>
  </w:endnote>
  <w:endnote w:type="continuationSeparator" w:id="0">
    <w:p w14:paraId="525BA901" w14:textId="77777777" w:rsidR="00F37458" w:rsidRDefault="00F37458" w:rsidP="00FC41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font>
  <w:font w:name="Segoe UI Semibold">
    <w:panose1 w:val="020B07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Times New Roman (Body CS)">
    <w:altName w:val="Times New Roman"/>
    <w:charset w:val="00"/>
    <w:family w:val="roman"/>
    <w:pitch w:val="default"/>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B2A48" w14:textId="5438208A" w:rsidR="00D53737" w:rsidRDefault="00D53737">
    <w:pPr>
      <w:pStyle w:val="Footer"/>
    </w:pPr>
    <w:r>
      <w:rPr>
        <w:noProof/>
      </w:rPr>
      <mc:AlternateContent>
        <mc:Choice Requires="wps">
          <w:drawing>
            <wp:anchor distT="0" distB="0" distL="0" distR="0" simplePos="0" relativeHeight="251658241" behindDoc="0" locked="0" layoutInCell="1" allowOverlap="1" wp14:anchorId="08452A73" wp14:editId="5077677B">
              <wp:simplePos x="635" y="635"/>
              <wp:positionH relativeFrom="page">
                <wp:align>center</wp:align>
              </wp:positionH>
              <wp:positionV relativeFrom="page">
                <wp:align>bottom</wp:align>
              </wp:positionV>
              <wp:extent cx="726440" cy="407670"/>
              <wp:effectExtent l="0" t="0" r="16510" b="0"/>
              <wp:wrapNone/>
              <wp:docPr id="177730093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452A73" id="_x0000_t202" coordsize="21600,21600" o:spt="202" path="m,l,21600r21600,l21600,xe">
              <v:stroke joinstyle="miter"/>
              <v:path gradientshapeok="t" o:connecttype="rect"/>
            </v:shapetype>
            <v:shape id="Text Box 5" o:spid="_x0000_s1027" type="#_x0000_t202" alt="OFFICIAL" style="position:absolute;margin-left:0;margin-top:0;width:57.2pt;height:32.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" filled="f" stroked="f">
              <v:textbox style="mso-fit-shape-to-text:t" inset="0,0,0,15pt">
                <w:txbxContent>
                  <w:p w14:paraId="11D2E228" w14:textId="623AE328"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9F80" w14:textId="1D5A71B9" w:rsidR="00C422C9" w:rsidRDefault="00C422C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54785">
      <w:rPr>
        <w:rFonts w:cs="Segoe UI"/>
        <w:noProof/>
        <w:szCs w:val="18"/>
      </w:rPr>
      <w:t>Guidance to the Slot Manager—Publication of Information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0248C26D" w14:textId="77777777" w:rsidR="00C422C9" w:rsidRPr="00FC413F" w:rsidRDefault="00C422C9" w:rsidP="00953CCD">
    <w:pPr>
      <w:pStyle w:val="Footer"/>
      <w:tabs>
        <w:tab w:val="clear" w:pos="4513"/>
        <w:tab w:val="clear" w:pos="9026"/>
      </w:tabs>
      <w:ind w:left="-1418"/>
      <w:rPr>
        <w:rFonts w:cs="Segoe UI"/>
        <w:szCs w:val="18"/>
      </w:rPr>
    </w:pPr>
    <w:r>
      <w:rPr>
        <w:noProof/>
        <w:lang w:eastAsia="en-AU"/>
      </w:rPr>
      <w:drawing>
        <wp:inline distT="0" distB="0" distL="0" distR="0" wp14:anchorId="3B988DCC" wp14:editId="66848E2B">
          <wp:extent cx="7559650" cy="150641"/>
          <wp:effectExtent l="0" t="0" r="0" b="1905"/>
          <wp:docPr id="1" name="Picture 1"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2509" cy="15089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3633" w14:textId="108F25A1" w:rsidR="00C422C9" w:rsidRDefault="00C422C9"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54785">
      <w:rPr>
        <w:rFonts w:cs="Segoe UI"/>
        <w:noProof/>
        <w:szCs w:val="18"/>
      </w:rPr>
      <w:t>Guidance to the Slot Manager—Publication of Information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64B0FB2C" w14:textId="77777777" w:rsidR="00C422C9" w:rsidRPr="00FC413F" w:rsidRDefault="00C422C9" w:rsidP="00113A03">
    <w:pPr>
      <w:pStyle w:val="Footer"/>
      <w:tabs>
        <w:tab w:val="clear" w:pos="4513"/>
        <w:tab w:val="clear" w:pos="9026"/>
      </w:tabs>
      <w:ind w:left="-1418"/>
      <w:rPr>
        <w:rFonts w:cs="Segoe UI"/>
        <w:szCs w:val="18"/>
      </w:rPr>
    </w:pPr>
    <w:r>
      <w:rPr>
        <w:noProof/>
        <w:lang w:eastAsia="en-AU"/>
      </w:rPr>
      <w:drawing>
        <wp:inline distT="0" distB="0" distL="0" distR="0" wp14:anchorId="415E3A73" wp14:editId="137CA2BA">
          <wp:extent cx="7560000" cy="150515"/>
          <wp:effectExtent l="0" t="0" r="3175"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50515"/>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2A1E" w14:textId="18B54A16" w:rsidR="005A7169" w:rsidRDefault="005A7169" w:rsidP="00953CCD">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54785">
      <w:rPr>
        <w:rFonts w:cs="Segoe UI"/>
        <w:noProof/>
        <w:szCs w:val="18"/>
      </w:rPr>
      <w:t>Guidance to the Slot Manager—Publication of Information</w:t>
    </w:r>
    <w:r>
      <w:rPr>
        <w:rFonts w:cs="Segoe UI"/>
        <w:noProof/>
        <w:szCs w:val="18"/>
      </w:rPr>
      <w:fldChar w:fldCharType="end"/>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2</w:t>
    </w:r>
    <w:r>
      <w:rPr>
        <w:rFonts w:cs="Segoe UI"/>
        <w:szCs w:val="18"/>
      </w:rPr>
      <w:fldChar w:fldCharType="end"/>
    </w:r>
  </w:p>
  <w:p w14:paraId="2D728C47" w14:textId="77777777" w:rsidR="005A7169" w:rsidRPr="00FC413F" w:rsidRDefault="005A7169" w:rsidP="00953CCD">
    <w:pPr>
      <w:pStyle w:val="Footer"/>
      <w:tabs>
        <w:tab w:val="clear" w:pos="4513"/>
        <w:tab w:val="clear" w:pos="9026"/>
      </w:tabs>
      <w:ind w:left="-1418"/>
      <w:rPr>
        <w:rFonts w:cs="Segoe UI"/>
        <w:szCs w:val="18"/>
      </w:rPr>
    </w:pPr>
    <w:r>
      <w:rPr>
        <w:noProof/>
        <w:lang w:eastAsia="en-AU"/>
      </w:rPr>
      <w:drawing>
        <wp:inline distT="0" distB="0" distL="0" distR="0" wp14:anchorId="1E7C4F4B" wp14:editId="1C2C1C5E">
          <wp:extent cx="10736580" cy="150488"/>
          <wp:effectExtent l="0" t="0" r="0" b="2540"/>
          <wp:docPr id="390096262" name="Picture 390096262"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11595951" cy="162533"/>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0AE90" w14:textId="75226B29" w:rsidR="005A7169" w:rsidRDefault="005A7169" w:rsidP="008B7158">
    <w:pPr>
      <w:pStyle w:val="Footer"/>
      <w:tabs>
        <w:tab w:val="clear" w:pos="4513"/>
        <w:tab w:val="clear" w:pos="9026"/>
        <w:tab w:val="right" w:pos="9475"/>
      </w:tabs>
      <w:spacing w:after="120"/>
      <w:rPr>
        <w:rFonts w:cs="Segoe UI"/>
        <w:noProof/>
        <w:szCs w:val="18"/>
      </w:rPr>
    </w:pPr>
    <w:r>
      <w:rPr>
        <w:rFonts w:cs="Segoe UI"/>
        <w:noProof/>
        <w:szCs w:val="18"/>
      </w:rPr>
      <w:fldChar w:fldCharType="begin"/>
    </w:r>
    <w:r>
      <w:rPr>
        <w:rFonts w:cs="Segoe UI"/>
        <w:noProof/>
        <w:szCs w:val="18"/>
      </w:rPr>
      <w:instrText xml:space="preserve"> STYLEREF  "Heading 1"  \* MERGEFORMAT </w:instrText>
    </w:r>
    <w:r>
      <w:rPr>
        <w:rFonts w:cs="Segoe UI"/>
        <w:noProof/>
        <w:szCs w:val="18"/>
      </w:rPr>
      <w:fldChar w:fldCharType="separate"/>
    </w:r>
    <w:r w:rsidR="00054785">
      <w:rPr>
        <w:rFonts w:cs="Segoe UI"/>
        <w:noProof/>
        <w:szCs w:val="18"/>
      </w:rPr>
      <w:t>Guidance to the Slot Manager—Publication of Information</w:t>
    </w:r>
    <w:r>
      <w:rPr>
        <w:rFonts w:cs="Segoe UI"/>
        <w:noProof/>
        <w:szCs w:val="18"/>
      </w:rPr>
      <w:fldChar w:fldCharType="end"/>
    </w:r>
    <w:r w:rsidR="006E5E8B">
      <w:rPr>
        <w:rFonts w:cs="Segoe UI"/>
        <w:noProof/>
        <w:szCs w:val="18"/>
      </w:rPr>
      <w:tab/>
    </w:r>
    <w:r w:rsidR="006E5E8B">
      <w:rPr>
        <w:rFonts w:cs="Segoe UI"/>
        <w:noProof/>
        <w:szCs w:val="18"/>
      </w:rPr>
      <w:tab/>
    </w:r>
    <w:r w:rsidR="006E5E8B">
      <w:rPr>
        <w:rFonts w:cs="Segoe UI"/>
        <w:noProof/>
        <w:szCs w:val="18"/>
      </w:rPr>
      <w:tab/>
    </w:r>
    <w:r w:rsidR="006E5E8B">
      <w:rPr>
        <w:rFonts w:cs="Segoe UI"/>
        <w:noProof/>
        <w:szCs w:val="18"/>
      </w:rPr>
      <w:tab/>
    </w:r>
    <w:r w:rsidR="006E5E8B">
      <w:rPr>
        <w:rFonts w:cs="Segoe UI"/>
        <w:noProof/>
        <w:szCs w:val="18"/>
      </w:rPr>
      <w:tab/>
    </w:r>
    <w:r w:rsidR="006E5E8B">
      <w:rPr>
        <w:rFonts w:cs="Segoe UI"/>
        <w:noProof/>
        <w:szCs w:val="18"/>
      </w:rPr>
      <w:tab/>
    </w:r>
    <w:r w:rsidR="006E5E8B">
      <w:rPr>
        <w:rFonts w:cs="Segoe UI"/>
        <w:noProof/>
        <w:szCs w:val="18"/>
      </w:rPr>
      <w:tab/>
    </w:r>
    <w:r w:rsidR="006E5E8B">
      <w:rPr>
        <w:rFonts w:cs="Segoe UI"/>
        <w:noProof/>
        <w:szCs w:val="18"/>
      </w:rPr>
      <w:tab/>
    </w:r>
    <w:r w:rsidR="006E5E8B">
      <w:rPr>
        <w:rFonts w:cs="Segoe UI"/>
        <w:noProof/>
        <w:szCs w:val="18"/>
      </w:rPr>
      <w:tab/>
    </w:r>
    <w:r>
      <w:rPr>
        <w:rFonts w:cs="Segoe UI"/>
        <w:szCs w:val="18"/>
      </w:rPr>
      <w:tab/>
    </w:r>
    <w:r>
      <w:rPr>
        <w:rFonts w:cs="Segoe UI"/>
        <w:szCs w:val="18"/>
      </w:rPr>
      <w:fldChar w:fldCharType="begin"/>
    </w:r>
    <w:r>
      <w:rPr>
        <w:rFonts w:cs="Segoe UI"/>
        <w:szCs w:val="18"/>
      </w:rPr>
      <w:instrText xml:space="preserve"> PAGE  \* Arabic  \* MERGEFORMAT </w:instrText>
    </w:r>
    <w:r>
      <w:rPr>
        <w:rFonts w:cs="Segoe UI"/>
        <w:szCs w:val="18"/>
      </w:rPr>
      <w:fldChar w:fldCharType="separate"/>
    </w:r>
    <w:r>
      <w:rPr>
        <w:rFonts w:cs="Segoe UI"/>
        <w:szCs w:val="18"/>
      </w:rPr>
      <w:t>3</w:t>
    </w:r>
    <w:r>
      <w:rPr>
        <w:rFonts w:cs="Segoe UI"/>
        <w:szCs w:val="18"/>
      </w:rPr>
      <w:fldChar w:fldCharType="end"/>
    </w:r>
  </w:p>
  <w:p w14:paraId="0F65935F" w14:textId="77777777" w:rsidR="005A7169" w:rsidRPr="00FC413F" w:rsidRDefault="005A7169" w:rsidP="00113A03">
    <w:pPr>
      <w:pStyle w:val="Footer"/>
      <w:tabs>
        <w:tab w:val="clear" w:pos="4513"/>
        <w:tab w:val="clear" w:pos="9026"/>
      </w:tabs>
      <w:ind w:left="-1418"/>
      <w:rPr>
        <w:rFonts w:cs="Segoe UI"/>
        <w:szCs w:val="18"/>
      </w:rPr>
    </w:pPr>
    <w:r>
      <w:rPr>
        <w:noProof/>
        <w:lang w:eastAsia="en-AU"/>
      </w:rPr>
      <w:drawing>
        <wp:inline distT="0" distB="0" distL="0" distR="0" wp14:anchorId="46D35ACF" wp14:editId="24B76C24">
          <wp:extent cx="11258390" cy="151200"/>
          <wp:effectExtent l="0" t="0" r="635" b="1270"/>
          <wp:docPr id="5837540" name="Picture 5837540" descr="background" title="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Template-Long_BG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58390" cy="151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D24D" w14:textId="77777777" w:rsidR="00F37458" w:rsidRDefault="00F37458" w:rsidP="00FC413F">
      <w:pPr>
        <w:spacing w:after="0"/>
      </w:pPr>
      <w:r>
        <w:separator/>
      </w:r>
    </w:p>
  </w:footnote>
  <w:footnote w:type="continuationSeparator" w:id="0">
    <w:p w14:paraId="16BC95DE" w14:textId="77777777" w:rsidR="00F37458" w:rsidRDefault="00F37458" w:rsidP="00FC413F">
      <w:pPr>
        <w:spacing w:after="0"/>
      </w:pPr>
      <w:r>
        <w:continuationSeparator/>
      </w:r>
    </w:p>
  </w:footnote>
  <w:footnote w:id="1">
    <w:p w14:paraId="0EB72C2B" w14:textId="77777777" w:rsidR="00E9413F" w:rsidRPr="002C6F04" w:rsidRDefault="00E9413F" w:rsidP="00E9413F">
      <w:pPr>
        <w:pStyle w:val="FootnoteText"/>
        <w:rPr>
          <w:sz w:val="16"/>
          <w:szCs w:val="16"/>
        </w:rPr>
      </w:pPr>
      <w:r w:rsidRPr="002C6F04">
        <w:rPr>
          <w:sz w:val="16"/>
          <w:szCs w:val="16"/>
        </w:rPr>
        <w:footnoteRef/>
      </w:r>
      <w:r w:rsidRPr="002C6F04">
        <w:rPr>
          <w:sz w:val="16"/>
          <w:szCs w:val="16"/>
        </w:rPr>
        <w:t xml:space="preserve"> The four publication periods are defined at subsection 47(3) of the Regulations, with the periods starting the last Sunday in March, the second Sunday in July, the last Sunday in October and the second Saturday in January respectively.</w:t>
      </w:r>
    </w:p>
  </w:footnote>
  <w:footnote w:id="2">
    <w:p w14:paraId="24261DA7" w14:textId="77777777" w:rsidR="00E9413F" w:rsidRDefault="00E9413F" w:rsidP="00E9413F">
      <w:pPr>
        <w:pStyle w:val="FootnoteText"/>
      </w:pPr>
      <w:r w:rsidRPr="00646810">
        <w:rPr>
          <w:rStyle w:val="FootnoteReference"/>
        </w:rPr>
        <w:footnoteRef/>
      </w:r>
      <w:r w:rsidRPr="00646810">
        <w:t xml:space="preserve"> The Slot Manager may face civil penalties if it uses or discloses “protected information”, which includes commercially sensitive information as per section 70G of the Act. Commercially sensitive information is information the disclosure of which could reasonably be expected to substantially prejudice the commercial interests of a person.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DA3ED" w14:textId="695C9193" w:rsidR="00D53737" w:rsidRDefault="00D53737">
    <w:pPr>
      <w:pStyle w:val="Header"/>
    </w:pPr>
    <w:r>
      <w:rPr>
        <w:noProof/>
      </w:rPr>
      <mc:AlternateContent>
        <mc:Choice Requires="wps">
          <w:drawing>
            <wp:anchor distT="0" distB="0" distL="0" distR="0" simplePos="0" relativeHeight="251658240" behindDoc="0" locked="0" layoutInCell="1" allowOverlap="1" wp14:anchorId="1F4998E2" wp14:editId="2F034E68">
              <wp:simplePos x="635" y="635"/>
              <wp:positionH relativeFrom="page">
                <wp:align>center</wp:align>
              </wp:positionH>
              <wp:positionV relativeFrom="page">
                <wp:align>top</wp:align>
              </wp:positionV>
              <wp:extent cx="726440" cy="407670"/>
              <wp:effectExtent l="0" t="0" r="16510" b="11430"/>
              <wp:wrapNone/>
              <wp:docPr id="15523645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07670"/>
                      </a:xfrm>
                      <a:prstGeom prst="rect">
                        <a:avLst/>
                      </a:prstGeom>
                      <a:noFill/>
                      <a:ln>
                        <a:noFill/>
                      </a:ln>
                    </wps:spPr>
                    <wps:txbx>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4998E2" id="_x0000_t202" coordsize="21600,21600" o:spt="202" path="m,l,21600r21600,l21600,xe">
              <v:stroke joinstyle="miter"/>
              <v:path gradientshapeok="t" o:connecttype="rect"/>
            </v:shapetype>
            <v:shape id="Text Box 2" o:spid="_x0000_s1026" type="#_x0000_t202" alt="OFFICIAL" style="position:absolute;margin-left:0;margin-top:0;width:57.2pt;height:32.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" filled="f" stroked="f">
              <v:textbox style="mso-fit-shape-to-text:t" inset="0,15pt,0,0">
                <w:txbxContent>
                  <w:p w14:paraId="632BEF9A" w14:textId="2793D7B7" w:rsidR="00D53737" w:rsidRPr="00D53737" w:rsidRDefault="00D53737" w:rsidP="00D53737">
                    <w:pPr>
                      <w:spacing w:after="0"/>
                      <w:rPr>
                        <w:rFonts w:ascii="Aptos" w:eastAsia="Aptos" w:hAnsi="Aptos" w:cs="Aptos"/>
                        <w:noProof/>
                        <w:color w:val="FF0000"/>
                        <w:sz w:val="28"/>
                        <w:szCs w:val="28"/>
                      </w:rPr>
                    </w:pPr>
                    <w:r w:rsidRPr="00D53737">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3240" w14:textId="2ACB06AA" w:rsidR="00C422C9" w:rsidRPr="00305CB1" w:rsidRDefault="00C422C9" w:rsidP="00D56936">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054785">
      <w:rPr>
        <w:rFonts w:cs="Segoe UI Light"/>
        <w:noProof/>
        <w:color w:val="001C40"/>
        <w:sz w:val="20"/>
        <w:szCs w:val="20"/>
      </w:rPr>
      <w:t>Guidance on the information to be published by the Slot Manager</w:t>
    </w:r>
    <w:r w:rsidRPr="00305CB1">
      <w:rPr>
        <w:rFonts w:cs="Segoe UI Light"/>
        <w:color w:val="001C4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B049" w14:textId="09E8DCD6" w:rsidR="00C47C6E" w:rsidRPr="00305CB1" w:rsidRDefault="00C47C6E" w:rsidP="00C47C6E">
    <w:pPr>
      <w:pStyle w:val="Header"/>
      <w:tabs>
        <w:tab w:val="clear" w:pos="4678"/>
      </w:tabs>
      <w:jc w:val="right"/>
      <w:rPr>
        <w:rFonts w:cs="Segoe UI Light"/>
        <w:color w:val="001C40"/>
        <w:sz w:val="20"/>
        <w:szCs w:val="20"/>
      </w:rPr>
    </w:pPr>
    <w:r w:rsidRPr="00305CB1">
      <w:rPr>
        <w:rFonts w:cs="Segoe UI Light"/>
        <w:color w:val="001C40"/>
        <w:sz w:val="20"/>
        <w:szCs w:val="20"/>
      </w:rPr>
      <w:fldChar w:fldCharType="begin"/>
    </w:r>
    <w:r w:rsidRPr="00305CB1">
      <w:rPr>
        <w:rFonts w:cs="Segoe UI Light"/>
        <w:color w:val="001C40"/>
        <w:sz w:val="20"/>
        <w:szCs w:val="20"/>
      </w:rPr>
      <w:instrText xml:space="preserve"> STYLEREF  "Heading 2"  \* MERGEFORMAT </w:instrText>
    </w:r>
    <w:r w:rsidRPr="00305CB1">
      <w:rPr>
        <w:rFonts w:cs="Segoe UI Light"/>
        <w:color w:val="001C40"/>
        <w:sz w:val="20"/>
        <w:szCs w:val="20"/>
      </w:rPr>
      <w:fldChar w:fldCharType="separate"/>
    </w:r>
    <w:r w:rsidR="00054785">
      <w:rPr>
        <w:rFonts w:cs="Segoe UI Light"/>
        <w:noProof/>
        <w:color w:val="001C40"/>
        <w:sz w:val="20"/>
        <w:szCs w:val="20"/>
      </w:rPr>
      <w:t>Appendix B—Example tables of information</w:t>
    </w:r>
    <w:r w:rsidRPr="00305CB1">
      <w:rPr>
        <w:rFonts w:cs="Segoe UI Light"/>
        <w:color w:val="001C40"/>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DA500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84A90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DAC7B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DDE0D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352904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80D8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2C6C8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BAD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466F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694C1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37613"/>
    <w:multiLevelType w:val="hybridMultilevel"/>
    <w:tmpl w:val="2B48B512"/>
    <w:lvl w:ilvl="0" w:tplc="69AC7252">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E92756"/>
    <w:multiLevelType w:val="hybridMultilevel"/>
    <w:tmpl w:val="513A850A"/>
    <w:lvl w:ilvl="0" w:tplc="5112A3F8">
      <w:start w:val="1"/>
      <w:numFmt w:val="bullet"/>
      <w:pStyle w:val="Listparagraphbullets"/>
      <w:lvlText w:val=""/>
      <w:lvlJc w:val="left"/>
      <w:pPr>
        <w:ind w:left="360"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B363A1"/>
    <w:multiLevelType w:val="multilevel"/>
    <w:tmpl w:val="E84EAB92"/>
    <w:lvl w:ilvl="0">
      <w:start w:val="1"/>
      <w:numFmt w:val="lowerLetter"/>
      <w:lvlText w:val="%1)"/>
      <w:lvlJc w:val="left"/>
      <w:pPr>
        <w:ind w:left="568" w:hanging="284"/>
      </w:pPr>
      <w:rPr>
        <w:rFonts w:hint="default"/>
      </w:rPr>
    </w:lvl>
    <w:lvl w:ilvl="1">
      <w:start w:val="1"/>
      <w:numFmt w:val="lowerLetter"/>
      <w:lvlText w:val="%2."/>
      <w:lvlJc w:val="left"/>
      <w:pPr>
        <w:ind w:left="852" w:hanging="284"/>
      </w:pPr>
      <w:rPr>
        <w:rFonts w:hint="default"/>
      </w:rPr>
    </w:lvl>
    <w:lvl w:ilvl="2">
      <w:start w:val="1"/>
      <w:numFmt w:val="lowerRoman"/>
      <w:lvlText w:val="%3."/>
      <w:lvlJc w:val="left"/>
      <w:pPr>
        <w:ind w:left="1136" w:hanging="284"/>
      </w:pPr>
      <w:rPr>
        <w:rFonts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5" w:hanging="281"/>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2556" w:hanging="284"/>
      </w:pPr>
      <w:rPr>
        <w:rFonts w:hint="default"/>
      </w:rPr>
    </w:lvl>
    <w:lvl w:ilvl="8">
      <w:start w:val="1"/>
      <w:numFmt w:val="lowerRoman"/>
      <w:lvlText w:val="%9)"/>
      <w:lvlJc w:val="left"/>
      <w:pPr>
        <w:ind w:left="2840" w:hanging="284"/>
      </w:pPr>
      <w:rPr>
        <w:rFonts w:hint="default"/>
      </w:rPr>
    </w:lvl>
  </w:abstractNum>
  <w:abstractNum w:abstractNumId="14" w15:restartNumberingAfterBreak="0">
    <w:nsid w:val="3AA51938"/>
    <w:multiLevelType w:val="multilevel"/>
    <w:tmpl w:val="298C34E4"/>
    <w:numStyleLink w:val="AppendixNumbers"/>
  </w:abstractNum>
  <w:abstractNum w:abstractNumId="15"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4C7B3DE5"/>
    <w:multiLevelType w:val="hybridMultilevel"/>
    <w:tmpl w:val="FFB2E57C"/>
    <w:lvl w:ilvl="0" w:tplc="888CE0AC">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827E7D"/>
    <w:multiLevelType w:val="hybridMultilevel"/>
    <w:tmpl w:val="06320E9E"/>
    <w:lvl w:ilvl="0" w:tplc="186E9588">
      <w:start w:val="1"/>
      <w:numFmt w:val="bullet"/>
      <w:pStyle w:val="Listparagraphbulletssecondlevel"/>
      <w:lvlText w:val=""/>
      <w:lvlJc w:val="left"/>
      <w:pPr>
        <w:ind w:left="927" w:hanging="360"/>
      </w:pPr>
      <w:rPr>
        <w:rFonts w:ascii="Symbol" w:hAnsi="Symbol" w:hint="default"/>
        <w:caps w:val="0"/>
        <w:strike w:val="0"/>
        <w:dstrike w:val="0"/>
        <w:vanish w:val="0"/>
        <w:color w:val="auto"/>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005737"/>
    <w:multiLevelType w:val="hybridMultilevel"/>
    <w:tmpl w:val="1CBA64EE"/>
    <w:lvl w:ilvl="0" w:tplc="ED4ADF66">
      <w:start w:val="1"/>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9" w15:restartNumberingAfterBreak="0">
    <w:nsid w:val="7E554E84"/>
    <w:multiLevelType w:val="multilevel"/>
    <w:tmpl w:val="A5F2DDB2"/>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35676401">
    <w:abstractNumId w:val="17"/>
  </w:num>
  <w:num w:numId="2" w16cid:durableId="168372359">
    <w:abstractNumId w:val="11"/>
  </w:num>
  <w:num w:numId="3" w16cid:durableId="487599509">
    <w:abstractNumId w:val="16"/>
  </w:num>
  <w:num w:numId="4" w16cid:durableId="978801605">
    <w:abstractNumId w:val="9"/>
  </w:num>
  <w:num w:numId="5" w16cid:durableId="1714571370">
    <w:abstractNumId w:val="7"/>
  </w:num>
  <w:num w:numId="6" w16cid:durableId="1191601962">
    <w:abstractNumId w:val="6"/>
  </w:num>
  <w:num w:numId="7" w16cid:durableId="1222449226">
    <w:abstractNumId w:val="5"/>
  </w:num>
  <w:num w:numId="8" w16cid:durableId="1954946135">
    <w:abstractNumId w:val="4"/>
  </w:num>
  <w:num w:numId="9" w16cid:durableId="1738820539">
    <w:abstractNumId w:val="8"/>
  </w:num>
  <w:num w:numId="10" w16cid:durableId="356322473">
    <w:abstractNumId w:val="3"/>
  </w:num>
  <w:num w:numId="11" w16cid:durableId="1964071110">
    <w:abstractNumId w:val="2"/>
  </w:num>
  <w:num w:numId="12" w16cid:durableId="27806648">
    <w:abstractNumId w:val="1"/>
  </w:num>
  <w:num w:numId="13" w16cid:durableId="1567105061">
    <w:abstractNumId w:val="0"/>
  </w:num>
  <w:num w:numId="14" w16cid:durableId="939947619">
    <w:abstractNumId w:val="19"/>
  </w:num>
  <w:num w:numId="15" w16cid:durableId="4547119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8095614">
    <w:abstractNumId w:val="10"/>
  </w:num>
  <w:num w:numId="17" w16cid:durableId="441806985">
    <w:abstractNumId w:val="10"/>
    <w:lvlOverride w:ilvl="0">
      <w:startOverride w:val="1"/>
    </w:lvlOverride>
  </w:num>
  <w:num w:numId="18" w16cid:durableId="1284114473">
    <w:abstractNumId w:val="15"/>
  </w:num>
  <w:num w:numId="19" w16cid:durableId="1731490465">
    <w:abstractNumId w:val="13"/>
  </w:num>
  <w:num w:numId="20" w16cid:durableId="958606875">
    <w:abstractNumId w:val="18"/>
  </w:num>
  <w:num w:numId="21" w16cid:durableId="2031181755">
    <w:abstractNumId w:val="12"/>
  </w:num>
  <w:num w:numId="22" w16cid:durableId="3974366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156"/>
    <w:rsid w:val="0000270B"/>
    <w:rsid w:val="00012D3A"/>
    <w:rsid w:val="00026CEE"/>
    <w:rsid w:val="00034C15"/>
    <w:rsid w:val="0003502E"/>
    <w:rsid w:val="000522EB"/>
    <w:rsid w:val="00054785"/>
    <w:rsid w:val="00054EF4"/>
    <w:rsid w:val="00072195"/>
    <w:rsid w:val="000740FB"/>
    <w:rsid w:val="00090C84"/>
    <w:rsid w:val="00090E62"/>
    <w:rsid w:val="000A77D1"/>
    <w:rsid w:val="000B1E86"/>
    <w:rsid w:val="000B50AB"/>
    <w:rsid w:val="000B6FF7"/>
    <w:rsid w:val="000C0244"/>
    <w:rsid w:val="000D29F4"/>
    <w:rsid w:val="000D4B3B"/>
    <w:rsid w:val="000E216C"/>
    <w:rsid w:val="000E6BC3"/>
    <w:rsid w:val="000F0726"/>
    <w:rsid w:val="000F66A3"/>
    <w:rsid w:val="00105DA4"/>
    <w:rsid w:val="00113A03"/>
    <w:rsid w:val="00133A45"/>
    <w:rsid w:val="0014278C"/>
    <w:rsid w:val="00142BF5"/>
    <w:rsid w:val="00143894"/>
    <w:rsid w:val="001731FF"/>
    <w:rsid w:val="00190A0C"/>
    <w:rsid w:val="001B5810"/>
    <w:rsid w:val="001D583B"/>
    <w:rsid w:val="001D6D6B"/>
    <w:rsid w:val="001E4471"/>
    <w:rsid w:val="001E7AC4"/>
    <w:rsid w:val="001F2321"/>
    <w:rsid w:val="001F49F4"/>
    <w:rsid w:val="00204A64"/>
    <w:rsid w:val="002051B4"/>
    <w:rsid w:val="00217C11"/>
    <w:rsid w:val="00224756"/>
    <w:rsid w:val="00236F1B"/>
    <w:rsid w:val="00247ED9"/>
    <w:rsid w:val="002527A4"/>
    <w:rsid w:val="00252A7B"/>
    <w:rsid w:val="00261FFA"/>
    <w:rsid w:val="00267F8D"/>
    <w:rsid w:val="00272982"/>
    <w:rsid w:val="00280F0C"/>
    <w:rsid w:val="00287134"/>
    <w:rsid w:val="00287C7E"/>
    <w:rsid w:val="0029453A"/>
    <w:rsid w:val="002A5AB5"/>
    <w:rsid w:val="002B15B8"/>
    <w:rsid w:val="002E7717"/>
    <w:rsid w:val="002F1A23"/>
    <w:rsid w:val="002F58BA"/>
    <w:rsid w:val="00300077"/>
    <w:rsid w:val="00305CB1"/>
    <w:rsid w:val="00306093"/>
    <w:rsid w:val="00310148"/>
    <w:rsid w:val="00323710"/>
    <w:rsid w:val="003273FA"/>
    <w:rsid w:val="00330772"/>
    <w:rsid w:val="00342348"/>
    <w:rsid w:val="003508A8"/>
    <w:rsid w:val="00355B90"/>
    <w:rsid w:val="00357C88"/>
    <w:rsid w:val="00381BDA"/>
    <w:rsid w:val="003A11A7"/>
    <w:rsid w:val="003A38B0"/>
    <w:rsid w:val="003B6D01"/>
    <w:rsid w:val="003C575A"/>
    <w:rsid w:val="003D71C5"/>
    <w:rsid w:val="003F2271"/>
    <w:rsid w:val="003F3CB7"/>
    <w:rsid w:val="00416734"/>
    <w:rsid w:val="00422B5D"/>
    <w:rsid w:val="00422E86"/>
    <w:rsid w:val="0042621F"/>
    <w:rsid w:val="00445017"/>
    <w:rsid w:val="00446585"/>
    <w:rsid w:val="004535D2"/>
    <w:rsid w:val="0047220E"/>
    <w:rsid w:val="004778F1"/>
    <w:rsid w:val="00485524"/>
    <w:rsid w:val="00491BC5"/>
    <w:rsid w:val="004A3207"/>
    <w:rsid w:val="004B09B8"/>
    <w:rsid w:val="004F6F3C"/>
    <w:rsid w:val="00500A65"/>
    <w:rsid w:val="00513182"/>
    <w:rsid w:val="005413E7"/>
    <w:rsid w:val="00543D99"/>
    <w:rsid w:val="00560B10"/>
    <w:rsid w:val="00592D23"/>
    <w:rsid w:val="00594BCF"/>
    <w:rsid w:val="0059569E"/>
    <w:rsid w:val="005970E3"/>
    <w:rsid w:val="005A7169"/>
    <w:rsid w:val="005A7813"/>
    <w:rsid w:val="005B5FFE"/>
    <w:rsid w:val="005C0459"/>
    <w:rsid w:val="005C37D2"/>
    <w:rsid w:val="005C6197"/>
    <w:rsid w:val="005D038B"/>
    <w:rsid w:val="005E55BD"/>
    <w:rsid w:val="00610225"/>
    <w:rsid w:val="006118FD"/>
    <w:rsid w:val="006142A5"/>
    <w:rsid w:val="00614766"/>
    <w:rsid w:val="00624335"/>
    <w:rsid w:val="00630D43"/>
    <w:rsid w:val="00632760"/>
    <w:rsid w:val="0063485E"/>
    <w:rsid w:val="006452B1"/>
    <w:rsid w:val="006542FA"/>
    <w:rsid w:val="00654657"/>
    <w:rsid w:val="00654F9E"/>
    <w:rsid w:val="00656EB5"/>
    <w:rsid w:val="00680E8E"/>
    <w:rsid w:val="00691FA2"/>
    <w:rsid w:val="006C31D3"/>
    <w:rsid w:val="006C3B2A"/>
    <w:rsid w:val="006D43C7"/>
    <w:rsid w:val="006D73F9"/>
    <w:rsid w:val="006E5E8B"/>
    <w:rsid w:val="006F0F60"/>
    <w:rsid w:val="006F2D75"/>
    <w:rsid w:val="00714E32"/>
    <w:rsid w:val="00731351"/>
    <w:rsid w:val="00744726"/>
    <w:rsid w:val="00744CD2"/>
    <w:rsid w:val="00754169"/>
    <w:rsid w:val="00756FE5"/>
    <w:rsid w:val="00772C27"/>
    <w:rsid w:val="007759EA"/>
    <w:rsid w:val="00790F25"/>
    <w:rsid w:val="00793843"/>
    <w:rsid w:val="0079788A"/>
    <w:rsid w:val="007B68AB"/>
    <w:rsid w:val="007C1FFA"/>
    <w:rsid w:val="007D0D0A"/>
    <w:rsid w:val="007D4AE0"/>
    <w:rsid w:val="007E598F"/>
    <w:rsid w:val="00800901"/>
    <w:rsid w:val="00822DBF"/>
    <w:rsid w:val="0082413B"/>
    <w:rsid w:val="00827684"/>
    <w:rsid w:val="00832F78"/>
    <w:rsid w:val="00844881"/>
    <w:rsid w:val="00874A4C"/>
    <w:rsid w:val="008A7B93"/>
    <w:rsid w:val="008B7158"/>
    <w:rsid w:val="008C15DE"/>
    <w:rsid w:val="008C2D32"/>
    <w:rsid w:val="008C6CB9"/>
    <w:rsid w:val="008D1836"/>
    <w:rsid w:val="008D2561"/>
    <w:rsid w:val="008D4156"/>
    <w:rsid w:val="008E534F"/>
    <w:rsid w:val="008F24DE"/>
    <w:rsid w:val="00906514"/>
    <w:rsid w:val="00906533"/>
    <w:rsid w:val="00912D17"/>
    <w:rsid w:val="009276A3"/>
    <w:rsid w:val="009279AE"/>
    <w:rsid w:val="00933112"/>
    <w:rsid w:val="00935A30"/>
    <w:rsid w:val="00953CCD"/>
    <w:rsid w:val="00956894"/>
    <w:rsid w:val="00985DD5"/>
    <w:rsid w:val="009A4253"/>
    <w:rsid w:val="009B4E7A"/>
    <w:rsid w:val="009C0E17"/>
    <w:rsid w:val="009C38E1"/>
    <w:rsid w:val="009C3D4E"/>
    <w:rsid w:val="009E7626"/>
    <w:rsid w:val="009F5557"/>
    <w:rsid w:val="009F6CDD"/>
    <w:rsid w:val="00A24200"/>
    <w:rsid w:val="00A44E4B"/>
    <w:rsid w:val="00A4759C"/>
    <w:rsid w:val="00A52B34"/>
    <w:rsid w:val="00A5600C"/>
    <w:rsid w:val="00A63390"/>
    <w:rsid w:val="00A659FB"/>
    <w:rsid w:val="00A82DAF"/>
    <w:rsid w:val="00A82F27"/>
    <w:rsid w:val="00A86AF3"/>
    <w:rsid w:val="00AB14D6"/>
    <w:rsid w:val="00AB4867"/>
    <w:rsid w:val="00AC34ED"/>
    <w:rsid w:val="00AC6195"/>
    <w:rsid w:val="00AE61A6"/>
    <w:rsid w:val="00B000A4"/>
    <w:rsid w:val="00B041CB"/>
    <w:rsid w:val="00B12FC1"/>
    <w:rsid w:val="00B25ED9"/>
    <w:rsid w:val="00B3785F"/>
    <w:rsid w:val="00B43F55"/>
    <w:rsid w:val="00B531FC"/>
    <w:rsid w:val="00B5393D"/>
    <w:rsid w:val="00B74715"/>
    <w:rsid w:val="00B76D03"/>
    <w:rsid w:val="00B86B45"/>
    <w:rsid w:val="00B95AAF"/>
    <w:rsid w:val="00BB3D46"/>
    <w:rsid w:val="00BC0598"/>
    <w:rsid w:val="00C010BB"/>
    <w:rsid w:val="00C02452"/>
    <w:rsid w:val="00C209D6"/>
    <w:rsid w:val="00C36E40"/>
    <w:rsid w:val="00C422C9"/>
    <w:rsid w:val="00C47C6E"/>
    <w:rsid w:val="00C540F2"/>
    <w:rsid w:val="00C62177"/>
    <w:rsid w:val="00C868C7"/>
    <w:rsid w:val="00CA5147"/>
    <w:rsid w:val="00CD0046"/>
    <w:rsid w:val="00CF2FDC"/>
    <w:rsid w:val="00D13C03"/>
    <w:rsid w:val="00D2193D"/>
    <w:rsid w:val="00D21E22"/>
    <w:rsid w:val="00D22944"/>
    <w:rsid w:val="00D34B78"/>
    <w:rsid w:val="00D47BFD"/>
    <w:rsid w:val="00D53737"/>
    <w:rsid w:val="00D56936"/>
    <w:rsid w:val="00D6345A"/>
    <w:rsid w:val="00D64922"/>
    <w:rsid w:val="00D762EB"/>
    <w:rsid w:val="00D96F68"/>
    <w:rsid w:val="00DA2C18"/>
    <w:rsid w:val="00DB2EEF"/>
    <w:rsid w:val="00DC5DC8"/>
    <w:rsid w:val="00DC6538"/>
    <w:rsid w:val="00DD4F64"/>
    <w:rsid w:val="00DF3569"/>
    <w:rsid w:val="00E03BF7"/>
    <w:rsid w:val="00E06E92"/>
    <w:rsid w:val="00E263C6"/>
    <w:rsid w:val="00E335E3"/>
    <w:rsid w:val="00E36B3A"/>
    <w:rsid w:val="00E55F6F"/>
    <w:rsid w:val="00E61771"/>
    <w:rsid w:val="00E7227D"/>
    <w:rsid w:val="00E76BC6"/>
    <w:rsid w:val="00E80E04"/>
    <w:rsid w:val="00E9413F"/>
    <w:rsid w:val="00EA415A"/>
    <w:rsid w:val="00EB1839"/>
    <w:rsid w:val="00EB38C1"/>
    <w:rsid w:val="00ED02DB"/>
    <w:rsid w:val="00ED4DA7"/>
    <w:rsid w:val="00EE600F"/>
    <w:rsid w:val="00EE6EE8"/>
    <w:rsid w:val="00EF5B98"/>
    <w:rsid w:val="00F005AF"/>
    <w:rsid w:val="00F25913"/>
    <w:rsid w:val="00F37458"/>
    <w:rsid w:val="00F41576"/>
    <w:rsid w:val="00F61FA1"/>
    <w:rsid w:val="00F75D85"/>
    <w:rsid w:val="00F8136A"/>
    <w:rsid w:val="00F814AD"/>
    <w:rsid w:val="00F94FDB"/>
    <w:rsid w:val="00FA61AF"/>
    <w:rsid w:val="00FA64C7"/>
    <w:rsid w:val="00FC413F"/>
    <w:rsid w:val="00FD3DAB"/>
    <w:rsid w:val="00FE6ADD"/>
    <w:rsid w:val="00FF2448"/>
    <w:rsid w:val="00FF294F"/>
    <w:rsid w:val="00FF64D0"/>
    <w:rsid w:val="1AB4F9D4"/>
    <w:rsid w:val="76783E8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74A71"/>
  <w15:chartTrackingRefBased/>
  <w15:docId w15:val="{DE9ED889-C8A3-47DF-8C41-980D2528F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6B45"/>
    <w:pPr>
      <w:spacing w:line="240" w:lineRule="auto"/>
    </w:pPr>
    <w:rPr>
      <w:rFonts w:ascii="Calibri" w:hAnsi="Calibri"/>
    </w:rPr>
  </w:style>
  <w:style w:type="paragraph" w:styleId="Heading1">
    <w:name w:val="heading 1"/>
    <w:basedOn w:val="Normal"/>
    <w:next w:val="Normal"/>
    <w:link w:val="Heading1Char"/>
    <w:uiPriority w:val="9"/>
    <w:qFormat/>
    <w:rsid w:val="00D13C03"/>
    <w:pPr>
      <w:numPr>
        <w:ilvl w:val="1"/>
      </w:numPr>
      <w:suppressAutoHyphens/>
      <w:spacing w:before="360"/>
      <w:outlineLvl w:val="0"/>
    </w:pPr>
    <w:rPr>
      <w:rFonts w:eastAsia="SimSun" w:cs="Times New Roman"/>
      <w:b/>
      <w:color w:val="081E3E"/>
      <w:kern w:val="12"/>
      <w:sz w:val="44"/>
      <w:szCs w:val="52"/>
    </w:rPr>
  </w:style>
  <w:style w:type="paragraph" w:styleId="Heading2">
    <w:name w:val="heading 2"/>
    <w:basedOn w:val="Normal"/>
    <w:next w:val="Normal"/>
    <w:link w:val="Heading2Char"/>
    <w:uiPriority w:val="9"/>
    <w:unhideWhenUsed/>
    <w:qFormat/>
    <w:rsid w:val="002B15B8"/>
    <w:pPr>
      <w:keepNext/>
      <w:keepLines/>
      <w:suppressAutoHyphens/>
      <w:spacing w:before="240"/>
      <w:outlineLvl w:val="1"/>
    </w:pPr>
    <w:rPr>
      <w:rFonts w:eastAsia="SimSun" w:cs="Times New Roman"/>
      <w:b/>
      <w:color w:val="081E3E"/>
      <w:kern w:val="12"/>
      <w:sz w:val="32"/>
      <w:szCs w:val="26"/>
    </w:rPr>
  </w:style>
  <w:style w:type="paragraph" w:styleId="Heading3">
    <w:name w:val="heading 3"/>
    <w:basedOn w:val="Normal"/>
    <w:next w:val="Normal"/>
    <w:link w:val="Heading3Char"/>
    <w:uiPriority w:val="9"/>
    <w:unhideWhenUsed/>
    <w:qFormat/>
    <w:rsid w:val="00714E32"/>
    <w:pPr>
      <w:keepNext/>
      <w:keepLines/>
      <w:suppressAutoHyphens/>
      <w:spacing w:before="240"/>
      <w:outlineLvl w:val="2"/>
    </w:pPr>
    <w:rPr>
      <w:rFonts w:eastAsia="SimSun" w:cs="Times New Roman"/>
      <w:b/>
      <w:color w:val="081E3E" w:themeColor="text2"/>
      <w:kern w:val="12"/>
      <w:sz w:val="26"/>
      <w:szCs w:val="24"/>
    </w:rPr>
  </w:style>
  <w:style w:type="paragraph" w:styleId="Heading4">
    <w:name w:val="heading 4"/>
    <w:basedOn w:val="Normal"/>
    <w:next w:val="Normal"/>
    <w:link w:val="Heading4Char"/>
    <w:uiPriority w:val="9"/>
    <w:unhideWhenUsed/>
    <w:qFormat/>
    <w:rsid w:val="00C868C7"/>
    <w:pPr>
      <w:keepNext/>
      <w:keepLines/>
      <w:suppressAutoHyphens/>
      <w:outlineLvl w:val="3"/>
    </w:pPr>
    <w:rPr>
      <w:rFonts w:eastAsia="SimSun" w:cs="Times New Roman"/>
      <w:b/>
      <w:iCs/>
      <w:color w:val="595C6E"/>
      <w:kern w:val="12"/>
      <w:sz w:val="24"/>
      <w:szCs w:val="20"/>
    </w:rPr>
  </w:style>
  <w:style w:type="paragraph" w:styleId="Heading5">
    <w:name w:val="heading 5"/>
    <w:basedOn w:val="Normal"/>
    <w:next w:val="Normal"/>
    <w:link w:val="Heading5Char"/>
    <w:uiPriority w:val="9"/>
    <w:unhideWhenUsed/>
    <w:qFormat/>
    <w:rsid w:val="00190A0C"/>
    <w:pPr>
      <w:keepNext/>
      <w:spacing w:before="120"/>
      <w:outlineLvl w:val="4"/>
    </w:pPr>
    <w:rPr>
      <w:rFonts w:eastAsia="MingLiU" w:cs="Segoe UI Semibold"/>
      <w:b/>
      <w:color w:val="4C5564"/>
      <w:sz w:val="24"/>
      <w:szCs w:val="24"/>
    </w:rPr>
  </w:style>
  <w:style w:type="paragraph" w:styleId="Heading6">
    <w:name w:val="heading 6"/>
    <w:basedOn w:val="Normal"/>
    <w:next w:val="Normal"/>
    <w:link w:val="Heading6Char"/>
    <w:uiPriority w:val="9"/>
    <w:unhideWhenUsed/>
    <w:qFormat/>
    <w:rsid w:val="00190A0C"/>
    <w:pPr>
      <w:keepNext/>
      <w:spacing w:before="120"/>
      <w:outlineLvl w:val="5"/>
    </w:pPr>
    <w:rPr>
      <w:rFonts w:eastAsia="MingLiU" w:cs="Segoe UI Semibold"/>
      <w:b/>
      <w:color w:val="4C5564"/>
    </w:rPr>
  </w:style>
  <w:style w:type="paragraph" w:styleId="Heading7">
    <w:name w:val="heading 7"/>
    <w:basedOn w:val="Normal"/>
    <w:next w:val="Normal"/>
    <w:link w:val="Heading7Char"/>
    <w:uiPriority w:val="9"/>
    <w:unhideWhenUsed/>
    <w:qFormat/>
    <w:rsid w:val="00190A0C"/>
    <w:pPr>
      <w:keepNext/>
      <w:keepLines/>
      <w:spacing w:before="40" w:after="0"/>
      <w:outlineLvl w:val="6"/>
    </w:pPr>
    <w:rPr>
      <w:rFonts w:eastAsiaTheme="majorEastAsia" w:cs="Segoe UI Semibold"/>
      <w:b/>
      <w:iCs/>
      <w:color w:val="4C5564"/>
      <w:szCs w:val="18"/>
    </w:rPr>
  </w:style>
  <w:style w:type="paragraph" w:styleId="Heading8">
    <w:name w:val="heading 8"/>
    <w:basedOn w:val="Normal"/>
    <w:next w:val="Normal"/>
    <w:link w:val="Heading8Char"/>
    <w:uiPriority w:val="9"/>
    <w:unhideWhenUsed/>
    <w:qFormat/>
    <w:rsid w:val="00090E62"/>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bulletssecondlevel">
    <w:name w:val="List paragraph—bullets—second level"/>
    <w:basedOn w:val="Listparagraphbullets"/>
    <w:autoRedefine/>
    <w:qFormat/>
    <w:rsid w:val="00C868C7"/>
    <w:pPr>
      <w:numPr>
        <w:numId w:val="1"/>
      </w:numPr>
      <w:ind w:left="1134" w:hanging="567"/>
    </w:pPr>
    <w:rPr>
      <w:color w:val="000000"/>
      <w:szCs w:val="20"/>
    </w:rPr>
  </w:style>
  <w:style w:type="paragraph" w:styleId="Header">
    <w:name w:val="header"/>
    <w:basedOn w:val="Normal"/>
    <w:link w:val="HeaderChar"/>
    <w:uiPriority w:val="99"/>
    <w:unhideWhenUsed/>
    <w:rsid w:val="00261FFA"/>
    <w:pPr>
      <w:tabs>
        <w:tab w:val="center" w:pos="4678"/>
        <w:tab w:val="right" w:pos="9356"/>
      </w:tabs>
      <w:spacing w:after="0"/>
    </w:pPr>
    <w:rPr>
      <w:rFonts w:ascii="Segoe UI Light" w:hAnsi="Segoe UI Light"/>
      <w:sz w:val="18"/>
    </w:rPr>
  </w:style>
  <w:style w:type="character" w:customStyle="1" w:styleId="HeaderChar">
    <w:name w:val="Header Char"/>
    <w:basedOn w:val="DefaultParagraphFont"/>
    <w:link w:val="Header"/>
    <w:uiPriority w:val="99"/>
    <w:rsid w:val="00261FFA"/>
    <w:rPr>
      <w:rFonts w:ascii="Segoe UI Light" w:hAnsi="Segoe UI Light"/>
      <w:sz w:val="18"/>
    </w:rPr>
  </w:style>
  <w:style w:type="paragraph" w:styleId="Footer">
    <w:name w:val="footer"/>
    <w:basedOn w:val="Normal"/>
    <w:link w:val="FooterChar"/>
    <w:uiPriority w:val="99"/>
    <w:unhideWhenUsed/>
    <w:rsid w:val="006D43C7"/>
    <w:pPr>
      <w:tabs>
        <w:tab w:val="center" w:pos="4513"/>
        <w:tab w:val="right" w:pos="9026"/>
      </w:tabs>
      <w:spacing w:after="0"/>
    </w:pPr>
    <w:rPr>
      <w:sz w:val="18"/>
    </w:rPr>
  </w:style>
  <w:style w:type="character" w:customStyle="1" w:styleId="FooterChar">
    <w:name w:val="Footer Char"/>
    <w:basedOn w:val="DefaultParagraphFont"/>
    <w:link w:val="Footer"/>
    <w:uiPriority w:val="99"/>
    <w:rsid w:val="006D43C7"/>
    <w:rPr>
      <w:rFonts w:ascii="Segoe UI" w:hAnsi="Segoe UI"/>
      <w:sz w:val="18"/>
    </w:rPr>
  </w:style>
  <w:style w:type="character" w:styleId="Hyperlink">
    <w:name w:val="Hyperlink"/>
    <w:basedOn w:val="DefaultParagraphFont"/>
    <w:uiPriority w:val="99"/>
    <w:unhideWhenUsed/>
    <w:rsid w:val="00FC413F"/>
    <w:rPr>
      <w:color w:val="002D72"/>
      <w:u w:val="single"/>
    </w:rPr>
  </w:style>
  <w:style w:type="character" w:customStyle="1" w:styleId="Heading1Char">
    <w:name w:val="Heading 1 Char"/>
    <w:basedOn w:val="DefaultParagraphFont"/>
    <w:link w:val="Heading1"/>
    <w:uiPriority w:val="9"/>
    <w:rsid w:val="00D13C03"/>
    <w:rPr>
      <w:rFonts w:ascii="Calibri" w:eastAsia="SimSun" w:hAnsi="Calibri" w:cs="Times New Roman"/>
      <w:b/>
      <w:color w:val="081E3E"/>
      <w:kern w:val="12"/>
      <w:sz w:val="44"/>
      <w:szCs w:val="52"/>
    </w:rPr>
  </w:style>
  <w:style w:type="character" w:customStyle="1" w:styleId="Heading2Char">
    <w:name w:val="Heading 2 Char"/>
    <w:basedOn w:val="DefaultParagraphFont"/>
    <w:link w:val="Heading2"/>
    <w:uiPriority w:val="9"/>
    <w:rsid w:val="002B15B8"/>
    <w:rPr>
      <w:rFonts w:ascii="Calibri" w:eastAsia="SimSun" w:hAnsi="Calibri" w:cs="Times New Roman"/>
      <w:b/>
      <w:color w:val="081E3E"/>
      <w:kern w:val="12"/>
      <w:sz w:val="32"/>
      <w:szCs w:val="26"/>
    </w:rPr>
  </w:style>
  <w:style w:type="character" w:customStyle="1" w:styleId="Heading3Char">
    <w:name w:val="Heading 3 Char"/>
    <w:basedOn w:val="DefaultParagraphFont"/>
    <w:link w:val="Heading3"/>
    <w:uiPriority w:val="9"/>
    <w:rsid w:val="00714E32"/>
    <w:rPr>
      <w:rFonts w:ascii="Calibri" w:eastAsia="SimSun" w:hAnsi="Calibri" w:cs="Times New Roman"/>
      <w:b/>
      <w:color w:val="081E3E" w:themeColor="text2"/>
      <w:kern w:val="12"/>
      <w:sz w:val="26"/>
      <w:szCs w:val="24"/>
    </w:rPr>
  </w:style>
  <w:style w:type="character" w:customStyle="1" w:styleId="Heading4Char">
    <w:name w:val="Heading 4 Char"/>
    <w:basedOn w:val="DefaultParagraphFont"/>
    <w:link w:val="Heading4"/>
    <w:uiPriority w:val="9"/>
    <w:rsid w:val="00C868C7"/>
    <w:rPr>
      <w:rFonts w:ascii="Calibri" w:eastAsia="SimSun" w:hAnsi="Calibri" w:cs="Times New Roman"/>
      <w:b/>
      <w:iCs/>
      <w:color w:val="595C6E"/>
      <w:kern w:val="12"/>
      <w:sz w:val="24"/>
      <w:szCs w:val="20"/>
    </w:rPr>
  </w:style>
  <w:style w:type="character" w:customStyle="1" w:styleId="Heading5Char">
    <w:name w:val="Heading 5 Char"/>
    <w:basedOn w:val="DefaultParagraphFont"/>
    <w:link w:val="Heading5"/>
    <w:uiPriority w:val="9"/>
    <w:rsid w:val="00190A0C"/>
    <w:rPr>
      <w:rFonts w:ascii="Calibri" w:eastAsia="MingLiU" w:hAnsi="Calibri" w:cs="Segoe UI Semibold"/>
      <w:b/>
      <w:color w:val="4C5564"/>
      <w:sz w:val="24"/>
      <w:szCs w:val="24"/>
    </w:rPr>
  </w:style>
  <w:style w:type="character" w:customStyle="1" w:styleId="Heading6Char">
    <w:name w:val="Heading 6 Char"/>
    <w:basedOn w:val="DefaultParagraphFont"/>
    <w:link w:val="Heading6"/>
    <w:uiPriority w:val="9"/>
    <w:rsid w:val="00190A0C"/>
    <w:rPr>
      <w:rFonts w:ascii="Calibri" w:eastAsia="MingLiU" w:hAnsi="Calibri" w:cs="Segoe UI Semibold"/>
      <w:b/>
      <w:color w:val="4C5564"/>
    </w:rPr>
  </w:style>
  <w:style w:type="character" w:customStyle="1" w:styleId="Heading7Char">
    <w:name w:val="Heading 7 Char"/>
    <w:basedOn w:val="DefaultParagraphFont"/>
    <w:link w:val="Heading7"/>
    <w:uiPriority w:val="9"/>
    <w:rsid w:val="00190A0C"/>
    <w:rPr>
      <w:rFonts w:ascii="Calibri" w:eastAsiaTheme="majorEastAsia" w:hAnsi="Calibri" w:cs="Segoe UI Semibold"/>
      <w:b/>
      <w:iCs/>
      <w:color w:val="4C5564"/>
      <w:sz w:val="20"/>
      <w:szCs w:val="18"/>
    </w:rPr>
  </w:style>
  <w:style w:type="paragraph" w:customStyle="1" w:styleId="Heading2notshowing">
    <w:name w:val="Heading 2—not showing"/>
    <w:basedOn w:val="Normal"/>
    <w:next w:val="Normal"/>
    <w:qFormat/>
    <w:rsid w:val="00190A0C"/>
    <w:pPr>
      <w:keepNext/>
      <w:outlineLvl w:val="1"/>
    </w:pPr>
    <w:rPr>
      <w:rFonts w:eastAsia="MingLiU" w:cs="Segoe UI Semibold"/>
      <w:b/>
      <w:color w:val="4C5564"/>
      <w:sz w:val="28"/>
      <w:szCs w:val="26"/>
    </w:rPr>
  </w:style>
  <w:style w:type="paragraph" w:customStyle="1" w:styleId="Heading3notshowing">
    <w:name w:val="Heading 3—not showing"/>
    <w:basedOn w:val="Normal"/>
    <w:next w:val="Normal"/>
    <w:qFormat/>
    <w:rsid w:val="00190A0C"/>
    <w:pPr>
      <w:keepNext/>
      <w:outlineLvl w:val="2"/>
    </w:pPr>
    <w:rPr>
      <w:rFonts w:eastAsia="MingLiU" w:cs="Segoe UI Semibold"/>
      <w:b/>
      <w:color w:val="4C5564"/>
      <w:sz w:val="24"/>
      <w:szCs w:val="30"/>
    </w:rPr>
  </w:style>
  <w:style w:type="paragraph" w:styleId="Quote">
    <w:name w:val="Quote"/>
    <w:basedOn w:val="Normal"/>
    <w:next w:val="Normal"/>
    <w:link w:val="QuoteChar"/>
    <w:uiPriority w:val="29"/>
    <w:qFormat/>
    <w:rsid w:val="00B86B45"/>
    <w:pPr>
      <w:pBdr>
        <w:left w:val="single" w:sz="48" w:space="22" w:color="4BB3B5"/>
      </w:pBdr>
      <w:suppressAutoHyphens/>
      <w:spacing w:before="160"/>
      <w:ind w:left="567" w:right="567"/>
    </w:pPr>
    <w:rPr>
      <w:rFonts w:eastAsia="Calibri" w:cs="Times New Roman"/>
      <w:b/>
      <w:iCs/>
      <w:color w:val="404040"/>
    </w:rPr>
  </w:style>
  <w:style w:type="character" w:customStyle="1" w:styleId="QuoteChar">
    <w:name w:val="Quote Char"/>
    <w:basedOn w:val="DefaultParagraphFont"/>
    <w:link w:val="Quote"/>
    <w:uiPriority w:val="29"/>
    <w:rsid w:val="00B86B45"/>
    <w:rPr>
      <w:rFonts w:ascii="Calibri" w:eastAsia="Calibri" w:hAnsi="Calibri" w:cs="Times New Roman"/>
      <w:b/>
      <w:iCs/>
      <w:color w:val="404040"/>
    </w:rPr>
  </w:style>
  <w:style w:type="character" w:customStyle="1" w:styleId="Heading8Char">
    <w:name w:val="Heading 8 Char"/>
    <w:basedOn w:val="DefaultParagraphFont"/>
    <w:link w:val="Heading8"/>
    <w:uiPriority w:val="9"/>
    <w:rsid w:val="00090E62"/>
    <w:rPr>
      <w:rFonts w:asciiTheme="majorHAnsi" w:eastAsiaTheme="majorEastAsia" w:hAnsiTheme="majorHAnsi" w:cstheme="majorBidi"/>
      <w:color w:val="272727" w:themeColor="text1" w:themeTint="D8"/>
      <w:sz w:val="21"/>
      <w:szCs w:val="21"/>
    </w:rPr>
  </w:style>
  <w:style w:type="paragraph" w:customStyle="1" w:styleId="Listparagraphbullets">
    <w:name w:val="List paragraph—bullets"/>
    <w:basedOn w:val="ListParagraph"/>
    <w:qFormat/>
    <w:rsid w:val="00B5393D"/>
    <w:pPr>
      <w:numPr>
        <w:numId w:val="2"/>
      </w:numPr>
      <w:ind w:left="567" w:hanging="567"/>
    </w:pPr>
    <w:rPr>
      <w:lang w:eastAsia="zh-TW"/>
    </w:rPr>
  </w:style>
  <w:style w:type="paragraph" w:styleId="ListParagraph">
    <w:name w:val="List Paragraph"/>
    <w:aliases w:val="List Paragraph—numbers,Recommendation,List Paragraph1,List Paragraph11,L,Number,#List Paragraph,Bullet point,List Paragraph111,F5 List Paragraph,Dot pt,CV text,Medium Grid 1 - Accent 21,Numbered Paragraph,List Paragraph2,FooterText"/>
    <w:basedOn w:val="Normal"/>
    <w:link w:val="ListParagraphChar"/>
    <w:uiPriority w:val="34"/>
    <w:qFormat/>
    <w:rsid w:val="00B5393D"/>
    <w:pPr>
      <w:numPr>
        <w:numId w:val="3"/>
      </w:numPr>
      <w:ind w:left="567" w:hanging="567"/>
      <w:contextualSpacing/>
    </w:pPr>
  </w:style>
  <w:style w:type="paragraph" w:customStyle="1" w:styleId="Tabletext">
    <w:name w:val="Table text"/>
    <w:basedOn w:val="Normal"/>
    <w:qFormat/>
    <w:rsid w:val="008B7158"/>
    <w:pPr>
      <w:spacing w:before="40" w:after="40"/>
    </w:pPr>
    <w:rPr>
      <w:rFonts w:eastAsia="Times New Roman" w:cs="Times New Roman"/>
      <w:szCs w:val="20"/>
    </w:rPr>
  </w:style>
  <w:style w:type="paragraph" w:customStyle="1" w:styleId="Tablerowcolumnheading">
    <w:name w:val="Table row/column heading"/>
    <w:basedOn w:val="Normal"/>
    <w:next w:val="Normal"/>
    <w:rsid w:val="000D29F4"/>
    <w:pPr>
      <w:shd w:val="clear" w:color="auto" w:fill="081E3E"/>
      <w:spacing w:before="60" w:after="60"/>
    </w:pPr>
    <w:rPr>
      <w:b/>
      <w:color w:val="FFFFFF" w:themeColor="background1"/>
      <w:szCs w:val="20"/>
    </w:rPr>
  </w:style>
  <w:style w:type="paragraph" w:styleId="FootnoteText">
    <w:name w:val="footnote text"/>
    <w:basedOn w:val="Normal"/>
    <w:link w:val="FootnoteTextChar"/>
    <w:uiPriority w:val="99"/>
    <w:unhideWhenUsed/>
    <w:rsid w:val="00217C11"/>
    <w:pPr>
      <w:spacing w:after="0"/>
    </w:pPr>
    <w:rPr>
      <w:szCs w:val="20"/>
    </w:rPr>
  </w:style>
  <w:style w:type="character" w:customStyle="1" w:styleId="FootnoteTextChar">
    <w:name w:val="Footnote Text Char"/>
    <w:basedOn w:val="DefaultParagraphFont"/>
    <w:link w:val="FootnoteText"/>
    <w:uiPriority w:val="99"/>
    <w:rsid w:val="00217C11"/>
    <w:rPr>
      <w:rFonts w:ascii="Segoe UI" w:hAnsi="Segoe UI"/>
      <w:sz w:val="20"/>
      <w:szCs w:val="20"/>
    </w:rPr>
  </w:style>
  <w:style w:type="character" w:styleId="FootnoteReference">
    <w:name w:val="footnote reference"/>
    <w:basedOn w:val="DefaultParagraphFont"/>
    <w:uiPriority w:val="99"/>
    <w:semiHidden/>
    <w:unhideWhenUsed/>
    <w:rsid w:val="00217C11"/>
    <w:rPr>
      <w:vertAlign w:val="superscript"/>
    </w:rPr>
  </w:style>
  <w:style w:type="paragraph" w:customStyle="1" w:styleId="Tablefigureheading">
    <w:name w:val="Table/figure heading"/>
    <w:basedOn w:val="Normal"/>
    <w:next w:val="Normal"/>
    <w:qFormat/>
    <w:rsid w:val="00190A0C"/>
    <w:pPr>
      <w:keepNext/>
      <w:spacing w:after="0"/>
    </w:pPr>
    <w:rPr>
      <w:b/>
      <w:color w:val="002D72"/>
    </w:rPr>
  </w:style>
  <w:style w:type="paragraph" w:customStyle="1" w:styleId="Tabletextcentred">
    <w:name w:val="Table text—centred"/>
    <w:basedOn w:val="Tabletext"/>
    <w:next w:val="NoSpacing"/>
    <w:rsid w:val="008B7158"/>
    <w:pPr>
      <w:jc w:val="center"/>
    </w:pPr>
  </w:style>
  <w:style w:type="paragraph" w:customStyle="1" w:styleId="Tablerowcolumnheadingcentred">
    <w:name w:val="Table row/column heading—centred"/>
    <w:basedOn w:val="Tablerowcolumnheading"/>
    <w:next w:val="Normal"/>
    <w:rsid w:val="00CD0046"/>
    <w:pPr>
      <w:jc w:val="center"/>
    </w:pPr>
  </w:style>
  <w:style w:type="paragraph" w:customStyle="1" w:styleId="Sourcenote">
    <w:name w:val="Source / note"/>
    <w:basedOn w:val="Normal"/>
    <w:qFormat/>
    <w:rsid w:val="00654F9E"/>
    <w:rPr>
      <w:rFonts w:eastAsia="PMingLiU" w:cs="Mangal"/>
      <w:color w:val="595C6E"/>
      <w:szCs w:val="20"/>
      <w:lang w:eastAsia="zh-TW"/>
    </w:rPr>
  </w:style>
  <w:style w:type="table" w:styleId="PlainTable1">
    <w:name w:val="Plain Table 1"/>
    <w:basedOn w:val="TableNormal"/>
    <w:uiPriority w:val="41"/>
    <w:rsid w:val="00217C1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217C11"/>
    <w:pPr>
      <w:spacing w:after="0" w:line="240" w:lineRule="auto"/>
    </w:pPr>
    <w:rPr>
      <w:rFonts w:ascii="Segoe UI" w:hAnsi="Segoe UI"/>
      <w:sz w:val="21"/>
    </w:rPr>
  </w:style>
  <w:style w:type="paragraph" w:styleId="TOC4">
    <w:name w:val="toc 4"/>
    <w:basedOn w:val="Normal"/>
    <w:next w:val="Normal"/>
    <w:autoRedefine/>
    <w:uiPriority w:val="39"/>
    <w:unhideWhenUsed/>
    <w:rsid w:val="000740FB"/>
    <w:pPr>
      <w:tabs>
        <w:tab w:val="right" w:leader="dot" w:pos="9072"/>
      </w:tabs>
      <w:spacing w:after="0"/>
      <w:ind w:left="567" w:right="567" w:hanging="567"/>
    </w:pPr>
  </w:style>
  <w:style w:type="paragraph" w:styleId="TOC1">
    <w:name w:val="toc 1"/>
    <w:basedOn w:val="Normal"/>
    <w:next w:val="Normal"/>
    <w:autoRedefine/>
    <w:uiPriority w:val="39"/>
    <w:unhideWhenUsed/>
    <w:rsid w:val="000740FB"/>
    <w:pPr>
      <w:keepNext/>
      <w:tabs>
        <w:tab w:val="right" w:leader="dot" w:pos="9072"/>
      </w:tabs>
      <w:spacing w:before="120" w:after="0"/>
      <w:ind w:left="567" w:right="567" w:hanging="567"/>
    </w:pPr>
    <w:rPr>
      <w:b/>
      <w:color w:val="002D72"/>
    </w:rPr>
  </w:style>
  <w:style w:type="paragraph" w:styleId="TOC2">
    <w:name w:val="toc 2"/>
    <w:basedOn w:val="Normal"/>
    <w:next w:val="Normal"/>
    <w:autoRedefine/>
    <w:uiPriority w:val="39"/>
    <w:unhideWhenUsed/>
    <w:rsid w:val="000740FB"/>
    <w:pPr>
      <w:tabs>
        <w:tab w:val="right" w:leader="dot" w:pos="9072"/>
      </w:tabs>
      <w:spacing w:after="0"/>
      <w:ind w:left="1134" w:right="567" w:hanging="567"/>
    </w:pPr>
  </w:style>
  <w:style w:type="paragraph" w:styleId="TOC3">
    <w:name w:val="toc 3"/>
    <w:basedOn w:val="Normal"/>
    <w:next w:val="Normal"/>
    <w:autoRedefine/>
    <w:uiPriority w:val="39"/>
    <w:unhideWhenUsed/>
    <w:rsid w:val="000740FB"/>
    <w:pPr>
      <w:tabs>
        <w:tab w:val="right" w:leader="dot" w:pos="9072"/>
      </w:tabs>
      <w:spacing w:after="0"/>
      <w:ind w:left="1701" w:right="567" w:hanging="567"/>
    </w:pPr>
  </w:style>
  <w:style w:type="paragraph" w:customStyle="1" w:styleId="Normaldisclaimerpage">
    <w:name w:val="Normal—disclaimer page"/>
    <w:basedOn w:val="Normal"/>
    <w:qFormat/>
    <w:rsid w:val="002F1A23"/>
    <w:rPr>
      <w:szCs w:val="20"/>
    </w:rPr>
  </w:style>
  <w:style w:type="table" w:customStyle="1" w:styleId="PlainTable11">
    <w:name w:val="Plain Table 11"/>
    <w:basedOn w:val="TableNormal"/>
    <w:next w:val="PlainTable1"/>
    <w:uiPriority w:val="41"/>
    <w:rsid w:val="00BB3D4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DefaultTable1">
    <w:name w:val="Default Table 1"/>
    <w:basedOn w:val="TableNormal"/>
    <w:uiPriority w:val="99"/>
    <w:rsid w:val="00A63390"/>
    <w:pPr>
      <w:spacing w:before="80" w:after="80" w:line="240" w:lineRule="auto"/>
    </w:pPr>
    <w:rPr>
      <w:color w:val="000000" w:themeColor="text1"/>
      <w:sz w:val="20"/>
      <w:szCs w:val="20"/>
    </w:rPr>
    <w:tblPr>
      <w:tblStyleRowBandSize w:val="1"/>
      <w:tblStyleColBandSize w:val="1"/>
      <w:tblBorders>
        <w:top w:val="single" w:sz="4" w:space="0" w:color="595959" w:themeColor="text1" w:themeTint="A6"/>
        <w:bottom w:val="single" w:sz="4" w:space="0" w:color="595959" w:themeColor="text1" w:themeTint="A6"/>
        <w:insideH w:val="single" w:sz="4" w:space="0" w:color="595959" w:themeColor="text1" w:themeTint="A6"/>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Tabletextbullets">
    <w:name w:val="Table text—bullets"/>
    <w:basedOn w:val="Listparagraphbullets"/>
    <w:qFormat/>
    <w:rsid w:val="00381BDA"/>
    <w:pPr>
      <w:spacing w:before="60" w:after="60"/>
      <w:ind w:left="284" w:hanging="284"/>
    </w:pPr>
    <w:rPr>
      <w:color w:val="000000" w:themeColor="text1"/>
      <w:szCs w:val="20"/>
    </w:rPr>
  </w:style>
  <w:style w:type="paragraph" w:styleId="Subtitle">
    <w:name w:val="Subtitle"/>
    <w:basedOn w:val="Normal"/>
    <w:next w:val="Normal"/>
    <w:link w:val="SubtitleChar"/>
    <w:uiPriority w:val="18"/>
    <w:qFormat/>
    <w:rsid w:val="000B6FF7"/>
    <w:pPr>
      <w:numPr>
        <w:ilvl w:val="1"/>
      </w:numPr>
      <w:suppressAutoHyphens/>
      <w:spacing w:before="120"/>
    </w:pPr>
    <w:rPr>
      <w:rFonts w:eastAsia="SimSun" w:cs="Times New Roman"/>
      <w:color w:val="377B88"/>
      <w:kern w:val="12"/>
    </w:rPr>
  </w:style>
  <w:style w:type="character" w:customStyle="1" w:styleId="SubtitleChar">
    <w:name w:val="Subtitle Char"/>
    <w:basedOn w:val="DefaultParagraphFont"/>
    <w:link w:val="Subtitle"/>
    <w:uiPriority w:val="18"/>
    <w:rsid w:val="000B6FF7"/>
    <w:rPr>
      <w:rFonts w:ascii="Calibri" w:eastAsia="SimSun" w:hAnsi="Calibri" w:cs="Times New Roman"/>
      <w:color w:val="377B88"/>
      <w:kern w:val="12"/>
    </w:rPr>
  </w:style>
  <w:style w:type="paragraph" w:customStyle="1" w:styleId="AreaHeading">
    <w:name w:val="Area Heading"/>
    <w:basedOn w:val="Normal"/>
    <w:qFormat/>
    <w:rsid w:val="00B041CB"/>
    <w:pPr>
      <w:suppressAutoHyphens/>
      <w:spacing w:after="80"/>
      <w:ind w:left="-1020" w:firstLine="1020"/>
    </w:pPr>
    <w:rPr>
      <w:rFonts w:asciiTheme="minorHAnsi" w:hAnsiTheme="minorHAnsi" w:cs="Times New Roman (Body CS)"/>
      <w:caps/>
      <w:color w:val="6D7989" w:themeColor="accent4" w:themeShade="BF"/>
      <w:kern w:val="12"/>
      <w:sz w:val="21"/>
      <w:szCs w:val="20"/>
    </w:rPr>
  </w:style>
  <w:style w:type="character" w:styleId="UnresolvedMention">
    <w:name w:val="Unresolved Mention"/>
    <w:basedOn w:val="DefaultParagraphFont"/>
    <w:uiPriority w:val="99"/>
    <w:semiHidden/>
    <w:unhideWhenUsed/>
    <w:rsid w:val="00B041CB"/>
    <w:rPr>
      <w:color w:val="605E5C"/>
      <w:shd w:val="clear" w:color="auto" w:fill="E1DFDD"/>
    </w:rPr>
  </w:style>
  <w:style w:type="paragraph" w:customStyle="1" w:styleId="ListLegal1">
    <w:name w:val="List Legal 1"/>
    <w:basedOn w:val="Normal"/>
    <w:uiPriority w:val="3"/>
    <w:qFormat/>
    <w:rsid w:val="00B041CB"/>
    <w:pPr>
      <w:numPr>
        <w:numId w:val="14"/>
      </w:numPr>
      <w:suppressAutoHyphens/>
      <w:ind w:left="567" w:hanging="567"/>
    </w:pPr>
    <w:rPr>
      <w:color w:val="000000"/>
      <w:kern w:val="12"/>
      <w:szCs w:val="20"/>
      <w:lang w:val="x-none"/>
    </w:rPr>
  </w:style>
  <w:style w:type="paragraph" w:customStyle="1" w:styleId="ListLegal2">
    <w:name w:val="List Legal 2"/>
    <w:basedOn w:val="ListLegal1"/>
    <w:uiPriority w:val="3"/>
    <w:rsid w:val="00B041CB"/>
    <w:pPr>
      <w:numPr>
        <w:ilvl w:val="1"/>
      </w:numPr>
      <w:ind w:left="1134" w:hanging="567"/>
    </w:pPr>
  </w:style>
  <w:style w:type="paragraph" w:customStyle="1" w:styleId="ListLegal3">
    <w:name w:val="List Legal 3"/>
    <w:basedOn w:val="ListLegal2"/>
    <w:uiPriority w:val="3"/>
    <w:rsid w:val="00B041CB"/>
    <w:pPr>
      <w:numPr>
        <w:ilvl w:val="2"/>
      </w:numPr>
      <w:ind w:left="1701" w:hanging="567"/>
    </w:pPr>
  </w:style>
  <w:style w:type="numbering" w:customStyle="1" w:styleId="ListLegal">
    <w:name w:val="List Legal"/>
    <w:uiPriority w:val="99"/>
    <w:rsid w:val="00B041CB"/>
    <w:pPr>
      <w:numPr>
        <w:numId w:val="14"/>
      </w:numPr>
    </w:pPr>
  </w:style>
  <w:style w:type="table" w:customStyle="1" w:styleId="DefaultTable11">
    <w:name w:val="Default Table 11"/>
    <w:basedOn w:val="TableNormal"/>
    <w:uiPriority w:val="99"/>
    <w:rsid w:val="00654F9E"/>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customStyle="1" w:styleId="DefaultTable12">
    <w:name w:val="Default Table 12"/>
    <w:basedOn w:val="TableNormal"/>
    <w:uiPriority w:val="99"/>
    <w:rsid w:val="00953CCD"/>
    <w:pPr>
      <w:spacing w:before="80" w:after="80" w:line="240" w:lineRule="auto"/>
    </w:pPr>
    <w:rPr>
      <w:color w:val="000000"/>
      <w:sz w:val="20"/>
      <w:szCs w:val="20"/>
    </w:rPr>
    <w:tblPr>
      <w:tblStyleRowBandSize w:val="1"/>
      <w:tblStyleColBandSize w:val="1"/>
      <w:tblBorders>
        <w:top w:val="single" w:sz="4" w:space="0" w:color="4BB3B5"/>
        <w:bottom w:val="single" w:sz="4" w:space="0" w:color="4BB3B5"/>
        <w:insideH w:val="single" w:sz="4" w:space="0" w:color="4BB3B5"/>
      </w:tblBorders>
    </w:tblPr>
    <w:tblStylePr w:type="firstRow">
      <w:rPr>
        <w:b/>
        <w:color w:val="FFFFFF"/>
      </w:rPr>
      <w:tblPr/>
      <w:trPr>
        <w:tblHeader/>
      </w:trPr>
      <w:tcPr>
        <w:tcBorders>
          <w:top w:val="nil"/>
          <w:bottom w:val="nil"/>
        </w:tcBorders>
        <w:shd w:val="clear" w:color="auto" w:fill="081E3E"/>
      </w:tcPr>
    </w:tblStylePr>
    <w:tblStylePr w:type="lastRow">
      <w:rPr>
        <w:b/>
      </w:rPr>
      <w:tblPr/>
      <w:tcPr>
        <w:shd w:val="clear" w:color="auto" w:fill="F2F6E8"/>
      </w:tcPr>
    </w:tblStylePr>
    <w:tblStylePr w:type="firstCol">
      <w:rPr>
        <w:b/>
      </w:rPr>
    </w:tblStylePr>
    <w:tblStylePr w:type="band2Vert">
      <w:tblPr/>
      <w:tcPr>
        <w:shd w:val="clear" w:color="auto" w:fill="F2F2F2"/>
      </w:tcPr>
    </w:tblStylePr>
    <w:tblStylePr w:type="band2Horz">
      <w:tblPr/>
      <w:tcPr>
        <w:shd w:val="clear" w:color="auto" w:fill="F2F2F2"/>
      </w:tcPr>
    </w:tblStylePr>
  </w:style>
  <w:style w:type="table" w:styleId="TableGrid">
    <w:name w:val="Table Grid"/>
    <w:basedOn w:val="TableNormal"/>
    <w:uiPriority w:val="39"/>
    <w:rsid w:val="00AC6195"/>
    <w:pPr>
      <w:spacing w:after="0" w:line="240" w:lineRule="auto"/>
    </w:pPr>
    <w:rPr>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duction">
    <w:name w:val="Introduction"/>
    <w:basedOn w:val="Normal"/>
    <w:uiPriority w:val="2"/>
    <w:qFormat/>
    <w:rsid w:val="00906533"/>
    <w:pPr>
      <w:suppressAutoHyphens/>
      <w:spacing w:before="240" w:after="240"/>
    </w:pPr>
    <w:rPr>
      <w:rFonts w:asciiTheme="minorHAnsi" w:hAnsiTheme="minorHAnsi"/>
      <w:color w:val="377B88"/>
      <w:sz w:val="26"/>
      <w:lang w:val="x-none"/>
    </w:rPr>
  </w:style>
  <w:style w:type="paragraph" w:customStyle="1" w:styleId="Bullet1">
    <w:name w:val="Bullet 1"/>
    <w:basedOn w:val="Normal"/>
    <w:uiPriority w:val="3"/>
    <w:qFormat/>
    <w:rsid w:val="00906533"/>
    <w:pPr>
      <w:numPr>
        <w:numId w:val="18"/>
      </w:numPr>
      <w:suppressAutoHyphens/>
      <w:spacing w:before="80" w:after="80"/>
    </w:pPr>
    <w:rPr>
      <w:rFonts w:asciiTheme="minorHAnsi" w:hAnsiTheme="minorHAnsi"/>
      <w:color w:val="000000" w:themeColor="text1"/>
      <w:lang w:val="x-none"/>
    </w:rPr>
  </w:style>
  <w:style w:type="paragraph" w:customStyle="1" w:styleId="Bullet2">
    <w:name w:val="Bullet 2"/>
    <w:basedOn w:val="Bullet1"/>
    <w:uiPriority w:val="3"/>
    <w:rsid w:val="00906533"/>
    <w:pPr>
      <w:numPr>
        <w:ilvl w:val="1"/>
      </w:numPr>
    </w:pPr>
  </w:style>
  <w:style w:type="paragraph" w:customStyle="1" w:styleId="Bullet3">
    <w:name w:val="Bullet 3"/>
    <w:basedOn w:val="Bullet2"/>
    <w:uiPriority w:val="3"/>
    <w:rsid w:val="00906533"/>
    <w:pPr>
      <w:numPr>
        <w:ilvl w:val="2"/>
      </w:numPr>
    </w:pPr>
  </w:style>
  <w:style w:type="table" w:customStyle="1" w:styleId="IconBoxTable">
    <w:name w:val="Icon Box Table"/>
    <w:basedOn w:val="TableNormal"/>
    <w:uiPriority w:val="99"/>
    <w:rsid w:val="00906533"/>
    <w:pPr>
      <w:spacing w:before="80" w:after="80" w:line="240" w:lineRule="auto"/>
    </w:pPr>
    <w:rPr>
      <w:color w:val="000000" w:themeColor="text1"/>
    </w:r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06533"/>
    <w:pPr>
      <w:numPr>
        <w:numId w:val="18"/>
      </w:numPr>
    </w:pPr>
  </w:style>
  <w:style w:type="character" w:styleId="FollowedHyperlink">
    <w:name w:val="FollowedHyperlink"/>
    <w:basedOn w:val="DefaultParagraphFont"/>
    <w:uiPriority w:val="99"/>
    <w:semiHidden/>
    <w:unhideWhenUsed/>
    <w:rsid w:val="00C209D6"/>
    <w:rPr>
      <w:color w:val="0046FF" w:themeColor="followedHyperlink"/>
      <w:u w:val="single"/>
    </w:rPr>
  </w:style>
  <w:style w:type="table" w:customStyle="1" w:styleId="TableGrid1">
    <w:name w:val="Table Grid1"/>
    <w:basedOn w:val="TableNormal"/>
    <w:next w:val="TableGrid"/>
    <w:uiPriority w:val="39"/>
    <w:rsid w:val="00C010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numbers Char,Recommendation Char,List Paragraph1 Char,List Paragraph11 Char,L Char,Number Char,#List Paragraph Char,Bullet point Char,List Paragraph111 Char,F5 List Paragraph Char,Dot pt Char,CV text Char"/>
    <w:link w:val="ListParagraph"/>
    <w:uiPriority w:val="34"/>
    <w:qFormat/>
    <w:rsid w:val="00E9413F"/>
    <w:rPr>
      <w:rFonts w:ascii="Calibri" w:hAnsi="Calibri"/>
    </w:rPr>
  </w:style>
  <w:style w:type="paragraph" w:customStyle="1" w:styleId="AppendixHeading1">
    <w:name w:val="Appendix Heading 1"/>
    <w:basedOn w:val="Heading1"/>
    <w:uiPriority w:val="11"/>
    <w:qFormat/>
    <w:rsid w:val="006118FD"/>
    <w:pPr>
      <w:keepNext/>
      <w:keepLines/>
      <w:numPr>
        <w:ilvl w:val="0"/>
        <w:numId w:val="22"/>
      </w:numPr>
      <w:spacing w:before="320"/>
      <w:contextualSpacing/>
    </w:pPr>
    <w:rPr>
      <w:rFonts w:asciiTheme="majorHAnsi" w:eastAsiaTheme="majorEastAsia" w:hAnsiTheme="majorHAnsi" w:cstheme="majorBidi"/>
      <w:bCs/>
      <w:color w:val="081E3F"/>
      <w:kern w:val="0"/>
      <w:sz w:val="32"/>
      <w:szCs w:val="22"/>
    </w:rPr>
  </w:style>
  <w:style w:type="paragraph" w:customStyle="1" w:styleId="AppendixHeading2">
    <w:name w:val="Appendix Heading 2"/>
    <w:basedOn w:val="Heading2"/>
    <w:uiPriority w:val="11"/>
    <w:rsid w:val="006118FD"/>
    <w:pPr>
      <w:keepNext w:val="0"/>
      <w:keepLines w:val="0"/>
      <w:numPr>
        <w:ilvl w:val="1"/>
        <w:numId w:val="22"/>
      </w:numPr>
      <w:spacing w:before="320"/>
    </w:pPr>
    <w:rPr>
      <w:rFonts w:asciiTheme="minorHAnsi" w:eastAsiaTheme="minorHAnsi" w:hAnsiTheme="minorHAnsi" w:cs="Times New Roman (Body CS)"/>
      <w:caps/>
      <w:color w:val="49515C" w:themeColor="accent4" w:themeShade="80"/>
      <w:kern w:val="0"/>
      <w:sz w:val="22"/>
      <w:szCs w:val="22"/>
    </w:rPr>
  </w:style>
  <w:style w:type="numbering" w:customStyle="1" w:styleId="AppendixNumbers">
    <w:name w:val="Appendix Numbers"/>
    <w:uiPriority w:val="99"/>
    <w:rsid w:val="006118FD"/>
    <w:pPr>
      <w:numPr>
        <w:numId w:val="21"/>
      </w:numPr>
    </w:pPr>
  </w:style>
  <w:style w:type="paragraph" w:styleId="Revision">
    <w:name w:val="Revision"/>
    <w:hidden/>
    <w:uiPriority w:val="99"/>
    <w:semiHidden/>
    <w:rsid w:val="00090C84"/>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44826">
      <w:bodyDiv w:val="1"/>
      <w:marLeft w:val="0"/>
      <w:marRight w:val="0"/>
      <w:marTop w:val="0"/>
      <w:marBottom w:val="0"/>
      <w:divBdr>
        <w:top w:val="none" w:sz="0" w:space="0" w:color="auto"/>
        <w:left w:val="none" w:sz="0" w:space="0" w:color="auto"/>
        <w:bottom w:val="none" w:sz="0" w:space="0" w:color="auto"/>
        <w:right w:val="none" w:sz="0" w:space="0" w:color="auto"/>
      </w:divBdr>
    </w:div>
    <w:div w:id="1595896528">
      <w:bodyDiv w:val="1"/>
      <w:marLeft w:val="0"/>
      <w:marRight w:val="0"/>
      <w:marTop w:val="0"/>
      <w:marBottom w:val="0"/>
      <w:divBdr>
        <w:top w:val="none" w:sz="0" w:space="0" w:color="auto"/>
        <w:left w:val="none" w:sz="0" w:space="0" w:color="auto"/>
        <w:bottom w:val="none" w:sz="0" w:space="0" w:color="auto"/>
        <w:right w:val="none" w:sz="0" w:space="0" w:color="auto"/>
      </w:divBdr>
    </w:div>
    <w:div w:id="1670711105">
      <w:bodyDiv w:val="1"/>
      <w:marLeft w:val="0"/>
      <w:marRight w:val="0"/>
      <w:marTop w:val="0"/>
      <w:marBottom w:val="0"/>
      <w:divBdr>
        <w:top w:val="none" w:sz="0" w:space="0" w:color="auto"/>
        <w:left w:val="none" w:sz="0" w:space="0" w:color="auto"/>
        <w:bottom w:val="none" w:sz="0" w:space="0" w:color="auto"/>
        <w:right w:val="none" w:sz="0" w:space="0" w:color="auto"/>
      </w:divBdr>
    </w:div>
    <w:div w:id="208194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asterplan2045.com.au/"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iata.org/en/programs/ops-infra/slots/calendar-of-coordinated-activitie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partment">
      <a:dk1>
        <a:sysClr val="windowText" lastClr="000000"/>
      </a:dk1>
      <a:lt1>
        <a:sysClr val="window" lastClr="FFFFFF"/>
      </a:lt1>
      <a:dk2>
        <a:srgbClr val="081E3E"/>
      </a:dk2>
      <a:lt2>
        <a:srgbClr val="E7E7E7"/>
      </a:lt2>
      <a:accent1>
        <a:srgbClr val="081E3E"/>
      </a:accent1>
      <a:accent2>
        <a:srgbClr val="008089"/>
      </a:accent2>
      <a:accent3>
        <a:srgbClr val="77D1F4"/>
      </a:accent3>
      <a:accent4>
        <a:srgbClr val="9AA3AF"/>
      </a:accent4>
      <a:accent5>
        <a:srgbClr val="C0D48F"/>
      </a:accent5>
      <a:accent6>
        <a:srgbClr val="6FC197"/>
      </a:accent6>
      <a:hlink>
        <a:srgbClr val="0046FF"/>
      </a:hlink>
      <a:folHlink>
        <a:srgbClr val="0046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E4DC-A2B1-4DEB-A953-5F9AD3EC00A4}">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2264</Words>
  <Characters>11842</Characters>
  <Application>Microsoft Office Word</Application>
  <DocSecurity>0</DocSecurity>
  <Lines>394</Lines>
  <Paragraphs>287</Paragraphs>
  <ScaleCrop>false</ScaleCrop>
  <HeadingPairs>
    <vt:vector size="2" baseType="variant">
      <vt:variant>
        <vt:lpstr>Title</vt:lpstr>
      </vt:variant>
      <vt:variant>
        <vt:i4>1</vt:i4>
      </vt:variant>
    </vt:vector>
  </HeadingPairs>
  <TitlesOfParts>
    <vt:vector size="1" baseType="lpstr">
      <vt:lpstr>Guidance to the Slot Manager—Publication of Information—January 2026</vt:lpstr>
    </vt:vector>
  </TitlesOfParts>
  <Company>Department of Infrastructure, Transport, Regional Development, Communications, Sport and the Arts</Company>
  <LinksUpToDate>false</LinksUpToDate>
  <CharactersWithSpaces>13819</CharactersWithSpaces>
  <SharedDoc>false</SharedDoc>
  <HLinks>
    <vt:vector size="36" baseType="variant">
      <vt:variant>
        <vt:i4>1966113</vt:i4>
      </vt:variant>
      <vt:variant>
        <vt:i4>15</vt:i4>
      </vt:variant>
      <vt:variant>
        <vt:i4>0</vt:i4>
      </vt:variant>
      <vt:variant>
        <vt:i4>5</vt:i4>
      </vt:variant>
      <vt:variant>
        <vt:lpwstr/>
      </vt:variant>
      <vt:variant>
        <vt:lpwstr>_Table_3:_Count</vt:lpwstr>
      </vt:variant>
      <vt:variant>
        <vt:i4>983138</vt:i4>
      </vt:variant>
      <vt:variant>
        <vt:i4>12</vt:i4>
      </vt:variant>
      <vt:variant>
        <vt:i4>0</vt:i4>
      </vt:variant>
      <vt:variant>
        <vt:i4>5</vt:i4>
      </vt:variant>
      <vt:variant>
        <vt:lpwstr/>
      </vt:variant>
      <vt:variant>
        <vt:lpwstr>_Table_2b:_Mid-season</vt:lpwstr>
      </vt:variant>
      <vt:variant>
        <vt:i4>7995485</vt:i4>
      </vt:variant>
      <vt:variant>
        <vt:i4>9</vt:i4>
      </vt:variant>
      <vt:variant>
        <vt:i4>0</vt:i4>
      </vt:variant>
      <vt:variant>
        <vt:i4>5</vt:i4>
      </vt:variant>
      <vt:variant>
        <vt:lpwstr/>
      </vt:variant>
      <vt:variant>
        <vt:lpwstr>_Table_2a:_End</vt:lpwstr>
      </vt:variant>
      <vt:variant>
        <vt:i4>6815798</vt:i4>
      </vt:variant>
      <vt:variant>
        <vt:i4>6</vt:i4>
      </vt:variant>
      <vt:variant>
        <vt:i4>0</vt:i4>
      </vt:variant>
      <vt:variant>
        <vt:i4>5</vt:i4>
      </vt:variant>
      <vt:variant>
        <vt:lpwstr>https://www.masterplan2045.com.au/</vt:lpwstr>
      </vt:variant>
      <vt:variant>
        <vt:lpwstr/>
      </vt:variant>
      <vt:variant>
        <vt:i4>4325389</vt:i4>
      </vt:variant>
      <vt:variant>
        <vt:i4>3</vt:i4>
      </vt:variant>
      <vt:variant>
        <vt:i4>0</vt:i4>
      </vt:variant>
      <vt:variant>
        <vt:i4>5</vt:i4>
      </vt:variant>
      <vt:variant>
        <vt:lpwstr/>
      </vt:variant>
      <vt:variant>
        <vt:lpwstr>_Table_1:</vt:lpwstr>
      </vt:variant>
      <vt:variant>
        <vt:i4>1048642</vt:i4>
      </vt:variant>
      <vt:variant>
        <vt:i4>0</vt:i4>
      </vt:variant>
      <vt:variant>
        <vt:i4>0</vt:i4>
      </vt:variant>
      <vt:variant>
        <vt:i4>5</vt:i4>
      </vt:variant>
      <vt:variant>
        <vt:lpwstr>https://www.iata.org/en/programs/ops-infra/slots/calendar-of-coordinated-activities/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to the Slot Manager—Publication of Information—January 2026</dc:title>
  <dc:subject/>
  <dc:creator>Department of Infrastructure, Transport, Regional Development, Communications, Sport and the Arts</dc:creator>
  <cp:keywords/>
  <dc:description>20 January 2026</dc:description>
  <cp:lastModifiedBy>Hall, Theresa</cp:lastModifiedBy>
  <cp:revision>3</cp:revision>
  <dcterms:created xsi:type="dcterms:W3CDTF">2026-02-12T01:39:00Z</dcterms:created>
  <dcterms:modified xsi:type="dcterms:W3CDTF">2026-02-12T01:41:00Z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76ea7342,5c8733db,3f884012</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6c7b6e49,69ef75c8,7b68ccef</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