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42490" w14:textId="77777777" w:rsidR="00C3421C" w:rsidRPr="00E70441" w:rsidRDefault="00C3421C" w:rsidP="000123E5">
      <w:pPr>
        <w:pStyle w:val="Title"/>
        <w:rPr>
          <w:rFonts w:asciiTheme="minorHAnsi" w:hAnsiTheme="minorHAnsi" w:cstheme="minorHAnsi"/>
          <w:sz w:val="24"/>
          <w:szCs w:val="24"/>
        </w:rPr>
      </w:pPr>
    </w:p>
    <w:p w14:paraId="220B902A" w14:textId="77777777" w:rsidR="00C3421C" w:rsidRPr="00E70441" w:rsidRDefault="00C3421C" w:rsidP="00C3421C">
      <w:pPr>
        <w:rPr>
          <w:rFonts w:asciiTheme="minorHAnsi" w:hAnsiTheme="minorHAnsi" w:cstheme="minorHAnsi"/>
          <w:sz w:val="24"/>
          <w:szCs w:val="24"/>
        </w:rPr>
      </w:pPr>
      <w:r w:rsidRPr="00E70441">
        <w:rPr>
          <w:rFonts w:asciiTheme="minorHAnsi" w:hAnsiTheme="minorHAnsi" w:cstheme="minorHAnsi"/>
          <w:sz w:val="24"/>
          <w:szCs w:val="24"/>
        </w:rPr>
        <w:t xml:space="preserve"> </w:t>
      </w:r>
    </w:p>
    <w:p w14:paraId="30A66BA8" w14:textId="77777777" w:rsidR="00C3421C" w:rsidRPr="00E70441" w:rsidRDefault="00C3421C" w:rsidP="00C3421C">
      <w:pPr>
        <w:rPr>
          <w:rFonts w:asciiTheme="minorHAnsi" w:hAnsiTheme="minorHAnsi" w:cstheme="minorHAnsi"/>
          <w:sz w:val="24"/>
          <w:szCs w:val="24"/>
        </w:rPr>
      </w:pPr>
      <w:r w:rsidRPr="00E70441">
        <w:rPr>
          <w:rFonts w:asciiTheme="minorHAnsi" w:hAnsiTheme="minorHAnsi" w:cstheme="minorHAnsi"/>
          <w:sz w:val="24"/>
          <w:szCs w:val="24"/>
        </w:rPr>
        <w:t xml:space="preserve"> </w:t>
      </w:r>
    </w:p>
    <w:p w14:paraId="7B7CE20C" w14:textId="3280C08D" w:rsidR="00C3421C" w:rsidRPr="00E70441" w:rsidRDefault="0014118E" w:rsidP="0014118E">
      <w:pPr>
        <w:jc w:val="center"/>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1067AF00" wp14:editId="05068730">
            <wp:extent cx="1588011" cy="798578"/>
            <wp:effectExtent l="0" t="0" r="0" b="1905"/>
            <wp:docPr id="1457155867"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155867" name="Picture 2" descr="Australian Government cre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8011" cy="798578"/>
                    </a:xfrm>
                    <a:prstGeom prst="rect">
                      <a:avLst/>
                    </a:prstGeom>
                  </pic:spPr>
                </pic:pic>
              </a:graphicData>
            </a:graphic>
          </wp:inline>
        </w:drawing>
      </w:r>
    </w:p>
    <w:p w14:paraId="00F8D449" w14:textId="77777777" w:rsidR="00C3421C" w:rsidRPr="00E70441" w:rsidRDefault="00C3421C" w:rsidP="00C3421C">
      <w:pPr>
        <w:jc w:val="center"/>
        <w:rPr>
          <w:rFonts w:asciiTheme="minorHAnsi" w:hAnsiTheme="minorHAnsi" w:cstheme="minorHAnsi"/>
          <w:sz w:val="24"/>
          <w:szCs w:val="24"/>
        </w:rPr>
      </w:pPr>
      <w:r w:rsidRPr="00E70441">
        <w:rPr>
          <w:rFonts w:asciiTheme="minorHAnsi" w:hAnsiTheme="minorHAnsi" w:cstheme="minorHAnsi"/>
          <w:sz w:val="24"/>
          <w:szCs w:val="24"/>
        </w:rPr>
        <w:t xml:space="preserve"> </w:t>
      </w:r>
    </w:p>
    <w:p w14:paraId="64F4939D" w14:textId="77777777" w:rsidR="00C3421C" w:rsidRPr="00E70441" w:rsidRDefault="00C3421C" w:rsidP="00C3421C">
      <w:pPr>
        <w:jc w:val="center"/>
        <w:rPr>
          <w:rFonts w:asciiTheme="minorHAnsi" w:hAnsiTheme="minorHAnsi" w:cstheme="minorHAnsi"/>
          <w:sz w:val="24"/>
          <w:szCs w:val="24"/>
        </w:rPr>
      </w:pPr>
      <w:r w:rsidRPr="00E70441">
        <w:rPr>
          <w:rFonts w:asciiTheme="minorHAnsi" w:hAnsiTheme="minorHAnsi" w:cstheme="minorHAnsi"/>
          <w:sz w:val="24"/>
          <w:szCs w:val="24"/>
        </w:rPr>
        <w:t xml:space="preserve"> </w:t>
      </w:r>
    </w:p>
    <w:p w14:paraId="15CFD67D" w14:textId="77777777" w:rsidR="00C3421C" w:rsidRPr="00E70441" w:rsidRDefault="00C3421C" w:rsidP="00C3421C">
      <w:pPr>
        <w:jc w:val="center"/>
        <w:rPr>
          <w:rFonts w:asciiTheme="minorHAnsi" w:hAnsiTheme="minorHAnsi" w:cstheme="minorHAnsi"/>
          <w:sz w:val="24"/>
          <w:szCs w:val="24"/>
        </w:rPr>
      </w:pPr>
      <w:r w:rsidRPr="00E70441">
        <w:rPr>
          <w:rFonts w:asciiTheme="minorHAnsi" w:hAnsiTheme="minorHAnsi" w:cstheme="minorHAnsi"/>
          <w:sz w:val="24"/>
          <w:szCs w:val="24"/>
        </w:rPr>
        <w:t xml:space="preserve"> </w:t>
      </w:r>
    </w:p>
    <w:p w14:paraId="6164404A" w14:textId="77777777" w:rsidR="00C3421C" w:rsidRPr="00E70441" w:rsidRDefault="00C3421C" w:rsidP="00C3421C">
      <w:pPr>
        <w:jc w:val="center"/>
        <w:rPr>
          <w:rFonts w:asciiTheme="minorHAnsi" w:hAnsiTheme="minorHAnsi" w:cstheme="minorHAnsi"/>
          <w:sz w:val="28"/>
          <w:szCs w:val="28"/>
        </w:rPr>
      </w:pPr>
      <w:r w:rsidRPr="00E70441">
        <w:rPr>
          <w:rFonts w:asciiTheme="minorHAnsi" w:hAnsiTheme="minorHAnsi" w:cstheme="minorHAnsi"/>
          <w:sz w:val="28"/>
          <w:szCs w:val="28"/>
        </w:rPr>
        <w:t xml:space="preserve"> </w:t>
      </w:r>
    </w:p>
    <w:p w14:paraId="5E0350A4" w14:textId="77777777" w:rsidR="00C3421C" w:rsidRPr="00E70441" w:rsidRDefault="00C3421C" w:rsidP="00C3421C">
      <w:pPr>
        <w:jc w:val="center"/>
        <w:rPr>
          <w:rFonts w:asciiTheme="minorHAnsi" w:hAnsiTheme="minorHAnsi" w:cstheme="minorHAnsi"/>
          <w:sz w:val="28"/>
          <w:szCs w:val="28"/>
        </w:rPr>
      </w:pPr>
      <w:r w:rsidRPr="00E70441">
        <w:rPr>
          <w:rFonts w:asciiTheme="minorHAnsi" w:hAnsiTheme="minorHAnsi" w:cstheme="minorHAnsi"/>
          <w:sz w:val="28"/>
          <w:szCs w:val="28"/>
        </w:rPr>
        <w:t xml:space="preserve">Government Response to the Independent Review of the </w:t>
      </w:r>
    </w:p>
    <w:p w14:paraId="403983C9" w14:textId="77777777" w:rsidR="00C3421C" w:rsidRPr="00E70441" w:rsidRDefault="00C3421C" w:rsidP="00C3421C">
      <w:pPr>
        <w:jc w:val="center"/>
        <w:rPr>
          <w:rFonts w:asciiTheme="minorHAnsi" w:hAnsiTheme="minorHAnsi" w:cstheme="minorHAnsi"/>
          <w:sz w:val="28"/>
          <w:szCs w:val="28"/>
        </w:rPr>
      </w:pPr>
      <w:r w:rsidRPr="00E70441">
        <w:rPr>
          <w:rFonts w:asciiTheme="minorHAnsi" w:hAnsiTheme="minorHAnsi" w:cstheme="minorHAnsi"/>
          <w:i/>
          <w:iCs/>
          <w:sz w:val="28"/>
          <w:szCs w:val="28"/>
        </w:rPr>
        <w:t>Online Safety Act 2021</w:t>
      </w:r>
    </w:p>
    <w:p w14:paraId="7981988C" w14:textId="77777777" w:rsidR="00C3421C" w:rsidRPr="00E70441" w:rsidRDefault="00C3421C" w:rsidP="00C3421C">
      <w:pPr>
        <w:rPr>
          <w:rFonts w:asciiTheme="minorHAnsi" w:hAnsiTheme="minorHAnsi" w:cstheme="minorHAnsi"/>
          <w:sz w:val="28"/>
          <w:szCs w:val="28"/>
        </w:rPr>
      </w:pPr>
      <w:r w:rsidRPr="00E70441">
        <w:rPr>
          <w:rFonts w:asciiTheme="minorHAnsi" w:hAnsiTheme="minorHAnsi" w:cstheme="minorHAnsi"/>
          <w:sz w:val="28"/>
          <w:szCs w:val="28"/>
        </w:rPr>
        <w:t xml:space="preserve"> </w:t>
      </w:r>
    </w:p>
    <w:p w14:paraId="7BC62D97" w14:textId="77777777" w:rsidR="00C3421C" w:rsidRPr="00E70441" w:rsidRDefault="00C3421C" w:rsidP="00C3421C">
      <w:pPr>
        <w:rPr>
          <w:rFonts w:asciiTheme="minorHAnsi" w:hAnsiTheme="minorHAnsi" w:cstheme="minorHAnsi"/>
          <w:sz w:val="24"/>
          <w:szCs w:val="24"/>
          <w:highlight w:val="yellow"/>
        </w:rPr>
      </w:pPr>
      <w:r w:rsidRPr="00E70441">
        <w:rPr>
          <w:rFonts w:asciiTheme="minorHAnsi" w:hAnsiTheme="minorHAnsi" w:cstheme="minorHAnsi"/>
          <w:sz w:val="24"/>
          <w:szCs w:val="24"/>
          <w:highlight w:val="yellow"/>
        </w:rPr>
        <w:t xml:space="preserve"> </w:t>
      </w:r>
    </w:p>
    <w:p w14:paraId="7CCFE812" w14:textId="77777777" w:rsidR="00C3421C" w:rsidRPr="00E70441" w:rsidRDefault="00C3421C" w:rsidP="00C3421C">
      <w:pPr>
        <w:rPr>
          <w:rFonts w:asciiTheme="minorHAnsi" w:hAnsiTheme="minorHAnsi" w:cstheme="minorHAnsi"/>
          <w:sz w:val="24"/>
          <w:szCs w:val="24"/>
          <w:highlight w:val="yellow"/>
        </w:rPr>
      </w:pPr>
      <w:r w:rsidRPr="00E70441">
        <w:rPr>
          <w:rFonts w:asciiTheme="minorHAnsi" w:hAnsiTheme="minorHAnsi" w:cstheme="minorHAnsi"/>
          <w:sz w:val="24"/>
          <w:szCs w:val="24"/>
          <w:highlight w:val="yellow"/>
        </w:rPr>
        <w:t xml:space="preserve"> </w:t>
      </w:r>
    </w:p>
    <w:p w14:paraId="4F07023C" w14:textId="77777777" w:rsidR="00C3421C" w:rsidRPr="00E70441" w:rsidRDefault="00C3421C" w:rsidP="00C3421C">
      <w:pPr>
        <w:rPr>
          <w:rFonts w:asciiTheme="minorHAnsi" w:hAnsiTheme="minorHAnsi" w:cstheme="minorHAnsi"/>
          <w:sz w:val="24"/>
          <w:szCs w:val="24"/>
          <w:highlight w:val="yellow"/>
        </w:rPr>
      </w:pPr>
      <w:r w:rsidRPr="00E70441">
        <w:rPr>
          <w:rFonts w:asciiTheme="minorHAnsi" w:hAnsiTheme="minorHAnsi" w:cstheme="minorHAnsi"/>
          <w:sz w:val="24"/>
          <w:szCs w:val="24"/>
          <w:highlight w:val="yellow"/>
        </w:rPr>
        <w:t xml:space="preserve"> </w:t>
      </w:r>
    </w:p>
    <w:p w14:paraId="5AED8FD6" w14:textId="77777777" w:rsidR="00C3421C" w:rsidRPr="00E70441" w:rsidRDefault="00C3421C" w:rsidP="00C3421C">
      <w:pPr>
        <w:rPr>
          <w:rFonts w:asciiTheme="minorHAnsi" w:hAnsiTheme="minorHAnsi" w:cstheme="minorHAnsi"/>
          <w:sz w:val="24"/>
          <w:szCs w:val="24"/>
          <w:highlight w:val="yellow"/>
        </w:rPr>
      </w:pPr>
      <w:r w:rsidRPr="00E70441">
        <w:rPr>
          <w:rFonts w:asciiTheme="minorHAnsi" w:hAnsiTheme="minorHAnsi" w:cstheme="minorHAnsi"/>
          <w:sz w:val="24"/>
          <w:szCs w:val="24"/>
          <w:highlight w:val="yellow"/>
        </w:rPr>
        <w:t xml:space="preserve"> </w:t>
      </w:r>
    </w:p>
    <w:p w14:paraId="66B3EEFD" w14:textId="77777777" w:rsidR="00C3421C" w:rsidRPr="00E70441" w:rsidRDefault="00C3421C" w:rsidP="00C3421C">
      <w:pPr>
        <w:rPr>
          <w:rFonts w:asciiTheme="minorHAnsi" w:hAnsiTheme="minorHAnsi" w:cstheme="minorHAnsi"/>
          <w:sz w:val="24"/>
          <w:szCs w:val="24"/>
          <w:highlight w:val="yellow"/>
        </w:rPr>
      </w:pPr>
      <w:r w:rsidRPr="00E70441">
        <w:rPr>
          <w:rFonts w:asciiTheme="minorHAnsi" w:hAnsiTheme="minorHAnsi" w:cstheme="minorHAnsi"/>
          <w:sz w:val="24"/>
          <w:szCs w:val="24"/>
          <w:highlight w:val="yellow"/>
        </w:rPr>
        <w:t xml:space="preserve"> </w:t>
      </w:r>
    </w:p>
    <w:p w14:paraId="1FE44F7B" w14:textId="77777777" w:rsidR="00C3421C" w:rsidRPr="00E70441" w:rsidRDefault="00C3421C" w:rsidP="00C3421C">
      <w:pPr>
        <w:rPr>
          <w:rFonts w:asciiTheme="minorHAnsi" w:hAnsiTheme="minorHAnsi" w:cstheme="minorHAnsi"/>
          <w:sz w:val="24"/>
          <w:szCs w:val="24"/>
          <w:highlight w:val="yellow"/>
        </w:rPr>
      </w:pPr>
      <w:r w:rsidRPr="00E70441">
        <w:rPr>
          <w:rFonts w:asciiTheme="minorHAnsi" w:hAnsiTheme="minorHAnsi" w:cstheme="minorHAnsi"/>
          <w:sz w:val="24"/>
          <w:szCs w:val="24"/>
          <w:highlight w:val="yellow"/>
        </w:rPr>
        <w:t xml:space="preserve"> </w:t>
      </w:r>
    </w:p>
    <w:p w14:paraId="14C9E6EC" w14:textId="77777777" w:rsidR="00C3421C" w:rsidRPr="00E70441" w:rsidRDefault="00C3421C" w:rsidP="00C3421C">
      <w:pPr>
        <w:rPr>
          <w:rFonts w:asciiTheme="minorHAnsi" w:hAnsiTheme="minorHAnsi" w:cstheme="minorHAnsi"/>
          <w:sz w:val="24"/>
          <w:szCs w:val="24"/>
          <w:highlight w:val="yellow"/>
        </w:rPr>
      </w:pPr>
      <w:r w:rsidRPr="00E70441">
        <w:rPr>
          <w:rFonts w:asciiTheme="minorHAnsi" w:hAnsiTheme="minorHAnsi" w:cstheme="minorHAnsi"/>
          <w:sz w:val="24"/>
          <w:szCs w:val="24"/>
          <w:highlight w:val="yellow"/>
        </w:rPr>
        <w:t xml:space="preserve"> </w:t>
      </w:r>
    </w:p>
    <w:p w14:paraId="20AC98EB" w14:textId="77777777" w:rsidR="00C3421C" w:rsidRPr="00E70441" w:rsidRDefault="00C3421C" w:rsidP="00C3421C">
      <w:pPr>
        <w:rPr>
          <w:rFonts w:asciiTheme="minorHAnsi" w:hAnsiTheme="minorHAnsi" w:cstheme="minorHAnsi"/>
          <w:sz w:val="24"/>
          <w:szCs w:val="24"/>
        </w:rPr>
      </w:pPr>
      <w:r w:rsidRPr="00E70441">
        <w:rPr>
          <w:rFonts w:asciiTheme="minorHAnsi" w:hAnsiTheme="minorHAnsi" w:cstheme="minorHAnsi"/>
          <w:sz w:val="24"/>
          <w:szCs w:val="24"/>
          <w:highlight w:val="yellow"/>
        </w:rPr>
        <w:t xml:space="preserve"> </w:t>
      </w:r>
    </w:p>
    <w:p w14:paraId="18733728" w14:textId="051FFBDF" w:rsidR="00C3421C" w:rsidRPr="00E70441" w:rsidRDefault="007348B9" w:rsidP="00C3421C">
      <w:pPr>
        <w:jc w:val="center"/>
        <w:rPr>
          <w:rFonts w:asciiTheme="minorHAnsi" w:hAnsiTheme="minorHAnsi" w:cstheme="minorHAnsi"/>
          <w:sz w:val="24"/>
          <w:szCs w:val="24"/>
        </w:rPr>
      </w:pPr>
      <w:r w:rsidRPr="0006560D">
        <w:rPr>
          <w:rFonts w:asciiTheme="minorHAnsi" w:hAnsiTheme="minorHAnsi" w:cstheme="minorHAnsi"/>
          <w:sz w:val="24"/>
          <w:szCs w:val="24"/>
        </w:rPr>
        <w:t>14 April 202</w:t>
      </w:r>
      <w:r w:rsidR="009A44AE" w:rsidRPr="0006560D">
        <w:rPr>
          <w:rFonts w:asciiTheme="minorHAnsi" w:hAnsiTheme="minorHAnsi" w:cstheme="minorHAnsi"/>
          <w:sz w:val="24"/>
          <w:szCs w:val="24"/>
        </w:rPr>
        <w:t>6</w:t>
      </w:r>
    </w:p>
    <w:p w14:paraId="1717AD76" w14:textId="77777777" w:rsidR="00C3421C" w:rsidRPr="00E70441" w:rsidRDefault="00C3421C" w:rsidP="00C3421C">
      <w:pPr>
        <w:rPr>
          <w:rFonts w:asciiTheme="minorHAnsi" w:hAnsiTheme="minorHAnsi" w:cstheme="minorHAnsi"/>
          <w:sz w:val="24"/>
          <w:szCs w:val="24"/>
          <w:highlight w:val="yellow"/>
        </w:rPr>
      </w:pPr>
      <w:r w:rsidRPr="00E70441">
        <w:rPr>
          <w:rFonts w:asciiTheme="minorHAnsi" w:hAnsiTheme="minorHAnsi" w:cstheme="minorHAnsi"/>
          <w:sz w:val="24"/>
          <w:szCs w:val="24"/>
          <w:highlight w:val="yellow"/>
        </w:rPr>
        <w:t xml:space="preserve"> </w:t>
      </w:r>
    </w:p>
    <w:p w14:paraId="026636A0" w14:textId="77777777" w:rsidR="00C3421C" w:rsidRPr="00E70441" w:rsidRDefault="00C3421C" w:rsidP="00C3421C">
      <w:pPr>
        <w:rPr>
          <w:rFonts w:asciiTheme="minorHAnsi" w:hAnsiTheme="minorHAnsi" w:cstheme="minorHAnsi"/>
          <w:sz w:val="24"/>
          <w:szCs w:val="24"/>
          <w:highlight w:val="yellow"/>
        </w:rPr>
      </w:pPr>
      <w:r w:rsidRPr="00E70441">
        <w:rPr>
          <w:rFonts w:asciiTheme="minorHAnsi" w:hAnsiTheme="minorHAnsi" w:cstheme="minorHAnsi"/>
          <w:sz w:val="24"/>
          <w:szCs w:val="24"/>
          <w:highlight w:val="yellow"/>
          <w:lang w:val="en-US"/>
        </w:rPr>
        <w:t xml:space="preserve"> </w:t>
      </w:r>
    </w:p>
    <w:p w14:paraId="264A58CA" w14:textId="77777777" w:rsidR="00C3421C" w:rsidRPr="00E70441" w:rsidRDefault="00C3421C" w:rsidP="00C3421C">
      <w:pPr>
        <w:rPr>
          <w:rFonts w:asciiTheme="minorHAnsi" w:hAnsiTheme="minorHAnsi" w:cstheme="minorHAnsi"/>
          <w:sz w:val="24"/>
          <w:szCs w:val="24"/>
          <w:highlight w:val="yellow"/>
        </w:rPr>
      </w:pPr>
      <w:r w:rsidRPr="00E70441">
        <w:rPr>
          <w:rFonts w:asciiTheme="minorHAnsi" w:hAnsiTheme="minorHAnsi" w:cstheme="minorHAnsi"/>
          <w:sz w:val="24"/>
          <w:szCs w:val="24"/>
          <w:highlight w:val="yellow"/>
          <w:lang w:val="en-US"/>
        </w:rPr>
        <w:t xml:space="preserve"> </w:t>
      </w:r>
    </w:p>
    <w:p w14:paraId="0D3D0DDD" w14:textId="77777777" w:rsidR="00C3421C" w:rsidRPr="00E70441" w:rsidRDefault="00C3421C" w:rsidP="00C3421C">
      <w:pPr>
        <w:rPr>
          <w:rFonts w:asciiTheme="minorHAnsi" w:hAnsiTheme="minorHAnsi" w:cstheme="minorHAnsi"/>
          <w:sz w:val="24"/>
          <w:szCs w:val="24"/>
          <w:highlight w:val="yellow"/>
        </w:rPr>
      </w:pPr>
      <w:r w:rsidRPr="00E70441">
        <w:rPr>
          <w:rFonts w:asciiTheme="minorHAnsi" w:hAnsiTheme="minorHAnsi" w:cstheme="minorHAnsi"/>
          <w:sz w:val="24"/>
          <w:szCs w:val="24"/>
          <w:highlight w:val="yellow"/>
        </w:rPr>
        <w:br/>
      </w:r>
    </w:p>
    <w:p w14:paraId="7A497E8B" w14:textId="77777777" w:rsidR="00C3421C" w:rsidRPr="00E70441" w:rsidRDefault="00C3421C" w:rsidP="00C3421C">
      <w:pPr>
        <w:rPr>
          <w:rFonts w:asciiTheme="minorHAnsi" w:hAnsiTheme="minorHAnsi" w:cstheme="minorHAnsi"/>
          <w:sz w:val="24"/>
          <w:szCs w:val="24"/>
          <w:highlight w:val="yellow"/>
        </w:rPr>
      </w:pPr>
      <w:r w:rsidRPr="00E70441">
        <w:rPr>
          <w:rFonts w:asciiTheme="minorHAnsi" w:hAnsiTheme="minorHAnsi" w:cstheme="minorHAnsi"/>
          <w:sz w:val="24"/>
          <w:szCs w:val="24"/>
          <w:highlight w:val="yellow"/>
        </w:rPr>
        <w:lastRenderedPageBreak/>
        <w:t xml:space="preserve"> </w:t>
      </w:r>
    </w:p>
    <w:p w14:paraId="62D55636" w14:textId="77777777" w:rsidR="00F963E9" w:rsidRPr="00E70441" w:rsidRDefault="00F963E9" w:rsidP="00F963E9">
      <w:pPr>
        <w:pStyle w:val="Heading1"/>
        <w:numPr>
          <w:ilvl w:val="0"/>
          <w:numId w:val="0"/>
        </w:numPr>
        <w:ind w:left="360" w:hanging="360"/>
        <w:rPr>
          <w:rFonts w:asciiTheme="minorHAnsi" w:hAnsiTheme="minorHAnsi" w:cstheme="minorHAnsi"/>
          <w:sz w:val="24"/>
          <w:szCs w:val="24"/>
        </w:rPr>
      </w:pPr>
      <w:r w:rsidRPr="00E70441">
        <w:rPr>
          <w:rFonts w:asciiTheme="minorHAnsi" w:hAnsiTheme="minorHAnsi" w:cstheme="minorHAnsi"/>
          <w:sz w:val="24"/>
          <w:szCs w:val="24"/>
        </w:rPr>
        <w:t>Preamble</w:t>
      </w:r>
    </w:p>
    <w:p w14:paraId="2D5932E8" w14:textId="5E9D1216" w:rsidR="00F963E9" w:rsidRPr="00E70441" w:rsidRDefault="00F963E9" w:rsidP="00F963E9">
      <w:pPr>
        <w:rPr>
          <w:rFonts w:asciiTheme="minorHAnsi" w:hAnsiTheme="minorHAnsi" w:cstheme="minorHAnsi"/>
          <w:sz w:val="24"/>
          <w:szCs w:val="24"/>
        </w:rPr>
      </w:pPr>
      <w:r w:rsidRPr="00E70441">
        <w:rPr>
          <w:rFonts w:asciiTheme="minorHAnsi" w:hAnsiTheme="minorHAnsi" w:cstheme="minorHAnsi"/>
          <w:sz w:val="24"/>
          <w:szCs w:val="24"/>
        </w:rPr>
        <w:t xml:space="preserve">This is the Australian Government’s response to the Report of the Statutory Review of the </w:t>
      </w:r>
      <w:r w:rsidRPr="00E70441">
        <w:rPr>
          <w:rFonts w:asciiTheme="minorHAnsi" w:hAnsiTheme="minorHAnsi" w:cstheme="minorHAnsi"/>
          <w:i/>
          <w:iCs/>
          <w:sz w:val="24"/>
          <w:szCs w:val="24"/>
        </w:rPr>
        <w:t>Online Safety Act 2021</w:t>
      </w:r>
      <w:r w:rsidRPr="00E70441">
        <w:rPr>
          <w:rFonts w:asciiTheme="minorHAnsi" w:hAnsiTheme="minorHAnsi" w:cstheme="minorHAnsi"/>
          <w:sz w:val="24"/>
          <w:szCs w:val="24"/>
        </w:rPr>
        <w:t xml:space="preserve"> conducted by Ms Delia Rickard PSM</w:t>
      </w:r>
      <w:r w:rsidR="001A5A63">
        <w:rPr>
          <w:rFonts w:asciiTheme="minorHAnsi" w:hAnsiTheme="minorHAnsi" w:cstheme="minorHAnsi"/>
          <w:sz w:val="24"/>
          <w:szCs w:val="24"/>
        </w:rPr>
        <w:t xml:space="preserve">. </w:t>
      </w:r>
      <w:r w:rsidRPr="00E70441">
        <w:rPr>
          <w:rFonts w:asciiTheme="minorHAnsi" w:hAnsiTheme="minorHAnsi" w:cstheme="minorHAnsi"/>
          <w:sz w:val="24"/>
          <w:szCs w:val="24"/>
        </w:rPr>
        <w:t xml:space="preserve">The review was a comprehensive examination of the Act </w:t>
      </w:r>
      <w:r w:rsidR="001A5A63">
        <w:rPr>
          <w:rFonts w:asciiTheme="minorHAnsi" w:hAnsiTheme="minorHAnsi" w:cstheme="minorHAnsi"/>
          <w:sz w:val="24"/>
          <w:szCs w:val="24"/>
        </w:rPr>
        <w:t>to ensure</w:t>
      </w:r>
      <w:r w:rsidRPr="00E70441">
        <w:rPr>
          <w:rFonts w:asciiTheme="minorHAnsi" w:hAnsiTheme="minorHAnsi" w:cstheme="minorHAnsi"/>
          <w:sz w:val="24"/>
          <w:szCs w:val="24"/>
        </w:rPr>
        <w:t xml:space="preserve"> Australia’s online safety laws remain fit for purpose in an ever-changing online environment. </w:t>
      </w:r>
    </w:p>
    <w:p w14:paraId="5202A73A" w14:textId="4ACBBA79" w:rsidR="00F963E9" w:rsidRPr="00E70441" w:rsidRDefault="00F963E9" w:rsidP="00F963E9">
      <w:pPr>
        <w:rPr>
          <w:rFonts w:asciiTheme="minorHAnsi" w:hAnsiTheme="minorHAnsi" w:cstheme="minorHAnsi"/>
          <w:sz w:val="24"/>
          <w:szCs w:val="24"/>
        </w:rPr>
      </w:pPr>
      <w:r w:rsidRPr="00E70441">
        <w:rPr>
          <w:rFonts w:asciiTheme="minorHAnsi" w:hAnsiTheme="minorHAnsi" w:cstheme="minorHAnsi"/>
          <w:sz w:val="24"/>
          <w:szCs w:val="24"/>
        </w:rPr>
        <w:t>The Government thanks Ms Rickard for undertaking this important review and acknowledges the broad community consultation that has informed the review’s 67</w:t>
      </w:r>
      <w:r>
        <w:rPr>
          <w:rFonts w:asciiTheme="minorHAnsi" w:hAnsiTheme="minorHAnsi" w:cstheme="minorHAnsi"/>
          <w:sz w:val="24"/>
          <w:szCs w:val="24"/>
        </w:rPr>
        <w:t> </w:t>
      </w:r>
      <w:r w:rsidRPr="00E70441">
        <w:rPr>
          <w:rFonts w:asciiTheme="minorHAnsi" w:hAnsiTheme="minorHAnsi" w:cstheme="minorHAnsi"/>
          <w:sz w:val="24"/>
          <w:szCs w:val="24"/>
        </w:rPr>
        <w:t xml:space="preserve">recommendations. The Government extends its gratitude to the many individuals and organisations who contributed their insights, experiences and expertise to support positive online experiences for the Australian community. </w:t>
      </w:r>
    </w:p>
    <w:p w14:paraId="4AD637B5" w14:textId="70AFEF67" w:rsidR="00F963E9" w:rsidRPr="00E70441" w:rsidRDefault="00F963E9" w:rsidP="00F963E9">
      <w:pPr>
        <w:rPr>
          <w:rFonts w:asciiTheme="minorHAnsi" w:hAnsiTheme="minorHAnsi" w:cstheme="minorHAnsi"/>
          <w:sz w:val="24"/>
          <w:szCs w:val="24"/>
        </w:rPr>
      </w:pPr>
      <w:r w:rsidRPr="00E70441">
        <w:rPr>
          <w:rFonts w:asciiTheme="minorHAnsi" w:hAnsiTheme="minorHAnsi" w:cstheme="minorHAnsi"/>
          <w:sz w:val="24"/>
          <w:szCs w:val="24"/>
        </w:rPr>
        <w:t xml:space="preserve">Australia’s world-leading </w:t>
      </w:r>
      <w:r w:rsidRPr="00803543">
        <w:rPr>
          <w:rFonts w:asciiTheme="minorHAnsi" w:hAnsiTheme="minorHAnsi" w:cstheme="minorHAnsi"/>
          <w:i/>
          <w:iCs/>
          <w:sz w:val="24"/>
          <w:szCs w:val="24"/>
        </w:rPr>
        <w:t xml:space="preserve">Online Safety Act </w:t>
      </w:r>
      <w:r w:rsidR="00803543" w:rsidRPr="00803543">
        <w:rPr>
          <w:rFonts w:asciiTheme="minorHAnsi" w:hAnsiTheme="minorHAnsi" w:cstheme="minorHAnsi"/>
          <w:i/>
          <w:iCs/>
          <w:sz w:val="24"/>
          <w:szCs w:val="24"/>
        </w:rPr>
        <w:t>2021</w:t>
      </w:r>
      <w:r w:rsidR="00803543">
        <w:rPr>
          <w:rFonts w:asciiTheme="minorHAnsi" w:hAnsiTheme="minorHAnsi" w:cstheme="minorHAnsi"/>
          <w:sz w:val="24"/>
          <w:szCs w:val="24"/>
        </w:rPr>
        <w:t xml:space="preserve"> </w:t>
      </w:r>
      <w:r>
        <w:rPr>
          <w:rFonts w:asciiTheme="minorHAnsi" w:hAnsiTheme="minorHAnsi" w:cstheme="minorHAnsi"/>
          <w:sz w:val="24"/>
          <w:szCs w:val="24"/>
        </w:rPr>
        <w:t>(the Act)</w:t>
      </w:r>
      <w:r w:rsidRPr="00E70441">
        <w:rPr>
          <w:rFonts w:asciiTheme="minorHAnsi" w:hAnsiTheme="minorHAnsi" w:cstheme="minorHAnsi"/>
          <w:i/>
          <w:iCs/>
          <w:sz w:val="24"/>
          <w:szCs w:val="24"/>
        </w:rPr>
        <w:t xml:space="preserve"> </w:t>
      </w:r>
      <w:r w:rsidRPr="00E70441">
        <w:rPr>
          <w:rFonts w:asciiTheme="minorHAnsi" w:hAnsiTheme="minorHAnsi" w:cstheme="minorHAnsi"/>
          <w:sz w:val="24"/>
          <w:szCs w:val="24"/>
        </w:rPr>
        <w:t xml:space="preserve">sets the benchmark for addressing online harms to individuals and holding industry to account for the safety of their services. Much has been </w:t>
      </w:r>
      <w:r>
        <w:rPr>
          <w:rFonts w:asciiTheme="minorHAnsi" w:hAnsiTheme="minorHAnsi" w:cstheme="minorHAnsi"/>
          <w:sz w:val="24"/>
          <w:szCs w:val="24"/>
        </w:rPr>
        <w:t xml:space="preserve">achieved since the </w:t>
      </w:r>
      <w:r w:rsidRPr="00E70441">
        <w:rPr>
          <w:rFonts w:asciiTheme="minorHAnsi" w:hAnsiTheme="minorHAnsi" w:cstheme="minorHAnsi"/>
          <w:sz w:val="24"/>
          <w:szCs w:val="24"/>
        </w:rPr>
        <w:t xml:space="preserve">Act </w:t>
      </w:r>
      <w:r>
        <w:rPr>
          <w:rFonts w:asciiTheme="minorHAnsi" w:hAnsiTheme="minorHAnsi" w:cstheme="minorHAnsi"/>
          <w:sz w:val="24"/>
          <w:szCs w:val="24"/>
        </w:rPr>
        <w:t>came into effect</w:t>
      </w:r>
      <w:r w:rsidRPr="00E70441">
        <w:rPr>
          <w:rFonts w:asciiTheme="minorHAnsi" w:hAnsiTheme="minorHAnsi" w:cstheme="minorHAnsi"/>
          <w:sz w:val="24"/>
          <w:szCs w:val="24"/>
        </w:rPr>
        <w:t xml:space="preserve">. The Act has provided pathways to help individuals impacted by harms online, facilitated the removal of unlawful and restricted material, and improved the overall safety of user experiences and online regulation standards. However, </w:t>
      </w:r>
      <w:r>
        <w:rPr>
          <w:rFonts w:asciiTheme="minorHAnsi" w:hAnsiTheme="minorHAnsi" w:cstheme="minorHAnsi"/>
          <w:sz w:val="24"/>
          <w:szCs w:val="24"/>
        </w:rPr>
        <w:t>the technology and services within scope of the Act continue to evolve at a rapid pace</w:t>
      </w:r>
      <w:r w:rsidRPr="00E70441">
        <w:rPr>
          <w:rFonts w:asciiTheme="minorHAnsi" w:hAnsiTheme="minorHAnsi" w:cstheme="minorHAnsi"/>
          <w:sz w:val="24"/>
          <w:szCs w:val="24"/>
        </w:rPr>
        <w:t>. The Government is committed to ensuring our laws continue to provide the right protections and that our online safety regulation remains effective.</w:t>
      </w:r>
    </w:p>
    <w:p w14:paraId="1723FA37" w14:textId="04BD8B54" w:rsidR="00F963E9" w:rsidRPr="00E70441" w:rsidRDefault="00F963E9" w:rsidP="00F963E9">
      <w:pPr>
        <w:rPr>
          <w:rFonts w:asciiTheme="minorHAnsi" w:hAnsiTheme="minorHAnsi" w:cstheme="minorHAnsi"/>
          <w:sz w:val="24"/>
          <w:szCs w:val="24"/>
        </w:rPr>
      </w:pPr>
      <w:r w:rsidRPr="00E70441">
        <w:rPr>
          <w:rFonts w:asciiTheme="minorHAnsi" w:hAnsiTheme="minorHAnsi" w:cstheme="minorHAnsi"/>
          <w:sz w:val="24"/>
          <w:szCs w:val="24"/>
        </w:rPr>
        <w:t>The Government recognises the significant challenges industry and regulators face in protecting users online.</w:t>
      </w:r>
      <w:r w:rsidRPr="00E70441" w:rsidDel="00043550">
        <w:rPr>
          <w:rFonts w:asciiTheme="minorHAnsi" w:hAnsiTheme="minorHAnsi" w:cstheme="minorHAnsi"/>
          <w:sz w:val="24"/>
          <w:szCs w:val="24"/>
        </w:rPr>
        <w:t xml:space="preserve"> </w:t>
      </w:r>
      <w:r w:rsidRPr="00E70441">
        <w:rPr>
          <w:rFonts w:asciiTheme="minorHAnsi" w:hAnsiTheme="minorHAnsi" w:cstheme="minorHAnsi"/>
          <w:sz w:val="24"/>
          <w:szCs w:val="24"/>
        </w:rPr>
        <w:t xml:space="preserve">As the conduits for access to the online environment, digital service providers have a unique and important role to play in supporting safer online experiences. </w:t>
      </w:r>
    </w:p>
    <w:p w14:paraId="5A42D331" w14:textId="77777777" w:rsidR="00F963E9" w:rsidRPr="00E70441" w:rsidRDefault="00F963E9" w:rsidP="00F963E9">
      <w:pPr>
        <w:rPr>
          <w:rFonts w:asciiTheme="minorHAnsi" w:hAnsiTheme="minorHAnsi" w:cstheme="minorHAnsi"/>
          <w:sz w:val="24"/>
          <w:szCs w:val="24"/>
        </w:rPr>
      </w:pPr>
      <w:r w:rsidRPr="00E70441">
        <w:rPr>
          <w:rFonts w:asciiTheme="minorHAnsi" w:hAnsiTheme="minorHAnsi" w:cstheme="minorHAnsi"/>
          <w:sz w:val="24"/>
          <w:szCs w:val="24"/>
        </w:rPr>
        <w:t xml:space="preserve">The review made 67 recommendations to Government, focussing on better protections for Australians from online harm, including recommendations for more systems-based approaches, better support for individuals and ways to make sure the online regulator has the tools needed to do its job. </w:t>
      </w:r>
    </w:p>
    <w:p w14:paraId="50ACD604" w14:textId="0A2C35FD" w:rsidR="00F963E9" w:rsidRPr="00E70441" w:rsidRDefault="00415755" w:rsidP="00F963E9">
      <w:pPr>
        <w:rPr>
          <w:rFonts w:asciiTheme="minorHAnsi" w:hAnsiTheme="minorHAnsi" w:cstheme="minorHAnsi"/>
          <w:sz w:val="24"/>
          <w:szCs w:val="24"/>
        </w:rPr>
      </w:pPr>
      <w:r w:rsidRPr="009A44AE">
        <w:rPr>
          <w:rFonts w:asciiTheme="minorHAnsi" w:hAnsiTheme="minorHAnsi" w:cstheme="minorHAnsi"/>
          <w:sz w:val="24"/>
          <w:szCs w:val="24"/>
        </w:rPr>
        <w:t xml:space="preserve">Building upon the Government’s existing commitment to introduce a duty of care in the Online Safety Act, </w:t>
      </w:r>
      <w:r>
        <w:rPr>
          <w:rFonts w:asciiTheme="minorHAnsi" w:hAnsiTheme="minorHAnsi" w:cstheme="minorHAnsi"/>
          <w:sz w:val="24"/>
          <w:szCs w:val="24"/>
        </w:rPr>
        <w:t>t</w:t>
      </w:r>
      <w:r w:rsidR="00F963E9" w:rsidRPr="00E70441">
        <w:rPr>
          <w:rFonts w:asciiTheme="minorHAnsi" w:hAnsiTheme="minorHAnsi" w:cstheme="minorHAnsi"/>
          <w:sz w:val="24"/>
          <w:szCs w:val="24"/>
        </w:rPr>
        <w:t>he Government intends to implement, wholly or partially, or further consider 64 of the 67</w:t>
      </w:r>
      <w:r w:rsidR="00F963E9">
        <w:rPr>
          <w:rFonts w:asciiTheme="minorHAnsi" w:hAnsiTheme="minorHAnsi" w:cstheme="minorHAnsi"/>
          <w:sz w:val="24"/>
          <w:szCs w:val="24"/>
        </w:rPr>
        <w:t> </w:t>
      </w:r>
      <w:r w:rsidR="00F963E9" w:rsidRPr="00E70441">
        <w:rPr>
          <w:rFonts w:asciiTheme="minorHAnsi" w:hAnsiTheme="minorHAnsi" w:cstheme="minorHAnsi"/>
          <w:sz w:val="24"/>
          <w:szCs w:val="24"/>
        </w:rPr>
        <w:t xml:space="preserve">recommendations. The Government’s position on each recommendation of the review’s 67 recommendations is </w:t>
      </w:r>
      <w:r w:rsidR="00A51644" w:rsidRPr="00A51644">
        <w:rPr>
          <w:rFonts w:asciiTheme="minorHAnsi" w:hAnsiTheme="minorHAnsi" w:cstheme="minorHAnsi"/>
          <w:sz w:val="24"/>
          <w:szCs w:val="24"/>
        </w:rPr>
        <w:t>outlined below</w:t>
      </w:r>
      <w:r w:rsidR="00F963E9" w:rsidRPr="00E70441">
        <w:rPr>
          <w:rFonts w:asciiTheme="minorHAnsi" w:hAnsiTheme="minorHAnsi" w:cstheme="minorHAnsi"/>
          <w:sz w:val="24"/>
          <w:szCs w:val="24"/>
        </w:rPr>
        <w:t xml:space="preserve">. As an immediate priority, the Government has </w:t>
      </w:r>
      <w:r w:rsidR="00F963E9">
        <w:rPr>
          <w:rFonts w:asciiTheme="minorHAnsi" w:hAnsiTheme="minorHAnsi" w:cstheme="minorHAnsi"/>
          <w:sz w:val="24"/>
          <w:szCs w:val="24"/>
        </w:rPr>
        <w:t>committed to</w:t>
      </w:r>
      <w:r w:rsidR="00F963E9" w:rsidRPr="00E70441">
        <w:rPr>
          <w:rFonts w:asciiTheme="minorHAnsi" w:hAnsiTheme="minorHAnsi" w:cstheme="minorHAnsi"/>
          <w:sz w:val="24"/>
          <w:szCs w:val="24"/>
        </w:rPr>
        <w:t xml:space="preserve"> reforms that incentivise harm prevention, including implementing a digital duty of care, and other reforms that address the operational challenges and limitations of the Act.</w:t>
      </w:r>
    </w:p>
    <w:p w14:paraId="119B41C8" w14:textId="7A16FAFC" w:rsidR="00F963E9" w:rsidRPr="00E70441" w:rsidRDefault="00F963E9" w:rsidP="00F963E9">
      <w:pPr>
        <w:rPr>
          <w:rFonts w:asciiTheme="minorHAnsi" w:hAnsiTheme="minorHAnsi" w:cstheme="minorHAnsi"/>
          <w:sz w:val="24"/>
          <w:szCs w:val="24"/>
        </w:rPr>
      </w:pPr>
      <w:r>
        <w:rPr>
          <w:rFonts w:asciiTheme="minorHAnsi" w:hAnsiTheme="minorHAnsi" w:cstheme="minorHAnsi"/>
          <w:sz w:val="24"/>
          <w:szCs w:val="24"/>
        </w:rPr>
        <w:t>L</w:t>
      </w:r>
      <w:r w:rsidRPr="00E70441">
        <w:rPr>
          <w:rFonts w:asciiTheme="minorHAnsi" w:hAnsiTheme="minorHAnsi" w:cstheme="minorHAnsi"/>
          <w:sz w:val="24"/>
          <w:szCs w:val="24"/>
        </w:rPr>
        <w:t>egislat</w:t>
      </w:r>
      <w:r>
        <w:rPr>
          <w:rFonts w:asciiTheme="minorHAnsi" w:hAnsiTheme="minorHAnsi" w:cstheme="minorHAnsi"/>
          <w:sz w:val="24"/>
          <w:szCs w:val="24"/>
        </w:rPr>
        <w:t>ing</w:t>
      </w:r>
      <w:r w:rsidRPr="00E70441">
        <w:rPr>
          <w:rFonts w:asciiTheme="minorHAnsi" w:hAnsiTheme="minorHAnsi" w:cstheme="minorHAnsi"/>
          <w:sz w:val="24"/>
          <w:szCs w:val="24"/>
        </w:rPr>
        <w:t xml:space="preserve"> a digital duty of care, a key recommendation of the review</w:t>
      </w:r>
      <w:r>
        <w:rPr>
          <w:rFonts w:asciiTheme="minorHAnsi" w:hAnsiTheme="minorHAnsi" w:cstheme="minorHAnsi"/>
          <w:sz w:val="24"/>
          <w:szCs w:val="24"/>
        </w:rPr>
        <w:t xml:space="preserve">, </w:t>
      </w:r>
      <w:r w:rsidRPr="00E70441">
        <w:rPr>
          <w:rFonts w:asciiTheme="minorHAnsi" w:hAnsiTheme="minorHAnsi" w:cstheme="minorHAnsi"/>
          <w:sz w:val="24"/>
          <w:szCs w:val="24"/>
        </w:rPr>
        <w:t xml:space="preserve">will place obligations on service providers to proactively and effectively manage the risk of harms from the use and misuse of their platforms and services – something that they are best placed to do. </w:t>
      </w:r>
      <w:r>
        <w:rPr>
          <w:rFonts w:asciiTheme="minorHAnsi" w:hAnsiTheme="minorHAnsi" w:cstheme="minorHAnsi"/>
          <w:sz w:val="24"/>
          <w:szCs w:val="24"/>
        </w:rPr>
        <w:t xml:space="preserve">In </w:t>
      </w:r>
      <w:r>
        <w:rPr>
          <w:rFonts w:asciiTheme="minorHAnsi" w:hAnsiTheme="minorHAnsi" w:cstheme="minorHAnsi"/>
          <w:sz w:val="24"/>
          <w:szCs w:val="24"/>
        </w:rPr>
        <w:lastRenderedPageBreak/>
        <w:t>line with the Government’s response to the recommendations of the review outlined below, a</w:t>
      </w:r>
      <w:r w:rsidRPr="00E70441">
        <w:rPr>
          <w:rFonts w:asciiTheme="minorHAnsi" w:hAnsiTheme="minorHAnsi" w:cstheme="minorHAnsi"/>
          <w:sz w:val="24"/>
          <w:szCs w:val="24"/>
        </w:rPr>
        <w:t xml:space="preserve">dditional amendments to the Act </w:t>
      </w:r>
      <w:r>
        <w:rPr>
          <w:rFonts w:asciiTheme="minorHAnsi" w:hAnsiTheme="minorHAnsi" w:cstheme="minorHAnsi"/>
          <w:sz w:val="24"/>
          <w:szCs w:val="24"/>
        </w:rPr>
        <w:t xml:space="preserve">will be made </w:t>
      </w:r>
      <w:r w:rsidRPr="00E70441">
        <w:rPr>
          <w:rFonts w:asciiTheme="minorHAnsi" w:hAnsiTheme="minorHAnsi" w:cstheme="minorHAnsi"/>
          <w:sz w:val="24"/>
          <w:szCs w:val="24"/>
        </w:rPr>
        <w:t>to ensure the duty of care creates a</w:t>
      </w:r>
      <w:r>
        <w:rPr>
          <w:rFonts w:asciiTheme="minorHAnsi" w:hAnsiTheme="minorHAnsi" w:cstheme="minorHAnsi"/>
          <w:sz w:val="24"/>
          <w:szCs w:val="24"/>
        </w:rPr>
        <w:t>n</w:t>
      </w:r>
      <w:r w:rsidRPr="00E70441">
        <w:rPr>
          <w:rFonts w:asciiTheme="minorHAnsi" w:hAnsiTheme="minorHAnsi" w:cstheme="minorHAnsi"/>
          <w:sz w:val="24"/>
          <w:szCs w:val="24"/>
        </w:rPr>
        <w:t xml:space="preserve"> effective, simplified framework</w:t>
      </w:r>
      <w:r w:rsidR="00462B88">
        <w:rPr>
          <w:rFonts w:asciiTheme="minorHAnsi" w:hAnsiTheme="minorHAnsi" w:cstheme="minorHAnsi"/>
          <w:sz w:val="24"/>
          <w:szCs w:val="24"/>
        </w:rPr>
        <w:t xml:space="preserve"> which operates coherently with related initiatives, including proposed reforms to Australia’s privacy laws</w:t>
      </w:r>
      <w:r w:rsidRPr="00E70441">
        <w:rPr>
          <w:rFonts w:asciiTheme="minorHAnsi" w:hAnsiTheme="minorHAnsi" w:cstheme="minorHAnsi"/>
          <w:sz w:val="24"/>
          <w:szCs w:val="24"/>
        </w:rPr>
        <w:t>. The Department of Infrastructure, Transport, Regional Development, Communications, Sport and the Arts</w:t>
      </w:r>
      <w:r>
        <w:rPr>
          <w:rFonts w:asciiTheme="minorHAnsi" w:hAnsiTheme="minorHAnsi" w:cstheme="minorHAnsi"/>
          <w:sz w:val="24"/>
          <w:szCs w:val="24"/>
        </w:rPr>
        <w:t xml:space="preserve"> </w:t>
      </w:r>
      <w:r w:rsidRPr="00E70441">
        <w:rPr>
          <w:rFonts w:asciiTheme="minorHAnsi" w:hAnsiTheme="minorHAnsi" w:cstheme="minorHAnsi"/>
          <w:sz w:val="24"/>
          <w:szCs w:val="24"/>
        </w:rPr>
        <w:t xml:space="preserve">is leading </w:t>
      </w:r>
      <w:r>
        <w:rPr>
          <w:rFonts w:asciiTheme="minorHAnsi" w:hAnsiTheme="minorHAnsi" w:cstheme="minorHAnsi"/>
          <w:sz w:val="24"/>
          <w:szCs w:val="24"/>
        </w:rPr>
        <w:t xml:space="preserve">this </w:t>
      </w:r>
      <w:proofErr w:type="gramStart"/>
      <w:r w:rsidRPr="00E70441">
        <w:rPr>
          <w:rFonts w:asciiTheme="minorHAnsi" w:hAnsiTheme="minorHAnsi" w:cstheme="minorHAnsi"/>
          <w:sz w:val="24"/>
          <w:szCs w:val="24"/>
        </w:rPr>
        <w:t>work</w:t>
      </w:r>
      <w:proofErr w:type="gramEnd"/>
      <w:r w:rsidRPr="00E70441">
        <w:rPr>
          <w:rFonts w:asciiTheme="minorHAnsi" w:hAnsiTheme="minorHAnsi" w:cstheme="minorHAnsi"/>
          <w:sz w:val="24"/>
          <w:szCs w:val="24"/>
        </w:rPr>
        <w:t xml:space="preserve"> </w:t>
      </w:r>
      <w:r w:rsidR="009429CD">
        <w:rPr>
          <w:rFonts w:asciiTheme="minorHAnsi" w:hAnsiTheme="minorHAnsi" w:cstheme="minorHAnsi"/>
          <w:sz w:val="24"/>
          <w:szCs w:val="24"/>
        </w:rPr>
        <w:t>and</w:t>
      </w:r>
      <w:r w:rsidR="009429CD" w:rsidRPr="009429CD">
        <w:rPr>
          <w:rFonts w:asciiTheme="minorHAnsi" w:hAnsiTheme="minorHAnsi" w:cstheme="minorHAnsi"/>
          <w:sz w:val="24"/>
          <w:szCs w:val="24"/>
        </w:rPr>
        <w:t xml:space="preserve"> a bill will be introduced, consistent with the Government’s legislation priorities</w:t>
      </w:r>
      <w:r w:rsidRPr="00E70441">
        <w:rPr>
          <w:rFonts w:asciiTheme="minorHAnsi" w:hAnsiTheme="minorHAnsi" w:cstheme="minorHAnsi"/>
          <w:sz w:val="24"/>
          <w:szCs w:val="24"/>
        </w:rPr>
        <w:t>.</w:t>
      </w:r>
    </w:p>
    <w:p w14:paraId="0C373F78" w14:textId="77777777" w:rsidR="00F963E9" w:rsidRPr="00E70441" w:rsidRDefault="00F963E9" w:rsidP="00F963E9">
      <w:pPr>
        <w:pStyle w:val="Heading1"/>
        <w:numPr>
          <w:ilvl w:val="0"/>
          <w:numId w:val="0"/>
        </w:numPr>
        <w:ind w:left="360" w:hanging="360"/>
        <w:rPr>
          <w:rFonts w:asciiTheme="minorHAnsi" w:hAnsiTheme="minorHAnsi" w:cstheme="minorHAnsi"/>
          <w:sz w:val="24"/>
          <w:szCs w:val="24"/>
        </w:rPr>
      </w:pPr>
      <w:r w:rsidRPr="00E70441">
        <w:rPr>
          <w:rFonts w:asciiTheme="minorHAnsi" w:hAnsiTheme="minorHAnsi" w:cstheme="minorHAnsi"/>
          <w:sz w:val="24"/>
          <w:szCs w:val="24"/>
        </w:rPr>
        <w:t>Government Positions on the Recommendations of the Review</w:t>
      </w:r>
    </w:p>
    <w:p w14:paraId="3E8A9FB5" w14:textId="77777777" w:rsidR="00F963E9" w:rsidRPr="00E70441" w:rsidRDefault="00F963E9" w:rsidP="00F963E9">
      <w:pPr>
        <w:pStyle w:val="BodyText"/>
        <w:rPr>
          <w:rFonts w:asciiTheme="minorHAnsi" w:hAnsiTheme="minorHAnsi" w:cstheme="minorHAnsi"/>
          <w:sz w:val="24"/>
          <w:szCs w:val="24"/>
        </w:rPr>
      </w:pPr>
      <w:r w:rsidRPr="00E70441">
        <w:rPr>
          <w:rFonts w:asciiTheme="minorHAnsi" w:hAnsiTheme="minorHAnsi" w:cstheme="minorHAnsi"/>
          <w:sz w:val="24"/>
          <w:szCs w:val="24"/>
        </w:rPr>
        <w:t>The Government’s response to each recommendation is listed below and includes the following responses:</w:t>
      </w:r>
    </w:p>
    <w:p w14:paraId="671DB6AC" w14:textId="77777777" w:rsidR="00F963E9" w:rsidRPr="00E70441" w:rsidRDefault="00F963E9" w:rsidP="00F963E9">
      <w:pPr>
        <w:pStyle w:val="BodyText"/>
        <w:rPr>
          <w:rFonts w:asciiTheme="minorHAnsi" w:hAnsiTheme="minorHAnsi" w:cstheme="minorHAnsi"/>
          <w:sz w:val="24"/>
          <w:szCs w:val="24"/>
        </w:rPr>
      </w:pPr>
    </w:p>
    <w:p w14:paraId="79F5CF1B" w14:textId="77777777" w:rsidR="00F963E9" w:rsidRPr="00E70441" w:rsidRDefault="00F963E9" w:rsidP="00F963E9">
      <w:pPr>
        <w:pStyle w:val="ListParagraph"/>
        <w:numPr>
          <w:ilvl w:val="0"/>
          <w:numId w:val="3"/>
        </w:numPr>
        <w:rPr>
          <w:rFonts w:asciiTheme="minorHAnsi" w:hAnsiTheme="minorHAnsi" w:cstheme="minorHAnsi"/>
          <w:sz w:val="24"/>
          <w:szCs w:val="24"/>
        </w:rPr>
      </w:pPr>
      <w:r w:rsidRPr="00E70441">
        <w:rPr>
          <w:rFonts w:asciiTheme="minorHAnsi" w:hAnsiTheme="minorHAnsi" w:cstheme="minorHAnsi"/>
          <w:b/>
          <w:bCs/>
          <w:sz w:val="24"/>
          <w:szCs w:val="24"/>
        </w:rPr>
        <w:t>Support</w:t>
      </w:r>
      <w:r w:rsidRPr="00820330">
        <w:rPr>
          <w:rFonts w:asciiTheme="minorHAnsi" w:hAnsiTheme="minorHAnsi" w:cstheme="minorHAnsi"/>
          <w:sz w:val="24"/>
          <w:szCs w:val="24"/>
        </w:rPr>
        <w:t>,</w:t>
      </w:r>
      <w:r w:rsidRPr="00E70441">
        <w:rPr>
          <w:rFonts w:asciiTheme="minorHAnsi" w:hAnsiTheme="minorHAnsi" w:cstheme="minorHAnsi"/>
          <w:sz w:val="24"/>
          <w:szCs w:val="24"/>
        </w:rPr>
        <w:t xml:space="preserve"> where all elements of the recommendation are supported.</w:t>
      </w:r>
    </w:p>
    <w:p w14:paraId="66172ADA" w14:textId="77777777" w:rsidR="00F963E9" w:rsidRPr="00E70441" w:rsidRDefault="00F963E9" w:rsidP="00F963E9">
      <w:pPr>
        <w:pStyle w:val="ListParagraph"/>
        <w:numPr>
          <w:ilvl w:val="0"/>
          <w:numId w:val="3"/>
        </w:numPr>
        <w:rPr>
          <w:rFonts w:asciiTheme="minorHAnsi" w:hAnsiTheme="minorHAnsi" w:cstheme="minorHAnsi"/>
          <w:sz w:val="24"/>
          <w:szCs w:val="24"/>
        </w:rPr>
      </w:pPr>
      <w:r w:rsidRPr="00E70441">
        <w:rPr>
          <w:rFonts w:asciiTheme="minorHAnsi" w:hAnsiTheme="minorHAnsi" w:cstheme="minorHAnsi"/>
          <w:b/>
          <w:bCs/>
          <w:sz w:val="24"/>
          <w:szCs w:val="24"/>
        </w:rPr>
        <w:t>Support in principle</w:t>
      </w:r>
      <w:r w:rsidRPr="00820330">
        <w:rPr>
          <w:rFonts w:asciiTheme="minorHAnsi" w:hAnsiTheme="minorHAnsi" w:cstheme="minorHAnsi"/>
          <w:sz w:val="24"/>
          <w:szCs w:val="24"/>
        </w:rPr>
        <w:t>,</w:t>
      </w:r>
      <w:r w:rsidRPr="00E70441">
        <w:rPr>
          <w:rFonts w:asciiTheme="minorHAnsi" w:hAnsiTheme="minorHAnsi" w:cstheme="minorHAnsi"/>
          <w:sz w:val="24"/>
          <w:szCs w:val="24"/>
        </w:rPr>
        <w:t xml:space="preserve"> where the Government generally supports the intent or merit of the</w:t>
      </w:r>
      <w:r>
        <w:rPr>
          <w:rFonts w:asciiTheme="minorHAnsi" w:hAnsiTheme="minorHAnsi" w:cstheme="minorHAnsi"/>
          <w:sz w:val="24"/>
          <w:szCs w:val="24"/>
        </w:rPr>
        <w:t xml:space="preserve"> </w:t>
      </w:r>
      <w:r w:rsidRPr="00E70441">
        <w:rPr>
          <w:rFonts w:asciiTheme="minorHAnsi" w:hAnsiTheme="minorHAnsi" w:cstheme="minorHAnsi"/>
          <w:sz w:val="24"/>
          <w:szCs w:val="24"/>
        </w:rPr>
        <w:t xml:space="preserve">recommendation but </w:t>
      </w:r>
      <w:r>
        <w:rPr>
          <w:rFonts w:asciiTheme="minorHAnsi" w:hAnsiTheme="minorHAnsi" w:cstheme="minorHAnsi"/>
          <w:sz w:val="24"/>
          <w:szCs w:val="24"/>
        </w:rPr>
        <w:t xml:space="preserve">considers that there are other more effective ways to deliver on this intent </w:t>
      </w:r>
      <w:r w:rsidRPr="00E70441">
        <w:rPr>
          <w:rFonts w:asciiTheme="minorHAnsi" w:hAnsiTheme="minorHAnsi" w:cstheme="minorHAnsi"/>
          <w:sz w:val="24"/>
          <w:szCs w:val="24"/>
        </w:rPr>
        <w:t xml:space="preserve">or </w:t>
      </w:r>
      <w:r>
        <w:rPr>
          <w:rFonts w:asciiTheme="minorHAnsi" w:hAnsiTheme="minorHAnsi" w:cstheme="minorHAnsi"/>
          <w:sz w:val="24"/>
          <w:szCs w:val="24"/>
        </w:rPr>
        <w:t xml:space="preserve">where </w:t>
      </w:r>
      <w:r w:rsidRPr="00E70441">
        <w:rPr>
          <w:rFonts w:asciiTheme="minorHAnsi" w:hAnsiTheme="minorHAnsi" w:cstheme="minorHAnsi"/>
          <w:sz w:val="24"/>
          <w:szCs w:val="24"/>
        </w:rPr>
        <w:t xml:space="preserve">further consideration is required </w:t>
      </w:r>
      <w:r>
        <w:rPr>
          <w:rFonts w:asciiTheme="minorHAnsi" w:hAnsiTheme="minorHAnsi" w:cstheme="minorHAnsi"/>
          <w:sz w:val="24"/>
          <w:szCs w:val="24"/>
        </w:rPr>
        <w:t xml:space="preserve">to consider </w:t>
      </w:r>
      <w:r w:rsidRPr="00E70441">
        <w:rPr>
          <w:rFonts w:asciiTheme="minorHAnsi" w:hAnsiTheme="minorHAnsi" w:cstheme="minorHAnsi"/>
          <w:sz w:val="24"/>
          <w:szCs w:val="24"/>
        </w:rPr>
        <w:t>implementation, resourcing and prioritisation</w:t>
      </w:r>
      <w:r>
        <w:rPr>
          <w:rFonts w:asciiTheme="minorHAnsi" w:hAnsiTheme="minorHAnsi" w:cstheme="minorHAnsi"/>
          <w:sz w:val="24"/>
          <w:szCs w:val="24"/>
        </w:rPr>
        <w:t xml:space="preserve"> options</w:t>
      </w:r>
      <w:r w:rsidRPr="00E70441">
        <w:rPr>
          <w:rFonts w:asciiTheme="minorHAnsi" w:hAnsiTheme="minorHAnsi" w:cstheme="minorHAnsi"/>
          <w:sz w:val="24"/>
          <w:szCs w:val="24"/>
        </w:rPr>
        <w:t>.</w:t>
      </w:r>
    </w:p>
    <w:p w14:paraId="21D3EAB4" w14:textId="77777777" w:rsidR="00F963E9" w:rsidRPr="00E70441" w:rsidRDefault="00F963E9" w:rsidP="00F963E9">
      <w:pPr>
        <w:pStyle w:val="ListParagraph"/>
        <w:numPr>
          <w:ilvl w:val="0"/>
          <w:numId w:val="3"/>
        </w:numPr>
        <w:rPr>
          <w:rFonts w:asciiTheme="minorHAnsi" w:hAnsiTheme="minorHAnsi" w:cstheme="minorHAnsi"/>
          <w:sz w:val="24"/>
          <w:szCs w:val="24"/>
        </w:rPr>
      </w:pPr>
      <w:r w:rsidRPr="00E70441">
        <w:rPr>
          <w:rFonts w:asciiTheme="minorHAnsi" w:hAnsiTheme="minorHAnsi" w:cstheme="minorHAnsi"/>
          <w:b/>
          <w:bCs/>
          <w:sz w:val="24"/>
          <w:szCs w:val="24"/>
        </w:rPr>
        <w:t>Note</w:t>
      </w:r>
      <w:r>
        <w:rPr>
          <w:rFonts w:asciiTheme="minorHAnsi" w:hAnsiTheme="minorHAnsi" w:cstheme="minorHAnsi"/>
          <w:sz w:val="24"/>
          <w:szCs w:val="24"/>
        </w:rPr>
        <w:t>,</w:t>
      </w:r>
      <w:r w:rsidRPr="00E70441">
        <w:rPr>
          <w:rFonts w:asciiTheme="minorHAnsi" w:hAnsiTheme="minorHAnsi" w:cstheme="minorHAnsi"/>
          <w:b/>
          <w:bCs/>
          <w:sz w:val="24"/>
          <w:szCs w:val="24"/>
        </w:rPr>
        <w:t xml:space="preserve"> </w:t>
      </w:r>
      <w:r w:rsidRPr="00E70441">
        <w:rPr>
          <w:rFonts w:asciiTheme="minorHAnsi" w:hAnsiTheme="minorHAnsi" w:cstheme="minorHAnsi"/>
          <w:sz w:val="24"/>
          <w:szCs w:val="24"/>
        </w:rPr>
        <w:t>where</w:t>
      </w:r>
      <w:r w:rsidRPr="00E70441">
        <w:rPr>
          <w:rFonts w:asciiTheme="minorHAnsi" w:hAnsiTheme="minorHAnsi" w:cstheme="minorHAnsi"/>
          <w:bCs/>
          <w:sz w:val="24"/>
          <w:szCs w:val="24"/>
        </w:rPr>
        <w:t xml:space="preserve"> further analysis is required for the Government to determine its position</w:t>
      </w:r>
    </w:p>
    <w:p w14:paraId="59DFB862" w14:textId="70700B04" w:rsidR="00F963E9" w:rsidRPr="00E70441" w:rsidRDefault="008F38CE" w:rsidP="00F963E9">
      <w:pPr>
        <w:pStyle w:val="ListParagraph"/>
        <w:numPr>
          <w:ilvl w:val="0"/>
          <w:numId w:val="3"/>
        </w:numPr>
        <w:rPr>
          <w:rFonts w:asciiTheme="minorHAnsi" w:hAnsiTheme="minorHAnsi" w:cstheme="minorHAnsi"/>
          <w:sz w:val="24"/>
          <w:szCs w:val="24"/>
        </w:rPr>
      </w:pPr>
      <w:r>
        <w:rPr>
          <w:rFonts w:asciiTheme="minorHAnsi" w:hAnsiTheme="minorHAnsi" w:cstheme="minorHAnsi"/>
          <w:b/>
          <w:bCs/>
          <w:sz w:val="24"/>
          <w:szCs w:val="24"/>
        </w:rPr>
        <w:t xml:space="preserve">Not </w:t>
      </w:r>
      <w:r w:rsidR="00F963E9" w:rsidRPr="00E70441">
        <w:rPr>
          <w:rFonts w:asciiTheme="minorHAnsi" w:hAnsiTheme="minorHAnsi" w:cstheme="minorHAnsi"/>
          <w:b/>
          <w:bCs/>
          <w:sz w:val="24"/>
          <w:szCs w:val="24"/>
        </w:rPr>
        <w:t>support</w:t>
      </w:r>
      <w:r>
        <w:rPr>
          <w:rFonts w:asciiTheme="minorHAnsi" w:hAnsiTheme="minorHAnsi" w:cstheme="minorHAnsi"/>
          <w:b/>
          <w:bCs/>
          <w:sz w:val="24"/>
          <w:szCs w:val="24"/>
        </w:rPr>
        <w:t>ed</w:t>
      </w:r>
      <w:r w:rsidR="00F963E9" w:rsidRPr="00820330">
        <w:rPr>
          <w:rFonts w:asciiTheme="minorHAnsi" w:hAnsiTheme="minorHAnsi" w:cstheme="minorHAnsi"/>
          <w:sz w:val="24"/>
          <w:szCs w:val="24"/>
        </w:rPr>
        <w:t>,</w:t>
      </w:r>
      <w:r w:rsidR="00F963E9" w:rsidRPr="00E70441">
        <w:rPr>
          <w:rFonts w:asciiTheme="minorHAnsi" w:hAnsiTheme="minorHAnsi" w:cstheme="minorHAnsi"/>
          <w:sz w:val="24"/>
          <w:szCs w:val="24"/>
        </w:rPr>
        <w:t xml:space="preserve"> where the Government does not support the recommendation.</w:t>
      </w:r>
    </w:p>
    <w:p w14:paraId="2BFFBEB0" w14:textId="55340781" w:rsidR="003A664E" w:rsidRPr="00E70441" w:rsidRDefault="003A664E" w:rsidP="00820330">
      <w:pPr>
        <w:pStyle w:val="Heading1"/>
        <w:numPr>
          <w:ilvl w:val="0"/>
          <w:numId w:val="0"/>
        </w:numPr>
        <w:rPr>
          <w:rFonts w:asciiTheme="minorHAnsi" w:hAnsiTheme="minorHAnsi" w:cstheme="minorHAnsi"/>
          <w:sz w:val="24"/>
          <w:szCs w:val="24"/>
        </w:rPr>
      </w:pPr>
      <w:r w:rsidRPr="00E70441">
        <w:rPr>
          <w:rFonts w:asciiTheme="minorHAnsi" w:hAnsiTheme="minorHAnsi" w:cstheme="minorHAnsi"/>
          <w:sz w:val="24"/>
          <w:szCs w:val="24"/>
        </w:rPr>
        <w:t xml:space="preserve">A duty of care on services to keep Australians safe online </w:t>
      </w:r>
    </w:p>
    <w:p w14:paraId="52797B8E" w14:textId="59F0AEF2" w:rsidR="003A664E" w:rsidRPr="00E70441" w:rsidRDefault="003A664E" w:rsidP="003A664E">
      <w:pPr>
        <w:spacing w:after="120"/>
        <w:rPr>
          <w:rFonts w:asciiTheme="minorHAnsi" w:hAnsiTheme="minorHAnsi" w:cstheme="minorHAnsi"/>
          <w:sz w:val="24"/>
          <w:szCs w:val="24"/>
        </w:rPr>
      </w:pPr>
      <w:bookmarkStart w:id="0" w:name="_Hlk220418173"/>
      <w:r w:rsidRPr="00E70441">
        <w:rPr>
          <w:rFonts w:asciiTheme="minorHAnsi" w:hAnsiTheme="minorHAnsi" w:cstheme="minorHAnsi"/>
          <w:sz w:val="24"/>
          <w:szCs w:val="24"/>
        </w:rPr>
        <w:t xml:space="preserve">A duty of care will support broad, risk-based and proportionate regulation of </w:t>
      </w:r>
      <w:r w:rsidRPr="00E70441">
        <w:rPr>
          <w:rFonts w:asciiTheme="minorHAnsi" w:hAnsiTheme="minorHAnsi" w:cstheme="minorHAnsi"/>
          <w:sz w:val="24"/>
          <w:szCs w:val="24"/>
          <w:u w:val="single"/>
        </w:rPr>
        <w:t>all</w:t>
      </w:r>
      <w:r w:rsidRPr="00E70441">
        <w:rPr>
          <w:rFonts w:asciiTheme="minorHAnsi" w:hAnsiTheme="minorHAnsi" w:cstheme="minorHAnsi"/>
          <w:sz w:val="24"/>
          <w:szCs w:val="24"/>
        </w:rPr>
        <w:t xml:space="preserve"> digital service providers and provide a legislative framework that can better accommodate changes in technology and services (recommendation</w:t>
      </w:r>
      <w:r w:rsidR="00DD6FD5">
        <w:rPr>
          <w:rFonts w:asciiTheme="minorHAnsi" w:hAnsiTheme="minorHAnsi" w:cstheme="minorHAnsi"/>
          <w:sz w:val="24"/>
          <w:szCs w:val="24"/>
        </w:rPr>
        <w:t>s</w:t>
      </w:r>
      <w:r w:rsidRPr="00E70441">
        <w:rPr>
          <w:rFonts w:asciiTheme="minorHAnsi" w:hAnsiTheme="minorHAnsi" w:cstheme="minorHAnsi"/>
          <w:sz w:val="24"/>
          <w:szCs w:val="24"/>
        </w:rPr>
        <w:t xml:space="preserve"> 4</w:t>
      </w:r>
      <w:r w:rsidR="00DD6FD5">
        <w:rPr>
          <w:rFonts w:asciiTheme="minorHAnsi" w:hAnsiTheme="minorHAnsi" w:cstheme="minorHAnsi"/>
          <w:sz w:val="24"/>
          <w:szCs w:val="24"/>
        </w:rPr>
        <w:t>, 6, 8, 11</w:t>
      </w:r>
      <w:r w:rsidR="00DC50B5">
        <w:rPr>
          <w:rFonts w:asciiTheme="minorHAnsi" w:hAnsiTheme="minorHAnsi" w:cstheme="minorHAnsi"/>
          <w:sz w:val="24"/>
          <w:szCs w:val="24"/>
        </w:rPr>
        <w:t xml:space="preserve">, </w:t>
      </w:r>
      <w:r w:rsidR="00DD6FD5">
        <w:rPr>
          <w:rFonts w:asciiTheme="minorHAnsi" w:hAnsiTheme="minorHAnsi" w:cstheme="minorHAnsi"/>
          <w:sz w:val="24"/>
          <w:szCs w:val="24"/>
        </w:rPr>
        <w:t>12</w:t>
      </w:r>
      <w:r w:rsidRPr="00E70441">
        <w:rPr>
          <w:rFonts w:asciiTheme="minorHAnsi" w:hAnsiTheme="minorHAnsi" w:cstheme="minorHAnsi"/>
          <w:sz w:val="24"/>
          <w:szCs w:val="24"/>
        </w:rPr>
        <w:t>).</w:t>
      </w:r>
    </w:p>
    <w:p w14:paraId="1985E568" w14:textId="77777777" w:rsidR="003A664E" w:rsidRPr="00E70441" w:rsidRDefault="003A664E" w:rsidP="003A664E">
      <w:pPr>
        <w:spacing w:after="120"/>
        <w:rPr>
          <w:rFonts w:asciiTheme="minorHAnsi" w:hAnsiTheme="minorHAnsi" w:cstheme="minorHAnsi"/>
          <w:sz w:val="24"/>
          <w:szCs w:val="24"/>
        </w:rPr>
      </w:pPr>
      <w:r w:rsidRPr="00E70441">
        <w:rPr>
          <w:rFonts w:asciiTheme="minorHAnsi" w:hAnsiTheme="minorHAnsi" w:cstheme="minorHAnsi"/>
          <w:sz w:val="24"/>
          <w:szCs w:val="24"/>
        </w:rPr>
        <w:t>The Act will be amended to include a statutory obligation for service providers to take reasonable steps and exercise due diligence in maintaining their systems and processes to prevent harm resulting from the use of their service.</w:t>
      </w:r>
    </w:p>
    <w:p w14:paraId="40BE930F" w14:textId="12039E7E" w:rsidR="003A664E" w:rsidRPr="00E70441" w:rsidRDefault="003A664E" w:rsidP="003A664E">
      <w:pPr>
        <w:spacing w:after="120"/>
        <w:rPr>
          <w:rFonts w:asciiTheme="minorHAnsi" w:hAnsiTheme="minorHAnsi" w:cstheme="minorHAnsi"/>
          <w:sz w:val="24"/>
          <w:szCs w:val="24"/>
        </w:rPr>
      </w:pPr>
      <w:r w:rsidRPr="00E70441">
        <w:rPr>
          <w:rFonts w:asciiTheme="minorHAnsi" w:hAnsiTheme="minorHAnsi" w:cstheme="minorHAnsi"/>
          <w:sz w:val="24"/>
          <w:szCs w:val="24"/>
        </w:rPr>
        <w:t>The Government acknowledges the benefits of more descriptive objects in the Act to provide greater clarity. Existing definitions will be maintained, with further work to determine necessary amendments to improve their operation (</w:t>
      </w:r>
      <w:r w:rsidR="00113CFC" w:rsidRPr="00E70441">
        <w:rPr>
          <w:rFonts w:asciiTheme="minorHAnsi" w:hAnsiTheme="minorHAnsi" w:cstheme="minorHAnsi"/>
          <w:sz w:val="24"/>
          <w:szCs w:val="24"/>
        </w:rPr>
        <w:t>recommendation</w:t>
      </w:r>
      <w:r w:rsidR="00C865E2">
        <w:rPr>
          <w:rFonts w:asciiTheme="minorHAnsi" w:hAnsiTheme="minorHAnsi" w:cstheme="minorHAnsi"/>
          <w:sz w:val="24"/>
          <w:szCs w:val="24"/>
        </w:rPr>
        <w:t>s 1</w:t>
      </w:r>
      <w:r w:rsidR="00DC50B5">
        <w:rPr>
          <w:rFonts w:asciiTheme="minorHAnsi" w:hAnsiTheme="minorHAnsi" w:cstheme="minorHAnsi"/>
          <w:sz w:val="24"/>
          <w:szCs w:val="24"/>
        </w:rPr>
        <w:t>,</w:t>
      </w:r>
      <w:r w:rsidR="00113CFC" w:rsidRPr="00E70441">
        <w:rPr>
          <w:rFonts w:asciiTheme="minorHAnsi" w:hAnsiTheme="minorHAnsi" w:cstheme="minorHAnsi"/>
          <w:sz w:val="24"/>
          <w:szCs w:val="24"/>
        </w:rPr>
        <w:t xml:space="preserve"> </w:t>
      </w:r>
      <w:r w:rsidRPr="00E70441">
        <w:rPr>
          <w:rFonts w:asciiTheme="minorHAnsi" w:hAnsiTheme="minorHAnsi" w:cstheme="minorHAnsi"/>
          <w:sz w:val="24"/>
          <w:szCs w:val="24"/>
        </w:rPr>
        <w:t xml:space="preserve">2). </w:t>
      </w:r>
    </w:p>
    <w:p w14:paraId="6A1C7CD7" w14:textId="116B44A3" w:rsidR="003A664E" w:rsidRPr="00E70441" w:rsidRDefault="003A664E" w:rsidP="003A664E">
      <w:pPr>
        <w:spacing w:after="120"/>
        <w:rPr>
          <w:rFonts w:asciiTheme="minorHAnsi" w:hAnsiTheme="minorHAnsi" w:cstheme="minorHAnsi"/>
          <w:sz w:val="24"/>
          <w:szCs w:val="24"/>
        </w:rPr>
      </w:pPr>
      <w:r w:rsidRPr="00E70441">
        <w:rPr>
          <w:rFonts w:asciiTheme="minorHAnsi" w:hAnsiTheme="minorHAnsi" w:cstheme="minorHAnsi"/>
          <w:sz w:val="24"/>
          <w:szCs w:val="24"/>
        </w:rPr>
        <w:t>The Government will determine whether opportunities exist to develop policies or guidance to recognise and support providers of online safety-related services and technology (</w:t>
      </w:r>
      <w:r w:rsidR="00113CFC" w:rsidRPr="00E70441">
        <w:rPr>
          <w:rFonts w:asciiTheme="minorHAnsi" w:hAnsiTheme="minorHAnsi" w:cstheme="minorHAnsi"/>
          <w:sz w:val="24"/>
          <w:szCs w:val="24"/>
        </w:rPr>
        <w:t xml:space="preserve">recommendation </w:t>
      </w:r>
      <w:r w:rsidRPr="00E70441">
        <w:rPr>
          <w:rFonts w:asciiTheme="minorHAnsi" w:hAnsiTheme="minorHAnsi" w:cstheme="minorHAnsi"/>
          <w:sz w:val="24"/>
          <w:szCs w:val="24"/>
        </w:rPr>
        <w:t xml:space="preserve">3). </w:t>
      </w:r>
    </w:p>
    <w:p w14:paraId="61EE2E80" w14:textId="2F60FD4C" w:rsidR="003A664E" w:rsidRPr="00E70441" w:rsidRDefault="003A664E" w:rsidP="003A664E">
      <w:pPr>
        <w:spacing w:after="120"/>
        <w:rPr>
          <w:rFonts w:asciiTheme="minorHAnsi" w:hAnsiTheme="minorHAnsi" w:cstheme="minorHAnsi"/>
          <w:sz w:val="24"/>
          <w:szCs w:val="24"/>
        </w:rPr>
      </w:pPr>
      <w:r w:rsidRPr="00E70441">
        <w:rPr>
          <w:rFonts w:asciiTheme="minorHAnsi" w:hAnsiTheme="minorHAnsi" w:cstheme="minorHAnsi"/>
          <w:sz w:val="24"/>
          <w:szCs w:val="24"/>
        </w:rPr>
        <w:t xml:space="preserve">The Government supports a focus on protecting vulnerable Australians including children, combating criminal activity and promoting public safety, while also respecting Australians’ freedom of expression. The duty of care </w:t>
      </w:r>
      <w:r w:rsidR="00820330">
        <w:rPr>
          <w:rFonts w:asciiTheme="minorHAnsi" w:hAnsiTheme="minorHAnsi" w:cstheme="minorHAnsi"/>
          <w:sz w:val="24"/>
          <w:szCs w:val="24"/>
        </w:rPr>
        <w:t>will</w:t>
      </w:r>
      <w:r w:rsidRPr="00E70441">
        <w:rPr>
          <w:rFonts w:asciiTheme="minorHAnsi" w:hAnsiTheme="minorHAnsi" w:cstheme="minorHAnsi"/>
          <w:sz w:val="24"/>
          <w:szCs w:val="24"/>
        </w:rPr>
        <w:t xml:space="preserve"> </w:t>
      </w:r>
      <w:r w:rsidR="008019CC">
        <w:rPr>
          <w:rFonts w:asciiTheme="minorHAnsi" w:hAnsiTheme="minorHAnsi" w:cstheme="minorHAnsi"/>
          <w:sz w:val="24"/>
          <w:szCs w:val="24"/>
        </w:rPr>
        <w:t xml:space="preserve">complement </w:t>
      </w:r>
      <w:r w:rsidR="008019CC" w:rsidRPr="00235E14">
        <w:rPr>
          <w:rFonts w:asciiTheme="minorHAnsi" w:hAnsiTheme="minorHAnsi" w:cstheme="minorHAnsi"/>
          <w:sz w:val="24"/>
          <w:szCs w:val="24"/>
        </w:rPr>
        <w:t xml:space="preserve">criminal offences in the </w:t>
      </w:r>
      <w:r w:rsidR="008019CC" w:rsidRPr="00235E14">
        <w:rPr>
          <w:rFonts w:asciiTheme="minorHAnsi" w:hAnsiTheme="minorHAnsi" w:cstheme="minorHAnsi"/>
          <w:i/>
          <w:iCs/>
          <w:sz w:val="24"/>
          <w:szCs w:val="24"/>
        </w:rPr>
        <w:t xml:space="preserve">Criminal Code Act </w:t>
      </w:r>
      <w:proofErr w:type="gramStart"/>
      <w:r w:rsidR="008019CC" w:rsidRPr="00235E14">
        <w:rPr>
          <w:rFonts w:asciiTheme="minorHAnsi" w:hAnsiTheme="minorHAnsi" w:cstheme="minorHAnsi"/>
          <w:i/>
          <w:iCs/>
          <w:sz w:val="24"/>
          <w:szCs w:val="24"/>
        </w:rPr>
        <w:t>1995</w:t>
      </w:r>
      <w:r w:rsidR="008019CC" w:rsidRPr="00235E14">
        <w:rPr>
          <w:rFonts w:asciiTheme="minorHAnsi" w:hAnsiTheme="minorHAnsi" w:cstheme="minorHAnsi"/>
          <w:sz w:val="24"/>
          <w:szCs w:val="24"/>
        </w:rPr>
        <w:t>, and</w:t>
      </w:r>
      <w:proofErr w:type="gramEnd"/>
      <w:r w:rsidR="008019CC" w:rsidRPr="00235E14">
        <w:rPr>
          <w:rFonts w:asciiTheme="minorHAnsi" w:hAnsiTheme="minorHAnsi" w:cstheme="minorHAnsi"/>
          <w:sz w:val="24"/>
          <w:szCs w:val="24"/>
        </w:rPr>
        <w:t xml:space="preserve"> does</w:t>
      </w:r>
      <w:r w:rsidR="008019CC">
        <w:rPr>
          <w:rFonts w:asciiTheme="minorHAnsi" w:hAnsiTheme="minorHAnsi" w:cstheme="minorHAnsi"/>
          <w:sz w:val="24"/>
          <w:szCs w:val="24"/>
        </w:rPr>
        <w:t xml:space="preserve"> </w:t>
      </w:r>
      <w:r w:rsidRPr="00E70441">
        <w:rPr>
          <w:rFonts w:asciiTheme="minorHAnsi" w:hAnsiTheme="minorHAnsi" w:cstheme="minorHAnsi"/>
          <w:sz w:val="24"/>
          <w:szCs w:val="24"/>
        </w:rPr>
        <w:t xml:space="preserve">not alter existing legal obligations under other legislation, including the </w:t>
      </w:r>
      <w:r w:rsidRPr="00E70441">
        <w:rPr>
          <w:rFonts w:asciiTheme="minorHAnsi" w:hAnsiTheme="minorHAnsi" w:cstheme="minorHAnsi"/>
          <w:i/>
          <w:iCs/>
          <w:sz w:val="24"/>
          <w:szCs w:val="24"/>
        </w:rPr>
        <w:t>Racial Discrimination Act 1975</w:t>
      </w:r>
      <w:r w:rsidRPr="00E70441">
        <w:rPr>
          <w:rFonts w:asciiTheme="minorHAnsi" w:hAnsiTheme="minorHAnsi" w:cstheme="minorHAnsi"/>
          <w:sz w:val="24"/>
          <w:szCs w:val="24"/>
        </w:rPr>
        <w:t xml:space="preserve">, </w:t>
      </w:r>
      <w:r w:rsidRPr="00E70441">
        <w:rPr>
          <w:rFonts w:asciiTheme="minorHAnsi" w:hAnsiTheme="minorHAnsi" w:cstheme="minorHAnsi"/>
          <w:i/>
          <w:iCs/>
          <w:sz w:val="24"/>
          <w:szCs w:val="24"/>
        </w:rPr>
        <w:t>Sex Discrimination Act 1984</w:t>
      </w:r>
      <w:r w:rsidRPr="00E70441">
        <w:rPr>
          <w:rFonts w:asciiTheme="minorHAnsi" w:hAnsiTheme="minorHAnsi" w:cstheme="minorHAnsi"/>
          <w:sz w:val="24"/>
          <w:szCs w:val="24"/>
        </w:rPr>
        <w:t xml:space="preserve">, </w:t>
      </w:r>
      <w:r w:rsidRPr="00E70441">
        <w:rPr>
          <w:rFonts w:asciiTheme="minorHAnsi" w:hAnsiTheme="minorHAnsi" w:cstheme="minorHAnsi"/>
          <w:i/>
          <w:iCs/>
          <w:sz w:val="24"/>
          <w:szCs w:val="24"/>
        </w:rPr>
        <w:t>Disability Discrimination Act 1992</w:t>
      </w:r>
      <w:r w:rsidRPr="00E70441">
        <w:rPr>
          <w:rFonts w:asciiTheme="minorHAnsi" w:hAnsiTheme="minorHAnsi" w:cstheme="minorHAnsi"/>
          <w:sz w:val="24"/>
          <w:szCs w:val="24"/>
        </w:rPr>
        <w:t xml:space="preserve"> or the </w:t>
      </w:r>
      <w:r w:rsidRPr="00E70441">
        <w:rPr>
          <w:rFonts w:asciiTheme="minorHAnsi" w:hAnsiTheme="minorHAnsi" w:cstheme="minorHAnsi"/>
          <w:i/>
          <w:iCs/>
          <w:sz w:val="24"/>
          <w:szCs w:val="24"/>
        </w:rPr>
        <w:t>Age Discrimination Act 2004</w:t>
      </w:r>
      <w:r w:rsidRPr="00E70441">
        <w:rPr>
          <w:rFonts w:asciiTheme="minorHAnsi" w:hAnsiTheme="minorHAnsi" w:cstheme="minorHAnsi"/>
          <w:sz w:val="24"/>
          <w:szCs w:val="24"/>
        </w:rPr>
        <w:t xml:space="preserve"> (</w:t>
      </w:r>
      <w:r w:rsidR="00113CFC" w:rsidRPr="00E70441">
        <w:rPr>
          <w:rFonts w:asciiTheme="minorHAnsi" w:hAnsiTheme="minorHAnsi" w:cstheme="minorHAnsi"/>
          <w:sz w:val="24"/>
          <w:szCs w:val="24"/>
        </w:rPr>
        <w:t xml:space="preserve">recommendation </w:t>
      </w:r>
      <w:r w:rsidRPr="00E70441">
        <w:rPr>
          <w:rFonts w:asciiTheme="minorHAnsi" w:hAnsiTheme="minorHAnsi" w:cstheme="minorHAnsi"/>
          <w:sz w:val="24"/>
          <w:szCs w:val="24"/>
        </w:rPr>
        <w:t>5).</w:t>
      </w:r>
    </w:p>
    <w:p w14:paraId="097AE202" w14:textId="245430F8" w:rsidR="003A664E" w:rsidRPr="00E70441" w:rsidRDefault="003A664E" w:rsidP="003A664E">
      <w:pPr>
        <w:spacing w:after="120"/>
        <w:rPr>
          <w:rFonts w:asciiTheme="minorHAnsi" w:hAnsiTheme="minorHAnsi" w:cstheme="minorHAnsi"/>
          <w:sz w:val="24"/>
          <w:szCs w:val="24"/>
        </w:rPr>
      </w:pPr>
      <w:r w:rsidRPr="00E70441">
        <w:rPr>
          <w:rFonts w:asciiTheme="minorHAnsi" w:hAnsiTheme="minorHAnsi" w:cstheme="minorHAnsi"/>
          <w:sz w:val="24"/>
          <w:szCs w:val="24"/>
        </w:rPr>
        <w:lastRenderedPageBreak/>
        <w:t>The duty of care will be risk-based and proportionate and applicable to all service providers where there is a risk of harm to Australians. High or fixed thresholds are therefore not required to be determined (</w:t>
      </w:r>
      <w:r w:rsidR="00113CFC" w:rsidRPr="00E70441">
        <w:rPr>
          <w:rFonts w:asciiTheme="minorHAnsi" w:hAnsiTheme="minorHAnsi" w:cstheme="minorHAnsi"/>
          <w:sz w:val="24"/>
          <w:szCs w:val="24"/>
        </w:rPr>
        <w:t xml:space="preserve">recommendation </w:t>
      </w:r>
      <w:r w:rsidRPr="00E70441">
        <w:rPr>
          <w:rFonts w:asciiTheme="minorHAnsi" w:hAnsiTheme="minorHAnsi" w:cstheme="minorHAnsi"/>
          <w:sz w:val="24"/>
          <w:szCs w:val="24"/>
        </w:rPr>
        <w:t>7).</w:t>
      </w:r>
    </w:p>
    <w:p w14:paraId="4A3D23B8" w14:textId="72166555" w:rsidR="003A664E" w:rsidRPr="00E70441" w:rsidRDefault="003A664E" w:rsidP="003A664E">
      <w:pPr>
        <w:spacing w:after="120"/>
        <w:rPr>
          <w:rFonts w:asciiTheme="minorHAnsi" w:hAnsiTheme="minorHAnsi" w:cstheme="minorHAnsi"/>
          <w:sz w:val="24"/>
          <w:szCs w:val="24"/>
        </w:rPr>
      </w:pPr>
      <w:r w:rsidRPr="00E70441">
        <w:rPr>
          <w:rFonts w:asciiTheme="minorHAnsi" w:hAnsiTheme="minorHAnsi" w:cstheme="minorHAnsi"/>
          <w:sz w:val="24"/>
          <w:szCs w:val="24"/>
        </w:rPr>
        <w:t xml:space="preserve">The duty of care may be supported by rules made by Government and </w:t>
      </w:r>
      <w:r w:rsidR="00820330">
        <w:rPr>
          <w:rFonts w:asciiTheme="minorHAnsi" w:hAnsiTheme="minorHAnsi" w:cstheme="minorHAnsi"/>
          <w:sz w:val="24"/>
          <w:szCs w:val="24"/>
        </w:rPr>
        <w:t xml:space="preserve">these rules will be subject to </w:t>
      </w:r>
      <w:r w:rsidRPr="00E70441">
        <w:rPr>
          <w:rFonts w:asciiTheme="minorHAnsi" w:hAnsiTheme="minorHAnsi" w:cstheme="minorHAnsi"/>
          <w:sz w:val="24"/>
          <w:szCs w:val="24"/>
        </w:rPr>
        <w:t xml:space="preserve">Parliament </w:t>
      </w:r>
      <w:r w:rsidR="00820330">
        <w:rPr>
          <w:rFonts w:asciiTheme="minorHAnsi" w:hAnsiTheme="minorHAnsi" w:cstheme="minorHAnsi"/>
          <w:sz w:val="24"/>
          <w:szCs w:val="24"/>
        </w:rPr>
        <w:t xml:space="preserve">scrutiny </w:t>
      </w:r>
      <w:r w:rsidRPr="00E70441">
        <w:rPr>
          <w:rFonts w:asciiTheme="minorHAnsi" w:hAnsiTheme="minorHAnsi" w:cstheme="minorHAnsi"/>
          <w:sz w:val="24"/>
          <w:szCs w:val="24"/>
        </w:rPr>
        <w:t>(</w:t>
      </w:r>
      <w:r w:rsidR="00113CFC" w:rsidRPr="00E70441">
        <w:rPr>
          <w:rFonts w:asciiTheme="minorHAnsi" w:hAnsiTheme="minorHAnsi" w:cstheme="minorHAnsi"/>
          <w:sz w:val="24"/>
          <w:szCs w:val="24"/>
        </w:rPr>
        <w:t xml:space="preserve">recommendation </w:t>
      </w:r>
      <w:r w:rsidRPr="00E70441">
        <w:rPr>
          <w:rFonts w:asciiTheme="minorHAnsi" w:hAnsiTheme="minorHAnsi" w:cstheme="minorHAnsi"/>
          <w:sz w:val="24"/>
          <w:szCs w:val="24"/>
        </w:rPr>
        <w:t>9).</w:t>
      </w:r>
    </w:p>
    <w:p w14:paraId="26901E24" w14:textId="4C019FD2" w:rsidR="003A664E" w:rsidRPr="00E70441" w:rsidRDefault="003A664E" w:rsidP="003A664E">
      <w:pPr>
        <w:spacing w:after="120"/>
        <w:rPr>
          <w:rFonts w:asciiTheme="minorHAnsi" w:hAnsiTheme="minorHAnsi" w:cstheme="minorHAnsi"/>
          <w:sz w:val="24"/>
          <w:szCs w:val="24"/>
        </w:rPr>
      </w:pPr>
      <w:r w:rsidRPr="00E70441">
        <w:rPr>
          <w:rFonts w:asciiTheme="minorHAnsi" w:hAnsiTheme="minorHAnsi" w:cstheme="minorHAnsi"/>
          <w:sz w:val="24"/>
          <w:szCs w:val="24"/>
        </w:rPr>
        <w:t>Broad transparency reporting powers under the Basic Online Safety Expectations (BOSE) will be retained (</w:t>
      </w:r>
      <w:r w:rsidR="00113CFC" w:rsidRPr="00E70441">
        <w:rPr>
          <w:rFonts w:asciiTheme="minorHAnsi" w:hAnsiTheme="minorHAnsi" w:cstheme="minorHAnsi"/>
          <w:sz w:val="24"/>
          <w:szCs w:val="24"/>
        </w:rPr>
        <w:t xml:space="preserve">recommendation </w:t>
      </w:r>
      <w:r w:rsidRPr="00E70441">
        <w:rPr>
          <w:rFonts w:asciiTheme="minorHAnsi" w:hAnsiTheme="minorHAnsi" w:cstheme="minorHAnsi"/>
          <w:sz w:val="24"/>
          <w:szCs w:val="24"/>
        </w:rPr>
        <w:t>10).</w:t>
      </w:r>
    </w:p>
    <w:p w14:paraId="01E10BD2" w14:textId="3690918C" w:rsidR="003A664E" w:rsidRPr="00E70441" w:rsidRDefault="003A664E" w:rsidP="003A664E">
      <w:pPr>
        <w:rPr>
          <w:rFonts w:asciiTheme="minorHAnsi" w:hAnsiTheme="minorHAnsi" w:cstheme="minorHAnsi"/>
          <w:sz w:val="24"/>
          <w:szCs w:val="24"/>
        </w:rPr>
      </w:pPr>
      <w:r w:rsidRPr="00E70441">
        <w:rPr>
          <w:rFonts w:asciiTheme="minorHAnsi" w:hAnsiTheme="minorHAnsi" w:cstheme="minorHAnsi"/>
          <w:sz w:val="24"/>
          <w:szCs w:val="24"/>
        </w:rPr>
        <w:t>The Government supports the intent of the review to improve the transparency of digital services by supporting the important work that expert researchers perform (</w:t>
      </w:r>
      <w:r w:rsidR="00113CFC" w:rsidRPr="00E70441">
        <w:rPr>
          <w:rFonts w:asciiTheme="minorHAnsi" w:hAnsiTheme="minorHAnsi" w:cstheme="minorHAnsi"/>
          <w:sz w:val="24"/>
          <w:szCs w:val="24"/>
        </w:rPr>
        <w:t xml:space="preserve">recommendation </w:t>
      </w:r>
      <w:r w:rsidRPr="00E70441">
        <w:rPr>
          <w:rFonts w:asciiTheme="minorHAnsi" w:hAnsiTheme="minorHAnsi" w:cstheme="minorHAnsi"/>
          <w:sz w:val="24"/>
          <w:szCs w:val="24"/>
        </w:rPr>
        <w:t xml:space="preserve">13). </w:t>
      </w:r>
    </w:p>
    <w:tbl>
      <w:tblPr>
        <w:tblStyle w:val="TableGrid"/>
        <w:tblW w:w="0" w:type="auto"/>
        <w:tblLook w:val="04A0" w:firstRow="1" w:lastRow="0" w:firstColumn="1" w:lastColumn="0" w:noHBand="0" w:noVBand="1"/>
      </w:tblPr>
      <w:tblGrid>
        <w:gridCol w:w="6516"/>
        <w:gridCol w:w="2500"/>
      </w:tblGrid>
      <w:tr w:rsidR="00E97C9D" w:rsidRPr="00E70441" w14:paraId="129E1DB1" w14:textId="77777777" w:rsidTr="00EB54CD">
        <w:tc>
          <w:tcPr>
            <w:tcW w:w="6516" w:type="dxa"/>
          </w:tcPr>
          <w:bookmarkEnd w:id="0"/>
          <w:p w14:paraId="77E5741C" w14:textId="1151FE92" w:rsidR="00E97C9D" w:rsidRPr="00E70441" w:rsidRDefault="00E97C9D" w:rsidP="00E97C9D">
            <w:pPr>
              <w:pStyle w:val="BodyText"/>
              <w:rPr>
                <w:rFonts w:asciiTheme="minorHAnsi" w:hAnsiTheme="minorHAnsi" w:cstheme="minorHAnsi"/>
                <w:b/>
                <w:bCs/>
                <w:sz w:val="24"/>
                <w:szCs w:val="24"/>
              </w:rPr>
            </w:pPr>
            <w:r w:rsidRPr="00E70441">
              <w:rPr>
                <w:rFonts w:asciiTheme="minorHAnsi" w:hAnsiTheme="minorHAnsi" w:cstheme="minorHAnsi"/>
                <w:b/>
                <w:bCs/>
                <w:sz w:val="24"/>
                <w:szCs w:val="24"/>
              </w:rPr>
              <w:t>Review Recommendation</w:t>
            </w:r>
          </w:p>
        </w:tc>
        <w:tc>
          <w:tcPr>
            <w:tcW w:w="2500" w:type="dxa"/>
          </w:tcPr>
          <w:p w14:paraId="38A45002" w14:textId="3D23C11E" w:rsidR="00E97C9D" w:rsidRPr="00E70441" w:rsidRDefault="00E97C9D" w:rsidP="00E97C9D">
            <w:pPr>
              <w:pStyle w:val="BodyText"/>
              <w:rPr>
                <w:rFonts w:asciiTheme="minorHAnsi" w:hAnsiTheme="minorHAnsi" w:cstheme="minorHAnsi"/>
                <w:b/>
                <w:bCs/>
                <w:sz w:val="24"/>
                <w:szCs w:val="24"/>
              </w:rPr>
            </w:pPr>
            <w:r w:rsidRPr="00E70441">
              <w:rPr>
                <w:rFonts w:asciiTheme="minorHAnsi" w:hAnsiTheme="minorHAnsi" w:cstheme="minorHAnsi"/>
                <w:b/>
                <w:bCs/>
                <w:sz w:val="24"/>
                <w:szCs w:val="24"/>
              </w:rPr>
              <w:t xml:space="preserve">Government </w:t>
            </w:r>
            <w:r w:rsidR="00EB54CD">
              <w:rPr>
                <w:rFonts w:asciiTheme="minorHAnsi" w:hAnsiTheme="minorHAnsi" w:cstheme="minorHAnsi"/>
                <w:b/>
                <w:bCs/>
                <w:sz w:val="24"/>
                <w:szCs w:val="24"/>
              </w:rPr>
              <w:t>R</w:t>
            </w:r>
            <w:r w:rsidRPr="00E70441">
              <w:rPr>
                <w:rFonts w:asciiTheme="minorHAnsi" w:hAnsiTheme="minorHAnsi" w:cstheme="minorHAnsi"/>
                <w:b/>
                <w:bCs/>
                <w:sz w:val="24"/>
                <w:szCs w:val="24"/>
              </w:rPr>
              <w:t>esponse</w:t>
            </w:r>
          </w:p>
        </w:tc>
      </w:tr>
      <w:tr w:rsidR="00E97C9D" w:rsidRPr="00E70441" w14:paraId="4C70911D" w14:textId="77777777" w:rsidTr="00EB54CD">
        <w:tc>
          <w:tcPr>
            <w:tcW w:w="6516" w:type="dxa"/>
          </w:tcPr>
          <w:p w14:paraId="56E5D548" w14:textId="38B01F9C" w:rsidR="00E97C9D" w:rsidRPr="00E70441" w:rsidRDefault="00E97C9D" w:rsidP="001D4F29">
            <w:pPr>
              <w:pStyle w:val="ListParagraph"/>
              <w:tabs>
                <w:tab w:val="clear" w:pos="851"/>
              </w:tabs>
              <w:ind w:left="0" w:firstLine="0"/>
              <w:contextualSpacing w:val="0"/>
              <w:rPr>
                <w:rFonts w:asciiTheme="minorHAnsi" w:hAnsiTheme="minorHAnsi" w:cstheme="minorHAnsi"/>
                <w:sz w:val="24"/>
                <w:szCs w:val="24"/>
              </w:rPr>
            </w:pPr>
            <w:r w:rsidRPr="00E70441">
              <w:rPr>
                <w:rFonts w:asciiTheme="minorHAnsi" w:hAnsiTheme="minorHAnsi" w:cstheme="minorHAnsi"/>
                <w:sz w:val="24"/>
                <w:szCs w:val="24"/>
              </w:rPr>
              <w:t>01: That the objects of the Act should be amended to include more descriptive objectives that are linked to the various functions covered by the Act.</w:t>
            </w:r>
          </w:p>
        </w:tc>
        <w:tc>
          <w:tcPr>
            <w:tcW w:w="2500" w:type="dxa"/>
          </w:tcPr>
          <w:p w14:paraId="4A341E05" w14:textId="7AF94E54" w:rsidR="00E97C9D" w:rsidRPr="00E70441" w:rsidRDefault="00E97C9D" w:rsidP="00E97C9D">
            <w:pPr>
              <w:pStyle w:val="BodyText"/>
              <w:rPr>
                <w:rFonts w:asciiTheme="minorHAnsi" w:hAnsiTheme="minorHAnsi" w:cstheme="minorHAnsi"/>
                <w:sz w:val="24"/>
                <w:szCs w:val="24"/>
              </w:rPr>
            </w:pPr>
            <w:r w:rsidRPr="00E70441">
              <w:rPr>
                <w:rFonts w:asciiTheme="minorHAnsi" w:hAnsiTheme="minorHAnsi" w:cstheme="minorHAnsi"/>
                <w:sz w:val="24"/>
                <w:szCs w:val="24"/>
              </w:rPr>
              <w:t>Support</w:t>
            </w:r>
          </w:p>
        </w:tc>
      </w:tr>
      <w:tr w:rsidR="00E97C9D" w:rsidRPr="00E70441" w14:paraId="5007F920" w14:textId="77777777" w:rsidTr="00EB54CD">
        <w:tc>
          <w:tcPr>
            <w:tcW w:w="6516" w:type="dxa"/>
          </w:tcPr>
          <w:p w14:paraId="157BE393" w14:textId="493ED87D" w:rsidR="00E97C9D" w:rsidRPr="00E70441" w:rsidRDefault="00E97C9D" w:rsidP="00E97C9D">
            <w:pPr>
              <w:pStyle w:val="BodyText"/>
              <w:rPr>
                <w:rFonts w:asciiTheme="minorHAnsi" w:hAnsiTheme="minorHAnsi" w:cstheme="minorHAnsi"/>
                <w:sz w:val="24"/>
                <w:szCs w:val="24"/>
              </w:rPr>
            </w:pPr>
            <w:r w:rsidRPr="00E70441">
              <w:rPr>
                <w:rFonts w:asciiTheme="minorHAnsi" w:hAnsiTheme="minorHAnsi" w:cstheme="minorHAnsi"/>
                <w:sz w:val="24"/>
                <w:szCs w:val="24"/>
              </w:rPr>
              <w:t>02: That current definitions of the online industry sections should be simplified to online platforms, online search and app distribution services, online infrastructure services and equipment and operating system services. These should be included in the Act to better reflect online safety risks and future proof the Act.</w:t>
            </w:r>
          </w:p>
        </w:tc>
        <w:tc>
          <w:tcPr>
            <w:tcW w:w="2500" w:type="dxa"/>
          </w:tcPr>
          <w:p w14:paraId="4CD6304E" w14:textId="0B040383" w:rsidR="00E97C9D" w:rsidRPr="00E70441" w:rsidRDefault="00E97C9D" w:rsidP="00E97C9D">
            <w:pPr>
              <w:pStyle w:val="BodyText"/>
              <w:rPr>
                <w:rFonts w:asciiTheme="minorHAnsi" w:hAnsiTheme="minorHAnsi" w:cstheme="minorHAnsi"/>
                <w:sz w:val="24"/>
                <w:szCs w:val="24"/>
              </w:rPr>
            </w:pPr>
            <w:r w:rsidRPr="00E70441">
              <w:rPr>
                <w:rFonts w:asciiTheme="minorHAnsi" w:hAnsiTheme="minorHAnsi" w:cstheme="minorHAnsi"/>
                <w:sz w:val="24"/>
                <w:szCs w:val="24"/>
              </w:rPr>
              <w:t>Note</w:t>
            </w:r>
          </w:p>
        </w:tc>
      </w:tr>
      <w:tr w:rsidR="00E97C9D" w:rsidRPr="00E70441" w14:paraId="42B2E3A4" w14:textId="77777777" w:rsidTr="00EB54CD">
        <w:tc>
          <w:tcPr>
            <w:tcW w:w="6516" w:type="dxa"/>
          </w:tcPr>
          <w:p w14:paraId="5CED23D4" w14:textId="340772BC" w:rsidR="00E97C9D" w:rsidRPr="00E70441" w:rsidRDefault="00E97C9D" w:rsidP="00E97C9D">
            <w:pPr>
              <w:pStyle w:val="BodyText"/>
              <w:rPr>
                <w:rFonts w:asciiTheme="minorHAnsi" w:hAnsiTheme="minorHAnsi" w:cstheme="minorHAnsi"/>
                <w:sz w:val="24"/>
                <w:szCs w:val="24"/>
              </w:rPr>
            </w:pPr>
            <w:r w:rsidRPr="00E70441">
              <w:rPr>
                <w:rFonts w:asciiTheme="minorHAnsi" w:hAnsiTheme="minorHAnsi" w:cstheme="minorHAnsi"/>
                <w:sz w:val="24"/>
                <w:szCs w:val="24"/>
              </w:rPr>
              <w:t>03: That the Government consider options to recognise the role of providers of online safety related services and technology in helping to identify and stop the distribution of child sexual exploitation and abuse material.</w:t>
            </w:r>
          </w:p>
        </w:tc>
        <w:tc>
          <w:tcPr>
            <w:tcW w:w="2500" w:type="dxa"/>
          </w:tcPr>
          <w:p w14:paraId="108468BD" w14:textId="1CC96E57" w:rsidR="00E97C9D" w:rsidRPr="00E70441" w:rsidRDefault="00E97C9D" w:rsidP="00E97C9D">
            <w:pPr>
              <w:pStyle w:val="BodyText"/>
              <w:rPr>
                <w:rFonts w:asciiTheme="minorHAnsi" w:hAnsiTheme="minorHAnsi" w:cstheme="minorHAnsi"/>
                <w:sz w:val="24"/>
                <w:szCs w:val="24"/>
              </w:rPr>
            </w:pPr>
            <w:r w:rsidRPr="00E70441">
              <w:rPr>
                <w:rFonts w:asciiTheme="minorHAnsi" w:hAnsiTheme="minorHAnsi" w:cstheme="minorHAnsi"/>
                <w:sz w:val="24"/>
                <w:szCs w:val="24"/>
              </w:rPr>
              <w:t>Support in principle</w:t>
            </w:r>
          </w:p>
        </w:tc>
      </w:tr>
      <w:tr w:rsidR="00E97C9D" w:rsidRPr="00E70441" w14:paraId="121D847B" w14:textId="77777777" w:rsidTr="00EB54CD">
        <w:tc>
          <w:tcPr>
            <w:tcW w:w="6516" w:type="dxa"/>
          </w:tcPr>
          <w:p w14:paraId="63D3E145" w14:textId="769AC37D" w:rsidR="00E97C9D" w:rsidRPr="00E70441" w:rsidRDefault="00E97C9D" w:rsidP="00E97C9D">
            <w:pPr>
              <w:pStyle w:val="BodyText"/>
              <w:rPr>
                <w:rFonts w:asciiTheme="minorHAnsi" w:hAnsiTheme="minorHAnsi" w:cstheme="minorHAnsi"/>
                <w:sz w:val="24"/>
                <w:szCs w:val="24"/>
              </w:rPr>
            </w:pPr>
            <w:r w:rsidRPr="00E70441">
              <w:rPr>
                <w:rFonts w:asciiTheme="minorHAnsi" w:hAnsiTheme="minorHAnsi" w:cstheme="minorHAnsi"/>
                <w:sz w:val="24"/>
                <w:szCs w:val="24"/>
              </w:rPr>
              <w:t xml:space="preserve">04: That Australia </w:t>
            </w:r>
            <w:proofErr w:type="gramStart"/>
            <w:r w:rsidRPr="00E70441">
              <w:rPr>
                <w:rFonts w:asciiTheme="minorHAnsi" w:hAnsiTheme="minorHAnsi" w:cstheme="minorHAnsi"/>
                <w:sz w:val="24"/>
                <w:szCs w:val="24"/>
              </w:rPr>
              <w:t>adopt</w:t>
            </w:r>
            <w:proofErr w:type="gramEnd"/>
            <w:r w:rsidRPr="00E70441">
              <w:rPr>
                <w:rFonts w:asciiTheme="minorHAnsi" w:hAnsiTheme="minorHAnsi" w:cstheme="minorHAnsi"/>
                <w:sz w:val="24"/>
                <w:szCs w:val="24"/>
              </w:rPr>
              <w:t xml:space="preserve"> a singular and overarching duty of care that encompasses due diligence, and is underpinned by safety by design principles, risk assessment, risk mitigation and measurement.</w:t>
            </w:r>
          </w:p>
        </w:tc>
        <w:tc>
          <w:tcPr>
            <w:tcW w:w="2500" w:type="dxa"/>
          </w:tcPr>
          <w:p w14:paraId="5275F3F9" w14:textId="2A4A81FB" w:rsidR="00E97C9D" w:rsidRPr="00E70441" w:rsidRDefault="00E97C9D" w:rsidP="00E97C9D">
            <w:pPr>
              <w:pStyle w:val="BodyText"/>
              <w:rPr>
                <w:rFonts w:asciiTheme="minorHAnsi" w:hAnsiTheme="minorHAnsi" w:cstheme="minorHAnsi"/>
                <w:sz w:val="24"/>
                <w:szCs w:val="24"/>
              </w:rPr>
            </w:pPr>
            <w:r w:rsidRPr="00E70441">
              <w:rPr>
                <w:rFonts w:asciiTheme="minorHAnsi" w:hAnsiTheme="minorHAnsi" w:cstheme="minorHAnsi"/>
                <w:sz w:val="24"/>
                <w:szCs w:val="24"/>
              </w:rPr>
              <w:t>Support</w:t>
            </w:r>
          </w:p>
        </w:tc>
      </w:tr>
      <w:tr w:rsidR="00E97C9D" w:rsidRPr="00E70441" w14:paraId="6F3805FD" w14:textId="77777777" w:rsidTr="00EB54CD">
        <w:tc>
          <w:tcPr>
            <w:tcW w:w="6516" w:type="dxa"/>
          </w:tcPr>
          <w:p w14:paraId="07693F7F" w14:textId="0C55E028" w:rsidR="00E97C9D" w:rsidRPr="00E70441" w:rsidRDefault="00E97C9D" w:rsidP="00E97C9D">
            <w:pPr>
              <w:rPr>
                <w:rFonts w:asciiTheme="minorHAnsi" w:hAnsiTheme="minorHAnsi" w:cstheme="minorHAnsi"/>
                <w:b/>
                <w:sz w:val="24"/>
                <w:szCs w:val="24"/>
              </w:rPr>
            </w:pPr>
            <w:r w:rsidRPr="00E70441">
              <w:rPr>
                <w:rFonts w:asciiTheme="minorHAnsi" w:hAnsiTheme="minorHAnsi" w:cstheme="minorHAnsi"/>
                <w:sz w:val="24"/>
                <w:szCs w:val="24"/>
              </w:rPr>
              <w:t xml:space="preserve">05: The harms that should be highlighted for attention under a duty of care should at a minimum include: </w:t>
            </w:r>
          </w:p>
          <w:p w14:paraId="6BB59F49" w14:textId="77777777" w:rsidR="00E97C9D" w:rsidRPr="00E70441" w:rsidRDefault="00E97C9D" w:rsidP="00E97C9D">
            <w:pPr>
              <w:pStyle w:val="ListParagraph"/>
              <w:numPr>
                <w:ilvl w:val="0"/>
                <w:numId w:val="25"/>
              </w:numPr>
              <w:tabs>
                <w:tab w:val="clear" w:pos="851"/>
              </w:tabs>
              <w:contextualSpacing w:val="0"/>
              <w:rPr>
                <w:rFonts w:asciiTheme="minorHAnsi" w:hAnsiTheme="minorHAnsi" w:cstheme="minorHAnsi"/>
                <w:b/>
                <w:sz w:val="24"/>
                <w:szCs w:val="24"/>
              </w:rPr>
            </w:pPr>
            <w:r w:rsidRPr="00E70441">
              <w:rPr>
                <w:rFonts w:asciiTheme="minorHAnsi" w:hAnsiTheme="minorHAnsi" w:cstheme="minorHAnsi"/>
                <w:sz w:val="24"/>
                <w:szCs w:val="24"/>
              </w:rPr>
              <w:t>Harms to young people, including child sexual exploitation and abuse (including grooming), bullying and problematic internet use</w:t>
            </w:r>
          </w:p>
          <w:p w14:paraId="31AC9D8B" w14:textId="77777777" w:rsidR="00E97C9D" w:rsidRPr="00E70441" w:rsidRDefault="00E97C9D" w:rsidP="00E97C9D">
            <w:pPr>
              <w:pStyle w:val="ListParagraph"/>
              <w:numPr>
                <w:ilvl w:val="0"/>
                <w:numId w:val="25"/>
              </w:numPr>
              <w:tabs>
                <w:tab w:val="clear" w:pos="851"/>
              </w:tabs>
              <w:contextualSpacing w:val="0"/>
              <w:rPr>
                <w:rFonts w:asciiTheme="minorHAnsi" w:hAnsiTheme="minorHAnsi" w:cstheme="minorHAnsi"/>
                <w:b/>
                <w:sz w:val="24"/>
                <w:szCs w:val="24"/>
              </w:rPr>
            </w:pPr>
            <w:r w:rsidRPr="00E70441">
              <w:rPr>
                <w:rFonts w:asciiTheme="minorHAnsi" w:hAnsiTheme="minorHAnsi" w:cstheme="minorHAnsi"/>
                <w:sz w:val="24"/>
                <w:szCs w:val="24"/>
              </w:rPr>
              <w:t xml:space="preserve">Harms to mental and physical wellbeing, including threats to harm or kill, or attacks based on a person or group of people’s protected characteristics, such as sex, gender, sexual orientation, race, ethnicity, disability, age or religion </w:t>
            </w:r>
          </w:p>
          <w:p w14:paraId="4624B83C" w14:textId="77777777" w:rsidR="00E97C9D" w:rsidRPr="00E70441" w:rsidRDefault="00E97C9D" w:rsidP="00E97C9D">
            <w:pPr>
              <w:pStyle w:val="ListParagraph"/>
              <w:numPr>
                <w:ilvl w:val="0"/>
                <w:numId w:val="25"/>
              </w:numPr>
              <w:tabs>
                <w:tab w:val="clear" w:pos="851"/>
              </w:tabs>
              <w:contextualSpacing w:val="0"/>
              <w:rPr>
                <w:rFonts w:asciiTheme="minorHAnsi" w:hAnsiTheme="minorHAnsi" w:cstheme="minorHAnsi"/>
                <w:b/>
                <w:sz w:val="24"/>
                <w:szCs w:val="24"/>
              </w:rPr>
            </w:pPr>
            <w:r w:rsidRPr="00E70441">
              <w:rPr>
                <w:rFonts w:asciiTheme="minorHAnsi" w:hAnsiTheme="minorHAnsi" w:cstheme="minorHAnsi"/>
                <w:sz w:val="24"/>
                <w:szCs w:val="24"/>
              </w:rPr>
              <w:t>Instruction or promotion of harmful practices, such as self-harm/suicide, disordered eating and dares that could lead to grievous harm</w:t>
            </w:r>
          </w:p>
          <w:p w14:paraId="1A2FFA5A" w14:textId="77777777" w:rsidR="006D734A" w:rsidRPr="00E70441" w:rsidRDefault="00E97C9D" w:rsidP="00E97C9D">
            <w:pPr>
              <w:pStyle w:val="ListParagraph"/>
              <w:numPr>
                <w:ilvl w:val="0"/>
                <w:numId w:val="25"/>
              </w:numPr>
              <w:tabs>
                <w:tab w:val="clear" w:pos="851"/>
              </w:tabs>
              <w:contextualSpacing w:val="0"/>
              <w:rPr>
                <w:rFonts w:asciiTheme="minorHAnsi" w:hAnsiTheme="minorHAnsi" w:cstheme="minorHAnsi"/>
                <w:b/>
                <w:sz w:val="24"/>
                <w:szCs w:val="24"/>
              </w:rPr>
            </w:pPr>
            <w:r w:rsidRPr="00E70441">
              <w:rPr>
                <w:rFonts w:asciiTheme="minorHAnsi" w:hAnsiTheme="minorHAnsi" w:cstheme="minorHAnsi"/>
                <w:sz w:val="24"/>
                <w:szCs w:val="24"/>
              </w:rPr>
              <w:lastRenderedPageBreak/>
              <w:t>Threats to national security and social cohesion, such as through promotion of terrorism and abhorrent violent extremist content; and</w:t>
            </w:r>
          </w:p>
          <w:p w14:paraId="1170212D" w14:textId="7A0B8E30" w:rsidR="00E97C9D" w:rsidRPr="00E70441" w:rsidRDefault="00E97C9D" w:rsidP="00E97C9D">
            <w:pPr>
              <w:pStyle w:val="ListParagraph"/>
              <w:numPr>
                <w:ilvl w:val="0"/>
                <w:numId w:val="25"/>
              </w:numPr>
              <w:tabs>
                <w:tab w:val="clear" w:pos="851"/>
              </w:tabs>
              <w:contextualSpacing w:val="0"/>
              <w:rPr>
                <w:rFonts w:asciiTheme="minorHAnsi" w:hAnsiTheme="minorHAnsi" w:cstheme="minorHAnsi"/>
                <w:b/>
                <w:sz w:val="24"/>
                <w:szCs w:val="24"/>
              </w:rPr>
            </w:pPr>
            <w:r w:rsidRPr="00E70441">
              <w:rPr>
                <w:rFonts w:asciiTheme="minorHAnsi" w:hAnsiTheme="minorHAnsi" w:cstheme="minorHAnsi"/>
                <w:sz w:val="24"/>
                <w:szCs w:val="24"/>
              </w:rPr>
              <w:t>Other illegal content, conduct and activity</w:t>
            </w:r>
            <w:r w:rsidR="006D734A" w:rsidRPr="00E70441">
              <w:rPr>
                <w:rFonts w:asciiTheme="minorHAnsi" w:hAnsiTheme="minorHAnsi" w:cstheme="minorHAnsi"/>
                <w:sz w:val="24"/>
                <w:szCs w:val="24"/>
              </w:rPr>
              <w:t>.</w:t>
            </w:r>
          </w:p>
        </w:tc>
        <w:tc>
          <w:tcPr>
            <w:tcW w:w="2500" w:type="dxa"/>
          </w:tcPr>
          <w:p w14:paraId="15B5818F" w14:textId="2F95C2B7" w:rsidR="00E97C9D" w:rsidRPr="00E70441" w:rsidRDefault="00E97C9D" w:rsidP="00E97C9D">
            <w:pPr>
              <w:pStyle w:val="BodyText"/>
              <w:rPr>
                <w:rFonts w:asciiTheme="minorHAnsi" w:hAnsiTheme="minorHAnsi" w:cstheme="minorHAnsi"/>
                <w:sz w:val="24"/>
                <w:szCs w:val="24"/>
              </w:rPr>
            </w:pPr>
            <w:r w:rsidRPr="00E70441">
              <w:rPr>
                <w:rFonts w:asciiTheme="minorHAnsi" w:hAnsiTheme="minorHAnsi" w:cstheme="minorHAnsi"/>
                <w:sz w:val="24"/>
                <w:szCs w:val="24"/>
              </w:rPr>
              <w:lastRenderedPageBreak/>
              <w:t>Support in principle</w:t>
            </w:r>
          </w:p>
        </w:tc>
      </w:tr>
      <w:tr w:rsidR="006D734A" w:rsidRPr="00E70441" w14:paraId="6539AB10" w14:textId="77777777" w:rsidTr="00EB54CD">
        <w:tc>
          <w:tcPr>
            <w:tcW w:w="6516" w:type="dxa"/>
          </w:tcPr>
          <w:p w14:paraId="5BC5BDC8" w14:textId="4D455353" w:rsidR="006D734A" w:rsidRPr="00E70441" w:rsidRDefault="006D734A" w:rsidP="006D734A">
            <w:pPr>
              <w:rPr>
                <w:rFonts w:asciiTheme="minorHAnsi" w:hAnsiTheme="minorHAnsi" w:cstheme="minorHAnsi"/>
                <w:sz w:val="24"/>
                <w:szCs w:val="24"/>
              </w:rPr>
            </w:pPr>
            <w:r w:rsidRPr="00E70441">
              <w:rPr>
                <w:rFonts w:asciiTheme="minorHAnsi" w:hAnsiTheme="minorHAnsi" w:cstheme="minorHAnsi"/>
                <w:sz w:val="24"/>
                <w:szCs w:val="24"/>
              </w:rPr>
              <w:t>06: Entities with the greatest reach or risk should be required to complete a risk assessment at least every 12 months and to carry out a risk assessment when significant changes are made to the design and operation of their service. These entities should also be required to provide an annual report detailing their risk assessments, risk mitigations and how successful they have been to the regulator.</w:t>
            </w:r>
          </w:p>
        </w:tc>
        <w:tc>
          <w:tcPr>
            <w:tcW w:w="2500" w:type="dxa"/>
          </w:tcPr>
          <w:p w14:paraId="4C0E8CBA" w14:textId="30BA4B18" w:rsidR="006D734A" w:rsidRPr="00E70441" w:rsidRDefault="006D734A" w:rsidP="006D734A">
            <w:pPr>
              <w:pStyle w:val="BodyText"/>
              <w:rPr>
                <w:rFonts w:asciiTheme="minorHAnsi" w:hAnsiTheme="minorHAnsi" w:cstheme="minorHAnsi"/>
                <w:sz w:val="24"/>
                <w:szCs w:val="24"/>
              </w:rPr>
            </w:pPr>
            <w:r w:rsidRPr="00E70441">
              <w:rPr>
                <w:rFonts w:asciiTheme="minorHAnsi" w:hAnsiTheme="minorHAnsi" w:cstheme="minorHAnsi"/>
                <w:sz w:val="24"/>
                <w:szCs w:val="24"/>
              </w:rPr>
              <w:t>Support in principle</w:t>
            </w:r>
          </w:p>
        </w:tc>
      </w:tr>
      <w:tr w:rsidR="001D4F29" w:rsidRPr="00E70441" w14:paraId="1C02CC12" w14:textId="77777777" w:rsidTr="00EB54CD">
        <w:tc>
          <w:tcPr>
            <w:tcW w:w="6516" w:type="dxa"/>
          </w:tcPr>
          <w:p w14:paraId="0E7A0EC2" w14:textId="1DCA322C" w:rsidR="001D4F29" w:rsidRPr="00E70441" w:rsidRDefault="001D4F29" w:rsidP="001D4F29">
            <w:pPr>
              <w:rPr>
                <w:rFonts w:asciiTheme="minorHAnsi" w:hAnsiTheme="minorHAnsi" w:cstheme="minorHAnsi"/>
                <w:sz w:val="24"/>
                <w:szCs w:val="24"/>
              </w:rPr>
            </w:pPr>
            <w:r w:rsidRPr="00E70441">
              <w:rPr>
                <w:rFonts w:asciiTheme="minorHAnsi" w:hAnsiTheme="minorHAnsi" w:cstheme="minorHAnsi"/>
                <w:sz w:val="24"/>
                <w:szCs w:val="24"/>
              </w:rPr>
              <w:t>07: Services used by more than 10 per cent of the Australian population should be automatically part of the highest tier with additional mandatory responsibilities. The regulator should have a power to deem whether other online services do, or do not, meet the reach or risk requirement, noting that the reach or risk of services may change over time.</w:t>
            </w:r>
          </w:p>
        </w:tc>
        <w:tc>
          <w:tcPr>
            <w:tcW w:w="2500" w:type="dxa"/>
          </w:tcPr>
          <w:p w14:paraId="7B94F187" w14:textId="70F395E7"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Not supported</w:t>
            </w:r>
          </w:p>
        </w:tc>
      </w:tr>
      <w:tr w:rsidR="001D4F29" w:rsidRPr="00E70441" w14:paraId="7D79D5EF" w14:textId="77777777" w:rsidTr="00EB54CD">
        <w:tc>
          <w:tcPr>
            <w:tcW w:w="6516" w:type="dxa"/>
          </w:tcPr>
          <w:p w14:paraId="2B0B3E93" w14:textId="46113B05" w:rsidR="001D4F29" w:rsidRPr="00E70441" w:rsidRDefault="001D4F29" w:rsidP="001D4F29">
            <w:pPr>
              <w:rPr>
                <w:rFonts w:asciiTheme="minorHAnsi" w:hAnsiTheme="minorHAnsi" w:cstheme="minorHAnsi"/>
                <w:sz w:val="24"/>
                <w:szCs w:val="24"/>
              </w:rPr>
            </w:pPr>
            <w:r w:rsidRPr="00E70441">
              <w:rPr>
                <w:rFonts w:asciiTheme="minorHAnsi" w:hAnsiTheme="minorHAnsi" w:cstheme="minorHAnsi"/>
                <w:sz w:val="24"/>
                <w:szCs w:val="24"/>
              </w:rPr>
              <w:t xml:space="preserve">08: The best interests of the child should be a primary consideration for online service providers in assessing and mitigating the risks arising from the design and operation of their services, including risks to children who may use the service and risks to children </w:t>
            </w:r>
            <w:proofErr w:type="gramStart"/>
            <w:r w:rsidRPr="00E70441">
              <w:rPr>
                <w:rFonts w:asciiTheme="minorHAnsi" w:hAnsiTheme="minorHAnsi" w:cstheme="minorHAnsi"/>
                <w:sz w:val="24"/>
                <w:szCs w:val="24"/>
              </w:rPr>
              <w:t>as a result of</w:t>
            </w:r>
            <w:proofErr w:type="gramEnd"/>
            <w:r w:rsidRPr="00E70441">
              <w:rPr>
                <w:rFonts w:asciiTheme="minorHAnsi" w:hAnsiTheme="minorHAnsi" w:cstheme="minorHAnsi"/>
                <w:sz w:val="24"/>
                <w:szCs w:val="24"/>
              </w:rPr>
              <w:t xml:space="preserve"> how the service may be used.</w:t>
            </w:r>
          </w:p>
        </w:tc>
        <w:tc>
          <w:tcPr>
            <w:tcW w:w="2500" w:type="dxa"/>
          </w:tcPr>
          <w:p w14:paraId="696C5EB3" w14:textId="1E11F8C6"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Support</w:t>
            </w:r>
          </w:p>
        </w:tc>
      </w:tr>
      <w:tr w:rsidR="001D4F29" w:rsidRPr="00E70441" w14:paraId="07E9F060" w14:textId="77777777" w:rsidTr="00EB54CD">
        <w:tc>
          <w:tcPr>
            <w:tcW w:w="6516" w:type="dxa"/>
          </w:tcPr>
          <w:p w14:paraId="4A903BE5" w14:textId="03300B0B" w:rsidR="001D4F29" w:rsidRPr="00E70441" w:rsidRDefault="001D4F29" w:rsidP="001D4F29">
            <w:pPr>
              <w:rPr>
                <w:rFonts w:asciiTheme="minorHAnsi" w:hAnsiTheme="minorHAnsi" w:cstheme="minorHAnsi"/>
                <w:sz w:val="24"/>
                <w:szCs w:val="24"/>
              </w:rPr>
            </w:pPr>
            <w:r w:rsidRPr="00E70441">
              <w:rPr>
                <w:rFonts w:asciiTheme="minorHAnsi" w:hAnsiTheme="minorHAnsi" w:cstheme="minorHAnsi"/>
                <w:sz w:val="24"/>
                <w:szCs w:val="24"/>
              </w:rPr>
              <w:t>09: The eSafety Commissioner should be empowered to create mandatory rules (in the form of codes) on how entities can comply with certain aspects of the duty of care requirements, including addressing specific online harms. This should not stop services from taking additional steps to protect people. Codes would not create safe harbours</w:t>
            </w:r>
            <w:r w:rsidR="00E70441">
              <w:rPr>
                <w:rFonts w:asciiTheme="minorHAnsi" w:hAnsiTheme="minorHAnsi" w:cstheme="minorHAnsi"/>
                <w:sz w:val="24"/>
                <w:szCs w:val="24"/>
              </w:rPr>
              <w:t>.</w:t>
            </w:r>
          </w:p>
        </w:tc>
        <w:tc>
          <w:tcPr>
            <w:tcW w:w="2500" w:type="dxa"/>
          </w:tcPr>
          <w:p w14:paraId="1A569DA1" w14:textId="751B877C"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 xml:space="preserve">Support in principle </w:t>
            </w:r>
          </w:p>
        </w:tc>
      </w:tr>
      <w:tr w:rsidR="001D4F29" w:rsidRPr="00E70441" w14:paraId="29F7C9F5" w14:textId="77777777" w:rsidTr="00EB54CD">
        <w:tc>
          <w:tcPr>
            <w:tcW w:w="6516" w:type="dxa"/>
          </w:tcPr>
          <w:p w14:paraId="157D7A50" w14:textId="69FAC7F9" w:rsidR="001D4F29" w:rsidRPr="00E70441" w:rsidRDefault="001D4F29" w:rsidP="00E70441">
            <w:pPr>
              <w:rPr>
                <w:rFonts w:asciiTheme="minorHAnsi" w:hAnsiTheme="minorHAnsi" w:cstheme="minorHAnsi"/>
                <w:sz w:val="24"/>
                <w:szCs w:val="24"/>
              </w:rPr>
            </w:pPr>
            <w:r w:rsidRPr="00E70441">
              <w:rPr>
                <w:rFonts w:asciiTheme="minorHAnsi" w:hAnsiTheme="minorHAnsi" w:cstheme="minorHAnsi"/>
                <w:sz w:val="24"/>
                <w:szCs w:val="24"/>
              </w:rPr>
              <w:t>10: In addition to risk assessments, a service with the greatest reach or risk should be required to provide an annual transparency report and publish a summarised version on its website. This should not replace the broad power for eSafety to require periodic and non-periodic transparency reports from all services.</w:t>
            </w:r>
          </w:p>
        </w:tc>
        <w:tc>
          <w:tcPr>
            <w:tcW w:w="2500" w:type="dxa"/>
          </w:tcPr>
          <w:p w14:paraId="09CA1E44" w14:textId="2D250352"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Support in principle</w:t>
            </w:r>
          </w:p>
        </w:tc>
      </w:tr>
      <w:tr w:rsidR="001D4F29" w:rsidRPr="00E70441" w14:paraId="5678EE8F" w14:textId="77777777" w:rsidTr="00EB54CD">
        <w:tc>
          <w:tcPr>
            <w:tcW w:w="6516" w:type="dxa"/>
          </w:tcPr>
          <w:p w14:paraId="704D20DE" w14:textId="7864C9B3" w:rsidR="001D4F29" w:rsidRPr="00E70441" w:rsidRDefault="001D4F29" w:rsidP="001D4F29">
            <w:pPr>
              <w:rPr>
                <w:rFonts w:asciiTheme="minorHAnsi" w:hAnsiTheme="minorHAnsi" w:cstheme="minorHAnsi"/>
                <w:sz w:val="24"/>
                <w:szCs w:val="24"/>
              </w:rPr>
            </w:pPr>
            <w:r w:rsidRPr="00E70441">
              <w:rPr>
                <w:rFonts w:asciiTheme="minorHAnsi" w:hAnsiTheme="minorHAnsi" w:cstheme="minorHAnsi"/>
                <w:sz w:val="24"/>
                <w:szCs w:val="24"/>
              </w:rPr>
              <w:t xml:space="preserve">11: Services with the greatest reach or risk should be required to have a well-resourced compliance function that reports directly to senior management as needed, and at least quarterly </w:t>
            </w:r>
            <w:r w:rsidRPr="00E70441">
              <w:rPr>
                <w:rFonts w:asciiTheme="minorHAnsi" w:hAnsiTheme="minorHAnsi" w:cstheme="minorHAnsi"/>
                <w:sz w:val="24"/>
                <w:szCs w:val="24"/>
              </w:rPr>
              <w:lastRenderedPageBreak/>
              <w:t>to the audit and risk committee and annually to the board. Only the board (or its equivalent) can dismiss the head of the compliance function.</w:t>
            </w:r>
          </w:p>
        </w:tc>
        <w:tc>
          <w:tcPr>
            <w:tcW w:w="2500" w:type="dxa"/>
          </w:tcPr>
          <w:p w14:paraId="59F2E646" w14:textId="4D9ACB7E"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lastRenderedPageBreak/>
              <w:t>Support in principle</w:t>
            </w:r>
          </w:p>
        </w:tc>
      </w:tr>
      <w:tr w:rsidR="001D4F29" w:rsidRPr="00E70441" w14:paraId="5253E0E6" w14:textId="77777777" w:rsidTr="00EB54CD">
        <w:tc>
          <w:tcPr>
            <w:tcW w:w="6516" w:type="dxa"/>
          </w:tcPr>
          <w:p w14:paraId="0D5BB42D" w14:textId="76E7BEA7" w:rsidR="001D4F29" w:rsidRPr="00E70441" w:rsidRDefault="001D4F29" w:rsidP="001D4F29">
            <w:pPr>
              <w:rPr>
                <w:rFonts w:asciiTheme="minorHAnsi" w:hAnsiTheme="minorHAnsi" w:cstheme="minorHAnsi"/>
                <w:sz w:val="24"/>
                <w:szCs w:val="24"/>
              </w:rPr>
            </w:pPr>
            <w:r w:rsidRPr="00E70441">
              <w:rPr>
                <w:rFonts w:asciiTheme="minorHAnsi" w:hAnsiTheme="minorHAnsi" w:cstheme="minorHAnsi"/>
                <w:sz w:val="24"/>
                <w:szCs w:val="24"/>
              </w:rPr>
              <w:t>12: The regulator should have the discretion and power to require services to undertake an audit at their own expense.</w:t>
            </w:r>
          </w:p>
        </w:tc>
        <w:tc>
          <w:tcPr>
            <w:tcW w:w="2500" w:type="dxa"/>
          </w:tcPr>
          <w:p w14:paraId="121BDF58" w14:textId="338A0A79"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Support</w:t>
            </w:r>
          </w:p>
        </w:tc>
      </w:tr>
      <w:tr w:rsidR="001D4F29" w:rsidRPr="00E70441" w14:paraId="4E081DD1" w14:textId="77777777" w:rsidTr="00EB54CD">
        <w:tc>
          <w:tcPr>
            <w:tcW w:w="6516" w:type="dxa"/>
          </w:tcPr>
          <w:p w14:paraId="4677175C" w14:textId="286CB7FD" w:rsidR="001D4F29" w:rsidRPr="00E70441" w:rsidRDefault="001D4F29" w:rsidP="001D4F29">
            <w:pPr>
              <w:rPr>
                <w:rFonts w:asciiTheme="minorHAnsi" w:hAnsiTheme="minorHAnsi" w:cstheme="minorHAnsi"/>
                <w:sz w:val="24"/>
                <w:szCs w:val="24"/>
              </w:rPr>
            </w:pPr>
            <w:r w:rsidRPr="00E70441">
              <w:rPr>
                <w:rFonts w:asciiTheme="minorHAnsi" w:hAnsiTheme="minorHAnsi" w:cstheme="minorHAnsi"/>
                <w:sz w:val="24"/>
                <w:szCs w:val="24"/>
              </w:rPr>
              <w:t>13: Subject to adequate safeguards, services with the greatest reach or risk should be required to share data with authorised researchers for the purposes of determining compliance with a duty of care model, the takedown schemes and research into emerging problems and harms.</w:t>
            </w:r>
          </w:p>
        </w:tc>
        <w:tc>
          <w:tcPr>
            <w:tcW w:w="2500" w:type="dxa"/>
          </w:tcPr>
          <w:p w14:paraId="61C7EE26" w14:textId="6DDB2F50"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Support in principle</w:t>
            </w:r>
          </w:p>
        </w:tc>
      </w:tr>
    </w:tbl>
    <w:p w14:paraId="70097E70" w14:textId="7920C5AF" w:rsidR="003A664E" w:rsidRPr="00E70441" w:rsidRDefault="003A664E" w:rsidP="00EA4ED8">
      <w:pPr>
        <w:pStyle w:val="Heading1"/>
        <w:numPr>
          <w:ilvl w:val="0"/>
          <w:numId w:val="0"/>
        </w:numPr>
        <w:ind w:left="360" w:hanging="360"/>
        <w:rPr>
          <w:rFonts w:asciiTheme="minorHAnsi" w:hAnsiTheme="minorHAnsi" w:cstheme="minorHAnsi"/>
          <w:sz w:val="24"/>
          <w:szCs w:val="24"/>
        </w:rPr>
      </w:pPr>
      <w:r w:rsidRPr="00E70441">
        <w:rPr>
          <w:rFonts w:asciiTheme="minorHAnsi" w:hAnsiTheme="minorHAnsi" w:cstheme="minorHAnsi"/>
          <w:sz w:val="24"/>
          <w:szCs w:val="24"/>
        </w:rPr>
        <w:t>Supporting people who have experienced harms online</w:t>
      </w:r>
    </w:p>
    <w:p w14:paraId="04E71479" w14:textId="58CAA3F8" w:rsidR="003A664E" w:rsidRPr="00E70441" w:rsidRDefault="003A664E" w:rsidP="003A664E">
      <w:pPr>
        <w:rPr>
          <w:rFonts w:asciiTheme="minorHAnsi" w:hAnsiTheme="minorHAnsi" w:cstheme="minorHAnsi"/>
          <w:sz w:val="24"/>
          <w:szCs w:val="24"/>
        </w:rPr>
      </w:pPr>
      <w:r w:rsidRPr="00E70441">
        <w:rPr>
          <w:rFonts w:asciiTheme="minorHAnsi" w:hAnsiTheme="minorHAnsi" w:cstheme="minorHAnsi"/>
          <w:sz w:val="24"/>
          <w:szCs w:val="24"/>
        </w:rPr>
        <w:t xml:space="preserve">The </w:t>
      </w:r>
      <w:r w:rsidR="00A603FC">
        <w:rPr>
          <w:rFonts w:asciiTheme="minorHAnsi" w:hAnsiTheme="minorHAnsi" w:cstheme="minorHAnsi"/>
          <w:sz w:val="24"/>
          <w:szCs w:val="24"/>
        </w:rPr>
        <w:t>G</w:t>
      </w:r>
      <w:r w:rsidRPr="00E70441">
        <w:rPr>
          <w:rFonts w:asciiTheme="minorHAnsi" w:hAnsiTheme="minorHAnsi" w:cstheme="minorHAnsi"/>
          <w:sz w:val="24"/>
          <w:szCs w:val="24"/>
        </w:rPr>
        <w:t>overnment remains committed to supporting Australians who have been harmed online and is focused on delivering practical and effective reforms that provide obvious and attainable benefits to Australians.</w:t>
      </w:r>
    </w:p>
    <w:p w14:paraId="30091FBA" w14:textId="67FC616E" w:rsidR="003A664E" w:rsidRPr="00E70441" w:rsidRDefault="003A664E" w:rsidP="003A664E">
      <w:pPr>
        <w:rPr>
          <w:rFonts w:asciiTheme="minorHAnsi" w:hAnsiTheme="minorHAnsi" w:cstheme="minorHAnsi"/>
          <w:sz w:val="24"/>
          <w:szCs w:val="24"/>
        </w:rPr>
      </w:pPr>
      <w:r w:rsidRPr="00E70441">
        <w:rPr>
          <w:rFonts w:asciiTheme="minorHAnsi" w:hAnsiTheme="minorHAnsi" w:cstheme="minorHAnsi"/>
          <w:sz w:val="24"/>
          <w:szCs w:val="24"/>
        </w:rPr>
        <w:t xml:space="preserve">The process for eSafety to issue removal notices will be streamlined to enable a rapid response </w:t>
      </w:r>
      <w:r w:rsidR="00820330">
        <w:rPr>
          <w:rFonts w:asciiTheme="minorHAnsi" w:hAnsiTheme="minorHAnsi" w:cstheme="minorHAnsi"/>
          <w:sz w:val="24"/>
          <w:szCs w:val="24"/>
        </w:rPr>
        <w:t xml:space="preserve">to </w:t>
      </w:r>
      <w:r w:rsidRPr="00E70441">
        <w:rPr>
          <w:rFonts w:asciiTheme="minorHAnsi" w:hAnsiTheme="minorHAnsi" w:cstheme="minorHAnsi"/>
          <w:sz w:val="24"/>
          <w:szCs w:val="24"/>
        </w:rPr>
        <w:t>a recurring harm which has already been subject to a removal notice (</w:t>
      </w:r>
      <w:r w:rsidR="00113CFC" w:rsidRPr="00E70441">
        <w:rPr>
          <w:rFonts w:asciiTheme="minorHAnsi" w:hAnsiTheme="minorHAnsi" w:cstheme="minorHAnsi"/>
          <w:sz w:val="24"/>
          <w:szCs w:val="24"/>
        </w:rPr>
        <w:t xml:space="preserve">recommendations </w:t>
      </w:r>
      <w:r w:rsidRPr="00E70441">
        <w:rPr>
          <w:rFonts w:asciiTheme="minorHAnsi" w:hAnsiTheme="minorHAnsi" w:cstheme="minorHAnsi"/>
          <w:sz w:val="24"/>
          <w:szCs w:val="24"/>
        </w:rPr>
        <w:t xml:space="preserve">15, 16, 19). </w:t>
      </w:r>
    </w:p>
    <w:p w14:paraId="6912FE21" w14:textId="64D05809" w:rsidR="003A664E" w:rsidRPr="00E70441" w:rsidRDefault="003A664E" w:rsidP="003A664E">
      <w:pPr>
        <w:rPr>
          <w:rFonts w:asciiTheme="minorHAnsi" w:hAnsiTheme="minorHAnsi" w:cstheme="minorHAnsi"/>
          <w:sz w:val="24"/>
          <w:szCs w:val="24"/>
        </w:rPr>
      </w:pPr>
      <w:r w:rsidRPr="00E70441">
        <w:rPr>
          <w:rFonts w:asciiTheme="minorHAnsi" w:hAnsiTheme="minorHAnsi" w:cstheme="minorHAnsi"/>
          <w:sz w:val="24"/>
          <w:szCs w:val="24"/>
        </w:rPr>
        <w:t>Recommendations 18</w:t>
      </w:r>
      <w:r w:rsidR="00C865E2">
        <w:rPr>
          <w:rFonts w:asciiTheme="minorHAnsi" w:hAnsiTheme="minorHAnsi" w:cstheme="minorHAnsi"/>
          <w:sz w:val="24"/>
          <w:szCs w:val="24"/>
        </w:rPr>
        <w:t>,</w:t>
      </w:r>
      <w:r w:rsidRPr="00E70441">
        <w:rPr>
          <w:rFonts w:asciiTheme="minorHAnsi" w:hAnsiTheme="minorHAnsi" w:cstheme="minorHAnsi"/>
          <w:sz w:val="24"/>
          <w:szCs w:val="24"/>
        </w:rPr>
        <w:t xml:space="preserve"> 20 </w:t>
      </w:r>
      <w:r w:rsidR="00C865E2">
        <w:rPr>
          <w:rFonts w:asciiTheme="minorHAnsi" w:hAnsiTheme="minorHAnsi" w:cstheme="minorHAnsi"/>
          <w:sz w:val="24"/>
          <w:szCs w:val="24"/>
        </w:rPr>
        <w:t xml:space="preserve">and 21 </w:t>
      </w:r>
      <w:r w:rsidRPr="00E70441">
        <w:rPr>
          <w:rFonts w:asciiTheme="minorHAnsi" w:hAnsiTheme="minorHAnsi" w:cstheme="minorHAnsi"/>
          <w:sz w:val="24"/>
          <w:szCs w:val="24"/>
        </w:rPr>
        <w:t>require further consideration as these suggest a response to individual incidents and/or users, rather than the systemic approach of the duty of care.</w:t>
      </w:r>
    </w:p>
    <w:p w14:paraId="18AC36D8" w14:textId="22110D18" w:rsidR="003A664E" w:rsidRPr="00E70441" w:rsidRDefault="003A664E" w:rsidP="003A664E">
      <w:pPr>
        <w:rPr>
          <w:rFonts w:asciiTheme="minorHAnsi" w:hAnsiTheme="minorHAnsi" w:cstheme="minorHAnsi"/>
          <w:sz w:val="24"/>
          <w:szCs w:val="24"/>
        </w:rPr>
      </w:pPr>
      <w:r w:rsidRPr="00E70441">
        <w:rPr>
          <w:rFonts w:asciiTheme="minorHAnsi" w:hAnsiTheme="minorHAnsi" w:cstheme="minorHAnsi"/>
          <w:sz w:val="24"/>
          <w:szCs w:val="24"/>
        </w:rPr>
        <w:t>While lowering the threshold of the Adult Cyber Abuse Scheme would appear to provide greater support to Australians who experience online harm, it is likely that expanding this Scheme would be operationally burdensome and counterproductive. A key goal is finding the balance between the future focus of harms prevention through a systemic duty of care and reforms to the Act to strengthen reactive powers</w:t>
      </w:r>
      <w:r w:rsidR="00E70441">
        <w:rPr>
          <w:rFonts w:asciiTheme="minorHAnsi" w:hAnsiTheme="minorHAnsi" w:cstheme="minorHAnsi"/>
          <w:sz w:val="24"/>
          <w:szCs w:val="24"/>
        </w:rPr>
        <w:t>.</w:t>
      </w:r>
      <w:r w:rsidRPr="00E70441">
        <w:rPr>
          <w:rFonts w:asciiTheme="minorHAnsi" w:hAnsiTheme="minorHAnsi" w:cstheme="minorHAnsi"/>
          <w:sz w:val="24"/>
          <w:szCs w:val="24"/>
        </w:rPr>
        <w:t xml:space="preserve"> </w:t>
      </w:r>
    </w:p>
    <w:p w14:paraId="21C0C3CD" w14:textId="39FA4913" w:rsidR="003A664E" w:rsidRPr="00E70441" w:rsidRDefault="003A664E" w:rsidP="003A664E">
      <w:pPr>
        <w:rPr>
          <w:rFonts w:asciiTheme="minorHAnsi" w:hAnsiTheme="minorHAnsi" w:cstheme="minorHAnsi"/>
          <w:sz w:val="24"/>
          <w:szCs w:val="24"/>
        </w:rPr>
      </w:pPr>
      <w:r w:rsidRPr="00E70441">
        <w:rPr>
          <w:rFonts w:asciiTheme="minorHAnsi" w:hAnsiTheme="minorHAnsi" w:cstheme="minorHAnsi"/>
          <w:sz w:val="24"/>
          <w:szCs w:val="24"/>
        </w:rPr>
        <w:t>Defining ‘reasonably proximate cumulative harm’ would be challenging as it is an inherently subjective concept dependent on context and personal interpretation of harm. Integrating this into the Adult Cyber Abuse Scheme would be complex and require significant resources which may not deliver the intended outcomes. Capturing the intent of this recommendation will be considered in the development of the duty of care (</w:t>
      </w:r>
      <w:r w:rsidR="00113CFC" w:rsidRPr="00E70441">
        <w:rPr>
          <w:rFonts w:asciiTheme="minorHAnsi" w:hAnsiTheme="minorHAnsi" w:cstheme="minorHAnsi"/>
          <w:sz w:val="24"/>
          <w:szCs w:val="24"/>
        </w:rPr>
        <w:t xml:space="preserve">recommendation </w:t>
      </w:r>
      <w:r w:rsidRPr="00E70441">
        <w:rPr>
          <w:rFonts w:asciiTheme="minorHAnsi" w:hAnsiTheme="minorHAnsi" w:cstheme="minorHAnsi"/>
          <w:sz w:val="24"/>
          <w:szCs w:val="24"/>
        </w:rPr>
        <w:t>22).</w:t>
      </w:r>
    </w:p>
    <w:p w14:paraId="7B246650" w14:textId="710145CB" w:rsidR="003A664E" w:rsidRPr="00E70441" w:rsidRDefault="003A664E" w:rsidP="003A664E">
      <w:pPr>
        <w:rPr>
          <w:rFonts w:asciiTheme="minorHAnsi" w:hAnsiTheme="minorHAnsi" w:cstheme="minorHAnsi"/>
          <w:sz w:val="24"/>
          <w:szCs w:val="24"/>
        </w:rPr>
      </w:pPr>
      <w:r w:rsidRPr="00E70441">
        <w:rPr>
          <w:rFonts w:asciiTheme="minorHAnsi" w:hAnsiTheme="minorHAnsi" w:cstheme="minorHAnsi"/>
          <w:sz w:val="24"/>
          <w:szCs w:val="24"/>
        </w:rPr>
        <w:t xml:space="preserve">Options that contribute to addressing volumetric attacks will be considered in the development of the duty of care. The issue is complex, layered and continually evolving and developing an appropriate definition that will stand the test of time </w:t>
      </w:r>
      <w:r w:rsidR="00820330">
        <w:rPr>
          <w:rFonts w:asciiTheme="minorHAnsi" w:hAnsiTheme="minorHAnsi" w:cstheme="minorHAnsi"/>
          <w:sz w:val="24"/>
          <w:szCs w:val="24"/>
        </w:rPr>
        <w:t>will need to be carefully tested with stakeholders</w:t>
      </w:r>
      <w:r w:rsidRPr="00E70441">
        <w:rPr>
          <w:rFonts w:asciiTheme="minorHAnsi" w:hAnsiTheme="minorHAnsi" w:cstheme="minorHAnsi"/>
          <w:sz w:val="24"/>
          <w:szCs w:val="24"/>
        </w:rPr>
        <w:t xml:space="preserve"> (</w:t>
      </w:r>
      <w:r w:rsidR="00113CFC" w:rsidRPr="00E70441">
        <w:rPr>
          <w:rFonts w:asciiTheme="minorHAnsi" w:hAnsiTheme="minorHAnsi" w:cstheme="minorHAnsi"/>
          <w:sz w:val="24"/>
          <w:szCs w:val="24"/>
        </w:rPr>
        <w:t xml:space="preserve">recommendations </w:t>
      </w:r>
      <w:r w:rsidRPr="00E70441">
        <w:rPr>
          <w:rFonts w:asciiTheme="minorHAnsi" w:hAnsiTheme="minorHAnsi" w:cstheme="minorHAnsi"/>
          <w:sz w:val="24"/>
          <w:szCs w:val="24"/>
        </w:rPr>
        <w:t xml:space="preserve">23, 24). </w:t>
      </w:r>
    </w:p>
    <w:p w14:paraId="3E75F8E8" w14:textId="11813FC0" w:rsidR="003A664E" w:rsidRPr="00E70441" w:rsidRDefault="003A664E" w:rsidP="003A664E">
      <w:pPr>
        <w:rPr>
          <w:rFonts w:asciiTheme="minorHAnsi" w:hAnsiTheme="minorHAnsi" w:cstheme="minorHAnsi"/>
          <w:sz w:val="24"/>
          <w:szCs w:val="24"/>
        </w:rPr>
      </w:pPr>
      <w:r w:rsidRPr="00E70441">
        <w:rPr>
          <w:rFonts w:asciiTheme="minorHAnsi" w:hAnsiTheme="minorHAnsi" w:cstheme="minorHAnsi"/>
          <w:sz w:val="24"/>
          <w:szCs w:val="24"/>
        </w:rPr>
        <w:lastRenderedPageBreak/>
        <w:t xml:space="preserve">Several reforms identified in the report, including informal take down, ‘no wrong door’, and fusion cells to address wicked problems, will be explored further, including investigating options to address the proposals </w:t>
      </w:r>
      <w:r w:rsidR="00820330">
        <w:rPr>
          <w:rFonts w:asciiTheme="minorHAnsi" w:hAnsiTheme="minorHAnsi" w:cstheme="minorHAnsi"/>
          <w:sz w:val="24"/>
          <w:szCs w:val="24"/>
        </w:rPr>
        <w:t>(</w:t>
      </w:r>
      <w:proofErr w:type="gramStart"/>
      <w:r w:rsidRPr="00E70441">
        <w:rPr>
          <w:rFonts w:asciiTheme="minorHAnsi" w:hAnsiTheme="minorHAnsi" w:cstheme="minorHAnsi"/>
          <w:sz w:val="24"/>
          <w:szCs w:val="24"/>
        </w:rPr>
        <w:t>taking into account</w:t>
      </w:r>
      <w:proofErr w:type="gramEnd"/>
      <w:r w:rsidRPr="00E70441">
        <w:rPr>
          <w:rFonts w:asciiTheme="minorHAnsi" w:hAnsiTheme="minorHAnsi" w:cstheme="minorHAnsi"/>
          <w:sz w:val="24"/>
          <w:szCs w:val="24"/>
        </w:rPr>
        <w:t xml:space="preserve"> the need to ensure regulator efficiency</w:t>
      </w:r>
      <w:r w:rsidR="00820330">
        <w:rPr>
          <w:rFonts w:asciiTheme="minorHAnsi" w:hAnsiTheme="minorHAnsi" w:cstheme="minorHAnsi"/>
          <w:sz w:val="24"/>
          <w:szCs w:val="24"/>
        </w:rPr>
        <w:t>)</w:t>
      </w:r>
      <w:r w:rsidRPr="00E70441">
        <w:rPr>
          <w:rFonts w:asciiTheme="minorHAnsi" w:hAnsiTheme="minorHAnsi" w:cstheme="minorHAnsi"/>
          <w:sz w:val="24"/>
          <w:szCs w:val="24"/>
        </w:rPr>
        <w:t xml:space="preserve"> through non-regulatory means (</w:t>
      </w:r>
      <w:r w:rsidR="00113CFC" w:rsidRPr="00E70441">
        <w:rPr>
          <w:rFonts w:asciiTheme="minorHAnsi" w:hAnsiTheme="minorHAnsi" w:cstheme="minorHAnsi"/>
          <w:sz w:val="24"/>
          <w:szCs w:val="24"/>
        </w:rPr>
        <w:t xml:space="preserve">recommendations </w:t>
      </w:r>
      <w:r w:rsidRPr="00E70441">
        <w:rPr>
          <w:rFonts w:asciiTheme="minorHAnsi" w:hAnsiTheme="minorHAnsi" w:cstheme="minorHAnsi"/>
          <w:sz w:val="24"/>
          <w:szCs w:val="24"/>
        </w:rPr>
        <w:t>14, 17, 28).</w:t>
      </w:r>
    </w:p>
    <w:p w14:paraId="4EDAC136" w14:textId="2677678B" w:rsidR="003A664E" w:rsidRPr="00E70441" w:rsidRDefault="003A664E" w:rsidP="003A664E">
      <w:pPr>
        <w:rPr>
          <w:rFonts w:asciiTheme="minorHAnsi" w:hAnsiTheme="minorHAnsi" w:cstheme="minorHAnsi"/>
          <w:sz w:val="24"/>
          <w:szCs w:val="24"/>
        </w:rPr>
      </w:pPr>
      <w:r w:rsidRPr="00E70441">
        <w:rPr>
          <w:rFonts w:asciiTheme="minorHAnsi" w:hAnsiTheme="minorHAnsi" w:cstheme="minorHAnsi"/>
          <w:sz w:val="24"/>
          <w:szCs w:val="24"/>
        </w:rPr>
        <w:t>The Government is committed to ensuring Australians have access to appropriate pathways to resolve issues they face online. Current complaint schemes will be retained, with the Act amended to provide the eSafety Commissioner the power to require service providers to have accessible and simple ways for users and non-account holders to make complaints about online content or platform features (</w:t>
      </w:r>
      <w:r w:rsidR="00113CFC" w:rsidRPr="00E70441">
        <w:rPr>
          <w:rFonts w:asciiTheme="minorHAnsi" w:hAnsiTheme="minorHAnsi" w:cstheme="minorHAnsi"/>
          <w:sz w:val="24"/>
          <w:szCs w:val="24"/>
        </w:rPr>
        <w:t xml:space="preserve">recommendation </w:t>
      </w:r>
      <w:r w:rsidRPr="00E70441">
        <w:rPr>
          <w:rFonts w:asciiTheme="minorHAnsi" w:hAnsiTheme="minorHAnsi" w:cstheme="minorHAnsi"/>
          <w:sz w:val="24"/>
          <w:szCs w:val="24"/>
        </w:rPr>
        <w:t xml:space="preserve">25).   </w:t>
      </w:r>
    </w:p>
    <w:p w14:paraId="7D020B75" w14:textId="46B0D797" w:rsidR="00F75C77" w:rsidRPr="00E70441" w:rsidRDefault="003A664E" w:rsidP="003A664E">
      <w:pPr>
        <w:rPr>
          <w:rFonts w:asciiTheme="minorHAnsi" w:hAnsiTheme="minorHAnsi" w:cstheme="minorHAnsi"/>
          <w:sz w:val="24"/>
          <w:szCs w:val="24"/>
        </w:rPr>
      </w:pPr>
      <w:r w:rsidRPr="00E70441">
        <w:rPr>
          <w:rFonts w:asciiTheme="minorHAnsi" w:hAnsiTheme="minorHAnsi" w:cstheme="minorHAnsi"/>
          <w:sz w:val="24"/>
          <w:szCs w:val="24"/>
        </w:rPr>
        <w:t>The Government will initially focus on improving support for Australians online by promoting improved internal dispute resolution mechanisms for online services (</w:t>
      </w:r>
      <w:r w:rsidR="00113CFC" w:rsidRPr="00E70441">
        <w:rPr>
          <w:rFonts w:asciiTheme="minorHAnsi" w:hAnsiTheme="minorHAnsi" w:cstheme="minorHAnsi"/>
          <w:sz w:val="24"/>
          <w:szCs w:val="24"/>
        </w:rPr>
        <w:t xml:space="preserve">recommendation </w:t>
      </w:r>
      <w:r w:rsidRPr="00E70441">
        <w:rPr>
          <w:rFonts w:asciiTheme="minorHAnsi" w:hAnsiTheme="minorHAnsi" w:cstheme="minorHAnsi"/>
          <w:sz w:val="24"/>
          <w:szCs w:val="24"/>
        </w:rPr>
        <w:t>26).</w:t>
      </w:r>
    </w:p>
    <w:p w14:paraId="18AE7F5D" w14:textId="094B9A1E" w:rsidR="003A664E" w:rsidRPr="00E70441" w:rsidRDefault="003A664E" w:rsidP="007348B9">
      <w:pPr>
        <w:rPr>
          <w:rFonts w:asciiTheme="minorHAnsi" w:hAnsiTheme="minorHAnsi" w:cstheme="minorHAnsi"/>
          <w:sz w:val="24"/>
          <w:szCs w:val="24"/>
        </w:rPr>
      </w:pPr>
      <w:r w:rsidRPr="00E70441">
        <w:rPr>
          <w:rFonts w:asciiTheme="minorHAnsi" w:hAnsiTheme="minorHAnsi" w:cstheme="minorHAnsi"/>
          <w:sz w:val="24"/>
          <w:szCs w:val="24"/>
        </w:rPr>
        <w:t xml:space="preserve">On 2 September 2025, the Government committed to working with industry to consider how to restrict access to </w:t>
      </w:r>
      <w:proofErr w:type="spellStart"/>
      <w:r w:rsidRPr="00E70441">
        <w:rPr>
          <w:rFonts w:asciiTheme="minorHAnsi" w:hAnsiTheme="minorHAnsi" w:cstheme="minorHAnsi"/>
          <w:sz w:val="24"/>
          <w:szCs w:val="24"/>
        </w:rPr>
        <w:t>nudify</w:t>
      </w:r>
      <w:proofErr w:type="spellEnd"/>
      <w:r w:rsidRPr="00E70441">
        <w:rPr>
          <w:rFonts w:asciiTheme="minorHAnsi" w:hAnsiTheme="minorHAnsi" w:cstheme="minorHAnsi"/>
          <w:sz w:val="24"/>
          <w:szCs w:val="24"/>
        </w:rPr>
        <w:t xml:space="preserve"> services and undetectable stalking apps. This work is continuing, including through the duty of care framework which will place an obligation on services to put in place systems and process to prevent their services being used to cause harm</w:t>
      </w:r>
      <w:r w:rsidR="00103A54">
        <w:rPr>
          <w:rFonts w:asciiTheme="minorHAnsi" w:hAnsiTheme="minorHAnsi" w:cstheme="minorHAnsi"/>
          <w:sz w:val="24"/>
          <w:szCs w:val="24"/>
        </w:rPr>
        <w:t xml:space="preserve">. </w:t>
      </w:r>
      <w:r w:rsidR="00AF7CC1">
        <w:rPr>
          <w:rFonts w:asciiTheme="minorHAnsi" w:hAnsiTheme="minorHAnsi" w:cstheme="minorHAnsi"/>
          <w:sz w:val="24"/>
          <w:szCs w:val="24"/>
        </w:rPr>
        <w:t xml:space="preserve">In addition, </w:t>
      </w:r>
      <w:r w:rsidR="009429CD">
        <w:rPr>
          <w:rFonts w:asciiTheme="minorHAnsi" w:hAnsiTheme="minorHAnsi" w:cstheme="minorHAnsi"/>
          <w:sz w:val="24"/>
          <w:szCs w:val="24"/>
        </w:rPr>
        <w:t xml:space="preserve">new bespoke powers that allow the regulator to issue notices </w:t>
      </w:r>
      <w:r w:rsidR="009429CD" w:rsidRPr="009429CD">
        <w:rPr>
          <w:rFonts w:asciiTheme="minorHAnsi" w:hAnsiTheme="minorHAnsi" w:cstheme="minorHAnsi"/>
          <w:sz w:val="24"/>
          <w:szCs w:val="24"/>
        </w:rPr>
        <w:t xml:space="preserve">to remove </w:t>
      </w:r>
      <w:proofErr w:type="spellStart"/>
      <w:r w:rsidR="009429CD" w:rsidRPr="009429CD">
        <w:rPr>
          <w:rFonts w:asciiTheme="minorHAnsi" w:hAnsiTheme="minorHAnsi" w:cstheme="minorHAnsi"/>
          <w:sz w:val="24"/>
          <w:szCs w:val="24"/>
        </w:rPr>
        <w:t>nudify</w:t>
      </w:r>
      <w:proofErr w:type="spellEnd"/>
      <w:r w:rsidR="009429CD" w:rsidRPr="009429CD">
        <w:rPr>
          <w:rFonts w:asciiTheme="minorHAnsi" w:hAnsiTheme="minorHAnsi" w:cstheme="minorHAnsi"/>
          <w:sz w:val="24"/>
          <w:szCs w:val="24"/>
        </w:rPr>
        <w:t xml:space="preserve"> apps and websites will be introduced</w:t>
      </w:r>
      <w:r w:rsidR="00AF7CC1" w:rsidRPr="00E70441">
        <w:rPr>
          <w:rFonts w:asciiTheme="minorHAnsi" w:hAnsiTheme="minorHAnsi" w:cstheme="minorHAnsi"/>
          <w:sz w:val="24"/>
          <w:szCs w:val="24"/>
        </w:rPr>
        <w:t xml:space="preserve"> </w:t>
      </w:r>
      <w:r w:rsidRPr="00E70441">
        <w:rPr>
          <w:rFonts w:asciiTheme="minorHAnsi" w:hAnsiTheme="minorHAnsi" w:cstheme="minorHAnsi"/>
          <w:sz w:val="24"/>
          <w:szCs w:val="24"/>
        </w:rPr>
        <w:t>(</w:t>
      </w:r>
      <w:r w:rsidR="00113CFC" w:rsidRPr="00E70441">
        <w:rPr>
          <w:rFonts w:asciiTheme="minorHAnsi" w:hAnsiTheme="minorHAnsi" w:cstheme="minorHAnsi"/>
          <w:sz w:val="24"/>
          <w:szCs w:val="24"/>
        </w:rPr>
        <w:t xml:space="preserve">recommendation </w:t>
      </w:r>
      <w:r w:rsidRPr="00E70441">
        <w:rPr>
          <w:rFonts w:asciiTheme="minorHAnsi" w:hAnsiTheme="minorHAnsi" w:cstheme="minorHAnsi"/>
          <w:sz w:val="24"/>
          <w:szCs w:val="24"/>
        </w:rPr>
        <w:t>27).</w:t>
      </w:r>
    </w:p>
    <w:tbl>
      <w:tblPr>
        <w:tblStyle w:val="TableGrid"/>
        <w:tblW w:w="0" w:type="auto"/>
        <w:tblLook w:val="04A0" w:firstRow="1" w:lastRow="0" w:firstColumn="1" w:lastColumn="0" w:noHBand="0" w:noVBand="1"/>
      </w:tblPr>
      <w:tblGrid>
        <w:gridCol w:w="6516"/>
        <w:gridCol w:w="2500"/>
      </w:tblGrid>
      <w:tr w:rsidR="001D4F29" w:rsidRPr="00E70441" w14:paraId="51960C05" w14:textId="77777777" w:rsidTr="00EB54CD">
        <w:tc>
          <w:tcPr>
            <w:tcW w:w="6516" w:type="dxa"/>
          </w:tcPr>
          <w:p w14:paraId="7225C620" w14:textId="48F221B6" w:rsidR="001D4F29" w:rsidRPr="00E70441" w:rsidRDefault="001D4F29" w:rsidP="001D4F29">
            <w:pPr>
              <w:pStyle w:val="BodyText"/>
              <w:rPr>
                <w:rFonts w:asciiTheme="minorHAnsi" w:hAnsiTheme="minorHAnsi" w:cstheme="minorHAnsi"/>
                <w:b/>
                <w:bCs/>
                <w:sz w:val="24"/>
                <w:szCs w:val="24"/>
              </w:rPr>
            </w:pPr>
            <w:r w:rsidRPr="00E70441">
              <w:rPr>
                <w:rFonts w:asciiTheme="minorHAnsi" w:hAnsiTheme="minorHAnsi" w:cstheme="minorHAnsi"/>
                <w:b/>
                <w:bCs/>
                <w:sz w:val="24"/>
                <w:szCs w:val="24"/>
              </w:rPr>
              <w:t>Review Recommendation</w:t>
            </w:r>
          </w:p>
        </w:tc>
        <w:tc>
          <w:tcPr>
            <w:tcW w:w="2500" w:type="dxa"/>
          </w:tcPr>
          <w:p w14:paraId="2E2EB9AE" w14:textId="0C0420C8" w:rsidR="001D4F29" w:rsidRPr="00E70441" w:rsidRDefault="001D4F29" w:rsidP="001D4F29">
            <w:pPr>
              <w:pStyle w:val="BodyText"/>
              <w:rPr>
                <w:rFonts w:asciiTheme="minorHAnsi" w:hAnsiTheme="minorHAnsi" w:cstheme="minorHAnsi"/>
                <w:b/>
                <w:bCs/>
                <w:sz w:val="24"/>
                <w:szCs w:val="24"/>
              </w:rPr>
            </w:pPr>
            <w:r w:rsidRPr="00E70441">
              <w:rPr>
                <w:rFonts w:asciiTheme="minorHAnsi" w:hAnsiTheme="minorHAnsi" w:cstheme="minorHAnsi"/>
                <w:b/>
                <w:bCs/>
                <w:sz w:val="24"/>
                <w:szCs w:val="24"/>
              </w:rPr>
              <w:t>Government Response</w:t>
            </w:r>
          </w:p>
        </w:tc>
      </w:tr>
      <w:tr w:rsidR="001D4F29" w:rsidRPr="00E70441" w14:paraId="1BC8F23E" w14:textId="77777777" w:rsidTr="00EB54CD">
        <w:tc>
          <w:tcPr>
            <w:tcW w:w="6516" w:type="dxa"/>
          </w:tcPr>
          <w:p w14:paraId="0458046C" w14:textId="079EEC98"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14: For the avoidance of doubt, the legislation should make it clear that informal requests for takedown are legal and legitimate as they lead to quicker results for individuals who are often in severe distress.</w:t>
            </w:r>
          </w:p>
        </w:tc>
        <w:tc>
          <w:tcPr>
            <w:tcW w:w="2500" w:type="dxa"/>
          </w:tcPr>
          <w:p w14:paraId="3FAE463A" w14:textId="76E74767"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Support in principle</w:t>
            </w:r>
          </w:p>
        </w:tc>
      </w:tr>
      <w:tr w:rsidR="001D4F29" w:rsidRPr="00E70441" w14:paraId="52133E1B" w14:textId="77777777" w:rsidTr="00EB54CD">
        <w:tc>
          <w:tcPr>
            <w:tcW w:w="6516" w:type="dxa"/>
          </w:tcPr>
          <w:p w14:paraId="0701FFD5" w14:textId="04BBDCCF"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15: Users experiencing adult cyber abuse or child cyberbullying should only need to wait 24 hours (not 48 hours) following a complaint to a service before eSafety is able to issue a removal notice.</w:t>
            </w:r>
          </w:p>
        </w:tc>
        <w:tc>
          <w:tcPr>
            <w:tcW w:w="2500" w:type="dxa"/>
          </w:tcPr>
          <w:p w14:paraId="72C0308B" w14:textId="179F1A2B"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Support</w:t>
            </w:r>
          </w:p>
        </w:tc>
      </w:tr>
      <w:tr w:rsidR="001D4F29" w:rsidRPr="00E70441" w14:paraId="4DCD4325" w14:textId="77777777" w:rsidTr="00EB54CD">
        <w:tc>
          <w:tcPr>
            <w:tcW w:w="6516" w:type="dxa"/>
          </w:tcPr>
          <w:p w14:paraId="47426428" w14:textId="4DBB9932"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16: The regulator should be empowered to waive the statutory delay to issue a removal notice for the child cyberbullying and adult cyber abuse schemes where no clear complaint mechanism exists on the online service, or where reporting would lead to a reasonably foreseeable risk of further harm to the user experiencing the abuse.</w:t>
            </w:r>
          </w:p>
        </w:tc>
        <w:tc>
          <w:tcPr>
            <w:tcW w:w="2500" w:type="dxa"/>
          </w:tcPr>
          <w:p w14:paraId="59091DE8" w14:textId="30F0E822"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Support</w:t>
            </w:r>
          </w:p>
        </w:tc>
      </w:tr>
      <w:tr w:rsidR="001D4F29" w:rsidRPr="00E70441" w14:paraId="25C9630B" w14:textId="77777777" w:rsidTr="00EB54CD">
        <w:tc>
          <w:tcPr>
            <w:tcW w:w="6516" w:type="dxa"/>
          </w:tcPr>
          <w:p w14:paraId="5695B191" w14:textId="25063971"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17: The Government should develop a whole of government ‘no wrong door’ approach to support individuals seeking help to address online harms. This will require cooperation and information sharing across portfolios, including law enforcement, to address a range of issues such as online safety, child safety, privacy and scams, among others.</w:t>
            </w:r>
          </w:p>
        </w:tc>
        <w:tc>
          <w:tcPr>
            <w:tcW w:w="2500" w:type="dxa"/>
          </w:tcPr>
          <w:p w14:paraId="47C9DA52" w14:textId="7AD67CC3"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 xml:space="preserve">Support in principle </w:t>
            </w:r>
          </w:p>
        </w:tc>
      </w:tr>
      <w:tr w:rsidR="001D4F29" w:rsidRPr="00E70441" w14:paraId="4C10C40A" w14:textId="77777777" w:rsidTr="00EB54CD">
        <w:tc>
          <w:tcPr>
            <w:tcW w:w="6516" w:type="dxa"/>
          </w:tcPr>
          <w:p w14:paraId="39E95C03" w14:textId="7B292159"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lastRenderedPageBreak/>
              <w:t>18: The adult cyber abuse scheme should be amended by lowering the threshold. The new threshold should require that an ordinary reasonable person would conclude that ‘it is likely the material was intended to have an effect on a particular Australian adult’, and that an ordinary reasonable person would ‘regard the material as being, in all the circumstances, menacing, harassing or seriously offensive</w:t>
            </w:r>
            <w:r w:rsidR="00E70441">
              <w:rPr>
                <w:rFonts w:asciiTheme="minorHAnsi" w:hAnsiTheme="minorHAnsi" w:cstheme="minorHAnsi"/>
                <w:sz w:val="24"/>
                <w:szCs w:val="24"/>
              </w:rPr>
              <w:t>.</w:t>
            </w:r>
          </w:p>
        </w:tc>
        <w:tc>
          <w:tcPr>
            <w:tcW w:w="2500" w:type="dxa"/>
          </w:tcPr>
          <w:p w14:paraId="487BAFB6" w14:textId="102DFDE3"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Note</w:t>
            </w:r>
          </w:p>
        </w:tc>
      </w:tr>
      <w:tr w:rsidR="001D4F29" w:rsidRPr="00E70441" w14:paraId="7CEC3101" w14:textId="77777777" w:rsidTr="00EB54CD">
        <w:tc>
          <w:tcPr>
            <w:tcW w:w="6516" w:type="dxa"/>
          </w:tcPr>
          <w:p w14:paraId="7DB6EB9E" w14:textId="0D3715D7"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19: The Act should enable the regulator to issue a removal notice for material that has met the regulatory threshold for removal under a prior complaint, where the regulator becomes aware that the material has been reposted.</w:t>
            </w:r>
          </w:p>
        </w:tc>
        <w:tc>
          <w:tcPr>
            <w:tcW w:w="2500" w:type="dxa"/>
          </w:tcPr>
          <w:p w14:paraId="6D7A03AF" w14:textId="154D95E0"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Support</w:t>
            </w:r>
          </w:p>
        </w:tc>
      </w:tr>
      <w:tr w:rsidR="001D4F29" w:rsidRPr="00E70441" w14:paraId="6A161790" w14:textId="77777777" w:rsidTr="00EB54CD">
        <w:tc>
          <w:tcPr>
            <w:tcW w:w="6516" w:type="dxa"/>
          </w:tcPr>
          <w:p w14:paraId="545EBCCE" w14:textId="582E949D"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20: The Act should include additional powers to require an end-user to stop posting cyber abuse about an Australian adult in an end-user notice, subject to a civil penalty for non-compliance.</w:t>
            </w:r>
          </w:p>
        </w:tc>
        <w:tc>
          <w:tcPr>
            <w:tcW w:w="2500" w:type="dxa"/>
          </w:tcPr>
          <w:p w14:paraId="517E01C1" w14:textId="4A4B3BA7"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Note</w:t>
            </w:r>
          </w:p>
        </w:tc>
      </w:tr>
      <w:tr w:rsidR="001D4F29" w:rsidRPr="00E70441" w14:paraId="67DB9AF8" w14:textId="77777777" w:rsidTr="00EB54CD">
        <w:tc>
          <w:tcPr>
            <w:tcW w:w="6516" w:type="dxa"/>
          </w:tcPr>
          <w:p w14:paraId="589741EE" w14:textId="433C5919"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21: The Act should include a definition of online hate material. The definition should acknowledge that online hate involves an attack against a person or people that is based on a protected characteristic and can include dehumanisation. Notably, the definition of online hate material should not include views regarding ideas, concepts or institutions. The definition should also consider potential exclusions (for example where material is posted for artistic, scientific, or journalistic purposes).</w:t>
            </w:r>
          </w:p>
        </w:tc>
        <w:tc>
          <w:tcPr>
            <w:tcW w:w="2500" w:type="dxa"/>
          </w:tcPr>
          <w:p w14:paraId="3DC91FF4" w14:textId="7D32EF57"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Note</w:t>
            </w:r>
          </w:p>
        </w:tc>
      </w:tr>
      <w:tr w:rsidR="001D4F29" w:rsidRPr="00E70441" w14:paraId="6A707F45" w14:textId="77777777" w:rsidTr="00EB54CD">
        <w:tc>
          <w:tcPr>
            <w:tcW w:w="6516" w:type="dxa"/>
          </w:tcPr>
          <w:p w14:paraId="6324281F" w14:textId="2614E5F3"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 xml:space="preserve">22: The Act should be amended to ensure that, in interpreting the threshold of harm for adult cyber abuse, the reasonably proximate cumulative harm caused by online hate material is </w:t>
            </w:r>
            <w:proofErr w:type="gramStart"/>
            <w:r w:rsidRPr="00E70441">
              <w:rPr>
                <w:rFonts w:asciiTheme="minorHAnsi" w:hAnsiTheme="minorHAnsi" w:cstheme="minorHAnsi"/>
                <w:sz w:val="24"/>
                <w:szCs w:val="24"/>
              </w:rPr>
              <w:t>taken into account</w:t>
            </w:r>
            <w:proofErr w:type="gramEnd"/>
            <w:r w:rsidRPr="00E70441">
              <w:rPr>
                <w:rFonts w:asciiTheme="minorHAnsi" w:hAnsiTheme="minorHAnsi" w:cstheme="minorHAnsi"/>
                <w:sz w:val="24"/>
                <w:szCs w:val="24"/>
              </w:rPr>
              <w:t>.</w:t>
            </w:r>
          </w:p>
        </w:tc>
        <w:tc>
          <w:tcPr>
            <w:tcW w:w="2500" w:type="dxa"/>
          </w:tcPr>
          <w:p w14:paraId="7D2408BF" w14:textId="0AC6732C"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Note</w:t>
            </w:r>
          </w:p>
        </w:tc>
      </w:tr>
      <w:tr w:rsidR="001D4F29" w:rsidRPr="00E70441" w14:paraId="237EF488" w14:textId="77777777" w:rsidTr="00EB54CD">
        <w:tc>
          <w:tcPr>
            <w:tcW w:w="6516" w:type="dxa"/>
          </w:tcPr>
          <w:p w14:paraId="15E31C72" w14:textId="47FD0E9C"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23: The Act should define a ‘volumetric attack’, and the regulator should be empowered to issue a notice or notices to multiple platforms based on a single complaint to address volumetric attacks</w:t>
            </w:r>
            <w:r w:rsidR="00E70441">
              <w:rPr>
                <w:rFonts w:asciiTheme="minorHAnsi" w:hAnsiTheme="minorHAnsi" w:cstheme="minorHAnsi"/>
                <w:sz w:val="24"/>
                <w:szCs w:val="24"/>
              </w:rPr>
              <w:t>.</w:t>
            </w:r>
          </w:p>
        </w:tc>
        <w:tc>
          <w:tcPr>
            <w:tcW w:w="2500" w:type="dxa"/>
          </w:tcPr>
          <w:p w14:paraId="44C70E5E" w14:textId="1458E646"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Note</w:t>
            </w:r>
          </w:p>
        </w:tc>
      </w:tr>
      <w:tr w:rsidR="001D4F29" w:rsidRPr="00E70441" w14:paraId="3B48ACF9" w14:textId="77777777" w:rsidTr="00EB54CD">
        <w:tc>
          <w:tcPr>
            <w:tcW w:w="6516" w:type="dxa"/>
          </w:tcPr>
          <w:p w14:paraId="3DF6764E" w14:textId="3186CFFE"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24: The Act should be amended to provide the regulator with the ability to issue a notice to services in relation to a suspected ‘volumetric attack’, which may require information related to the attack, specify remedial actions to be taken, and require the service to report back on steps taken.</w:t>
            </w:r>
          </w:p>
        </w:tc>
        <w:tc>
          <w:tcPr>
            <w:tcW w:w="2500" w:type="dxa"/>
          </w:tcPr>
          <w:p w14:paraId="33255C0A" w14:textId="1BE5FE78"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Note</w:t>
            </w:r>
          </w:p>
        </w:tc>
      </w:tr>
      <w:tr w:rsidR="001D4F29" w:rsidRPr="00E70441" w14:paraId="6BCF3833" w14:textId="77777777" w:rsidTr="00EB54CD">
        <w:tc>
          <w:tcPr>
            <w:tcW w:w="6516" w:type="dxa"/>
          </w:tcPr>
          <w:p w14:paraId="23E6EDA0" w14:textId="61600819"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 xml:space="preserve">25: All services should be required to have an easily accessible, simple and user-friendly way to make a complaint and internal complaint handling processes that are in line with a code on internal dispute resolution. </w:t>
            </w:r>
            <w:proofErr w:type="gramStart"/>
            <w:r w:rsidRPr="00E70441">
              <w:rPr>
                <w:rFonts w:asciiTheme="minorHAnsi" w:hAnsiTheme="minorHAnsi" w:cstheme="minorHAnsi"/>
                <w:sz w:val="24"/>
                <w:szCs w:val="24"/>
              </w:rPr>
              <w:t>In particular, this</w:t>
            </w:r>
            <w:proofErr w:type="gramEnd"/>
            <w:r w:rsidRPr="00E70441">
              <w:rPr>
                <w:rFonts w:asciiTheme="minorHAnsi" w:hAnsiTheme="minorHAnsi" w:cstheme="minorHAnsi"/>
                <w:sz w:val="24"/>
                <w:szCs w:val="24"/>
              </w:rPr>
              <w:t xml:space="preserve"> should include a way for non-users to report issues such as when intimate images have been posted without consent on a service. Services should also be required to respond to reports within a reasonable time and for some issues within 24 hours.</w:t>
            </w:r>
          </w:p>
        </w:tc>
        <w:tc>
          <w:tcPr>
            <w:tcW w:w="2500" w:type="dxa"/>
          </w:tcPr>
          <w:p w14:paraId="6D36D67C" w14:textId="3C23A45D"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Support</w:t>
            </w:r>
          </w:p>
        </w:tc>
      </w:tr>
      <w:tr w:rsidR="001D4F29" w:rsidRPr="00E70441" w14:paraId="5339F1D4" w14:textId="77777777" w:rsidTr="00EB54CD">
        <w:tc>
          <w:tcPr>
            <w:tcW w:w="6516" w:type="dxa"/>
          </w:tcPr>
          <w:p w14:paraId="0360DF14" w14:textId="3E65523C"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lastRenderedPageBreak/>
              <w:t>26: In line with the Australian Competition and Consumer Commission’s Digital Platform Services Inquiry, the Government should develop and implement an Ombuds scheme that covers digital platforms and online search and app distribution services.</w:t>
            </w:r>
          </w:p>
        </w:tc>
        <w:tc>
          <w:tcPr>
            <w:tcW w:w="2500" w:type="dxa"/>
          </w:tcPr>
          <w:p w14:paraId="365AC4BA" w14:textId="5010A874"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Note</w:t>
            </w:r>
          </w:p>
        </w:tc>
      </w:tr>
      <w:tr w:rsidR="001D4F29" w:rsidRPr="00E70441" w14:paraId="528519E5" w14:textId="77777777" w:rsidTr="00EB54CD">
        <w:tc>
          <w:tcPr>
            <w:tcW w:w="6516" w:type="dxa"/>
          </w:tcPr>
          <w:p w14:paraId="5EACB00F" w14:textId="2A1B501F"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27: The Government should explore how best to prohibit search engines and app stores from surfacing, selling or distributing ‘</w:t>
            </w:r>
            <w:proofErr w:type="spellStart"/>
            <w:r w:rsidRPr="00E70441">
              <w:rPr>
                <w:rFonts w:asciiTheme="minorHAnsi" w:hAnsiTheme="minorHAnsi" w:cstheme="minorHAnsi"/>
                <w:sz w:val="24"/>
                <w:szCs w:val="24"/>
              </w:rPr>
              <w:t>nudify</w:t>
            </w:r>
            <w:proofErr w:type="spellEnd"/>
            <w:r w:rsidRPr="00E70441">
              <w:rPr>
                <w:rFonts w:asciiTheme="minorHAnsi" w:hAnsiTheme="minorHAnsi" w:cstheme="minorHAnsi"/>
                <w:sz w:val="24"/>
                <w:szCs w:val="24"/>
              </w:rPr>
              <w:t>’ apps and undetectable stalking apps.</w:t>
            </w:r>
          </w:p>
        </w:tc>
        <w:tc>
          <w:tcPr>
            <w:tcW w:w="2500" w:type="dxa"/>
          </w:tcPr>
          <w:p w14:paraId="21EB14AE" w14:textId="74DD70E7"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 xml:space="preserve">Support </w:t>
            </w:r>
          </w:p>
        </w:tc>
      </w:tr>
      <w:tr w:rsidR="001D4F29" w:rsidRPr="00E70441" w14:paraId="6503E6CA" w14:textId="77777777" w:rsidTr="00EB54CD">
        <w:tc>
          <w:tcPr>
            <w:tcW w:w="6516" w:type="dxa"/>
          </w:tcPr>
          <w:p w14:paraId="09412653" w14:textId="6E413E3C"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28: The Government and the regulator should both be able convene multi-stakeholder ‘fusion cells’ to analyse ‘wicked problems’ (such as the implications of end-to-end encryption for combatting child sexual exploitation and abuse, and technology-facilitated abuse and gender-based violence) and develop coordinated multi-stakeholder solutions.</w:t>
            </w:r>
          </w:p>
        </w:tc>
        <w:tc>
          <w:tcPr>
            <w:tcW w:w="2500" w:type="dxa"/>
          </w:tcPr>
          <w:p w14:paraId="2367ED36" w14:textId="57FD686D"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Support in principle</w:t>
            </w:r>
          </w:p>
        </w:tc>
      </w:tr>
    </w:tbl>
    <w:p w14:paraId="00F6D108" w14:textId="77777777" w:rsidR="003A664E" w:rsidRPr="00E70441" w:rsidRDefault="003A664E" w:rsidP="00EA4ED8">
      <w:pPr>
        <w:pStyle w:val="Heading1"/>
        <w:numPr>
          <w:ilvl w:val="0"/>
          <w:numId w:val="0"/>
        </w:numPr>
        <w:ind w:left="360" w:hanging="360"/>
        <w:rPr>
          <w:rFonts w:asciiTheme="minorHAnsi" w:hAnsiTheme="minorHAnsi" w:cstheme="minorHAnsi"/>
          <w:sz w:val="24"/>
          <w:szCs w:val="24"/>
        </w:rPr>
      </w:pPr>
      <w:r w:rsidRPr="00E70441">
        <w:rPr>
          <w:rFonts w:asciiTheme="minorHAnsi" w:hAnsiTheme="minorHAnsi" w:cstheme="minorHAnsi"/>
          <w:sz w:val="24"/>
          <w:szCs w:val="24"/>
        </w:rPr>
        <w:t>Links between the OSA and the National Classification Scheme</w:t>
      </w:r>
    </w:p>
    <w:p w14:paraId="49C96556" w14:textId="61B58E6B" w:rsidR="003A664E" w:rsidRPr="00E70441" w:rsidRDefault="003A664E" w:rsidP="003A664E">
      <w:pPr>
        <w:pStyle w:val="BodyText"/>
        <w:rPr>
          <w:rFonts w:asciiTheme="minorHAnsi" w:hAnsiTheme="minorHAnsi" w:cstheme="minorHAnsi"/>
          <w:sz w:val="24"/>
          <w:szCs w:val="24"/>
        </w:rPr>
      </w:pPr>
      <w:r w:rsidRPr="00E70441">
        <w:rPr>
          <w:rFonts w:asciiTheme="minorHAnsi" w:hAnsiTheme="minorHAnsi" w:cstheme="minorHAnsi"/>
          <w:sz w:val="24"/>
          <w:szCs w:val="24"/>
        </w:rPr>
        <w:t>The Stage 2 reforms to the National Classification Scheme (the Scheme) are likely to have an impact on the interoperability of the Scheme and the Act. Further consideration will be given to decoupling the Act and the Scheme following implementation of the planned reforms of the Act and the Scheme</w:t>
      </w:r>
      <w:r w:rsidR="004D4D4C">
        <w:rPr>
          <w:rFonts w:asciiTheme="minorHAnsi" w:hAnsiTheme="minorHAnsi" w:cstheme="minorHAnsi"/>
          <w:sz w:val="24"/>
          <w:szCs w:val="24"/>
        </w:rPr>
        <w:t xml:space="preserve"> (recommendations 29, 30, 31, </w:t>
      </w:r>
      <w:r w:rsidR="00BD155E">
        <w:rPr>
          <w:rFonts w:asciiTheme="minorHAnsi" w:hAnsiTheme="minorHAnsi" w:cstheme="minorHAnsi"/>
          <w:sz w:val="24"/>
          <w:szCs w:val="24"/>
        </w:rPr>
        <w:t>32, 33)</w:t>
      </w:r>
      <w:r w:rsidRPr="00E70441">
        <w:rPr>
          <w:rFonts w:asciiTheme="minorHAnsi" w:hAnsiTheme="minorHAnsi" w:cstheme="minorHAnsi"/>
          <w:sz w:val="24"/>
          <w:szCs w:val="24"/>
        </w:rPr>
        <w:t xml:space="preserve">. </w:t>
      </w:r>
    </w:p>
    <w:p w14:paraId="743A4815" w14:textId="7BD37048" w:rsidR="003A664E" w:rsidRPr="00E70441" w:rsidRDefault="003A664E" w:rsidP="003A664E">
      <w:pPr>
        <w:pStyle w:val="BodyText"/>
        <w:rPr>
          <w:rFonts w:asciiTheme="minorHAnsi" w:hAnsiTheme="minorHAnsi" w:cstheme="minorHAnsi"/>
          <w:sz w:val="24"/>
          <w:szCs w:val="24"/>
        </w:rPr>
      </w:pPr>
      <w:r w:rsidRPr="00E70441">
        <w:rPr>
          <w:rFonts w:asciiTheme="minorHAnsi" w:hAnsiTheme="minorHAnsi" w:cstheme="minorHAnsi"/>
          <w:sz w:val="24"/>
          <w:szCs w:val="24"/>
        </w:rPr>
        <w:t>Interim measures will be considered to address any short-term issues that impact on current operations of the eSafety Commissioner.</w:t>
      </w:r>
    </w:p>
    <w:p w14:paraId="12BC454F" w14:textId="77777777" w:rsidR="00E70441" w:rsidRPr="00E70441" w:rsidRDefault="00E70441" w:rsidP="001D4F29">
      <w:pPr>
        <w:pStyle w:val="BodyText"/>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6516"/>
        <w:gridCol w:w="2500"/>
      </w:tblGrid>
      <w:tr w:rsidR="001D4F29" w:rsidRPr="00E70441" w14:paraId="3C215E0B" w14:textId="77777777" w:rsidTr="00EB54CD">
        <w:tc>
          <w:tcPr>
            <w:tcW w:w="6516" w:type="dxa"/>
          </w:tcPr>
          <w:p w14:paraId="2B9D0865" w14:textId="77777777" w:rsidR="001D4F29" w:rsidRPr="00E70441" w:rsidRDefault="001D4F29" w:rsidP="00DB56B4">
            <w:pPr>
              <w:pStyle w:val="BodyText"/>
              <w:rPr>
                <w:rFonts w:asciiTheme="minorHAnsi" w:hAnsiTheme="minorHAnsi" w:cstheme="minorHAnsi"/>
                <w:b/>
                <w:bCs/>
                <w:sz w:val="24"/>
                <w:szCs w:val="24"/>
              </w:rPr>
            </w:pPr>
            <w:r w:rsidRPr="00E70441">
              <w:rPr>
                <w:rFonts w:asciiTheme="minorHAnsi" w:hAnsiTheme="minorHAnsi" w:cstheme="minorHAnsi"/>
                <w:b/>
                <w:bCs/>
                <w:sz w:val="24"/>
                <w:szCs w:val="24"/>
              </w:rPr>
              <w:t>Review Recommendation</w:t>
            </w:r>
          </w:p>
        </w:tc>
        <w:tc>
          <w:tcPr>
            <w:tcW w:w="2500" w:type="dxa"/>
          </w:tcPr>
          <w:p w14:paraId="4257C4B0" w14:textId="77777777" w:rsidR="001D4F29" w:rsidRPr="00E70441" w:rsidRDefault="001D4F29" w:rsidP="00DB56B4">
            <w:pPr>
              <w:pStyle w:val="BodyText"/>
              <w:rPr>
                <w:rFonts w:asciiTheme="minorHAnsi" w:hAnsiTheme="minorHAnsi" w:cstheme="minorHAnsi"/>
                <w:b/>
                <w:bCs/>
                <w:sz w:val="24"/>
                <w:szCs w:val="24"/>
              </w:rPr>
            </w:pPr>
            <w:r w:rsidRPr="00E70441">
              <w:rPr>
                <w:rFonts w:asciiTheme="minorHAnsi" w:hAnsiTheme="minorHAnsi" w:cstheme="minorHAnsi"/>
                <w:b/>
                <w:bCs/>
                <w:sz w:val="24"/>
                <w:szCs w:val="24"/>
              </w:rPr>
              <w:t>Government Response</w:t>
            </w:r>
          </w:p>
        </w:tc>
      </w:tr>
      <w:tr w:rsidR="001D4F29" w:rsidRPr="00E70441" w14:paraId="4A46DE27" w14:textId="77777777" w:rsidTr="00EB54CD">
        <w:tc>
          <w:tcPr>
            <w:tcW w:w="6516" w:type="dxa"/>
          </w:tcPr>
          <w:p w14:paraId="121CD493" w14:textId="27FDA058" w:rsidR="001D4F29" w:rsidRPr="00E70441" w:rsidRDefault="001D4F29" w:rsidP="001D4F29">
            <w:pPr>
              <w:pStyle w:val="BodyText"/>
              <w:rPr>
                <w:rFonts w:asciiTheme="minorHAnsi" w:hAnsiTheme="minorHAnsi" w:cstheme="minorHAnsi"/>
                <w:b/>
                <w:bCs/>
                <w:sz w:val="24"/>
                <w:szCs w:val="24"/>
              </w:rPr>
            </w:pPr>
            <w:r w:rsidRPr="00E70441">
              <w:rPr>
                <w:rFonts w:asciiTheme="minorHAnsi" w:hAnsiTheme="minorHAnsi" w:cstheme="minorHAnsi"/>
                <w:sz w:val="24"/>
                <w:szCs w:val="24"/>
              </w:rPr>
              <w:t>29: The Act should be decoupled from the National Classification Scheme with new Class 1 and Class 2 definitions and thresholds specified in the Act and, as far as possible, be based on equivalent standards in the National Classification Scheme</w:t>
            </w:r>
            <w:r w:rsidR="00E70441">
              <w:rPr>
                <w:rFonts w:asciiTheme="minorHAnsi" w:hAnsiTheme="minorHAnsi" w:cstheme="minorHAnsi"/>
                <w:sz w:val="24"/>
                <w:szCs w:val="24"/>
              </w:rPr>
              <w:t>.</w:t>
            </w:r>
          </w:p>
        </w:tc>
        <w:tc>
          <w:tcPr>
            <w:tcW w:w="2500" w:type="dxa"/>
          </w:tcPr>
          <w:p w14:paraId="7713B655" w14:textId="5DF1A2DE" w:rsidR="001D4F29" w:rsidRPr="00E70441" w:rsidRDefault="001D4F29" w:rsidP="001D4F29">
            <w:pPr>
              <w:pStyle w:val="BodyText"/>
              <w:rPr>
                <w:rFonts w:asciiTheme="minorHAnsi" w:hAnsiTheme="minorHAnsi" w:cstheme="minorHAnsi"/>
                <w:b/>
                <w:bCs/>
                <w:sz w:val="24"/>
                <w:szCs w:val="24"/>
              </w:rPr>
            </w:pPr>
            <w:r w:rsidRPr="00E70441">
              <w:rPr>
                <w:rFonts w:asciiTheme="minorHAnsi" w:hAnsiTheme="minorHAnsi" w:cstheme="minorHAnsi"/>
                <w:sz w:val="24"/>
                <w:szCs w:val="24"/>
              </w:rPr>
              <w:t>Note</w:t>
            </w:r>
          </w:p>
        </w:tc>
      </w:tr>
      <w:tr w:rsidR="001D4F29" w:rsidRPr="00E70441" w14:paraId="271A6959" w14:textId="77777777" w:rsidTr="00EB54CD">
        <w:tc>
          <w:tcPr>
            <w:tcW w:w="6516" w:type="dxa"/>
          </w:tcPr>
          <w:p w14:paraId="4364864C" w14:textId="1A01FB0A" w:rsidR="001D4F29" w:rsidRPr="00E70441" w:rsidRDefault="001D4F29" w:rsidP="001D4F29">
            <w:pPr>
              <w:pStyle w:val="BodyText"/>
              <w:rPr>
                <w:rFonts w:asciiTheme="minorHAnsi" w:hAnsiTheme="minorHAnsi" w:cstheme="minorHAnsi"/>
                <w:b/>
                <w:bCs/>
                <w:sz w:val="24"/>
                <w:szCs w:val="24"/>
              </w:rPr>
            </w:pPr>
            <w:r w:rsidRPr="00E70441">
              <w:rPr>
                <w:rFonts w:asciiTheme="minorHAnsi" w:hAnsiTheme="minorHAnsi" w:cstheme="minorHAnsi"/>
                <w:sz w:val="24"/>
                <w:szCs w:val="24"/>
              </w:rPr>
              <w:t>30: New Class 1 definitions and thresholds should clearly focus on illegal and seriously harmful material and directly correspond to the Criminal Code where appropriate. Sexually explicit material that includes violent and seriously injurious practices, such as choking, should sit under Class 1.</w:t>
            </w:r>
          </w:p>
        </w:tc>
        <w:tc>
          <w:tcPr>
            <w:tcW w:w="2500" w:type="dxa"/>
          </w:tcPr>
          <w:p w14:paraId="0280ED40" w14:textId="590860AF" w:rsidR="001D4F29" w:rsidRPr="00E70441" w:rsidRDefault="001D4F29" w:rsidP="001D4F29">
            <w:pPr>
              <w:pStyle w:val="BodyText"/>
              <w:rPr>
                <w:rFonts w:asciiTheme="minorHAnsi" w:hAnsiTheme="minorHAnsi" w:cstheme="minorHAnsi"/>
                <w:b/>
                <w:bCs/>
                <w:sz w:val="24"/>
                <w:szCs w:val="24"/>
              </w:rPr>
            </w:pPr>
            <w:r w:rsidRPr="00E70441">
              <w:rPr>
                <w:rFonts w:asciiTheme="minorHAnsi" w:hAnsiTheme="minorHAnsi" w:cstheme="minorHAnsi"/>
                <w:sz w:val="24"/>
                <w:szCs w:val="24"/>
              </w:rPr>
              <w:t>Note</w:t>
            </w:r>
          </w:p>
        </w:tc>
      </w:tr>
      <w:tr w:rsidR="001D4F29" w:rsidRPr="00E70441" w14:paraId="4E35FE5A" w14:textId="77777777" w:rsidTr="00EB54CD">
        <w:tc>
          <w:tcPr>
            <w:tcW w:w="6516" w:type="dxa"/>
          </w:tcPr>
          <w:p w14:paraId="6DD5ACB8" w14:textId="248F4959" w:rsidR="001D4F29" w:rsidRPr="00E70441" w:rsidRDefault="001D4F29" w:rsidP="001D4F29">
            <w:pPr>
              <w:pStyle w:val="BodyText"/>
              <w:rPr>
                <w:rFonts w:asciiTheme="minorHAnsi" w:hAnsiTheme="minorHAnsi" w:cstheme="minorHAnsi"/>
                <w:b/>
                <w:bCs/>
                <w:sz w:val="24"/>
                <w:szCs w:val="24"/>
              </w:rPr>
            </w:pPr>
            <w:r w:rsidRPr="00E70441">
              <w:rPr>
                <w:rFonts w:asciiTheme="minorHAnsi" w:hAnsiTheme="minorHAnsi" w:cstheme="minorHAnsi"/>
                <w:sz w:val="24"/>
                <w:szCs w:val="24"/>
              </w:rPr>
              <w:t>31: New Class 2 definitions and thresholds should include material that is legal but may be harmful, particularly for minors, and consensual sexually explicit material including non-injurious fetish material</w:t>
            </w:r>
            <w:r w:rsidR="00E70441">
              <w:rPr>
                <w:rFonts w:asciiTheme="minorHAnsi" w:hAnsiTheme="minorHAnsi" w:cstheme="minorHAnsi"/>
                <w:sz w:val="24"/>
                <w:szCs w:val="24"/>
              </w:rPr>
              <w:t>.</w:t>
            </w:r>
          </w:p>
        </w:tc>
        <w:tc>
          <w:tcPr>
            <w:tcW w:w="2500" w:type="dxa"/>
          </w:tcPr>
          <w:p w14:paraId="39500754" w14:textId="7D8264EF" w:rsidR="001D4F29" w:rsidRPr="00E70441" w:rsidRDefault="001D4F29" w:rsidP="001D4F29">
            <w:pPr>
              <w:pStyle w:val="BodyText"/>
              <w:rPr>
                <w:rFonts w:asciiTheme="minorHAnsi" w:hAnsiTheme="minorHAnsi" w:cstheme="minorHAnsi"/>
                <w:b/>
                <w:bCs/>
                <w:sz w:val="24"/>
                <w:szCs w:val="24"/>
              </w:rPr>
            </w:pPr>
            <w:r w:rsidRPr="00E70441">
              <w:rPr>
                <w:rFonts w:asciiTheme="minorHAnsi" w:hAnsiTheme="minorHAnsi" w:cstheme="minorHAnsi"/>
                <w:sz w:val="24"/>
                <w:szCs w:val="24"/>
              </w:rPr>
              <w:t>Note</w:t>
            </w:r>
          </w:p>
        </w:tc>
      </w:tr>
      <w:tr w:rsidR="001D4F29" w:rsidRPr="00E70441" w14:paraId="6FC857EC" w14:textId="77777777" w:rsidTr="00EB54CD">
        <w:tc>
          <w:tcPr>
            <w:tcW w:w="6516" w:type="dxa"/>
          </w:tcPr>
          <w:p w14:paraId="70AF2B78" w14:textId="24A9E3A7" w:rsidR="001D4F29" w:rsidRPr="00E70441" w:rsidRDefault="001D4F29" w:rsidP="001D4F29">
            <w:pPr>
              <w:pStyle w:val="BodyText"/>
              <w:rPr>
                <w:rFonts w:asciiTheme="minorHAnsi" w:hAnsiTheme="minorHAnsi" w:cstheme="minorHAnsi"/>
                <w:b/>
                <w:bCs/>
                <w:sz w:val="24"/>
                <w:szCs w:val="24"/>
              </w:rPr>
            </w:pPr>
            <w:r w:rsidRPr="00E70441">
              <w:rPr>
                <w:rFonts w:asciiTheme="minorHAnsi" w:hAnsiTheme="minorHAnsi" w:cstheme="minorHAnsi"/>
                <w:sz w:val="24"/>
                <w:szCs w:val="24"/>
              </w:rPr>
              <w:t xml:space="preserve">32: Class 2 definitions and thresholds should also capture material dealing with harmful practices such as disordered eating, self-harm and substance use to address their heightened impact, especially on young people, in the context of social media. In the longer term, so that adults are covered, industry </w:t>
            </w:r>
            <w:r w:rsidRPr="00E70441">
              <w:rPr>
                <w:rFonts w:asciiTheme="minorHAnsi" w:hAnsiTheme="minorHAnsi" w:cstheme="minorHAnsi"/>
                <w:sz w:val="24"/>
                <w:szCs w:val="24"/>
              </w:rPr>
              <w:lastRenderedPageBreak/>
              <w:t>should be obliged to prevent dissemination of such content through a broader code dealing with mental and physical wellbeing under duty of care provisions</w:t>
            </w:r>
            <w:r w:rsidR="00E70441">
              <w:rPr>
                <w:rFonts w:asciiTheme="minorHAnsi" w:hAnsiTheme="minorHAnsi" w:cstheme="minorHAnsi"/>
                <w:sz w:val="24"/>
                <w:szCs w:val="24"/>
              </w:rPr>
              <w:t>.</w:t>
            </w:r>
          </w:p>
        </w:tc>
        <w:tc>
          <w:tcPr>
            <w:tcW w:w="2500" w:type="dxa"/>
          </w:tcPr>
          <w:p w14:paraId="0B23999A" w14:textId="2335AFA0" w:rsidR="001D4F29" w:rsidRPr="00E70441" w:rsidRDefault="001D4F29" w:rsidP="001D4F29">
            <w:pPr>
              <w:pStyle w:val="BodyText"/>
              <w:rPr>
                <w:rFonts w:asciiTheme="minorHAnsi" w:hAnsiTheme="minorHAnsi" w:cstheme="minorHAnsi"/>
                <w:b/>
                <w:bCs/>
                <w:sz w:val="24"/>
                <w:szCs w:val="24"/>
              </w:rPr>
            </w:pPr>
            <w:r w:rsidRPr="00E70441">
              <w:rPr>
                <w:rFonts w:asciiTheme="minorHAnsi" w:hAnsiTheme="minorHAnsi" w:cstheme="minorHAnsi"/>
                <w:sz w:val="24"/>
                <w:szCs w:val="24"/>
              </w:rPr>
              <w:lastRenderedPageBreak/>
              <w:t>Note</w:t>
            </w:r>
          </w:p>
        </w:tc>
      </w:tr>
      <w:tr w:rsidR="001D4F29" w:rsidRPr="00E70441" w14:paraId="4B4417D7" w14:textId="77777777" w:rsidTr="00EB54CD">
        <w:tc>
          <w:tcPr>
            <w:tcW w:w="6516" w:type="dxa"/>
          </w:tcPr>
          <w:p w14:paraId="2705F375" w14:textId="7D1F2716"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 xml:space="preserve">33: In reforming the Act and the National Classification Scheme, the regulatory remit of eSafety should be clarified. Content that is subject to the National Classification Scheme should fall outside </w:t>
            </w:r>
            <w:proofErr w:type="spellStart"/>
            <w:r w:rsidRPr="00E70441">
              <w:rPr>
                <w:rFonts w:asciiTheme="minorHAnsi" w:hAnsiTheme="minorHAnsi" w:cstheme="minorHAnsi"/>
                <w:sz w:val="24"/>
                <w:szCs w:val="24"/>
              </w:rPr>
              <w:t>eSafety’s</w:t>
            </w:r>
            <w:proofErr w:type="spellEnd"/>
            <w:r w:rsidRPr="00E70441">
              <w:rPr>
                <w:rFonts w:asciiTheme="minorHAnsi" w:hAnsiTheme="minorHAnsi" w:cstheme="minorHAnsi"/>
                <w:sz w:val="24"/>
                <w:szCs w:val="24"/>
              </w:rPr>
              <w:t xml:space="preserve"> remit (except features that are uniquely social media enabled).</w:t>
            </w:r>
          </w:p>
        </w:tc>
        <w:tc>
          <w:tcPr>
            <w:tcW w:w="2500" w:type="dxa"/>
          </w:tcPr>
          <w:p w14:paraId="2A599F61" w14:textId="2F2B8030" w:rsidR="001D4F29" w:rsidRPr="00E70441" w:rsidRDefault="001D4F29" w:rsidP="001D4F29">
            <w:pPr>
              <w:pStyle w:val="BodyText"/>
              <w:rPr>
                <w:rFonts w:asciiTheme="minorHAnsi" w:hAnsiTheme="minorHAnsi" w:cstheme="minorHAnsi"/>
                <w:sz w:val="24"/>
                <w:szCs w:val="24"/>
              </w:rPr>
            </w:pPr>
            <w:r w:rsidRPr="00E70441">
              <w:rPr>
                <w:rFonts w:asciiTheme="minorHAnsi" w:hAnsiTheme="minorHAnsi" w:cstheme="minorHAnsi"/>
                <w:sz w:val="24"/>
                <w:szCs w:val="24"/>
              </w:rPr>
              <w:t>Note</w:t>
            </w:r>
          </w:p>
        </w:tc>
      </w:tr>
    </w:tbl>
    <w:p w14:paraId="5ED83394" w14:textId="77777777" w:rsidR="003A664E" w:rsidRPr="00E70441" w:rsidRDefault="003A664E" w:rsidP="00EA4ED8">
      <w:pPr>
        <w:pStyle w:val="Heading1"/>
        <w:numPr>
          <w:ilvl w:val="0"/>
          <w:numId w:val="0"/>
        </w:numPr>
        <w:ind w:left="360" w:hanging="360"/>
        <w:rPr>
          <w:rFonts w:asciiTheme="minorHAnsi" w:hAnsiTheme="minorHAnsi" w:cstheme="minorHAnsi"/>
          <w:sz w:val="24"/>
          <w:szCs w:val="24"/>
        </w:rPr>
      </w:pPr>
      <w:r w:rsidRPr="00E70441">
        <w:rPr>
          <w:rFonts w:asciiTheme="minorHAnsi" w:hAnsiTheme="minorHAnsi" w:cstheme="minorHAnsi"/>
          <w:sz w:val="24"/>
          <w:szCs w:val="24"/>
        </w:rPr>
        <w:t>Stronger penalties and enforcement powers</w:t>
      </w:r>
    </w:p>
    <w:p w14:paraId="513109B9" w14:textId="3612A43A" w:rsidR="003A664E" w:rsidRPr="00E70441" w:rsidRDefault="003A664E" w:rsidP="003A664E">
      <w:pPr>
        <w:rPr>
          <w:rFonts w:asciiTheme="minorHAnsi" w:hAnsiTheme="minorHAnsi" w:cstheme="minorHAnsi"/>
          <w:sz w:val="24"/>
          <w:szCs w:val="24"/>
        </w:rPr>
      </w:pPr>
      <w:r w:rsidRPr="00E70441">
        <w:rPr>
          <w:rFonts w:asciiTheme="minorHAnsi" w:hAnsiTheme="minorHAnsi" w:cstheme="minorHAnsi"/>
          <w:sz w:val="24"/>
          <w:szCs w:val="24"/>
        </w:rPr>
        <w:t xml:space="preserve">The Government recognises the importance of providing the online safety regulator with appropriate enforcement powers, and for proportionate penalties for non-compliance. Accordingly, an increase to the maximum civil penalties in the Act to a level more proportionate with the potential harm of underlying offences, will be determined, better aligning to those penalties introduced as part of the </w:t>
      </w:r>
      <w:r w:rsidRPr="009429CD">
        <w:rPr>
          <w:rFonts w:asciiTheme="minorHAnsi" w:hAnsiTheme="minorHAnsi" w:cstheme="minorHAnsi"/>
          <w:i/>
          <w:iCs/>
          <w:sz w:val="24"/>
          <w:szCs w:val="24"/>
        </w:rPr>
        <w:t>Online Safety Amendment (Social Media Minimum Age) Act 2024</w:t>
      </w:r>
      <w:r w:rsidRPr="00E70441">
        <w:rPr>
          <w:rFonts w:asciiTheme="minorHAnsi" w:hAnsiTheme="minorHAnsi" w:cstheme="minorHAnsi"/>
          <w:sz w:val="24"/>
          <w:szCs w:val="24"/>
        </w:rPr>
        <w:t xml:space="preserve"> or other comparable Commonwealth legislation (</w:t>
      </w:r>
      <w:r w:rsidR="00113CFC" w:rsidRPr="00E70441">
        <w:rPr>
          <w:rFonts w:asciiTheme="minorHAnsi" w:hAnsiTheme="minorHAnsi" w:cstheme="minorHAnsi"/>
          <w:sz w:val="24"/>
          <w:szCs w:val="24"/>
        </w:rPr>
        <w:t xml:space="preserve">recommendations </w:t>
      </w:r>
      <w:r w:rsidRPr="00E70441">
        <w:rPr>
          <w:rFonts w:asciiTheme="minorHAnsi" w:hAnsiTheme="minorHAnsi" w:cstheme="minorHAnsi"/>
          <w:sz w:val="24"/>
          <w:szCs w:val="24"/>
        </w:rPr>
        <w:t>34, 35).</w:t>
      </w:r>
    </w:p>
    <w:p w14:paraId="614EE203" w14:textId="0433134D" w:rsidR="003A664E" w:rsidRPr="00E70441" w:rsidRDefault="003A664E" w:rsidP="003A664E">
      <w:pPr>
        <w:rPr>
          <w:rFonts w:asciiTheme="minorHAnsi" w:hAnsiTheme="minorHAnsi" w:cstheme="minorHAnsi"/>
          <w:sz w:val="24"/>
          <w:szCs w:val="24"/>
        </w:rPr>
      </w:pPr>
      <w:r w:rsidRPr="00E70441">
        <w:rPr>
          <w:rFonts w:asciiTheme="minorHAnsi" w:hAnsiTheme="minorHAnsi" w:cstheme="minorHAnsi"/>
          <w:sz w:val="24"/>
          <w:szCs w:val="24"/>
        </w:rPr>
        <w:t>The eSafety Commissioner wi</w:t>
      </w:r>
      <w:r w:rsidR="00EA4ED8">
        <w:rPr>
          <w:rFonts w:asciiTheme="minorHAnsi" w:hAnsiTheme="minorHAnsi" w:cstheme="minorHAnsi"/>
          <w:sz w:val="24"/>
          <w:szCs w:val="24"/>
        </w:rPr>
        <w:t>ll</w:t>
      </w:r>
      <w:r w:rsidRPr="00E70441">
        <w:rPr>
          <w:rFonts w:asciiTheme="minorHAnsi" w:hAnsiTheme="minorHAnsi" w:cstheme="minorHAnsi"/>
          <w:sz w:val="24"/>
          <w:szCs w:val="24"/>
        </w:rPr>
        <w:t xml:space="preserve"> be provided stronger enforcement powers applicable to online services, building on existing expectations in the BOSE (</w:t>
      </w:r>
      <w:r w:rsidR="008D4B44" w:rsidRPr="00E70441">
        <w:rPr>
          <w:rFonts w:asciiTheme="minorHAnsi" w:hAnsiTheme="minorHAnsi" w:cstheme="minorHAnsi"/>
          <w:sz w:val="24"/>
          <w:szCs w:val="24"/>
        </w:rPr>
        <w:t xml:space="preserve">recommendations </w:t>
      </w:r>
      <w:r w:rsidRPr="00E70441">
        <w:rPr>
          <w:rFonts w:asciiTheme="minorHAnsi" w:hAnsiTheme="minorHAnsi" w:cstheme="minorHAnsi"/>
          <w:sz w:val="24"/>
          <w:szCs w:val="24"/>
        </w:rPr>
        <w:t>36, 39).</w:t>
      </w:r>
    </w:p>
    <w:p w14:paraId="2A4164D5" w14:textId="2F7C9A32" w:rsidR="003A664E" w:rsidRPr="00E70441" w:rsidRDefault="003A664E" w:rsidP="003A664E">
      <w:pPr>
        <w:rPr>
          <w:rFonts w:asciiTheme="minorHAnsi" w:hAnsiTheme="minorHAnsi" w:cstheme="minorHAnsi"/>
          <w:sz w:val="24"/>
          <w:szCs w:val="24"/>
        </w:rPr>
      </w:pPr>
      <w:r w:rsidRPr="00E70441">
        <w:rPr>
          <w:rFonts w:asciiTheme="minorHAnsi" w:hAnsiTheme="minorHAnsi" w:cstheme="minorHAnsi"/>
          <w:sz w:val="24"/>
          <w:szCs w:val="24"/>
        </w:rPr>
        <w:t>Work will be undertaken to ensure consistent regulatory powers across existing complaint and content-based removal schemes, including for issuing link-deletion notices for complaint schemes and under the Online Content Scheme, and for removal and link-deletion notices simultaneously (</w:t>
      </w:r>
      <w:r w:rsidR="00113CFC" w:rsidRPr="00E70441">
        <w:rPr>
          <w:rFonts w:asciiTheme="minorHAnsi" w:hAnsiTheme="minorHAnsi" w:cstheme="minorHAnsi"/>
          <w:sz w:val="24"/>
          <w:szCs w:val="24"/>
        </w:rPr>
        <w:t xml:space="preserve">recommendations </w:t>
      </w:r>
      <w:r w:rsidRPr="00E70441">
        <w:rPr>
          <w:rFonts w:asciiTheme="minorHAnsi" w:hAnsiTheme="minorHAnsi" w:cstheme="minorHAnsi"/>
          <w:sz w:val="24"/>
          <w:szCs w:val="24"/>
        </w:rPr>
        <w:t xml:space="preserve">37, 38). </w:t>
      </w:r>
    </w:p>
    <w:p w14:paraId="29C60DC1" w14:textId="7E987058" w:rsidR="003A664E" w:rsidRDefault="003A664E" w:rsidP="003A664E">
      <w:pPr>
        <w:rPr>
          <w:rFonts w:asciiTheme="minorHAnsi" w:hAnsiTheme="minorHAnsi" w:cstheme="minorHAnsi"/>
          <w:sz w:val="24"/>
          <w:szCs w:val="24"/>
        </w:rPr>
      </w:pPr>
      <w:r w:rsidRPr="00E70441">
        <w:rPr>
          <w:rFonts w:asciiTheme="minorHAnsi" w:hAnsiTheme="minorHAnsi" w:cstheme="minorHAnsi"/>
          <w:sz w:val="24"/>
          <w:szCs w:val="24"/>
        </w:rPr>
        <w:t>Further consideration will be given to the following</w:t>
      </w:r>
      <w:r w:rsidR="00113CFC" w:rsidRPr="00E70441">
        <w:rPr>
          <w:rFonts w:asciiTheme="minorHAnsi" w:hAnsiTheme="minorHAnsi" w:cstheme="minorHAnsi"/>
          <w:sz w:val="24"/>
          <w:szCs w:val="24"/>
        </w:rPr>
        <w:t xml:space="preserve"> recommendations</w:t>
      </w:r>
      <w:r w:rsidRPr="00E70441">
        <w:rPr>
          <w:rFonts w:asciiTheme="minorHAnsi" w:hAnsiTheme="minorHAnsi" w:cstheme="minorHAnsi"/>
          <w:sz w:val="24"/>
          <w:szCs w:val="24"/>
        </w:rPr>
        <w:t>:</w:t>
      </w:r>
    </w:p>
    <w:p w14:paraId="2E0A7ECE" w14:textId="7BAE8015" w:rsidR="003A664E" w:rsidRPr="00E70441" w:rsidRDefault="003A664E" w:rsidP="00EA4ED8">
      <w:pPr>
        <w:pStyle w:val="ListParagraph"/>
        <w:numPr>
          <w:ilvl w:val="0"/>
          <w:numId w:val="27"/>
        </w:numPr>
        <w:tabs>
          <w:tab w:val="clear" w:pos="851"/>
        </w:tabs>
        <w:ind w:left="851" w:hanging="414"/>
        <w:rPr>
          <w:rFonts w:asciiTheme="minorHAnsi" w:hAnsiTheme="minorHAnsi" w:cstheme="minorHAnsi"/>
          <w:sz w:val="24"/>
          <w:szCs w:val="24"/>
        </w:rPr>
      </w:pPr>
      <w:r w:rsidRPr="00E70441">
        <w:rPr>
          <w:rFonts w:asciiTheme="minorHAnsi" w:hAnsiTheme="minorHAnsi" w:cstheme="minorHAnsi"/>
          <w:sz w:val="24"/>
          <w:szCs w:val="24"/>
        </w:rPr>
        <w:t xml:space="preserve">consistent </w:t>
      </w:r>
      <w:proofErr w:type="gramStart"/>
      <w:r w:rsidRPr="00E70441">
        <w:rPr>
          <w:rFonts w:asciiTheme="minorHAnsi" w:hAnsiTheme="minorHAnsi" w:cstheme="minorHAnsi"/>
          <w:sz w:val="24"/>
          <w:szCs w:val="24"/>
        </w:rPr>
        <w:t>end-user</w:t>
      </w:r>
      <w:proofErr w:type="gramEnd"/>
      <w:r w:rsidRPr="00E70441">
        <w:rPr>
          <w:rFonts w:asciiTheme="minorHAnsi" w:hAnsiTheme="minorHAnsi" w:cstheme="minorHAnsi"/>
          <w:sz w:val="24"/>
          <w:szCs w:val="24"/>
        </w:rPr>
        <w:t xml:space="preserve"> notice powers across the schemes to assess the impact on the rights of Australian users, including privacy and freedom of expression (</w:t>
      </w:r>
      <w:r w:rsidR="00113CFC" w:rsidRPr="00E70441">
        <w:rPr>
          <w:rFonts w:asciiTheme="minorHAnsi" w:hAnsiTheme="minorHAnsi" w:cstheme="minorHAnsi"/>
          <w:sz w:val="24"/>
          <w:szCs w:val="24"/>
        </w:rPr>
        <w:t xml:space="preserve">recommendation </w:t>
      </w:r>
      <w:r w:rsidRPr="00E70441">
        <w:rPr>
          <w:rFonts w:asciiTheme="minorHAnsi" w:hAnsiTheme="minorHAnsi" w:cstheme="minorHAnsi"/>
          <w:sz w:val="24"/>
          <w:szCs w:val="24"/>
        </w:rPr>
        <w:t xml:space="preserve">40) </w:t>
      </w:r>
    </w:p>
    <w:p w14:paraId="63AF6892" w14:textId="799F22E4" w:rsidR="003A664E" w:rsidRPr="00E70441" w:rsidRDefault="003A664E" w:rsidP="00EA4ED8">
      <w:pPr>
        <w:pStyle w:val="ListParagraph"/>
        <w:numPr>
          <w:ilvl w:val="0"/>
          <w:numId w:val="27"/>
        </w:numPr>
        <w:tabs>
          <w:tab w:val="clear" w:pos="851"/>
        </w:tabs>
        <w:ind w:left="851" w:hanging="414"/>
        <w:rPr>
          <w:rFonts w:asciiTheme="minorHAnsi" w:hAnsiTheme="minorHAnsi" w:cstheme="minorHAnsi"/>
          <w:sz w:val="24"/>
          <w:szCs w:val="24"/>
        </w:rPr>
      </w:pPr>
      <w:r w:rsidRPr="00E70441">
        <w:rPr>
          <w:rFonts w:asciiTheme="minorHAnsi" w:hAnsiTheme="minorHAnsi" w:cstheme="minorHAnsi"/>
          <w:sz w:val="24"/>
          <w:szCs w:val="24"/>
        </w:rPr>
        <w:t>expanded access restriction powers on online services to understand the impact on Australian users and businesses, including adverse impacts on legitimate access and use of online services (</w:t>
      </w:r>
      <w:r w:rsidR="00113CFC" w:rsidRPr="00E70441">
        <w:rPr>
          <w:rFonts w:asciiTheme="minorHAnsi" w:hAnsiTheme="minorHAnsi" w:cstheme="minorHAnsi"/>
          <w:sz w:val="24"/>
          <w:szCs w:val="24"/>
        </w:rPr>
        <w:t xml:space="preserve">recommendation </w:t>
      </w:r>
      <w:r w:rsidRPr="00E70441">
        <w:rPr>
          <w:rFonts w:asciiTheme="minorHAnsi" w:hAnsiTheme="minorHAnsi" w:cstheme="minorHAnsi"/>
          <w:sz w:val="24"/>
          <w:szCs w:val="24"/>
        </w:rPr>
        <w:t>41)</w:t>
      </w:r>
    </w:p>
    <w:p w14:paraId="7C13B5F5" w14:textId="357F6A04" w:rsidR="003A664E" w:rsidRPr="00E70441" w:rsidRDefault="003A664E" w:rsidP="00EA4ED8">
      <w:pPr>
        <w:pStyle w:val="ListParagraph"/>
        <w:numPr>
          <w:ilvl w:val="0"/>
          <w:numId w:val="27"/>
        </w:numPr>
        <w:tabs>
          <w:tab w:val="clear" w:pos="851"/>
        </w:tabs>
        <w:ind w:left="851" w:hanging="414"/>
        <w:rPr>
          <w:rFonts w:asciiTheme="minorHAnsi" w:hAnsiTheme="minorHAnsi" w:cstheme="minorHAnsi"/>
          <w:sz w:val="24"/>
          <w:szCs w:val="24"/>
        </w:rPr>
      </w:pPr>
      <w:r w:rsidRPr="00E70441">
        <w:rPr>
          <w:rFonts w:asciiTheme="minorHAnsi" w:hAnsiTheme="minorHAnsi" w:cstheme="minorHAnsi"/>
          <w:sz w:val="24"/>
          <w:szCs w:val="24"/>
        </w:rPr>
        <w:t>business disruption powers to determine the impact on Australian users and businesses, including any adverse impact on third parties that are legitimate and compliant business entities such as advertisers (</w:t>
      </w:r>
      <w:r w:rsidR="00113CFC" w:rsidRPr="00E70441">
        <w:rPr>
          <w:rFonts w:asciiTheme="minorHAnsi" w:hAnsiTheme="minorHAnsi" w:cstheme="minorHAnsi"/>
          <w:sz w:val="24"/>
          <w:szCs w:val="24"/>
        </w:rPr>
        <w:t xml:space="preserve">recommendation </w:t>
      </w:r>
      <w:r w:rsidRPr="00E70441">
        <w:rPr>
          <w:rFonts w:asciiTheme="minorHAnsi" w:hAnsiTheme="minorHAnsi" w:cstheme="minorHAnsi"/>
          <w:sz w:val="24"/>
          <w:szCs w:val="24"/>
        </w:rPr>
        <w:t>42)</w:t>
      </w:r>
    </w:p>
    <w:p w14:paraId="2DC0C281" w14:textId="77777777" w:rsidR="0048476E" w:rsidRPr="00E70441" w:rsidRDefault="0048476E" w:rsidP="0048476E">
      <w:pPr>
        <w:pStyle w:val="ListParagraph"/>
        <w:ind w:left="1440" w:firstLine="0"/>
        <w:rPr>
          <w:rFonts w:asciiTheme="minorHAnsi" w:hAnsiTheme="minorHAnsi" w:cstheme="minorHAnsi"/>
          <w:sz w:val="24"/>
          <w:szCs w:val="24"/>
        </w:rPr>
      </w:pPr>
    </w:p>
    <w:p w14:paraId="1B38712A" w14:textId="2EB504FD" w:rsidR="003A664E" w:rsidRPr="00E70441" w:rsidRDefault="003A664E" w:rsidP="003A664E">
      <w:pPr>
        <w:rPr>
          <w:rFonts w:asciiTheme="minorHAnsi" w:hAnsiTheme="minorHAnsi" w:cstheme="minorHAnsi"/>
          <w:sz w:val="24"/>
          <w:szCs w:val="24"/>
        </w:rPr>
      </w:pPr>
      <w:r w:rsidRPr="00E70441">
        <w:rPr>
          <w:rFonts w:asciiTheme="minorHAnsi" w:hAnsiTheme="minorHAnsi" w:cstheme="minorHAnsi"/>
          <w:sz w:val="24"/>
          <w:szCs w:val="24"/>
        </w:rPr>
        <w:t>Requiring major platforms to have a local presence for the purpose of facilitating enforcement is potentially inconsistent with Australia’s international trade obligations (</w:t>
      </w:r>
      <w:r w:rsidR="00113CFC" w:rsidRPr="00E70441">
        <w:rPr>
          <w:rFonts w:asciiTheme="minorHAnsi" w:hAnsiTheme="minorHAnsi" w:cstheme="minorHAnsi"/>
          <w:sz w:val="24"/>
          <w:szCs w:val="24"/>
        </w:rPr>
        <w:t xml:space="preserve">recommendation </w:t>
      </w:r>
      <w:r w:rsidRPr="00E70441">
        <w:rPr>
          <w:rFonts w:asciiTheme="minorHAnsi" w:hAnsiTheme="minorHAnsi" w:cstheme="minorHAnsi"/>
          <w:sz w:val="24"/>
          <w:szCs w:val="24"/>
        </w:rPr>
        <w:t>43).</w:t>
      </w:r>
    </w:p>
    <w:p w14:paraId="77722229" w14:textId="3BC0BA0E" w:rsidR="003A664E" w:rsidRPr="00E70441" w:rsidRDefault="003A664E" w:rsidP="003A664E">
      <w:pPr>
        <w:rPr>
          <w:rFonts w:asciiTheme="minorHAnsi" w:hAnsiTheme="minorHAnsi" w:cstheme="minorHAnsi"/>
          <w:sz w:val="24"/>
          <w:szCs w:val="24"/>
        </w:rPr>
      </w:pPr>
      <w:r w:rsidRPr="00E70441">
        <w:rPr>
          <w:rFonts w:asciiTheme="minorHAnsi" w:hAnsiTheme="minorHAnsi" w:cstheme="minorHAnsi"/>
          <w:sz w:val="24"/>
          <w:szCs w:val="24"/>
        </w:rPr>
        <w:t>A licensing scheme represents a significant change to the regulatory landscape across Government (</w:t>
      </w:r>
      <w:r w:rsidR="00113CFC" w:rsidRPr="00E70441">
        <w:rPr>
          <w:rFonts w:asciiTheme="minorHAnsi" w:hAnsiTheme="minorHAnsi" w:cstheme="minorHAnsi"/>
          <w:sz w:val="24"/>
          <w:szCs w:val="24"/>
        </w:rPr>
        <w:t xml:space="preserve">recommendation </w:t>
      </w:r>
      <w:r w:rsidRPr="00E70441">
        <w:rPr>
          <w:rFonts w:asciiTheme="minorHAnsi" w:hAnsiTheme="minorHAnsi" w:cstheme="minorHAnsi"/>
          <w:sz w:val="24"/>
          <w:szCs w:val="24"/>
        </w:rPr>
        <w:t>45).</w:t>
      </w:r>
    </w:p>
    <w:tbl>
      <w:tblPr>
        <w:tblStyle w:val="TableGrid"/>
        <w:tblW w:w="0" w:type="auto"/>
        <w:tblLook w:val="04A0" w:firstRow="1" w:lastRow="0" w:firstColumn="1" w:lastColumn="0" w:noHBand="0" w:noVBand="1"/>
      </w:tblPr>
      <w:tblGrid>
        <w:gridCol w:w="6374"/>
        <w:gridCol w:w="2642"/>
      </w:tblGrid>
      <w:tr w:rsidR="00E03545" w:rsidRPr="00E70441" w14:paraId="66822796" w14:textId="77777777" w:rsidTr="00EB54CD">
        <w:tc>
          <w:tcPr>
            <w:tcW w:w="6374" w:type="dxa"/>
          </w:tcPr>
          <w:p w14:paraId="5D36F79C" w14:textId="77777777" w:rsidR="00E03545" w:rsidRPr="00E70441" w:rsidRDefault="00E03545" w:rsidP="009429CD">
            <w:pPr>
              <w:pStyle w:val="BodyText"/>
              <w:keepNext/>
              <w:keepLines/>
              <w:rPr>
                <w:rFonts w:asciiTheme="minorHAnsi" w:hAnsiTheme="minorHAnsi" w:cstheme="minorHAnsi"/>
                <w:b/>
                <w:bCs/>
                <w:sz w:val="24"/>
                <w:szCs w:val="24"/>
              </w:rPr>
            </w:pPr>
            <w:r w:rsidRPr="00E70441">
              <w:rPr>
                <w:rFonts w:asciiTheme="minorHAnsi" w:hAnsiTheme="minorHAnsi" w:cstheme="minorHAnsi"/>
                <w:b/>
                <w:bCs/>
                <w:sz w:val="24"/>
                <w:szCs w:val="24"/>
              </w:rPr>
              <w:lastRenderedPageBreak/>
              <w:t>Review Recommendation</w:t>
            </w:r>
          </w:p>
        </w:tc>
        <w:tc>
          <w:tcPr>
            <w:tcW w:w="2642" w:type="dxa"/>
          </w:tcPr>
          <w:p w14:paraId="20C5FCDB" w14:textId="77777777" w:rsidR="00E03545" w:rsidRPr="00E70441" w:rsidRDefault="00E03545" w:rsidP="009429CD">
            <w:pPr>
              <w:pStyle w:val="BodyText"/>
              <w:keepNext/>
              <w:keepLines/>
              <w:rPr>
                <w:rFonts w:asciiTheme="minorHAnsi" w:hAnsiTheme="minorHAnsi" w:cstheme="minorHAnsi"/>
                <w:b/>
                <w:bCs/>
                <w:sz w:val="24"/>
                <w:szCs w:val="24"/>
              </w:rPr>
            </w:pPr>
            <w:r w:rsidRPr="00E70441">
              <w:rPr>
                <w:rFonts w:asciiTheme="minorHAnsi" w:hAnsiTheme="minorHAnsi" w:cstheme="minorHAnsi"/>
                <w:b/>
                <w:bCs/>
                <w:sz w:val="24"/>
                <w:szCs w:val="24"/>
              </w:rPr>
              <w:t>Government Response</w:t>
            </w:r>
          </w:p>
        </w:tc>
      </w:tr>
      <w:tr w:rsidR="00E03545" w:rsidRPr="00E70441" w14:paraId="4E879890" w14:textId="77777777" w:rsidTr="00EB54CD">
        <w:tc>
          <w:tcPr>
            <w:tcW w:w="6374" w:type="dxa"/>
          </w:tcPr>
          <w:p w14:paraId="028E0355" w14:textId="587DEA54" w:rsidR="00E03545" w:rsidRPr="00E70441" w:rsidRDefault="00E03545" w:rsidP="009429CD">
            <w:pPr>
              <w:pStyle w:val="BodyText"/>
              <w:keepNext/>
              <w:keepLines/>
              <w:rPr>
                <w:rFonts w:asciiTheme="minorHAnsi" w:hAnsiTheme="minorHAnsi" w:cstheme="minorHAnsi"/>
                <w:b/>
                <w:bCs/>
                <w:sz w:val="24"/>
                <w:szCs w:val="24"/>
              </w:rPr>
            </w:pPr>
            <w:r w:rsidRPr="00E70441">
              <w:rPr>
                <w:rFonts w:asciiTheme="minorHAnsi" w:hAnsiTheme="minorHAnsi" w:cstheme="minorHAnsi"/>
                <w:sz w:val="24"/>
                <w:szCs w:val="24"/>
              </w:rPr>
              <w:t>34: The maximum civil penalty that a court can impose should be increased to the greater of 5 per cent of global annual turnover or $50 million.</w:t>
            </w:r>
          </w:p>
        </w:tc>
        <w:tc>
          <w:tcPr>
            <w:tcW w:w="2642" w:type="dxa"/>
          </w:tcPr>
          <w:p w14:paraId="1D2278F9" w14:textId="7193895B" w:rsidR="00E03545" w:rsidRPr="00E70441" w:rsidRDefault="00E03545" w:rsidP="009429CD">
            <w:pPr>
              <w:pStyle w:val="BodyText"/>
              <w:keepNext/>
              <w:keepLines/>
              <w:rPr>
                <w:rFonts w:asciiTheme="minorHAnsi" w:hAnsiTheme="minorHAnsi" w:cstheme="minorHAnsi"/>
                <w:b/>
                <w:bCs/>
                <w:sz w:val="24"/>
                <w:szCs w:val="24"/>
              </w:rPr>
            </w:pPr>
            <w:r w:rsidRPr="00E70441">
              <w:rPr>
                <w:rFonts w:asciiTheme="minorHAnsi" w:hAnsiTheme="minorHAnsi" w:cstheme="minorHAnsi"/>
                <w:sz w:val="24"/>
                <w:szCs w:val="24"/>
              </w:rPr>
              <w:t>Support</w:t>
            </w:r>
          </w:p>
        </w:tc>
      </w:tr>
      <w:tr w:rsidR="00E03545" w:rsidRPr="00E70441" w14:paraId="1A9ED64D" w14:textId="77777777" w:rsidTr="00EB54CD">
        <w:tc>
          <w:tcPr>
            <w:tcW w:w="6374" w:type="dxa"/>
          </w:tcPr>
          <w:p w14:paraId="2D5FF022" w14:textId="695CB011"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35: The civil penalties for non-compliance with removal notices should be increased to a maximum of $10 million for companies</w:t>
            </w:r>
            <w:r w:rsidR="00E70441">
              <w:rPr>
                <w:rFonts w:asciiTheme="minorHAnsi" w:hAnsiTheme="minorHAnsi" w:cstheme="minorHAnsi"/>
                <w:sz w:val="24"/>
                <w:szCs w:val="24"/>
              </w:rPr>
              <w:t>.</w:t>
            </w:r>
          </w:p>
        </w:tc>
        <w:tc>
          <w:tcPr>
            <w:tcW w:w="2642" w:type="dxa"/>
          </w:tcPr>
          <w:p w14:paraId="548C04BE" w14:textId="355C81D5"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Support</w:t>
            </w:r>
          </w:p>
        </w:tc>
      </w:tr>
      <w:tr w:rsidR="00E03545" w:rsidRPr="00E70441" w14:paraId="050DFC03" w14:textId="77777777" w:rsidTr="00EB54CD">
        <w:tc>
          <w:tcPr>
            <w:tcW w:w="6374" w:type="dxa"/>
          </w:tcPr>
          <w:p w14:paraId="38460894" w14:textId="23DB6587"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36: The Act should be amended to empower the regulator to use enforceable undertakings or issue remedial directions to services in relation to all relevant penalty provisions, to seek to bring them back into compliance</w:t>
            </w:r>
            <w:r w:rsidR="00E70441">
              <w:rPr>
                <w:rFonts w:asciiTheme="minorHAnsi" w:hAnsiTheme="minorHAnsi" w:cstheme="minorHAnsi"/>
                <w:sz w:val="24"/>
                <w:szCs w:val="24"/>
              </w:rPr>
              <w:t>.</w:t>
            </w:r>
          </w:p>
        </w:tc>
        <w:tc>
          <w:tcPr>
            <w:tcW w:w="2642" w:type="dxa"/>
          </w:tcPr>
          <w:p w14:paraId="71C3F153" w14:textId="0EBFF82B"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Support in principle</w:t>
            </w:r>
          </w:p>
        </w:tc>
      </w:tr>
      <w:tr w:rsidR="00E03545" w:rsidRPr="00E70441" w14:paraId="147744C5" w14:textId="77777777" w:rsidTr="00EB54CD">
        <w:tc>
          <w:tcPr>
            <w:tcW w:w="6374" w:type="dxa"/>
          </w:tcPr>
          <w:p w14:paraId="2508851D" w14:textId="32D2AE5B"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37: The Act should allow removal and link-deletion notices to be issued simultaneously under the Online Content Scheme</w:t>
            </w:r>
            <w:r w:rsidR="00E70441">
              <w:rPr>
                <w:rFonts w:asciiTheme="minorHAnsi" w:hAnsiTheme="minorHAnsi" w:cstheme="minorHAnsi"/>
                <w:sz w:val="24"/>
                <w:szCs w:val="24"/>
              </w:rPr>
              <w:t>.</w:t>
            </w:r>
          </w:p>
        </w:tc>
        <w:tc>
          <w:tcPr>
            <w:tcW w:w="2642" w:type="dxa"/>
          </w:tcPr>
          <w:p w14:paraId="52E774C3" w14:textId="1DED69EC"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Support</w:t>
            </w:r>
          </w:p>
        </w:tc>
      </w:tr>
      <w:tr w:rsidR="00E03545" w:rsidRPr="00E70441" w14:paraId="33407605" w14:textId="77777777" w:rsidTr="00EB54CD">
        <w:tc>
          <w:tcPr>
            <w:tcW w:w="6374" w:type="dxa"/>
          </w:tcPr>
          <w:p w14:paraId="37DC1FEF" w14:textId="5777A961"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38: The Act should empower the regulator to simultaneously issue link removal notices for all harmful content under removal schemes</w:t>
            </w:r>
            <w:r w:rsidR="00E70441">
              <w:rPr>
                <w:rFonts w:asciiTheme="minorHAnsi" w:hAnsiTheme="minorHAnsi" w:cstheme="minorHAnsi"/>
                <w:sz w:val="24"/>
                <w:szCs w:val="24"/>
              </w:rPr>
              <w:t>.</w:t>
            </w:r>
          </w:p>
        </w:tc>
        <w:tc>
          <w:tcPr>
            <w:tcW w:w="2642" w:type="dxa"/>
          </w:tcPr>
          <w:p w14:paraId="12C1E37A" w14:textId="3D64AB9D"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Support</w:t>
            </w:r>
          </w:p>
        </w:tc>
      </w:tr>
      <w:tr w:rsidR="00E03545" w:rsidRPr="00E70441" w14:paraId="7ED0AA53" w14:textId="77777777" w:rsidTr="00EB54CD">
        <w:trPr>
          <w:trHeight w:val="1075"/>
        </w:trPr>
        <w:tc>
          <w:tcPr>
            <w:tcW w:w="6374" w:type="dxa"/>
          </w:tcPr>
          <w:p w14:paraId="7D7C6ED0" w14:textId="5D177E7F" w:rsidR="00E03545" w:rsidRPr="00E70441" w:rsidRDefault="00E03545" w:rsidP="00E70441">
            <w:pPr>
              <w:rPr>
                <w:rFonts w:asciiTheme="minorHAnsi" w:hAnsiTheme="minorHAnsi" w:cstheme="minorHAnsi"/>
                <w:b/>
                <w:bCs/>
                <w:sz w:val="24"/>
                <w:szCs w:val="24"/>
              </w:rPr>
            </w:pPr>
            <w:r w:rsidRPr="00E70441">
              <w:rPr>
                <w:rFonts w:asciiTheme="minorHAnsi" w:hAnsiTheme="minorHAnsi" w:cstheme="minorHAnsi"/>
                <w:sz w:val="24"/>
                <w:szCs w:val="24"/>
              </w:rPr>
              <w:t>39: The finalised duty of care model should include scope to consider repeated</w:t>
            </w:r>
            <w:r w:rsidR="00E70441">
              <w:rPr>
                <w:rFonts w:asciiTheme="minorHAnsi" w:hAnsiTheme="minorHAnsi" w:cstheme="minorHAnsi"/>
                <w:sz w:val="24"/>
                <w:szCs w:val="24"/>
              </w:rPr>
              <w:t xml:space="preserve"> </w:t>
            </w:r>
            <w:r w:rsidRPr="00E70441">
              <w:rPr>
                <w:rFonts w:asciiTheme="minorHAnsi" w:hAnsiTheme="minorHAnsi" w:cstheme="minorHAnsi"/>
                <w:sz w:val="24"/>
                <w:szCs w:val="24"/>
              </w:rPr>
              <w:t>non-compliance by services in removing content as evidence of non-compliance with the duty of care.</w:t>
            </w:r>
          </w:p>
        </w:tc>
        <w:tc>
          <w:tcPr>
            <w:tcW w:w="2642" w:type="dxa"/>
          </w:tcPr>
          <w:p w14:paraId="29B423DD" w14:textId="719953BF"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Support</w:t>
            </w:r>
          </w:p>
        </w:tc>
      </w:tr>
      <w:tr w:rsidR="00E03545" w:rsidRPr="00E70441" w14:paraId="00457ED1" w14:textId="77777777" w:rsidTr="00EB54CD">
        <w:trPr>
          <w:trHeight w:val="235"/>
        </w:trPr>
        <w:tc>
          <w:tcPr>
            <w:tcW w:w="6374" w:type="dxa"/>
          </w:tcPr>
          <w:p w14:paraId="32AF05AF" w14:textId="222EBB0D"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40: The Act should include consistent powers across the schemes to require end-users to remove content and refrain from posting abuse in the future.</w:t>
            </w:r>
          </w:p>
        </w:tc>
        <w:tc>
          <w:tcPr>
            <w:tcW w:w="2642" w:type="dxa"/>
          </w:tcPr>
          <w:p w14:paraId="7F79D74C" w14:textId="75CAB484"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Note</w:t>
            </w:r>
          </w:p>
        </w:tc>
      </w:tr>
      <w:tr w:rsidR="00E03545" w:rsidRPr="00E70441" w14:paraId="227C942E" w14:textId="77777777" w:rsidTr="00EB54CD">
        <w:tc>
          <w:tcPr>
            <w:tcW w:w="6374" w:type="dxa"/>
          </w:tcPr>
          <w:p w14:paraId="7E86B04B" w14:textId="7C7C2123"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41: The Government should expand access restriction powers against services for seriously harmful non-compliance.</w:t>
            </w:r>
          </w:p>
        </w:tc>
        <w:tc>
          <w:tcPr>
            <w:tcW w:w="2642" w:type="dxa"/>
          </w:tcPr>
          <w:p w14:paraId="10262596" w14:textId="41103F37"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Note</w:t>
            </w:r>
          </w:p>
        </w:tc>
      </w:tr>
      <w:tr w:rsidR="00E03545" w:rsidRPr="00E70441" w14:paraId="076193EA" w14:textId="77777777" w:rsidTr="00EB54CD">
        <w:tc>
          <w:tcPr>
            <w:tcW w:w="6374" w:type="dxa"/>
          </w:tcPr>
          <w:p w14:paraId="1363597A" w14:textId="2755F26E"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42: The Government should consider options for business disruption powers for seriously harmful non-compliance.</w:t>
            </w:r>
          </w:p>
        </w:tc>
        <w:tc>
          <w:tcPr>
            <w:tcW w:w="2642" w:type="dxa"/>
          </w:tcPr>
          <w:p w14:paraId="656C50B8" w14:textId="27422A72"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Note</w:t>
            </w:r>
          </w:p>
        </w:tc>
      </w:tr>
      <w:tr w:rsidR="00E03545" w:rsidRPr="00E70441" w14:paraId="71193510" w14:textId="77777777" w:rsidTr="00EB54CD">
        <w:tc>
          <w:tcPr>
            <w:tcW w:w="6374" w:type="dxa"/>
          </w:tcPr>
          <w:p w14:paraId="11A5382D" w14:textId="30633201"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43: The Government should consider the feasibility of requiring major platforms to have a local presence for the purpose of facilitating enforcement action.</w:t>
            </w:r>
          </w:p>
        </w:tc>
        <w:tc>
          <w:tcPr>
            <w:tcW w:w="2642" w:type="dxa"/>
          </w:tcPr>
          <w:p w14:paraId="0A68C9FA" w14:textId="68821AFD"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Not supported</w:t>
            </w:r>
          </w:p>
        </w:tc>
      </w:tr>
      <w:tr w:rsidR="00E03545" w:rsidRPr="00E70441" w14:paraId="1CACDEA9" w14:textId="77777777" w:rsidTr="00EB54CD">
        <w:tc>
          <w:tcPr>
            <w:tcW w:w="6374" w:type="dxa"/>
          </w:tcPr>
          <w:p w14:paraId="508DED29" w14:textId="625258D0"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 xml:space="preserve">44: The Act should require major platforms, that is those designated under the reach or risk criteria under the duty of care requirements, to have a contact point for service in Australia. </w:t>
            </w:r>
          </w:p>
        </w:tc>
        <w:tc>
          <w:tcPr>
            <w:tcW w:w="2642" w:type="dxa"/>
          </w:tcPr>
          <w:p w14:paraId="6FD0146F" w14:textId="0C261BE7"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Support</w:t>
            </w:r>
          </w:p>
        </w:tc>
      </w:tr>
      <w:tr w:rsidR="00E03545" w:rsidRPr="00E70441" w14:paraId="1E8540C7" w14:textId="77777777" w:rsidTr="00EB54CD">
        <w:tc>
          <w:tcPr>
            <w:tcW w:w="6374" w:type="dxa"/>
          </w:tcPr>
          <w:p w14:paraId="6E1BFE75" w14:textId="2D091575"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45: The Government should consider options for introducing a licensing scheme for major services as a condition for operation.</w:t>
            </w:r>
          </w:p>
        </w:tc>
        <w:tc>
          <w:tcPr>
            <w:tcW w:w="2642" w:type="dxa"/>
          </w:tcPr>
          <w:p w14:paraId="42FDD29A" w14:textId="5088E73E"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Not supported</w:t>
            </w:r>
          </w:p>
        </w:tc>
      </w:tr>
    </w:tbl>
    <w:p w14:paraId="022F3D21" w14:textId="77777777" w:rsidR="003A664E" w:rsidRPr="00E70441" w:rsidRDefault="003A664E" w:rsidP="00EA4ED8">
      <w:pPr>
        <w:pStyle w:val="Heading1"/>
        <w:numPr>
          <w:ilvl w:val="0"/>
          <w:numId w:val="0"/>
        </w:numPr>
        <w:ind w:left="360" w:hanging="360"/>
        <w:rPr>
          <w:rFonts w:asciiTheme="minorHAnsi" w:hAnsiTheme="minorHAnsi" w:cstheme="minorHAnsi"/>
          <w:sz w:val="24"/>
          <w:szCs w:val="24"/>
        </w:rPr>
      </w:pPr>
      <w:r w:rsidRPr="00E70441">
        <w:rPr>
          <w:rFonts w:asciiTheme="minorHAnsi" w:hAnsiTheme="minorHAnsi" w:cstheme="minorHAnsi"/>
          <w:sz w:val="24"/>
          <w:szCs w:val="24"/>
        </w:rPr>
        <w:t>Investigations and compliance monitoring</w:t>
      </w:r>
    </w:p>
    <w:p w14:paraId="14175971" w14:textId="233064E9" w:rsidR="003A664E" w:rsidRPr="00E70441" w:rsidRDefault="003A664E" w:rsidP="003A664E">
      <w:pPr>
        <w:rPr>
          <w:rFonts w:asciiTheme="minorHAnsi" w:hAnsiTheme="minorHAnsi" w:cstheme="minorHAnsi"/>
          <w:sz w:val="24"/>
          <w:szCs w:val="24"/>
        </w:rPr>
      </w:pPr>
      <w:r w:rsidRPr="00E70441">
        <w:rPr>
          <w:rFonts w:asciiTheme="minorHAnsi" w:hAnsiTheme="minorHAnsi" w:cstheme="minorHAnsi"/>
          <w:sz w:val="24"/>
          <w:szCs w:val="24"/>
        </w:rPr>
        <w:t>The details of the powers and tools to monitor and investigate suspected non-compliance with the Act, and those to obtain information necessary to conduct their investigations</w:t>
      </w:r>
      <w:r w:rsidR="00EA4ED8">
        <w:rPr>
          <w:rFonts w:asciiTheme="minorHAnsi" w:hAnsiTheme="minorHAnsi" w:cstheme="minorHAnsi"/>
          <w:sz w:val="24"/>
          <w:szCs w:val="24"/>
        </w:rPr>
        <w:t>,</w:t>
      </w:r>
      <w:r w:rsidRPr="00E70441">
        <w:rPr>
          <w:rFonts w:asciiTheme="minorHAnsi" w:hAnsiTheme="minorHAnsi" w:cstheme="minorHAnsi"/>
          <w:sz w:val="24"/>
          <w:szCs w:val="24"/>
        </w:rPr>
        <w:t xml:space="preserve"> will </w:t>
      </w:r>
      <w:r w:rsidRPr="00E70441">
        <w:rPr>
          <w:rFonts w:asciiTheme="minorHAnsi" w:hAnsiTheme="minorHAnsi" w:cstheme="minorHAnsi"/>
          <w:sz w:val="24"/>
          <w:szCs w:val="24"/>
        </w:rPr>
        <w:lastRenderedPageBreak/>
        <w:t>be carefully considered, having regard to the proportionality of powers and the rights of end-users (</w:t>
      </w:r>
      <w:r w:rsidR="00113CFC" w:rsidRPr="00E70441">
        <w:rPr>
          <w:rFonts w:asciiTheme="minorHAnsi" w:hAnsiTheme="minorHAnsi" w:cstheme="minorHAnsi"/>
          <w:sz w:val="24"/>
          <w:szCs w:val="24"/>
        </w:rPr>
        <w:t xml:space="preserve">recommendations </w:t>
      </w:r>
      <w:r w:rsidRPr="00E70441">
        <w:rPr>
          <w:rFonts w:asciiTheme="minorHAnsi" w:hAnsiTheme="minorHAnsi" w:cstheme="minorHAnsi"/>
          <w:sz w:val="24"/>
          <w:szCs w:val="24"/>
        </w:rPr>
        <w:t>46, 47, 48, 49).</w:t>
      </w:r>
    </w:p>
    <w:p w14:paraId="5ECF0A2F" w14:textId="3678165D" w:rsidR="003A664E" w:rsidRPr="00E70441" w:rsidRDefault="003A664E" w:rsidP="003A664E">
      <w:pPr>
        <w:rPr>
          <w:rFonts w:asciiTheme="minorHAnsi" w:hAnsiTheme="minorHAnsi" w:cstheme="minorHAnsi"/>
          <w:sz w:val="24"/>
          <w:szCs w:val="24"/>
        </w:rPr>
      </w:pPr>
      <w:r w:rsidRPr="00E70441">
        <w:rPr>
          <w:rFonts w:asciiTheme="minorHAnsi" w:hAnsiTheme="minorHAnsi" w:cstheme="minorHAnsi"/>
          <w:sz w:val="24"/>
          <w:szCs w:val="24"/>
        </w:rPr>
        <w:t>Technical amendments to improve the intended operation of the Act will ensure the consistent application of section 205 to Part 14 of the Act, and digital services will be required to retain records necessary and sufficient to demonstrate their compliance with the Act and the steps they have taken to comply with the Act (</w:t>
      </w:r>
      <w:r w:rsidR="00113CFC" w:rsidRPr="00E70441">
        <w:rPr>
          <w:rFonts w:asciiTheme="minorHAnsi" w:hAnsiTheme="minorHAnsi" w:cstheme="minorHAnsi"/>
          <w:sz w:val="24"/>
          <w:szCs w:val="24"/>
        </w:rPr>
        <w:t xml:space="preserve">recommendation </w:t>
      </w:r>
      <w:r w:rsidRPr="00E70441">
        <w:rPr>
          <w:rFonts w:asciiTheme="minorHAnsi" w:hAnsiTheme="minorHAnsi" w:cstheme="minorHAnsi"/>
          <w:sz w:val="24"/>
          <w:szCs w:val="24"/>
        </w:rPr>
        <w:t xml:space="preserve">50). </w:t>
      </w:r>
    </w:p>
    <w:p w14:paraId="47C68783" w14:textId="45BDE3BA" w:rsidR="003A664E" w:rsidRPr="00E70441" w:rsidRDefault="003A664E" w:rsidP="003A664E">
      <w:pPr>
        <w:rPr>
          <w:rFonts w:asciiTheme="minorHAnsi" w:hAnsiTheme="minorHAnsi" w:cstheme="minorHAnsi"/>
          <w:sz w:val="24"/>
          <w:szCs w:val="24"/>
        </w:rPr>
      </w:pPr>
      <w:r w:rsidRPr="00E70441">
        <w:rPr>
          <w:rFonts w:asciiTheme="minorHAnsi" w:hAnsiTheme="minorHAnsi" w:cstheme="minorHAnsi"/>
          <w:sz w:val="24"/>
          <w:szCs w:val="24"/>
        </w:rPr>
        <w:t>The Act currently contains transparency powers through the BOSE, with the eSafety Commissioner able to require service providers to report on how they are meeting these expectations, and enforceable by civil penalties. These will transition with the duty of care to ensure the continuation of oversight functions (</w:t>
      </w:r>
      <w:r w:rsidR="00113CFC" w:rsidRPr="00E70441">
        <w:rPr>
          <w:rFonts w:asciiTheme="minorHAnsi" w:hAnsiTheme="minorHAnsi" w:cstheme="minorHAnsi"/>
          <w:sz w:val="24"/>
          <w:szCs w:val="24"/>
        </w:rPr>
        <w:t xml:space="preserve">recommendation </w:t>
      </w:r>
      <w:r w:rsidRPr="00E70441">
        <w:rPr>
          <w:rFonts w:asciiTheme="minorHAnsi" w:hAnsiTheme="minorHAnsi" w:cstheme="minorHAnsi"/>
          <w:sz w:val="24"/>
          <w:szCs w:val="24"/>
        </w:rPr>
        <w:t>51).</w:t>
      </w:r>
    </w:p>
    <w:p w14:paraId="26498FA6" w14:textId="5672E6E3" w:rsidR="003A664E" w:rsidRPr="00E70441" w:rsidRDefault="003A664E" w:rsidP="003A664E">
      <w:pPr>
        <w:rPr>
          <w:rFonts w:asciiTheme="minorHAnsi" w:hAnsiTheme="minorHAnsi" w:cstheme="minorHAnsi"/>
          <w:sz w:val="24"/>
          <w:szCs w:val="24"/>
        </w:rPr>
      </w:pPr>
      <w:r w:rsidRPr="00E70441">
        <w:rPr>
          <w:rFonts w:asciiTheme="minorHAnsi" w:hAnsiTheme="minorHAnsi" w:cstheme="minorHAnsi"/>
          <w:sz w:val="24"/>
          <w:szCs w:val="24"/>
        </w:rPr>
        <w:t>The Government supports the regulator being able to disclose information to other agencies, authorities or authorised persons where it is appropriate and necessary to fulfill a public function, enforce the law, or protect persons. Further analysis will be done on defining the scope of ‘international authorities’ to whom information can be disclosed (</w:t>
      </w:r>
      <w:r w:rsidR="00113CFC" w:rsidRPr="00E70441">
        <w:rPr>
          <w:rFonts w:asciiTheme="minorHAnsi" w:hAnsiTheme="minorHAnsi" w:cstheme="minorHAnsi"/>
          <w:sz w:val="24"/>
          <w:szCs w:val="24"/>
        </w:rPr>
        <w:t xml:space="preserve">recommendation </w:t>
      </w:r>
      <w:r w:rsidRPr="00E70441">
        <w:rPr>
          <w:rFonts w:asciiTheme="minorHAnsi" w:hAnsiTheme="minorHAnsi" w:cstheme="minorHAnsi"/>
          <w:sz w:val="24"/>
          <w:szCs w:val="24"/>
        </w:rPr>
        <w:t>53).</w:t>
      </w:r>
    </w:p>
    <w:p w14:paraId="6F188BB9" w14:textId="7C49D81D" w:rsidR="003A664E" w:rsidRPr="00E70441" w:rsidRDefault="003A664E" w:rsidP="003A664E">
      <w:pPr>
        <w:rPr>
          <w:rFonts w:asciiTheme="minorHAnsi" w:hAnsiTheme="minorHAnsi" w:cstheme="minorHAnsi"/>
          <w:sz w:val="24"/>
          <w:szCs w:val="24"/>
        </w:rPr>
      </w:pPr>
      <w:r w:rsidRPr="00E70441">
        <w:rPr>
          <w:rFonts w:asciiTheme="minorHAnsi" w:hAnsiTheme="minorHAnsi" w:cstheme="minorHAnsi"/>
          <w:sz w:val="24"/>
          <w:szCs w:val="24"/>
        </w:rPr>
        <w:t>Arrangements currently exist to ensure child sexual exploitation material is removed, with memoranda of understanding in place with the Australian Federal Police and all State and Territory law enforcement agencies, as well as with the International Association of Internet Hotlines network, assisting with the rapid removal of this material overseas. These arrangements enable enforcement agencies to maintain appropriate oversight and engagement (</w:t>
      </w:r>
      <w:r w:rsidR="00113CFC" w:rsidRPr="00E70441">
        <w:rPr>
          <w:rFonts w:asciiTheme="minorHAnsi" w:hAnsiTheme="minorHAnsi" w:cstheme="minorHAnsi"/>
          <w:sz w:val="24"/>
          <w:szCs w:val="24"/>
        </w:rPr>
        <w:t xml:space="preserve">recommendation </w:t>
      </w:r>
      <w:r w:rsidRPr="00E70441">
        <w:rPr>
          <w:rFonts w:asciiTheme="minorHAnsi" w:hAnsiTheme="minorHAnsi" w:cstheme="minorHAnsi"/>
          <w:sz w:val="24"/>
          <w:szCs w:val="24"/>
        </w:rPr>
        <w:t>54).</w:t>
      </w:r>
    </w:p>
    <w:tbl>
      <w:tblPr>
        <w:tblStyle w:val="TableGrid"/>
        <w:tblW w:w="0" w:type="auto"/>
        <w:tblLook w:val="04A0" w:firstRow="1" w:lastRow="0" w:firstColumn="1" w:lastColumn="0" w:noHBand="0" w:noVBand="1"/>
      </w:tblPr>
      <w:tblGrid>
        <w:gridCol w:w="6516"/>
        <w:gridCol w:w="2500"/>
      </w:tblGrid>
      <w:tr w:rsidR="00E03545" w:rsidRPr="00E70441" w14:paraId="7F9DC896" w14:textId="77777777" w:rsidTr="00EB54CD">
        <w:tc>
          <w:tcPr>
            <w:tcW w:w="6516" w:type="dxa"/>
          </w:tcPr>
          <w:p w14:paraId="1ACE2A30" w14:textId="77777777" w:rsidR="00E03545" w:rsidRPr="00E70441" w:rsidRDefault="00E03545" w:rsidP="00DB56B4">
            <w:pPr>
              <w:pStyle w:val="BodyText"/>
              <w:rPr>
                <w:rFonts w:asciiTheme="minorHAnsi" w:hAnsiTheme="minorHAnsi" w:cstheme="minorHAnsi"/>
                <w:b/>
                <w:bCs/>
                <w:sz w:val="24"/>
                <w:szCs w:val="24"/>
              </w:rPr>
            </w:pPr>
            <w:r w:rsidRPr="00E70441">
              <w:rPr>
                <w:rFonts w:asciiTheme="minorHAnsi" w:hAnsiTheme="minorHAnsi" w:cstheme="minorHAnsi"/>
                <w:b/>
                <w:bCs/>
                <w:sz w:val="24"/>
                <w:szCs w:val="24"/>
              </w:rPr>
              <w:t>Review Recommendation</w:t>
            </w:r>
          </w:p>
        </w:tc>
        <w:tc>
          <w:tcPr>
            <w:tcW w:w="2500" w:type="dxa"/>
          </w:tcPr>
          <w:p w14:paraId="72353E23" w14:textId="77777777" w:rsidR="00E03545" w:rsidRPr="00E70441" w:rsidRDefault="00E03545" w:rsidP="00DB56B4">
            <w:pPr>
              <w:pStyle w:val="BodyText"/>
              <w:rPr>
                <w:rFonts w:asciiTheme="minorHAnsi" w:hAnsiTheme="minorHAnsi" w:cstheme="minorHAnsi"/>
                <w:b/>
                <w:bCs/>
                <w:sz w:val="24"/>
                <w:szCs w:val="24"/>
              </w:rPr>
            </w:pPr>
            <w:r w:rsidRPr="00E70441">
              <w:rPr>
                <w:rFonts w:asciiTheme="minorHAnsi" w:hAnsiTheme="minorHAnsi" w:cstheme="minorHAnsi"/>
                <w:b/>
                <w:bCs/>
                <w:sz w:val="24"/>
                <w:szCs w:val="24"/>
              </w:rPr>
              <w:t>Government Response</w:t>
            </w:r>
          </w:p>
        </w:tc>
      </w:tr>
      <w:tr w:rsidR="00E03545" w:rsidRPr="00E70441" w14:paraId="79EAD221" w14:textId="77777777" w:rsidTr="00EB54CD">
        <w:tc>
          <w:tcPr>
            <w:tcW w:w="6516" w:type="dxa"/>
          </w:tcPr>
          <w:p w14:paraId="632516B4" w14:textId="77777777" w:rsidR="00E03545" w:rsidRPr="00E70441" w:rsidRDefault="00E03545" w:rsidP="00DB56B4">
            <w:pPr>
              <w:rPr>
                <w:rFonts w:asciiTheme="minorHAnsi" w:hAnsiTheme="minorHAnsi" w:cstheme="minorHAnsi"/>
                <w:b/>
                <w:sz w:val="24"/>
                <w:szCs w:val="24"/>
              </w:rPr>
            </w:pPr>
            <w:r w:rsidRPr="00E70441">
              <w:rPr>
                <w:rFonts w:asciiTheme="minorHAnsi" w:hAnsiTheme="minorHAnsi" w:cstheme="minorHAnsi"/>
                <w:sz w:val="24"/>
                <w:szCs w:val="24"/>
              </w:rPr>
              <w:t>46: The Act should be amended to empower the regulator with stronger powers in relation to investigations, including to:</w:t>
            </w:r>
          </w:p>
          <w:p w14:paraId="20E4ED1B" w14:textId="77777777" w:rsidR="00E03545" w:rsidRPr="00E70441" w:rsidRDefault="00E03545" w:rsidP="00DB56B4">
            <w:pPr>
              <w:pStyle w:val="ListParagraph"/>
              <w:numPr>
                <w:ilvl w:val="0"/>
                <w:numId w:val="28"/>
              </w:numPr>
              <w:tabs>
                <w:tab w:val="clear" w:pos="851"/>
              </w:tabs>
              <w:contextualSpacing w:val="0"/>
              <w:rPr>
                <w:rFonts w:asciiTheme="minorHAnsi" w:hAnsiTheme="minorHAnsi" w:cstheme="minorHAnsi"/>
                <w:b/>
                <w:sz w:val="24"/>
                <w:szCs w:val="24"/>
              </w:rPr>
            </w:pPr>
            <w:r w:rsidRPr="00E70441">
              <w:rPr>
                <w:rFonts w:asciiTheme="minorHAnsi" w:hAnsiTheme="minorHAnsi" w:cstheme="minorHAnsi"/>
                <w:sz w:val="24"/>
                <w:szCs w:val="24"/>
              </w:rPr>
              <w:t>Incorporate the monitoring and investigations provisions of the Regulatory Powers Act into the Act</w:t>
            </w:r>
          </w:p>
          <w:p w14:paraId="0968E600" w14:textId="77777777" w:rsidR="00E03545" w:rsidRPr="00E70441" w:rsidRDefault="00E03545" w:rsidP="00DB56B4">
            <w:pPr>
              <w:pStyle w:val="ListParagraph"/>
              <w:numPr>
                <w:ilvl w:val="0"/>
                <w:numId w:val="28"/>
              </w:numPr>
              <w:tabs>
                <w:tab w:val="clear" w:pos="851"/>
              </w:tabs>
              <w:contextualSpacing w:val="0"/>
              <w:rPr>
                <w:rFonts w:asciiTheme="minorHAnsi" w:hAnsiTheme="minorHAnsi" w:cstheme="minorHAnsi"/>
                <w:b/>
                <w:sz w:val="24"/>
                <w:szCs w:val="24"/>
              </w:rPr>
            </w:pPr>
            <w:r w:rsidRPr="00E70441">
              <w:rPr>
                <w:rFonts w:asciiTheme="minorHAnsi" w:hAnsiTheme="minorHAnsi" w:cstheme="minorHAnsi"/>
                <w:sz w:val="24"/>
                <w:szCs w:val="24"/>
              </w:rPr>
              <w:t>Initiate investigations of a service’s compliance with the duty of care; and</w:t>
            </w:r>
          </w:p>
          <w:p w14:paraId="184C4287" w14:textId="77777777" w:rsidR="00E03545" w:rsidRPr="00E70441" w:rsidRDefault="00E03545" w:rsidP="00DB56B4">
            <w:pPr>
              <w:pStyle w:val="ListParagraph"/>
              <w:numPr>
                <w:ilvl w:val="0"/>
                <w:numId w:val="28"/>
              </w:numPr>
              <w:tabs>
                <w:tab w:val="clear" w:pos="851"/>
              </w:tabs>
              <w:contextualSpacing w:val="0"/>
              <w:rPr>
                <w:rFonts w:asciiTheme="minorHAnsi" w:hAnsiTheme="minorHAnsi" w:cstheme="minorHAnsi"/>
                <w:b/>
                <w:sz w:val="24"/>
                <w:szCs w:val="24"/>
              </w:rPr>
            </w:pPr>
            <w:r w:rsidRPr="00E70441">
              <w:rPr>
                <w:rFonts w:asciiTheme="minorHAnsi" w:hAnsiTheme="minorHAnsi" w:cstheme="minorHAnsi"/>
                <w:sz w:val="24"/>
                <w:szCs w:val="24"/>
              </w:rPr>
              <w:t>Initiate investigations into reposted material that was previously reported and taken down.</w:t>
            </w:r>
          </w:p>
        </w:tc>
        <w:tc>
          <w:tcPr>
            <w:tcW w:w="2500" w:type="dxa"/>
          </w:tcPr>
          <w:p w14:paraId="40A0F52F" w14:textId="77777777" w:rsidR="00E03545" w:rsidRPr="00E70441" w:rsidRDefault="00E03545" w:rsidP="00DB56B4">
            <w:pPr>
              <w:pStyle w:val="BodyText"/>
              <w:rPr>
                <w:rFonts w:asciiTheme="minorHAnsi" w:hAnsiTheme="minorHAnsi" w:cstheme="minorHAnsi"/>
                <w:b/>
                <w:bCs/>
                <w:sz w:val="24"/>
                <w:szCs w:val="24"/>
              </w:rPr>
            </w:pPr>
            <w:r w:rsidRPr="00E70441">
              <w:rPr>
                <w:rFonts w:asciiTheme="minorHAnsi" w:hAnsiTheme="minorHAnsi" w:cstheme="minorHAnsi"/>
                <w:sz w:val="24"/>
                <w:szCs w:val="24"/>
              </w:rPr>
              <w:t>Support in principle</w:t>
            </w:r>
          </w:p>
        </w:tc>
      </w:tr>
      <w:tr w:rsidR="00E03545" w:rsidRPr="00E70441" w14:paraId="4C939362" w14:textId="77777777" w:rsidTr="00EB54CD">
        <w:tc>
          <w:tcPr>
            <w:tcW w:w="6516" w:type="dxa"/>
          </w:tcPr>
          <w:p w14:paraId="408C35D2" w14:textId="62B333B0" w:rsidR="00E03545" w:rsidRPr="00E70441" w:rsidRDefault="00E03545" w:rsidP="00DB56B4">
            <w:pPr>
              <w:pStyle w:val="BodyText"/>
              <w:rPr>
                <w:rFonts w:asciiTheme="minorHAnsi" w:hAnsiTheme="minorHAnsi" w:cstheme="minorHAnsi"/>
                <w:b/>
                <w:bCs/>
                <w:sz w:val="24"/>
                <w:szCs w:val="24"/>
              </w:rPr>
            </w:pPr>
            <w:r w:rsidRPr="00E70441">
              <w:rPr>
                <w:rFonts w:asciiTheme="minorHAnsi" w:hAnsiTheme="minorHAnsi" w:cstheme="minorHAnsi"/>
                <w:sz w:val="24"/>
                <w:szCs w:val="24"/>
              </w:rPr>
              <w:t>47: Amend the Act to provide the regulator with appropriate flexibility to conduct investigations as it thinks fit, including the use of technological tools to assist with investigations and content removal, and the use of sock-puppet accounts</w:t>
            </w:r>
            <w:r w:rsidR="00E70441">
              <w:rPr>
                <w:rFonts w:asciiTheme="minorHAnsi" w:hAnsiTheme="minorHAnsi" w:cstheme="minorHAnsi"/>
                <w:sz w:val="24"/>
                <w:szCs w:val="24"/>
              </w:rPr>
              <w:t>.</w:t>
            </w:r>
          </w:p>
        </w:tc>
        <w:tc>
          <w:tcPr>
            <w:tcW w:w="2500" w:type="dxa"/>
          </w:tcPr>
          <w:p w14:paraId="5DF9A09D" w14:textId="77777777" w:rsidR="00E03545" w:rsidRPr="00E70441" w:rsidRDefault="00E03545" w:rsidP="00DB56B4">
            <w:pPr>
              <w:pStyle w:val="BodyText"/>
              <w:rPr>
                <w:rFonts w:asciiTheme="minorHAnsi" w:hAnsiTheme="minorHAnsi" w:cstheme="minorHAnsi"/>
                <w:b/>
                <w:bCs/>
                <w:sz w:val="24"/>
                <w:szCs w:val="24"/>
              </w:rPr>
            </w:pPr>
            <w:r w:rsidRPr="00E70441">
              <w:rPr>
                <w:rFonts w:asciiTheme="minorHAnsi" w:hAnsiTheme="minorHAnsi" w:cstheme="minorHAnsi"/>
                <w:sz w:val="24"/>
                <w:szCs w:val="24"/>
              </w:rPr>
              <w:t>Support in principle</w:t>
            </w:r>
          </w:p>
        </w:tc>
      </w:tr>
      <w:tr w:rsidR="00E03545" w:rsidRPr="00E70441" w14:paraId="78FF220E" w14:textId="77777777" w:rsidTr="00EB54CD">
        <w:tc>
          <w:tcPr>
            <w:tcW w:w="6516" w:type="dxa"/>
          </w:tcPr>
          <w:p w14:paraId="5489E31A" w14:textId="2A3F8A8E" w:rsidR="00E03545" w:rsidRPr="00E70441" w:rsidRDefault="00E03545" w:rsidP="00DB56B4">
            <w:pPr>
              <w:pStyle w:val="BodyText"/>
              <w:rPr>
                <w:rFonts w:asciiTheme="minorHAnsi" w:hAnsiTheme="minorHAnsi" w:cstheme="minorHAnsi"/>
                <w:b/>
                <w:bCs/>
                <w:sz w:val="24"/>
                <w:szCs w:val="24"/>
              </w:rPr>
            </w:pPr>
            <w:r w:rsidRPr="00E70441">
              <w:rPr>
                <w:rFonts w:asciiTheme="minorHAnsi" w:hAnsiTheme="minorHAnsi" w:cstheme="minorHAnsi"/>
                <w:sz w:val="24"/>
                <w:szCs w:val="24"/>
              </w:rPr>
              <w:t xml:space="preserve">48: Provide additional powers to the regulator to improve its ability to obtain end-user information under Part 13, including a requirement that prevents services from informing end-users when they have received a notice under Part 13, a requirement </w:t>
            </w:r>
            <w:r w:rsidRPr="00E70441">
              <w:rPr>
                <w:rFonts w:asciiTheme="minorHAnsi" w:hAnsiTheme="minorHAnsi" w:cstheme="minorHAnsi"/>
                <w:sz w:val="24"/>
                <w:szCs w:val="24"/>
              </w:rPr>
              <w:lastRenderedPageBreak/>
              <w:t>for services to collect a user’s phone number as a condition for opening an account, and provide a new power to compel the preservation of accounts for investigative purposes</w:t>
            </w:r>
            <w:r w:rsidR="00E70441">
              <w:rPr>
                <w:rFonts w:asciiTheme="minorHAnsi" w:hAnsiTheme="minorHAnsi" w:cstheme="minorHAnsi"/>
                <w:sz w:val="24"/>
                <w:szCs w:val="24"/>
              </w:rPr>
              <w:t>.</w:t>
            </w:r>
          </w:p>
        </w:tc>
        <w:tc>
          <w:tcPr>
            <w:tcW w:w="2500" w:type="dxa"/>
          </w:tcPr>
          <w:p w14:paraId="48DA47BE" w14:textId="77777777" w:rsidR="00E03545" w:rsidRPr="00E70441" w:rsidRDefault="00E03545" w:rsidP="00DB56B4">
            <w:pPr>
              <w:pStyle w:val="BodyText"/>
              <w:rPr>
                <w:rFonts w:asciiTheme="minorHAnsi" w:hAnsiTheme="minorHAnsi" w:cstheme="minorHAnsi"/>
                <w:b/>
                <w:bCs/>
                <w:sz w:val="24"/>
                <w:szCs w:val="24"/>
              </w:rPr>
            </w:pPr>
            <w:r w:rsidRPr="00E70441">
              <w:rPr>
                <w:rFonts w:asciiTheme="minorHAnsi" w:hAnsiTheme="minorHAnsi" w:cstheme="minorHAnsi"/>
                <w:sz w:val="24"/>
                <w:szCs w:val="24"/>
              </w:rPr>
              <w:lastRenderedPageBreak/>
              <w:t>Support in principle</w:t>
            </w:r>
          </w:p>
        </w:tc>
      </w:tr>
      <w:tr w:rsidR="00E03545" w:rsidRPr="00E70441" w14:paraId="6FEC93A8" w14:textId="77777777" w:rsidTr="00EB54CD">
        <w:tc>
          <w:tcPr>
            <w:tcW w:w="6516" w:type="dxa"/>
          </w:tcPr>
          <w:p w14:paraId="6ECA71B6" w14:textId="77777777" w:rsidR="00E03545" w:rsidRPr="00E70441" w:rsidRDefault="00E03545" w:rsidP="00DB56B4">
            <w:pPr>
              <w:rPr>
                <w:rFonts w:asciiTheme="minorHAnsi" w:hAnsiTheme="minorHAnsi" w:cstheme="minorHAnsi"/>
                <w:b/>
                <w:sz w:val="24"/>
                <w:szCs w:val="24"/>
              </w:rPr>
            </w:pPr>
            <w:r w:rsidRPr="00E70441">
              <w:rPr>
                <w:rFonts w:asciiTheme="minorHAnsi" w:hAnsiTheme="minorHAnsi" w:cstheme="minorHAnsi"/>
                <w:sz w:val="24"/>
                <w:szCs w:val="24"/>
              </w:rPr>
              <w:t xml:space="preserve">49: The Act should be amended to empower the regulator with stronger information gathering powers, including to: </w:t>
            </w:r>
          </w:p>
          <w:p w14:paraId="6779526B" w14:textId="77777777" w:rsidR="00E03545" w:rsidRPr="00E70441" w:rsidRDefault="00E03545" w:rsidP="00DB56B4">
            <w:pPr>
              <w:pStyle w:val="ListParagraph"/>
              <w:numPr>
                <w:ilvl w:val="0"/>
                <w:numId w:val="29"/>
              </w:numPr>
              <w:tabs>
                <w:tab w:val="clear" w:pos="851"/>
              </w:tabs>
              <w:contextualSpacing w:val="0"/>
              <w:rPr>
                <w:rFonts w:asciiTheme="minorHAnsi" w:hAnsiTheme="minorHAnsi" w:cstheme="minorHAnsi"/>
                <w:b/>
                <w:sz w:val="24"/>
                <w:szCs w:val="24"/>
              </w:rPr>
            </w:pPr>
            <w:r w:rsidRPr="00E70441">
              <w:rPr>
                <w:rFonts w:asciiTheme="minorHAnsi" w:hAnsiTheme="minorHAnsi" w:cstheme="minorHAnsi"/>
                <w:sz w:val="24"/>
                <w:szCs w:val="24"/>
              </w:rPr>
              <w:t>Improve its ability to obtain end-user information under Part 13 of the Act; and</w:t>
            </w:r>
          </w:p>
          <w:p w14:paraId="345BC417" w14:textId="145C0BDB" w:rsidR="00E03545" w:rsidRPr="00E70441" w:rsidRDefault="00E03545" w:rsidP="00DB56B4">
            <w:pPr>
              <w:pStyle w:val="ListParagraph"/>
              <w:numPr>
                <w:ilvl w:val="0"/>
                <w:numId w:val="29"/>
              </w:numPr>
              <w:tabs>
                <w:tab w:val="clear" w:pos="851"/>
              </w:tabs>
              <w:contextualSpacing w:val="0"/>
              <w:rPr>
                <w:rFonts w:asciiTheme="minorHAnsi" w:hAnsiTheme="minorHAnsi" w:cstheme="minorHAnsi"/>
                <w:b/>
                <w:sz w:val="24"/>
                <w:szCs w:val="24"/>
              </w:rPr>
            </w:pPr>
            <w:r w:rsidRPr="00E70441">
              <w:rPr>
                <w:rFonts w:asciiTheme="minorHAnsi" w:hAnsiTheme="minorHAnsi" w:cstheme="minorHAnsi"/>
                <w:sz w:val="24"/>
                <w:szCs w:val="24"/>
              </w:rPr>
              <w:t xml:space="preserve">Set the </w:t>
            </w:r>
            <w:proofErr w:type="gramStart"/>
            <w:r w:rsidRPr="00E70441">
              <w:rPr>
                <w:rFonts w:asciiTheme="minorHAnsi" w:hAnsiTheme="minorHAnsi" w:cstheme="minorHAnsi"/>
                <w:sz w:val="24"/>
                <w:szCs w:val="24"/>
              </w:rPr>
              <w:t>time period</w:t>
            </w:r>
            <w:proofErr w:type="gramEnd"/>
            <w:r w:rsidRPr="00E70441">
              <w:rPr>
                <w:rFonts w:asciiTheme="minorHAnsi" w:hAnsiTheme="minorHAnsi" w:cstheme="minorHAnsi"/>
                <w:sz w:val="24"/>
                <w:szCs w:val="24"/>
              </w:rPr>
              <w:t xml:space="preserve"> for a written notice to provide evidence under Part 14 of the Act</w:t>
            </w:r>
            <w:r w:rsidR="00E70441">
              <w:rPr>
                <w:rFonts w:asciiTheme="minorHAnsi" w:hAnsiTheme="minorHAnsi" w:cstheme="minorHAnsi"/>
                <w:sz w:val="24"/>
                <w:szCs w:val="24"/>
              </w:rPr>
              <w:t>.</w:t>
            </w:r>
          </w:p>
        </w:tc>
        <w:tc>
          <w:tcPr>
            <w:tcW w:w="2500" w:type="dxa"/>
          </w:tcPr>
          <w:p w14:paraId="3F7E6B71" w14:textId="77777777" w:rsidR="00E03545" w:rsidRPr="00E70441" w:rsidRDefault="00E03545" w:rsidP="00DB56B4">
            <w:pPr>
              <w:pStyle w:val="BodyText"/>
              <w:rPr>
                <w:rFonts w:asciiTheme="minorHAnsi" w:hAnsiTheme="minorHAnsi" w:cstheme="minorHAnsi"/>
                <w:b/>
                <w:bCs/>
                <w:sz w:val="24"/>
                <w:szCs w:val="24"/>
              </w:rPr>
            </w:pPr>
            <w:r w:rsidRPr="00E70441">
              <w:rPr>
                <w:rFonts w:asciiTheme="minorHAnsi" w:hAnsiTheme="minorHAnsi" w:cstheme="minorHAnsi"/>
                <w:sz w:val="24"/>
                <w:szCs w:val="24"/>
              </w:rPr>
              <w:t>Support in principle</w:t>
            </w:r>
          </w:p>
        </w:tc>
      </w:tr>
      <w:tr w:rsidR="00E03545" w:rsidRPr="00E70441" w14:paraId="7F660C4E" w14:textId="77777777" w:rsidTr="00EB54CD">
        <w:tc>
          <w:tcPr>
            <w:tcW w:w="6516" w:type="dxa"/>
          </w:tcPr>
          <w:p w14:paraId="61E98A6B" w14:textId="49FB1674" w:rsidR="00E03545" w:rsidRPr="00E70441" w:rsidRDefault="00E03545" w:rsidP="00DB56B4">
            <w:pPr>
              <w:pStyle w:val="BodyText"/>
              <w:rPr>
                <w:rFonts w:asciiTheme="minorHAnsi" w:hAnsiTheme="minorHAnsi" w:cstheme="minorHAnsi"/>
                <w:b/>
                <w:bCs/>
                <w:sz w:val="24"/>
                <w:szCs w:val="24"/>
              </w:rPr>
            </w:pPr>
            <w:r w:rsidRPr="00E70441">
              <w:rPr>
                <w:rFonts w:asciiTheme="minorHAnsi" w:hAnsiTheme="minorHAnsi" w:cstheme="minorHAnsi"/>
                <w:sz w:val="24"/>
                <w:szCs w:val="24"/>
              </w:rPr>
              <w:t>50: Section 205 of the Act should be amended to confirm that non-compliance with a requirement to give evidence includes information as requested under section 199 (and other sections in Part 14 of the Act)</w:t>
            </w:r>
            <w:r w:rsidR="00E70441">
              <w:rPr>
                <w:rFonts w:asciiTheme="minorHAnsi" w:hAnsiTheme="minorHAnsi" w:cstheme="minorHAnsi"/>
                <w:sz w:val="24"/>
                <w:szCs w:val="24"/>
              </w:rPr>
              <w:t>.</w:t>
            </w:r>
          </w:p>
        </w:tc>
        <w:tc>
          <w:tcPr>
            <w:tcW w:w="2500" w:type="dxa"/>
          </w:tcPr>
          <w:p w14:paraId="57700469" w14:textId="77777777" w:rsidR="00E03545" w:rsidRPr="00E70441" w:rsidRDefault="00E03545" w:rsidP="00DB56B4">
            <w:pPr>
              <w:pStyle w:val="BodyText"/>
              <w:rPr>
                <w:rFonts w:asciiTheme="minorHAnsi" w:hAnsiTheme="minorHAnsi" w:cstheme="minorHAnsi"/>
                <w:b/>
                <w:bCs/>
                <w:sz w:val="24"/>
                <w:szCs w:val="24"/>
              </w:rPr>
            </w:pPr>
            <w:r w:rsidRPr="00E70441">
              <w:rPr>
                <w:rFonts w:asciiTheme="minorHAnsi" w:hAnsiTheme="minorHAnsi" w:cstheme="minorHAnsi"/>
                <w:sz w:val="24"/>
                <w:szCs w:val="24"/>
              </w:rPr>
              <w:t xml:space="preserve">Support </w:t>
            </w:r>
          </w:p>
        </w:tc>
      </w:tr>
      <w:tr w:rsidR="00E03545" w:rsidRPr="00E70441" w14:paraId="7BECE3AD" w14:textId="77777777" w:rsidTr="00EB54CD">
        <w:tc>
          <w:tcPr>
            <w:tcW w:w="6516" w:type="dxa"/>
          </w:tcPr>
          <w:p w14:paraId="08F2F637" w14:textId="77777777" w:rsidR="00E03545" w:rsidRPr="00E70441" w:rsidRDefault="00E03545" w:rsidP="00DB56B4">
            <w:pPr>
              <w:pStyle w:val="BodyText"/>
              <w:rPr>
                <w:rFonts w:asciiTheme="minorHAnsi" w:hAnsiTheme="minorHAnsi" w:cstheme="minorHAnsi"/>
                <w:b/>
                <w:bCs/>
                <w:sz w:val="24"/>
                <w:szCs w:val="24"/>
              </w:rPr>
            </w:pPr>
            <w:r w:rsidRPr="00E70441">
              <w:rPr>
                <w:rFonts w:asciiTheme="minorHAnsi" w:hAnsiTheme="minorHAnsi" w:cstheme="minorHAnsi"/>
                <w:sz w:val="24"/>
                <w:szCs w:val="24"/>
              </w:rPr>
              <w:t>51: The Act should be amended to require services to inform the regulator of actions the service has taken in response to the regulator’s actions and requests (including informal requests).</w:t>
            </w:r>
          </w:p>
        </w:tc>
        <w:tc>
          <w:tcPr>
            <w:tcW w:w="2500" w:type="dxa"/>
          </w:tcPr>
          <w:p w14:paraId="6BDC426B" w14:textId="77777777" w:rsidR="00E03545" w:rsidRPr="00E70441" w:rsidRDefault="00E03545" w:rsidP="00DB56B4">
            <w:pPr>
              <w:pStyle w:val="BodyText"/>
              <w:rPr>
                <w:rFonts w:asciiTheme="minorHAnsi" w:hAnsiTheme="minorHAnsi" w:cstheme="minorHAnsi"/>
                <w:b/>
                <w:bCs/>
                <w:sz w:val="24"/>
                <w:szCs w:val="24"/>
              </w:rPr>
            </w:pPr>
            <w:r w:rsidRPr="00E70441">
              <w:rPr>
                <w:rFonts w:asciiTheme="minorHAnsi" w:hAnsiTheme="minorHAnsi" w:cstheme="minorHAnsi"/>
                <w:sz w:val="24"/>
                <w:szCs w:val="24"/>
              </w:rPr>
              <w:t>Note</w:t>
            </w:r>
          </w:p>
        </w:tc>
      </w:tr>
      <w:tr w:rsidR="00E03545" w:rsidRPr="00E70441" w14:paraId="71F6607D" w14:textId="77777777" w:rsidTr="00EB54CD">
        <w:tc>
          <w:tcPr>
            <w:tcW w:w="6516" w:type="dxa"/>
          </w:tcPr>
          <w:p w14:paraId="4B1EADAE" w14:textId="4F534E99" w:rsidR="00E03545" w:rsidRPr="00E70441" w:rsidRDefault="00E03545" w:rsidP="00E70441">
            <w:pPr>
              <w:rPr>
                <w:rFonts w:asciiTheme="minorHAnsi" w:hAnsiTheme="minorHAnsi" w:cstheme="minorHAnsi"/>
                <w:b/>
                <w:bCs/>
                <w:sz w:val="24"/>
                <w:szCs w:val="24"/>
              </w:rPr>
            </w:pPr>
            <w:r w:rsidRPr="00E70441">
              <w:rPr>
                <w:rFonts w:asciiTheme="minorHAnsi" w:hAnsiTheme="minorHAnsi" w:cstheme="minorHAnsi"/>
                <w:sz w:val="24"/>
                <w:szCs w:val="24"/>
              </w:rPr>
              <w:t xml:space="preserve">52: The Act should be amended to require services to maintain certain records, such as measures taken to comply with obligations under the Act and any actions taken in response to the regulator’s requests and risk assessments, for the purposes of </w:t>
            </w:r>
            <w:proofErr w:type="spellStart"/>
            <w:r w:rsidRPr="00E70441">
              <w:rPr>
                <w:rFonts w:asciiTheme="minorHAnsi" w:hAnsiTheme="minorHAnsi" w:cstheme="minorHAnsi"/>
                <w:sz w:val="24"/>
                <w:szCs w:val="24"/>
              </w:rPr>
              <w:t>eSafety’s</w:t>
            </w:r>
            <w:proofErr w:type="spellEnd"/>
            <w:r w:rsidRPr="00E70441">
              <w:rPr>
                <w:rFonts w:asciiTheme="minorHAnsi" w:hAnsiTheme="minorHAnsi" w:cstheme="minorHAnsi"/>
                <w:sz w:val="24"/>
                <w:szCs w:val="24"/>
              </w:rPr>
              <w:t xml:space="preserve"> investigations.</w:t>
            </w:r>
          </w:p>
        </w:tc>
        <w:tc>
          <w:tcPr>
            <w:tcW w:w="2500" w:type="dxa"/>
          </w:tcPr>
          <w:p w14:paraId="72F9BDE1" w14:textId="77777777" w:rsidR="00E03545" w:rsidRPr="00E70441" w:rsidRDefault="00E03545" w:rsidP="00DB56B4">
            <w:pPr>
              <w:pStyle w:val="BodyText"/>
              <w:rPr>
                <w:rFonts w:asciiTheme="minorHAnsi" w:hAnsiTheme="minorHAnsi" w:cstheme="minorHAnsi"/>
                <w:b/>
                <w:bCs/>
                <w:sz w:val="24"/>
                <w:szCs w:val="24"/>
              </w:rPr>
            </w:pPr>
            <w:r w:rsidRPr="00E70441">
              <w:rPr>
                <w:rFonts w:asciiTheme="minorHAnsi" w:hAnsiTheme="minorHAnsi" w:cstheme="minorHAnsi"/>
                <w:sz w:val="24"/>
                <w:szCs w:val="24"/>
              </w:rPr>
              <w:t>Support</w:t>
            </w:r>
          </w:p>
        </w:tc>
      </w:tr>
      <w:tr w:rsidR="00E03545" w:rsidRPr="00E70441" w14:paraId="5165E921" w14:textId="77777777" w:rsidTr="00EB54CD">
        <w:tc>
          <w:tcPr>
            <w:tcW w:w="6516" w:type="dxa"/>
          </w:tcPr>
          <w:p w14:paraId="13E09014" w14:textId="77777777" w:rsidR="00E03545" w:rsidRPr="00E70441" w:rsidRDefault="00E03545" w:rsidP="00DB56B4">
            <w:pPr>
              <w:rPr>
                <w:rFonts w:asciiTheme="minorHAnsi" w:hAnsiTheme="minorHAnsi" w:cstheme="minorHAnsi"/>
                <w:b/>
                <w:sz w:val="24"/>
                <w:szCs w:val="24"/>
              </w:rPr>
            </w:pPr>
            <w:r w:rsidRPr="00E70441">
              <w:rPr>
                <w:rFonts w:asciiTheme="minorHAnsi" w:hAnsiTheme="minorHAnsi" w:cstheme="minorHAnsi"/>
                <w:sz w:val="24"/>
                <w:szCs w:val="24"/>
              </w:rPr>
              <w:t>53: The Act should be amended to allow the regulator to disclose information to:</w:t>
            </w:r>
          </w:p>
          <w:p w14:paraId="2903FBB3" w14:textId="77777777" w:rsidR="00E03545" w:rsidRPr="00E70441" w:rsidRDefault="00E03545" w:rsidP="00DB56B4">
            <w:pPr>
              <w:pStyle w:val="ListParagraph"/>
              <w:numPr>
                <w:ilvl w:val="0"/>
                <w:numId w:val="30"/>
              </w:numPr>
              <w:tabs>
                <w:tab w:val="clear" w:pos="851"/>
              </w:tabs>
              <w:contextualSpacing w:val="0"/>
              <w:rPr>
                <w:rFonts w:asciiTheme="minorHAnsi" w:hAnsiTheme="minorHAnsi" w:cstheme="minorHAnsi"/>
                <w:b/>
                <w:sz w:val="24"/>
                <w:szCs w:val="24"/>
              </w:rPr>
            </w:pPr>
            <w:r w:rsidRPr="00E70441">
              <w:rPr>
                <w:rFonts w:asciiTheme="minorHAnsi" w:hAnsiTheme="minorHAnsi" w:cstheme="minorHAnsi"/>
                <w:sz w:val="24"/>
                <w:szCs w:val="24"/>
              </w:rPr>
              <w:t xml:space="preserve">Any head of a Commonwealth agency or department </w:t>
            </w:r>
          </w:p>
          <w:p w14:paraId="1DC6C27C" w14:textId="77777777" w:rsidR="006D734A" w:rsidRPr="00E70441" w:rsidRDefault="00E03545" w:rsidP="00DB56B4">
            <w:pPr>
              <w:pStyle w:val="ListParagraph"/>
              <w:numPr>
                <w:ilvl w:val="0"/>
                <w:numId w:val="30"/>
              </w:numPr>
              <w:tabs>
                <w:tab w:val="clear" w:pos="851"/>
              </w:tabs>
              <w:contextualSpacing w:val="0"/>
              <w:rPr>
                <w:rFonts w:asciiTheme="minorHAnsi" w:hAnsiTheme="minorHAnsi" w:cstheme="minorHAnsi"/>
                <w:b/>
                <w:sz w:val="24"/>
                <w:szCs w:val="24"/>
              </w:rPr>
            </w:pPr>
            <w:r w:rsidRPr="00E70441">
              <w:rPr>
                <w:rFonts w:asciiTheme="minorHAnsi" w:hAnsiTheme="minorHAnsi" w:cstheme="minorHAnsi"/>
                <w:sz w:val="24"/>
                <w:szCs w:val="24"/>
              </w:rPr>
              <w:t xml:space="preserve">International authorities; and </w:t>
            </w:r>
          </w:p>
          <w:p w14:paraId="43E81855" w14:textId="6E7D68AD" w:rsidR="00E03545" w:rsidRPr="00E70441" w:rsidRDefault="00E03545" w:rsidP="006D734A">
            <w:pPr>
              <w:pStyle w:val="ListParagraph"/>
              <w:numPr>
                <w:ilvl w:val="0"/>
                <w:numId w:val="30"/>
              </w:numPr>
              <w:tabs>
                <w:tab w:val="clear" w:pos="851"/>
              </w:tabs>
              <w:contextualSpacing w:val="0"/>
              <w:rPr>
                <w:rFonts w:asciiTheme="minorHAnsi" w:hAnsiTheme="minorHAnsi" w:cstheme="minorHAnsi"/>
                <w:b/>
                <w:sz w:val="24"/>
                <w:szCs w:val="24"/>
              </w:rPr>
            </w:pPr>
            <w:r w:rsidRPr="00E70441">
              <w:rPr>
                <w:rFonts w:asciiTheme="minorHAnsi" w:hAnsiTheme="minorHAnsi" w:cstheme="minorHAnsi"/>
                <w:sz w:val="24"/>
                <w:szCs w:val="24"/>
              </w:rPr>
              <w:t>Teachers, school principals, parents or guardians regarding complaints from a child about image-based abuse (as can be done for child cyberbullying)</w:t>
            </w:r>
            <w:r w:rsidR="00E70441">
              <w:rPr>
                <w:rFonts w:asciiTheme="minorHAnsi" w:hAnsiTheme="minorHAnsi" w:cstheme="minorHAnsi"/>
                <w:sz w:val="24"/>
                <w:szCs w:val="24"/>
              </w:rPr>
              <w:t>.</w:t>
            </w:r>
          </w:p>
        </w:tc>
        <w:tc>
          <w:tcPr>
            <w:tcW w:w="2500" w:type="dxa"/>
          </w:tcPr>
          <w:p w14:paraId="39FA4640" w14:textId="77777777" w:rsidR="00E03545" w:rsidRPr="00E70441" w:rsidRDefault="00E03545" w:rsidP="00DB56B4">
            <w:pPr>
              <w:pStyle w:val="BodyText"/>
              <w:rPr>
                <w:rFonts w:asciiTheme="minorHAnsi" w:hAnsiTheme="minorHAnsi" w:cstheme="minorHAnsi"/>
                <w:b/>
                <w:bCs/>
                <w:sz w:val="24"/>
                <w:szCs w:val="24"/>
              </w:rPr>
            </w:pPr>
            <w:r w:rsidRPr="00E70441">
              <w:rPr>
                <w:rFonts w:asciiTheme="minorHAnsi" w:hAnsiTheme="minorHAnsi" w:cstheme="minorHAnsi"/>
                <w:sz w:val="24"/>
                <w:szCs w:val="24"/>
              </w:rPr>
              <w:t>Support in principle</w:t>
            </w:r>
          </w:p>
        </w:tc>
      </w:tr>
      <w:tr w:rsidR="00E03545" w:rsidRPr="00E70441" w14:paraId="315B8A39" w14:textId="77777777" w:rsidTr="00EB54CD">
        <w:tc>
          <w:tcPr>
            <w:tcW w:w="6516" w:type="dxa"/>
          </w:tcPr>
          <w:p w14:paraId="4DAD75B2" w14:textId="77777777" w:rsidR="00E03545" w:rsidRPr="00E70441" w:rsidRDefault="00E03545" w:rsidP="00DB56B4">
            <w:pPr>
              <w:pStyle w:val="BodyText"/>
              <w:rPr>
                <w:rFonts w:asciiTheme="minorHAnsi" w:hAnsiTheme="minorHAnsi" w:cstheme="minorHAnsi"/>
                <w:b/>
                <w:bCs/>
                <w:sz w:val="24"/>
                <w:szCs w:val="24"/>
              </w:rPr>
            </w:pPr>
            <w:r w:rsidRPr="00E70441">
              <w:rPr>
                <w:rFonts w:asciiTheme="minorHAnsi" w:hAnsiTheme="minorHAnsi" w:cstheme="minorHAnsi"/>
                <w:sz w:val="24"/>
                <w:szCs w:val="24"/>
              </w:rPr>
              <w:t>54: Allow the regulator to disclose certain information to Non-Government Organisations who have an approved role in assisting the regulator with enforcement activities.</w:t>
            </w:r>
          </w:p>
        </w:tc>
        <w:tc>
          <w:tcPr>
            <w:tcW w:w="2500" w:type="dxa"/>
          </w:tcPr>
          <w:p w14:paraId="12891E49" w14:textId="77777777" w:rsidR="00E03545" w:rsidRPr="00E70441" w:rsidRDefault="00E03545" w:rsidP="00DB56B4">
            <w:pPr>
              <w:pStyle w:val="BodyText"/>
              <w:rPr>
                <w:rFonts w:asciiTheme="minorHAnsi" w:hAnsiTheme="minorHAnsi" w:cstheme="minorHAnsi"/>
                <w:b/>
                <w:bCs/>
                <w:sz w:val="24"/>
                <w:szCs w:val="24"/>
              </w:rPr>
            </w:pPr>
            <w:r w:rsidRPr="00E70441">
              <w:rPr>
                <w:rFonts w:asciiTheme="minorHAnsi" w:hAnsiTheme="minorHAnsi" w:cstheme="minorHAnsi"/>
                <w:sz w:val="24"/>
                <w:szCs w:val="24"/>
              </w:rPr>
              <w:t>Note</w:t>
            </w:r>
          </w:p>
        </w:tc>
      </w:tr>
    </w:tbl>
    <w:p w14:paraId="6ADF5D90" w14:textId="77777777" w:rsidR="003A664E" w:rsidRPr="00E70441" w:rsidRDefault="003A664E" w:rsidP="00113CFC">
      <w:pPr>
        <w:pStyle w:val="BodyText"/>
        <w:rPr>
          <w:rFonts w:asciiTheme="minorHAnsi" w:hAnsiTheme="minorHAnsi" w:cstheme="minorHAnsi"/>
          <w:sz w:val="24"/>
          <w:szCs w:val="24"/>
        </w:rPr>
      </w:pPr>
    </w:p>
    <w:p w14:paraId="0051D427" w14:textId="68EB9D26" w:rsidR="003A664E" w:rsidRPr="00E70441" w:rsidRDefault="003A664E" w:rsidP="00EA4ED8">
      <w:pPr>
        <w:pStyle w:val="Heading1"/>
        <w:numPr>
          <w:ilvl w:val="0"/>
          <w:numId w:val="0"/>
        </w:numPr>
        <w:ind w:left="360" w:hanging="360"/>
        <w:rPr>
          <w:rFonts w:asciiTheme="minorHAnsi" w:hAnsiTheme="minorHAnsi" w:cstheme="minorHAnsi"/>
          <w:sz w:val="24"/>
          <w:szCs w:val="24"/>
        </w:rPr>
      </w:pPr>
      <w:r w:rsidRPr="00E70441">
        <w:rPr>
          <w:rFonts w:asciiTheme="minorHAnsi" w:hAnsiTheme="minorHAnsi" w:cstheme="minorHAnsi"/>
          <w:sz w:val="24"/>
          <w:szCs w:val="24"/>
        </w:rPr>
        <w:t>Awareness raising and education in the community</w:t>
      </w:r>
    </w:p>
    <w:p w14:paraId="23DABBAD" w14:textId="560B16D2" w:rsidR="003A664E" w:rsidRPr="00E70441" w:rsidRDefault="003A664E" w:rsidP="003A664E">
      <w:pPr>
        <w:pStyle w:val="BodyText"/>
        <w:rPr>
          <w:rFonts w:asciiTheme="minorHAnsi" w:hAnsiTheme="minorHAnsi" w:cstheme="minorHAnsi"/>
          <w:sz w:val="24"/>
          <w:szCs w:val="24"/>
        </w:rPr>
      </w:pPr>
      <w:r w:rsidRPr="00E70441">
        <w:rPr>
          <w:rFonts w:asciiTheme="minorHAnsi" w:hAnsiTheme="minorHAnsi" w:cstheme="minorHAnsi"/>
          <w:sz w:val="24"/>
          <w:szCs w:val="24"/>
        </w:rPr>
        <w:t>Awareness raising and education of the community about online safety matters are fundamental to reducing harm, with eSafety playing an important role (</w:t>
      </w:r>
      <w:r w:rsidR="00113CFC" w:rsidRPr="00E70441">
        <w:rPr>
          <w:rFonts w:asciiTheme="minorHAnsi" w:hAnsiTheme="minorHAnsi" w:cstheme="minorHAnsi"/>
          <w:sz w:val="24"/>
          <w:szCs w:val="24"/>
        </w:rPr>
        <w:t xml:space="preserve">recommendations </w:t>
      </w:r>
      <w:r w:rsidRPr="00E70441">
        <w:rPr>
          <w:rFonts w:asciiTheme="minorHAnsi" w:hAnsiTheme="minorHAnsi" w:cstheme="minorHAnsi"/>
          <w:sz w:val="24"/>
          <w:szCs w:val="24"/>
        </w:rPr>
        <w:t xml:space="preserve">55, 56). </w:t>
      </w:r>
    </w:p>
    <w:p w14:paraId="45B2D71F" w14:textId="63AFD4B4" w:rsidR="003A664E" w:rsidRPr="00E70441" w:rsidRDefault="003A664E" w:rsidP="003A664E">
      <w:pPr>
        <w:pStyle w:val="BodyText"/>
        <w:rPr>
          <w:rFonts w:asciiTheme="minorHAnsi" w:hAnsiTheme="minorHAnsi" w:cstheme="minorHAnsi"/>
          <w:sz w:val="24"/>
          <w:szCs w:val="24"/>
        </w:rPr>
      </w:pPr>
      <w:r w:rsidRPr="00E70441">
        <w:rPr>
          <w:rFonts w:asciiTheme="minorHAnsi" w:hAnsiTheme="minorHAnsi" w:cstheme="minorHAnsi"/>
          <w:sz w:val="24"/>
          <w:szCs w:val="24"/>
        </w:rPr>
        <w:t>Resourcing for awareness campaigns and activity</w:t>
      </w:r>
      <w:r w:rsidR="00EA4ED8">
        <w:rPr>
          <w:rFonts w:asciiTheme="minorHAnsi" w:hAnsiTheme="minorHAnsi" w:cstheme="minorHAnsi"/>
          <w:sz w:val="24"/>
          <w:szCs w:val="24"/>
        </w:rPr>
        <w:t>,</w:t>
      </w:r>
      <w:r w:rsidRPr="00E70441">
        <w:rPr>
          <w:rFonts w:asciiTheme="minorHAnsi" w:hAnsiTheme="minorHAnsi" w:cstheme="minorHAnsi"/>
          <w:sz w:val="24"/>
          <w:szCs w:val="24"/>
        </w:rPr>
        <w:t xml:space="preserve"> including potential regulator name changes</w:t>
      </w:r>
      <w:r w:rsidR="00EA4ED8">
        <w:rPr>
          <w:rFonts w:asciiTheme="minorHAnsi" w:hAnsiTheme="minorHAnsi" w:cstheme="minorHAnsi"/>
          <w:sz w:val="24"/>
          <w:szCs w:val="24"/>
        </w:rPr>
        <w:t>,</w:t>
      </w:r>
      <w:r w:rsidRPr="00E70441">
        <w:rPr>
          <w:rFonts w:asciiTheme="minorHAnsi" w:hAnsiTheme="minorHAnsi" w:cstheme="minorHAnsi"/>
          <w:sz w:val="24"/>
          <w:szCs w:val="24"/>
        </w:rPr>
        <w:t xml:space="preserve"> will be considered as part of future funding for eSafety as required (</w:t>
      </w:r>
      <w:r w:rsidR="00113CFC" w:rsidRPr="00E70441">
        <w:rPr>
          <w:rFonts w:asciiTheme="minorHAnsi" w:hAnsiTheme="minorHAnsi" w:cstheme="minorHAnsi"/>
          <w:sz w:val="24"/>
          <w:szCs w:val="24"/>
        </w:rPr>
        <w:t xml:space="preserve">recommendation </w:t>
      </w:r>
      <w:r w:rsidRPr="00E70441">
        <w:rPr>
          <w:rFonts w:asciiTheme="minorHAnsi" w:hAnsiTheme="minorHAnsi" w:cstheme="minorHAnsi"/>
          <w:sz w:val="24"/>
          <w:szCs w:val="24"/>
        </w:rPr>
        <w:t>57).</w:t>
      </w:r>
    </w:p>
    <w:p w14:paraId="42C517FC" w14:textId="77777777" w:rsidR="00E03545" w:rsidRPr="00E70441" w:rsidRDefault="00E03545" w:rsidP="003A664E">
      <w:pPr>
        <w:pStyle w:val="BodyText"/>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6516"/>
        <w:gridCol w:w="2500"/>
      </w:tblGrid>
      <w:tr w:rsidR="00E03545" w:rsidRPr="00E70441" w14:paraId="58C44F28" w14:textId="77777777" w:rsidTr="00EB54CD">
        <w:tc>
          <w:tcPr>
            <w:tcW w:w="6516" w:type="dxa"/>
          </w:tcPr>
          <w:p w14:paraId="4491B0A9" w14:textId="77777777" w:rsidR="00E03545" w:rsidRPr="00E70441" w:rsidRDefault="00E03545" w:rsidP="00DB56B4">
            <w:pPr>
              <w:pStyle w:val="BodyText"/>
              <w:rPr>
                <w:rFonts w:asciiTheme="minorHAnsi" w:hAnsiTheme="minorHAnsi" w:cstheme="minorHAnsi"/>
                <w:b/>
                <w:bCs/>
                <w:sz w:val="24"/>
                <w:szCs w:val="24"/>
              </w:rPr>
            </w:pPr>
            <w:r w:rsidRPr="00E70441">
              <w:rPr>
                <w:rFonts w:asciiTheme="minorHAnsi" w:hAnsiTheme="minorHAnsi" w:cstheme="minorHAnsi"/>
                <w:b/>
                <w:bCs/>
                <w:sz w:val="24"/>
                <w:szCs w:val="24"/>
              </w:rPr>
              <w:t>Review Recommendation</w:t>
            </w:r>
          </w:p>
        </w:tc>
        <w:tc>
          <w:tcPr>
            <w:tcW w:w="2500" w:type="dxa"/>
          </w:tcPr>
          <w:p w14:paraId="243322A1" w14:textId="77777777" w:rsidR="00E03545" w:rsidRPr="00E70441" w:rsidRDefault="00E03545" w:rsidP="00DB56B4">
            <w:pPr>
              <w:pStyle w:val="BodyText"/>
              <w:rPr>
                <w:rFonts w:asciiTheme="minorHAnsi" w:hAnsiTheme="minorHAnsi" w:cstheme="minorHAnsi"/>
                <w:b/>
                <w:bCs/>
                <w:sz w:val="24"/>
                <w:szCs w:val="24"/>
              </w:rPr>
            </w:pPr>
            <w:r w:rsidRPr="00E70441">
              <w:rPr>
                <w:rFonts w:asciiTheme="minorHAnsi" w:hAnsiTheme="minorHAnsi" w:cstheme="minorHAnsi"/>
                <w:b/>
                <w:bCs/>
                <w:sz w:val="24"/>
                <w:szCs w:val="24"/>
              </w:rPr>
              <w:t>Government Response</w:t>
            </w:r>
          </w:p>
        </w:tc>
      </w:tr>
      <w:tr w:rsidR="00E03545" w:rsidRPr="00E70441" w14:paraId="6873FC58" w14:textId="77777777" w:rsidTr="00EB54CD">
        <w:tc>
          <w:tcPr>
            <w:tcW w:w="6516" w:type="dxa"/>
          </w:tcPr>
          <w:p w14:paraId="09CD3726" w14:textId="0C6A8BAF"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 xml:space="preserve">55: The regulator’s continued awareness raising activities should include in-person outreach, including in </w:t>
            </w:r>
            <w:proofErr w:type="gramStart"/>
            <w:r w:rsidRPr="00E70441">
              <w:rPr>
                <w:rFonts w:asciiTheme="minorHAnsi" w:hAnsiTheme="minorHAnsi" w:cstheme="minorHAnsi"/>
                <w:sz w:val="24"/>
                <w:szCs w:val="24"/>
              </w:rPr>
              <w:t>hard to reach</w:t>
            </w:r>
            <w:proofErr w:type="gramEnd"/>
            <w:r w:rsidRPr="00E70441">
              <w:rPr>
                <w:rFonts w:asciiTheme="minorHAnsi" w:hAnsiTheme="minorHAnsi" w:cstheme="minorHAnsi"/>
                <w:sz w:val="24"/>
                <w:szCs w:val="24"/>
              </w:rPr>
              <w:t xml:space="preserve"> communities, and hard copy resources</w:t>
            </w:r>
            <w:r w:rsidR="00E70441">
              <w:rPr>
                <w:rFonts w:asciiTheme="minorHAnsi" w:hAnsiTheme="minorHAnsi" w:cstheme="minorHAnsi"/>
                <w:sz w:val="24"/>
                <w:szCs w:val="24"/>
              </w:rPr>
              <w:t>.</w:t>
            </w:r>
          </w:p>
        </w:tc>
        <w:tc>
          <w:tcPr>
            <w:tcW w:w="2500" w:type="dxa"/>
          </w:tcPr>
          <w:p w14:paraId="20C95FFC" w14:textId="4D0888F1"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Support</w:t>
            </w:r>
          </w:p>
        </w:tc>
      </w:tr>
      <w:tr w:rsidR="00E03545" w:rsidRPr="00E70441" w14:paraId="5D8750B6" w14:textId="77777777" w:rsidTr="00EB54CD">
        <w:tc>
          <w:tcPr>
            <w:tcW w:w="6516" w:type="dxa"/>
          </w:tcPr>
          <w:p w14:paraId="66987026" w14:textId="2EA50982"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 xml:space="preserve">56: Educational and promotional material should not only focus on what the regulator does for people experiencing </w:t>
            </w:r>
            <w:proofErr w:type="gramStart"/>
            <w:r w:rsidRPr="00E70441">
              <w:rPr>
                <w:rFonts w:asciiTheme="minorHAnsi" w:hAnsiTheme="minorHAnsi" w:cstheme="minorHAnsi"/>
                <w:sz w:val="24"/>
                <w:szCs w:val="24"/>
              </w:rPr>
              <w:t>harms, but</w:t>
            </w:r>
            <w:proofErr w:type="gramEnd"/>
            <w:r w:rsidRPr="00E70441">
              <w:rPr>
                <w:rFonts w:asciiTheme="minorHAnsi" w:hAnsiTheme="minorHAnsi" w:cstheme="minorHAnsi"/>
                <w:sz w:val="24"/>
                <w:szCs w:val="24"/>
              </w:rPr>
              <w:t xml:space="preserve"> also include simple messaging about how to make a complaint. Online safety education delivered at schools should focus on awareness of the regulator as a source of help. News media outlets should be encouraged to provide information about the regulator at the end of articles detailing experiences of online harms</w:t>
            </w:r>
            <w:r w:rsidR="00E70441">
              <w:rPr>
                <w:rFonts w:asciiTheme="minorHAnsi" w:hAnsiTheme="minorHAnsi" w:cstheme="minorHAnsi"/>
                <w:sz w:val="24"/>
                <w:szCs w:val="24"/>
              </w:rPr>
              <w:t>.</w:t>
            </w:r>
          </w:p>
        </w:tc>
        <w:tc>
          <w:tcPr>
            <w:tcW w:w="2500" w:type="dxa"/>
          </w:tcPr>
          <w:p w14:paraId="011353ED" w14:textId="033113E8"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Support</w:t>
            </w:r>
          </w:p>
        </w:tc>
      </w:tr>
      <w:tr w:rsidR="00E03545" w:rsidRPr="00E70441" w14:paraId="065CF893" w14:textId="77777777" w:rsidTr="00EB54CD">
        <w:tc>
          <w:tcPr>
            <w:tcW w:w="6516" w:type="dxa"/>
          </w:tcPr>
          <w:p w14:paraId="459DD5A0" w14:textId="117E202D"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57: If a decision to make structural changes to the regulator includes a change to its name, a major campaign re-launching the regulator should be conducted. The timing of this campaign should be coordinated to align with major changes to the Act</w:t>
            </w:r>
            <w:r w:rsidR="00E70441">
              <w:rPr>
                <w:rFonts w:asciiTheme="minorHAnsi" w:hAnsiTheme="minorHAnsi" w:cstheme="minorHAnsi"/>
                <w:sz w:val="24"/>
                <w:szCs w:val="24"/>
              </w:rPr>
              <w:t>.</w:t>
            </w:r>
          </w:p>
        </w:tc>
        <w:tc>
          <w:tcPr>
            <w:tcW w:w="2500" w:type="dxa"/>
          </w:tcPr>
          <w:p w14:paraId="531922E8" w14:textId="6F95B62D" w:rsidR="00E03545" w:rsidRPr="00E70441" w:rsidRDefault="00E03545" w:rsidP="00E03545">
            <w:pPr>
              <w:pStyle w:val="BodyText"/>
              <w:rPr>
                <w:rFonts w:asciiTheme="minorHAnsi" w:hAnsiTheme="minorHAnsi" w:cstheme="minorHAnsi"/>
                <w:b/>
                <w:bCs/>
                <w:sz w:val="24"/>
                <w:szCs w:val="24"/>
              </w:rPr>
            </w:pPr>
            <w:r w:rsidRPr="00E70441">
              <w:rPr>
                <w:rFonts w:asciiTheme="minorHAnsi" w:hAnsiTheme="minorHAnsi" w:cstheme="minorHAnsi"/>
                <w:sz w:val="24"/>
                <w:szCs w:val="24"/>
              </w:rPr>
              <w:t>Note</w:t>
            </w:r>
          </w:p>
        </w:tc>
      </w:tr>
    </w:tbl>
    <w:p w14:paraId="789132DF" w14:textId="77777777" w:rsidR="003A664E" w:rsidRPr="00E70441" w:rsidRDefault="003A664E" w:rsidP="003A664E">
      <w:pPr>
        <w:pStyle w:val="BodyText"/>
        <w:rPr>
          <w:rFonts w:asciiTheme="minorHAnsi" w:hAnsiTheme="minorHAnsi" w:cstheme="minorHAnsi"/>
          <w:sz w:val="24"/>
          <w:szCs w:val="24"/>
        </w:rPr>
      </w:pPr>
    </w:p>
    <w:p w14:paraId="59995D73" w14:textId="77777777" w:rsidR="003A664E" w:rsidRPr="00E70441" w:rsidRDefault="003A664E" w:rsidP="00EA4ED8">
      <w:pPr>
        <w:pStyle w:val="Heading1"/>
        <w:numPr>
          <w:ilvl w:val="0"/>
          <w:numId w:val="0"/>
        </w:numPr>
        <w:ind w:left="360" w:hanging="360"/>
        <w:rPr>
          <w:rFonts w:asciiTheme="minorHAnsi" w:hAnsiTheme="minorHAnsi" w:cstheme="minorHAnsi"/>
          <w:sz w:val="24"/>
          <w:szCs w:val="24"/>
        </w:rPr>
      </w:pPr>
      <w:r w:rsidRPr="00E70441">
        <w:rPr>
          <w:rFonts w:asciiTheme="minorHAnsi" w:hAnsiTheme="minorHAnsi" w:cstheme="minorHAnsi"/>
          <w:sz w:val="24"/>
          <w:szCs w:val="24"/>
        </w:rPr>
        <w:t>A stronger regulator</w:t>
      </w:r>
    </w:p>
    <w:p w14:paraId="2BEF3C9D" w14:textId="1ACB1BA4" w:rsidR="003A664E" w:rsidRPr="00E70441" w:rsidRDefault="003A664E" w:rsidP="003A664E">
      <w:pPr>
        <w:pStyle w:val="BodyText"/>
        <w:rPr>
          <w:rFonts w:asciiTheme="minorHAnsi" w:hAnsiTheme="minorHAnsi" w:cstheme="minorHAnsi"/>
          <w:sz w:val="24"/>
          <w:szCs w:val="24"/>
        </w:rPr>
      </w:pPr>
      <w:r w:rsidRPr="00E70441">
        <w:rPr>
          <w:rFonts w:asciiTheme="minorHAnsi" w:hAnsiTheme="minorHAnsi" w:cstheme="minorHAnsi"/>
          <w:sz w:val="24"/>
          <w:szCs w:val="24"/>
        </w:rPr>
        <w:t xml:space="preserve">The Government is committed to supporting a responsive online safety regulator that can deliver for all Australians. </w:t>
      </w:r>
    </w:p>
    <w:p w14:paraId="034B47A7" w14:textId="03B75973" w:rsidR="003A664E" w:rsidRPr="00E70441" w:rsidRDefault="003A664E" w:rsidP="003A664E">
      <w:pPr>
        <w:pStyle w:val="BodyText"/>
        <w:rPr>
          <w:rFonts w:asciiTheme="minorHAnsi" w:hAnsiTheme="minorHAnsi" w:cstheme="minorHAnsi"/>
          <w:sz w:val="24"/>
          <w:szCs w:val="24"/>
        </w:rPr>
      </w:pPr>
      <w:r w:rsidRPr="00E70441">
        <w:rPr>
          <w:rFonts w:asciiTheme="minorHAnsi" w:hAnsiTheme="minorHAnsi" w:cstheme="minorHAnsi"/>
          <w:sz w:val="24"/>
          <w:szCs w:val="24"/>
        </w:rPr>
        <w:t xml:space="preserve">As the review observed, a collective decision-making model has been successfully implemented by other digital platform regulators, such as the Australian Communications and Media Authority (ACMA) and the Australian Competition and Consumer Commission. </w:t>
      </w:r>
    </w:p>
    <w:p w14:paraId="7A087D6C" w14:textId="3BB6486F" w:rsidR="003A664E" w:rsidRPr="00E70441" w:rsidRDefault="003A664E" w:rsidP="003A664E">
      <w:pPr>
        <w:pStyle w:val="BodyText"/>
        <w:rPr>
          <w:rFonts w:asciiTheme="minorHAnsi" w:hAnsiTheme="minorHAnsi" w:cstheme="minorHAnsi"/>
          <w:sz w:val="24"/>
          <w:szCs w:val="24"/>
        </w:rPr>
      </w:pPr>
      <w:r w:rsidRPr="00E70441">
        <w:rPr>
          <w:rFonts w:asciiTheme="minorHAnsi" w:hAnsiTheme="minorHAnsi" w:cstheme="minorHAnsi"/>
          <w:sz w:val="24"/>
          <w:szCs w:val="24"/>
        </w:rPr>
        <w:t>The Government will consider options for transitioning eSafety to a multi member governance model to support robust decision making for online safety regulation (</w:t>
      </w:r>
      <w:r w:rsidR="00CB0B20" w:rsidRPr="00E70441">
        <w:rPr>
          <w:rFonts w:asciiTheme="minorHAnsi" w:hAnsiTheme="minorHAnsi" w:cstheme="minorHAnsi"/>
          <w:sz w:val="24"/>
          <w:szCs w:val="24"/>
        </w:rPr>
        <w:t xml:space="preserve">recommendations </w:t>
      </w:r>
      <w:r w:rsidRPr="00E70441">
        <w:rPr>
          <w:rFonts w:asciiTheme="minorHAnsi" w:hAnsiTheme="minorHAnsi" w:cstheme="minorHAnsi"/>
          <w:sz w:val="24"/>
          <w:szCs w:val="24"/>
        </w:rPr>
        <w:t xml:space="preserve">58, 59, </w:t>
      </w:r>
      <w:r w:rsidR="00BD155E">
        <w:rPr>
          <w:rFonts w:asciiTheme="minorHAnsi" w:hAnsiTheme="minorHAnsi" w:cstheme="minorHAnsi"/>
          <w:sz w:val="24"/>
          <w:szCs w:val="24"/>
        </w:rPr>
        <w:t xml:space="preserve">61, </w:t>
      </w:r>
      <w:r w:rsidRPr="00E70441">
        <w:rPr>
          <w:rFonts w:asciiTheme="minorHAnsi" w:hAnsiTheme="minorHAnsi" w:cstheme="minorHAnsi"/>
          <w:sz w:val="24"/>
          <w:szCs w:val="24"/>
        </w:rPr>
        <w:t>62).</w:t>
      </w:r>
    </w:p>
    <w:p w14:paraId="32C09B70" w14:textId="26478627" w:rsidR="003A664E" w:rsidRPr="00E70441" w:rsidRDefault="003A664E" w:rsidP="003A664E">
      <w:pPr>
        <w:pStyle w:val="BodyText"/>
        <w:rPr>
          <w:rFonts w:asciiTheme="minorHAnsi" w:hAnsiTheme="minorHAnsi" w:cstheme="minorHAnsi"/>
          <w:sz w:val="24"/>
          <w:szCs w:val="24"/>
        </w:rPr>
      </w:pPr>
      <w:r w:rsidRPr="00E70441">
        <w:rPr>
          <w:rFonts w:asciiTheme="minorHAnsi" w:hAnsiTheme="minorHAnsi" w:cstheme="minorHAnsi"/>
          <w:sz w:val="24"/>
          <w:szCs w:val="24"/>
        </w:rPr>
        <w:t>The Government is committed to Budget sustainability, including cost recovery mechanisms to fund government services where appropriate. The Government will consider the potential benefits and impacts of further extending any cost recovery to the regulation of the Act in accordance with the Australian Government Cost Recovery Policy, and any learnings from adjacent efforts in regulating and recovering costs from digital platforms in other portfolios (</w:t>
      </w:r>
      <w:r w:rsidR="00CB0B20" w:rsidRPr="00E70441">
        <w:rPr>
          <w:rFonts w:asciiTheme="minorHAnsi" w:hAnsiTheme="minorHAnsi" w:cstheme="minorHAnsi"/>
          <w:sz w:val="24"/>
          <w:szCs w:val="24"/>
        </w:rPr>
        <w:t xml:space="preserve">recommendation </w:t>
      </w:r>
      <w:r w:rsidR="00BD155E">
        <w:rPr>
          <w:rFonts w:asciiTheme="minorHAnsi" w:hAnsiTheme="minorHAnsi" w:cstheme="minorHAnsi"/>
          <w:sz w:val="24"/>
          <w:szCs w:val="24"/>
        </w:rPr>
        <w:t xml:space="preserve">63, </w:t>
      </w:r>
      <w:r w:rsidRPr="00E70441">
        <w:rPr>
          <w:rFonts w:asciiTheme="minorHAnsi" w:hAnsiTheme="minorHAnsi" w:cstheme="minorHAnsi"/>
          <w:sz w:val="24"/>
          <w:szCs w:val="24"/>
        </w:rPr>
        <w:t>64).</w:t>
      </w:r>
    </w:p>
    <w:p w14:paraId="710B439B" w14:textId="77777777" w:rsidR="000A2346" w:rsidRPr="00E70441" w:rsidRDefault="000A2346" w:rsidP="00162088">
      <w:pPr>
        <w:pStyle w:val="BodyText"/>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6516"/>
        <w:gridCol w:w="2500"/>
      </w:tblGrid>
      <w:tr w:rsidR="00E03545" w:rsidRPr="00E70441" w14:paraId="72FEFA21" w14:textId="77777777" w:rsidTr="00EB54CD">
        <w:tc>
          <w:tcPr>
            <w:tcW w:w="6516" w:type="dxa"/>
          </w:tcPr>
          <w:p w14:paraId="0CE3A01A" w14:textId="77777777" w:rsidR="00E03545" w:rsidRPr="00E70441" w:rsidRDefault="00E03545" w:rsidP="00DB56B4">
            <w:pPr>
              <w:pStyle w:val="BodyText"/>
              <w:rPr>
                <w:rFonts w:asciiTheme="minorHAnsi" w:hAnsiTheme="minorHAnsi" w:cstheme="minorHAnsi"/>
                <w:b/>
                <w:bCs/>
                <w:sz w:val="24"/>
                <w:szCs w:val="24"/>
              </w:rPr>
            </w:pPr>
            <w:r w:rsidRPr="00E70441">
              <w:rPr>
                <w:rFonts w:asciiTheme="minorHAnsi" w:hAnsiTheme="minorHAnsi" w:cstheme="minorHAnsi"/>
                <w:b/>
                <w:bCs/>
                <w:sz w:val="24"/>
                <w:szCs w:val="24"/>
              </w:rPr>
              <w:t>Review Recommendation</w:t>
            </w:r>
          </w:p>
        </w:tc>
        <w:tc>
          <w:tcPr>
            <w:tcW w:w="2500" w:type="dxa"/>
          </w:tcPr>
          <w:p w14:paraId="1381BB66" w14:textId="77777777" w:rsidR="00E03545" w:rsidRPr="00E70441" w:rsidRDefault="00E03545" w:rsidP="00DB56B4">
            <w:pPr>
              <w:pStyle w:val="BodyText"/>
              <w:rPr>
                <w:rFonts w:asciiTheme="minorHAnsi" w:hAnsiTheme="minorHAnsi" w:cstheme="minorHAnsi"/>
                <w:b/>
                <w:bCs/>
                <w:sz w:val="24"/>
                <w:szCs w:val="24"/>
              </w:rPr>
            </w:pPr>
            <w:r w:rsidRPr="00E70441">
              <w:rPr>
                <w:rFonts w:asciiTheme="minorHAnsi" w:hAnsiTheme="minorHAnsi" w:cstheme="minorHAnsi"/>
                <w:b/>
                <w:bCs/>
                <w:sz w:val="24"/>
                <w:szCs w:val="24"/>
              </w:rPr>
              <w:t>Government Response</w:t>
            </w:r>
          </w:p>
        </w:tc>
      </w:tr>
      <w:tr w:rsidR="007D724C" w:rsidRPr="00E70441" w14:paraId="37BAA895" w14:textId="77777777" w:rsidTr="00EB54CD">
        <w:tc>
          <w:tcPr>
            <w:tcW w:w="6516" w:type="dxa"/>
          </w:tcPr>
          <w:p w14:paraId="1DA0EA90" w14:textId="2D5601F3" w:rsidR="007D724C" w:rsidRPr="00E70441" w:rsidRDefault="007D724C" w:rsidP="007D724C">
            <w:pPr>
              <w:pStyle w:val="BodyText"/>
              <w:rPr>
                <w:rFonts w:asciiTheme="minorHAnsi" w:hAnsiTheme="minorHAnsi" w:cstheme="minorHAnsi"/>
                <w:b/>
                <w:bCs/>
                <w:sz w:val="24"/>
                <w:szCs w:val="24"/>
              </w:rPr>
            </w:pPr>
            <w:r w:rsidRPr="00E70441">
              <w:rPr>
                <w:rFonts w:asciiTheme="minorHAnsi" w:hAnsiTheme="minorHAnsi" w:cstheme="minorHAnsi"/>
                <w:sz w:val="24"/>
                <w:szCs w:val="24"/>
              </w:rPr>
              <w:t>58: To support collective decision making, the regulator should move to a Commission model of governance and be known as the ‘Online Safety Commission’.</w:t>
            </w:r>
          </w:p>
        </w:tc>
        <w:tc>
          <w:tcPr>
            <w:tcW w:w="2500" w:type="dxa"/>
          </w:tcPr>
          <w:p w14:paraId="4153679C" w14:textId="57959115" w:rsidR="007D724C" w:rsidRPr="00E70441" w:rsidRDefault="007D724C" w:rsidP="007D724C">
            <w:pPr>
              <w:pStyle w:val="BodyText"/>
              <w:rPr>
                <w:rFonts w:asciiTheme="minorHAnsi" w:hAnsiTheme="minorHAnsi" w:cstheme="minorHAnsi"/>
                <w:b/>
                <w:bCs/>
                <w:sz w:val="24"/>
                <w:szCs w:val="24"/>
              </w:rPr>
            </w:pPr>
            <w:r w:rsidRPr="00E70441">
              <w:rPr>
                <w:rFonts w:asciiTheme="minorHAnsi" w:hAnsiTheme="minorHAnsi" w:cstheme="minorHAnsi"/>
                <w:sz w:val="24"/>
                <w:szCs w:val="24"/>
              </w:rPr>
              <w:t>Support in principle</w:t>
            </w:r>
          </w:p>
        </w:tc>
      </w:tr>
      <w:tr w:rsidR="007D724C" w:rsidRPr="00E70441" w14:paraId="1C0D42B0" w14:textId="77777777" w:rsidTr="00EB54CD">
        <w:tc>
          <w:tcPr>
            <w:tcW w:w="6516" w:type="dxa"/>
          </w:tcPr>
          <w:p w14:paraId="4798E25C" w14:textId="1FEBA940" w:rsidR="007D724C" w:rsidRPr="00E70441" w:rsidRDefault="007D724C" w:rsidP="007D724C">
            <w:pPr>
              <w:pStyle w:val="BodyText"/>
              <w:rPr>
                <w:rFonts w:asciiTheme="minorHAnsi" w:hAnsiTheme="minorHAnsi" w:cstheme="minorHAnsi"/>
                <w:b/>
                <w:bCs/>
                <w:sz w:val="24"/>
                <w:szCs w:val="24"/>
              </w:rPr>
            </w:pPr>
            <w:r w:rsidRPr="00E70441">
              <w:rPr>
                <w:rFonts w:asciiTheme="minorHAnsi" w:hAnsiTheme="minorHAnsi" w:cstheme="minorHAnsi"/>
                <w:sz w:val="24"/>
                <w:szCs w:val="24"/>
              </w:rPr>
              <w:t xml:space="preserve">59: That the Commission should be comprised of a Chair, Deputy Chair and a Commissioner, with flexibility for the </w:t>
            </w:r>
            <w:r w:rsidRPr="00E70441">
              <w:rPr>
                <w:rFonts w:asciiTheme="minorHAnsi" w:hAnsiTheme="minorHAnsi" w:cstheme="minorHAnsi"/>
                <w:sz w:val="24"/>
                <w:szCs w:val="24"/>
              </w:rPr>
              <w:lastRenderedPageBreak/>
              <w:t>Commission to grow up to nine members as the functions and powers of the regulator increase.</w:t>
            </w:r>
          </w:p>
        </w:tc>
        <w:tc>
          <w:tcPr>
            <w:tcW w:w="2500" w:type="dxa"/>
          </w:tcPr>
          <w:p w14:paraId="4F30BE9C" w14:textId="2EC8AED4" w:rsidR="007D724C" w:rsidRPr="00E70441" w:rsidRDefault="007D724C" w:rsidP="007D724C">
            <w:pPr>
              <w:pStyle w:val="BodyText"/>
              <w:rPr>
                <w:rFonts w:asciiTheme="minorHAnsi" w:hAnsiTheme="minorHAnsi" w:cstheme="minorHAnsi"/>
                <w:b/>
                <w:bCs/>
                <w:sz w:val="24"/>
                <w:szCs w:val="24"/>
              </w:rPr>
            </w:pPr>
            <w:r w:rsidRPr="00E70441">
              <w:rPr>
                <w:rFonts w:asciiTheme="minorHAnsi" w:hAnsiTheme="minorHAnsi" w:cstheme="minorHAnsi"/>
                <w:sz w:val="24"/>
                <w:szCs w:val="24"/>
              </w:rPr>
              <w:lastRenderedPageBreak/>
              <w:t>Support in principle</w:t>
            </w:r>
          </w:p>
        </w:tc>
      </w:tr>
      <w:tr w:rsidR="007D724C" w:rsidRPr="00E70441" w14:paraId="72685F6A" w14:textId="77777777" w:rsidTr="00EB54CD">
        <w:tc>
          <w:tcPr>
            <w:tcW w:w="6516" w:type="dxa"/>
          </w:tcPr>
          <w:p w14:paraId="4894F2F9" w14:textId="63E7C5CB" w:rsidR="007D724C" w:rsidRPr="00E70441" w:rsidRDefault="007D724C" w:rsidP="007D724C">
            <w:pPr>
              <w:pStyle w:val="BodyText"/>
              <w:rPr>
                <w:rFonts w:asciiTheme="minorHAnsi" w:hAnsiTheme="minorHAnsi" w:cstheme="minorHAnsi"/>
                <w:b/>
                <w:bCs/>
                <w:sz w:val="24"/>
                <w:szCs w:val="24"/>
              </w:rPr>
            </w:pPr>
            <w:r w:rsidRPr="00E70441">
              <w:rPr>
                <w:rFonts w:asciiTheme="minorHAnsi" w:hAnsiTheme="minorHAnsi" w:cstheme="minorHAnsi"/>
                <w:sz w:val="24"/>
                <w:szCs w:val="24"/>
              </w:rPr>
              <w:t>60: That in moving to a Commission, the Act should require Commission members to have an appropriate mix of skills to support informed and robust decision-making.</w:t>
            </w:r>
          </w:p>
        </w:tc>
        <w:tc>
          <w:tcPr>
            <w:tcW w:w="2500" w:type="dxa"/>
          </w:tcPr>
          <w:p w14:paraId="153A2349" w14:textId="4D9BE139" w:rsidR="007D724C" w:rsidRPr="00E70441" w:rsidRDefault="007D724C" w:rsidP="007D724C">
            <w:pPr>
              <w:pStyle w:val="BodyText"/>
              <w:rPr>
                <w:rFonts w:asciiTheme="minorHAnsi" w:hAnsiTheme="minorHAnsi" w:cstheme="minorHAnsi"/>
                <w:b/>
                <w:bCs/>
                <w:sz w:val="24"/>
                <w:szCs w:val="24"/>
              </w:rPr>
            </w:pPr>
            <w:r w:rsidRPr="00E70441">
              <w:rPr>
                <w:rFonts w:asciiTheme="minorHAnsi" w:hAnsiTheme="minorHAnsi" w:cstheme="minorHAnsi"/>
                <w:sz w:val="24"/>
                <w:szCs w:val="24"/>
              </w:rPr>
              <w:t>Support in principle</w:t>
            </w:r>
          </w:p>
        </w:tc>
      </w:tr>
      <w:tr w:rsidR="007D724C" w:rsidRPr="00E70441" w14:paraId="0C920B2C" w14:textId="77777777" w:rsidTr="00EB54CD">
        <w:tc>
          <w:tcPr>
            <w:tcW w:w="6516" w:type="dxa"/>
          </w:tcPr>
          <w:p w14:paraId="08E1D7CD" w14:textId="3D80CE7B" w:rsidR="007D724C" w:rsidRPr="00E70441" w:rsidRDefault="007D724C" w:rsidP="007D724C">
            <w:pPr>
              <w:pStyle w:val="BodyText"/>
              <w:rPr>
                <w:rFonts w:asciiTheme="minorHAnsi" w:hAnsiTheme="minorHAnsi" w:cstheme="minorHAnsi"/>
                <w:b/>
                <w:bCs/>
                <w:sz w:val="24"/>
                <w:szCs w:val="24"/>
              </w:rPr>
            </w:pPr>
            <w:r w:rsidRPr="00E70441">
              <w:rPr>
                <w:rFonts w:asciiTheme="minorHAnsi" w:hAnsiTheme="minorHAnsi" w:cstheme="minorHAnsi"/>
                <w:sz w:val="24"/>
                <w:szCs w:val="24"/>
              </w:rPr>
              <w:t>61: That a newly formed Commission has strong internal governance processes, is transparent in how it does its work, and ensures that it reports meaningfully on its performance</w:t>
            </w:r>
            <w:r w:rsidR="00E70441">
              <w:rPr>
                <w:rFonts w:asciiTheme="minorHAnsi" w:hAnsiTheme="minorHAnsi" w:cstheme="minorHAnsi"/>
                <w:sz w:val="24"/>
                <w:szCs w:val="24"/>
              </w:rPr>
              <w:t>.</w:t>
            </w:r>
          </w:p>
        </w:tc>
        <w:tc>
          <w:tcPr>
            <w:tcW w:w="2500" w:type="dxa"/>
          </w:tcPr>
          <w:p w14:paraId="5B2098C8" w14:textId="05958320" w:rsidR="007D724C" w:rsidRPr="00E70441" w:rsidRDefault="007D724C" w:rsidP="007D724C">
            <w:pPr>
              <w:pStyle w:val="BodyText"/>
              <w:rPr>
                <w:rFonts w:asciiTheme="minorHAnsi" w:hAnsiTheme="minorHAnsi" w:cstheme="minorHAnsi"/>
                <w:b/>
                <w:bCs/>
                <w:sz w:val="24"/>
                <w:szCs w:val="24"/>
              </w:rPr>
            </w:pPr>
            <w:r w:rsidRPr="00E70441">
              <w:rPr>
                <w:rFonts w:asciiTheme="minorHAnsi" w:hAnsiTheme="minorHAnsi" w:cstheme="minorHAnsi"/>
                <w:sz w:val="24"/>
                <w:szCs w:val="24"/>
              </w:rPr>
              <w:t>Support in principle</w:t>
            </w:r>
          </w:p>
        </w:tc>
      </w:tr>
      <w:tr w:rsidR="007D724C" w:rsidRPr="00E70441" w14:paraId="41BE418A" w14:textId="77777777" w:rsidTr="00EB54CD">
        <w:tc>
          <w:tcPr>
            <w:tcW w:w="6516" w:type="dxa"/>
          </w:tcPr>
          <w:p w14:paraId="18C6C364" w14:textId="41C4FF3E" w:rsidR="007D724C" w:rsidRPr="00E70441" w:rsidRDefault="007D724C" w:rsidP="007D724C">
            <w:pPr>
              <w:pStyle w:val="BodyText"/>
              <w:rPr>
                <w:rFonts w:asciiTheme="minorHAnsi" w:hAnsiTheme="minorHAnsi" w:cstheme="minorHAnsi"/>
                <w:b/>
                <w:bCs/>
                <w:sz w:val="24"/>
                <w:szCs w:val="24"/>
              </w:rPr>
            </w:pPr>
            <w:r w:rsidRPr="00E70441">
              <w:rPr>
                <w:rFonts w:asciiTheme="minorHAnsi" w:hAnsiTheme="minorHAnsi" w:cstheme="minorHAnsi"/>
                <w:sz w:val="24"/>
                <w:szCs w:val="24"/>
              </w:rPr>
              <w:t>62: That following consideration of the regulator’s functions and responsibilities under a new regulatory framework, the regulator should transition to a standalone, independent regulator to support its growing functions and responsibilities, and to future-proof the regulator</w:t>
            </w:r>
            <w:r w:rsidR="00E70441">
              <w:rPr>
                <w:rFonts w:asciiTheme="minorHAnsi" w:hAnsiTheme="minorHAnsi" w:cstheme="minorHAnsi"/>
                <w:sz w:val="24"/>
                <w:szCs w:val="24"/>
              </w:rPr>
              <w:t>.</w:t>
            </w:r>
          </w:p>
        </w:tc>
        <w:tc>
          <w:tcPr>
            <w:tcW w:w="2500" w:type="dxa"/>
          </w:tcPr>
          <w:p w14:paraId="1C429797" w14:textId="0ADF2F6E" w:rsidR="007D724C" w:rsidRPr="00E70441" w:rsidRDefault="007D724C" w:rsidP="007D724C">
            <w:pPr>
              <w:pStyle w:val="BodyText"/>
              <w:rPr>
                <w:rFonts w:asciiTheme="minorHAnsi" w:hAnsiTheme="minorHAnsi" w:cstheme="minorHAnsi"/>
                <w:b/>
                <w:bCs/>
                <w:sz w:val="24"/>
                <w:szCs w:val="24"/>
              </w:rPr>
            </w:pPr>
            <w:r w:rsidRPr="00E70441">
              <w:rPr>
                <w:rFonts w:asciiTheme="minorHAnsi" w:hAnsiTheme="minorHAnsi" w:cstheme="minorHAnsi"/>
                <w:sz w:val="24"/>
                <w:szCs w:val="24"/>
              </w:rPr>
              <w:t>Note</w:t>
            </w:r>
          </w:p>
        </w:tc>
      </w:tr>
      <w:tr w:rsidR="007D724C" w:rsidRPr="00E70441" w14:paraId="6CCF94C1" w14:textId="77777777" w:rsidTr="00EB54CD">
        <w:tc>
          <w:tcPr>
            <w:tcW w:w="6516" w:type="dxa"/>
          </w:tcPr>
          <w:p w14:paraId="0DE27EC7" w14:textId="5078B502" w:rsidR="007D724C" w:rsidRPr="00E70441" w:rsidRDefault="007D724C" w:rsidP="007D724C">
            <w:pPr>
              <w:pStyle w:val="BodyText"/>
              <w:rPr>
                <w:rFonts w:asciiTheme="minorHAnsi" w:hAnsiTheme="minorHAnsi" w:cstheme="minorHAnsi"/>
                <w:b/>
                <w:bCs/>
                <w:sz w:val="24"/>
                <w:szCs w:val="24"/>
              </w:rPr>
            </w:pPr>
            <w:r w:rsidRPr="00E70441">
              <w:rPr>
                <w:rFonts w:asciiTheme="minorHAnsi" w:hAnsiTheme="minorHAnsi" w:cstheme="minorHAnsi"/>
                <w:sz w:val="24"/>
                <w:szCs w:val="24"/>
              </w:rPr>
              <w:t>63: That the regulator should be appropriately resourced to implement the right regulatory infrastructure and carry out its functions. This includes having an ongoing dedicated and appropriately resourced legal team, appropriate corporate management and the information technology it needs to do its job well. Consideration should be given to how other regulators operate to determine what may be appropriate in the regulator’s context</w:t>
            </w:r>
            <w:r w:rsidR="00E70441">
              <w:rPr>
                <w:rFonts w:asciiTheme="minorHAnsi" w:hAnsiTheme="minorHAnsi" w:cstheme="minorHAnsi"/>
                <w:sz w:val="24"/>
                <w:szCs w:val="24"/>
              </w:rPr>
              <w:t>.</w:t>
            </w:r>
          </w:p>
        </w:tc>
        <w:tc>
          <w:tcPr>
            <w:tcW w:w="2500" w:type="dxa"/>
          </w:tcPr>
          <w:p w14:paraId="452663CD" w14:textId="2B21C308" w:rsidR="007D724C" w:rsidRPr="00E70441" w:rsidRDefault="007D724C" w:rsidP="007D724C">
            <w:pPr>
              <w:pStyle w:val="BodyText"/>
              <w:rPr>
                <w:rFonts w:asciiTheme="minorHAnsi" w:hAnsiTheme="minorHAnsi" w:cstheme="minorHAnsi"/>
                <w:b/>
                <w:bCs/>
                <w:sz w:val="24"/>
                <w:szCs w:val="24"/>
              </w:rPr>
            </w:pPr>
            <w:r w:rsidRPr="00E70441">
              <w:rPr>
                <w:rFonts w:asciiTheme="minorHAnsi" w:hAnsiTheme="minorHAnsi" w:cstheme="minorHAnsi"/>
                <w:sz w:val="24"/>
                <w:szCs w:val="24"/>
              </w:rPr>
              <w:t>Support</w:t>
            </w:r>
          </w:p>
        </w:tc>
      </w:tr>
      <w:tr w:rsidR="007D724C" w:rsidRPr="00E70441" w14:paraId="5EE37F06" w14:textId="77777777" w:rsidTr="00EB54CD">
        <w:tc>
          <w:tcPr>
            <w:tcW w:w="6516" w:type="dxa"/>
          </w:tcPr>
          <w:p w14:paraId="416D10D2" w14:textId="2BC81018" w:rsidR="007D724C" w:rsidRPr="00E70441" w:rsidRDefault="007D724C" w:rsidP="00AF2C02">
            <w:pPr>
              <w:rPr>
                <w:rFonts w:asciiTheme="minorHAnsi" w:hAnsiTheme="minorHAnsi" w:cstheme="minorHAnsi"/>
                <w:b/>
                <w:bCs/>
                <w:sz w:val="24"/>
                <w:szCs w:val="24"/>
              </w:rPr>
            </w:pPr>
            <w:r w:rsidRPr="00E70441">
              <w:rPr>
                <w:rFonts w:asciiTheme="minorHAnsi" w:hAnsiTheme="minorHAnsi" w:cstheme="minorHAnsi"/>
                <w:sz w:val="24"/>
                <w:szCs w:val="24"/>
              </w:rPr>
              <w:t>64: A cost recovery mechanism should be developed to fund the cost of regulating industry, with details to be settled by government in consultation with industry.</w:t>
            </w:r>
          </w:p>
        </w:tc>
        <w:tc>
          <w:tcPr>
            <w:tcW w:w="2500" w:type="dxa"/>
          </w:tcPr>
          <w:p w14:paraId="102B0ECD" w14:textId="08915796" w:rsidR="007D724C" w:rsidRPr="00E70441" w:rsidRDefault="007D724C" w:rsidP="007D724C">
            <w:pPr>
              <w:pStyle w:val="BodyText"/>
              <w:rPr>
                <w:rFonts w:asciiTheme="minorHAnsi" w:hAnsiTheme="minorHAnsi" w:cstheme="minorHAnsi"/>
                <w:b/>
                <w:bCs/>
                <w:sz w:val="24"/>
                <w:szCs w:val="24"/>
              </w:rPr>
            </w:pPr>
            <w:r w:rsidRPr="00E70441">
              <w:rPr>
                <w:rFonts w:asciiTheme="minorHAnsi" w:hAnsiTheme="minorHAnsi" w:cstheme="minorHAnsi"/>
                <w:sz w:val="24"/>
                <w:szCs w:val="24"/>
              </w:rPr>
              <w:t>Note</w:t>
            </w:r>
          </w:p>
        </w:tc>
      </w:tr>
    </w:tbl>
    <w:p w14:paraId="238267B3" w14:textId="77777777" w:rsidR="003A664E" w:rsidRPr="00E70441" w:rsidRDefault="003A664E" w:rsidP="00EA4ED8">
      <w:pPr>
        <w:pStyle w:val="Heading1"/>
        <w:numPr>
          <w:ilvl w:val="0"/>
          <w:numId w:val="0"/>
        </w:numPr>
        <w:ind w:left="360" w:hanging="360"/>
        <w:rPr>
          <w:rFonts w:asciiTheme="minorHAnsi" w:hAnsiTheme="minorHAnsi" w:cstheme="minorHAnsi"/>
          <w:sz w:val="24"/>
          <w:szCs w:val="24"/>
        </w:rPr>
      </w:pPr>
      <w:r w:rsidRPr="00E70441">
        <w:rPr>
          <w:rFonts w:asciiTheme="minorHAnsi" w:hAnsiTheme="minorHAnsi" w:cstheme="minorHAnsi"/>
          <w:sz w:val="24"/>
          <w:szCs w:val="24"/>
        </w:rPr>
        <w:t>The Road Ahead</w:t>
      </w:r>
    </w:p>
    <w:p w14:paraId="58C4BCE7" w14:textId="0DF5D821" w:rsidR="003A664E" w:rsidRPr="00E70441" w:rsidRDefault="003A664E" w:rsidP="003A664E">
      <w:pPr>
        <w:pStyle w:val="BodyText"/>
        <w:rPr>
          <w:rFonts w:asciiTheme="minorHAnsi" w:hAnsiTheme="minorHAnsi" w:cstheme="minorHAnsi"/>
          <w:sz w:val="24"/>
          <w:szCs w:val="24"/>
        </w:rPr>
      </w:pPr>
      <w:r w:rsidRPr="00E70441">
        <w:rPr>
          <w:rFonts w:asciiTheme="minorHAnsi" w:hAnsiTheme="minorHAnsi" w:cstheme="minorHAnsi"/>
          <w:sz w:val="24"/>
          <w:szCs w:val="24"/>
        </w:rPr>
        <w:t xml:space="preserve">The Government recognises the need to ensure reforms to the Act meet their intended objectives and for this to be assessed through an independent process. Provisions will be included for </w:t>
      </w:r>
      <w:r w:rsidR="00E32EC0">
        <w:rPr>
          <w:rFonts w:asciiTheme="minorHAnsi" w:hAnsiTheme="minorHAnsi" w:cstheme="minorHAnsi"/>
          <w:sz w:val="24"/>
          <w:szCs w:val="24"/>
        </w:rPr>
        <w:t xml:space="preserve">a </w:t>
      </w:r>
      <w:r w:rsidRPr="00E70441">
        <w:rPr>
          <w:rFonts w:asciiTheme="minorHAnsi" w:hAnsiTheme="minorHAnsi" w:cstheme="minorHAnsi"/>
          <w:sz w:val="24"/>
          <w:szCs w:val="24"/>
        </w:rPr>
        <w:t xml:space="preserve">further statutory review of the Act within three years of commencement </w:t>
      </w:r>
      <w:r w:rsidR="00E32EC0">
        <w:rPr>
          <w:rFonts w:asciiTheme="minorHAnsi" w:hAnsiTheme="minorHAnsi" w:cstheme="minorHAnsi"/>
          <w:sz w:val="24"/>
          <w:szCs w:val="24"/>
        </w:rPr>
        <w:t xml:space="preserve">of the new legislation </w:t>
      </w:r>
      <w:r w:rsidRPr="00E70441">
        <w:rPr>
          <w:rFonts w:asciiTheme="minorHAnsi" w:hAnsiTheme="minorHAnsi" w:cstheme="minorHAnsi"/>
          <w:sz w:val="24"/>
          <w:szCs w:val="24"/>
        </w:rPr>
        <w:t>(</w:t>
      </w:r>
      <w:r w:rsidR="00113CFC" w:rsidRPr="00E70441">
        <w:rPr>
          <w:rFonts w:asciiTheme="minorHAnsi" w:hAnsiTheme="minorHAnsi" w:cstheme="minorHAnsi"/>
          <w:sz w:val="24"/>
          <w:szCs w:val="24"/>
        </w:rPr>
        <w:t xml:space="preserve">recommendation </w:t>
      </w:r>
      <w:r w:rsidRPr="00E70441">
        <w:rPr>
          <w:rFonts w:asciiTheme="minorHAnsi" w:hAnsiTheme="minorHAnsi" w:cstheme="minorHAnsi"/>
          <w:sz w:val="24"/>
          <w:szCs w:val="24"/>
        </w:rPr>
        <w:t>66).</w:t>
      </w:r>
    </w:p>
    <w:p w14:paraId="0E8FCB07" w14:textId="1FF00CC2" w:rsidR="003A664E" w:rsidRPr="00E70441" w:rsidRDefault="003A664E" w:rsidP="003A664E">
      <w:pPr>
        <w:pStyle w:val="BodyText"/>
        <w:rPr>
          <w:rFonts w:asciiTheme="minorHAnsi" w:hAnsiTheme="minorHAnsi" w:cstheme="minorHAnsi"/>
          <w:sz w:val="24"/>
          <w:szCs w:val="24"/>
        </w:rPr>
      </w:pPr>
      <w:r w:rsidRPr="00E70441">
        <w:rPr>
          <w:rFonts w:asciiTheme="minorHAnsi" w:hAnsiTheme="minorHAnsi" w:cstheme="minorHAnsi"/>
          <w:sz w:val="24"/>
          <w:szCs w:val="24"/>
        </w:rPr>
        <w:t>Key reforms arising from the review</w:t>
      </w:r>
      <w:r w:rsidR="00E32EC0">
        <w:rPr>
          <w:rFonts w:asciiTheme="minorHAnsi" w:hAnsiTheme="minorHAnsi" w:cstheme="minorHAnsi"/>
          <w:sz w:val="24"/>
          <w:szCs w:val="24"/>
        </w:rPr>
        <w:t>,</w:t>
      </w:r>
      <w:r w:rsidRPr="00E70441">
        <w:rPr>
          <w:rFonts w:asciiTheme="minorHAnsi" w:hAnsiTheme="minorHAnsi" w:cstheme="minorHAnsi"/>
          <w:sz w:val="24"/>
          <w:szCs w:val="24"/>
        </w:rPr>
        <w:t xml:space="preserve"> such as the duty of care and associated reforms</w:t>
      </w:r>
      <w:r w:rsidR="00E32EC0">
        <w:rPr>
          <w:rFonts w:asciiTheme="minorHAnsi" w:hAnsiTheme="minorHAnsi" w:cstheme="minorHAnsi"/>
          <w:sz w:val="24"/>
          <w:szCs w:val="24"/>
        </w:rPr>
        <w:t>,</w:t>
      </w:r>
      <w:r w:rsidRPr="00E70441">
        <w:rPr>
          <w:rFonts w:asciiTheme="minorHAnsi" w:hAnsiTheme="minorHAnsi" w:cstheme="minorHAnsi"/>
          <w:sz w:val="24"/>
          <w:szCs w:val="24"/>
        </w:rPr>
        <w:t xml:space="preserve"> will be prioritised for implementation. The Government will also prioritise consideration of appropriate governance arrangements and resourcing for the regulator (</w:t>
      </w:r>
      <w:r w:rsidR="00113CFC" w:rsidRPr="00E70441">
        <w:rPr>
          <w:rFonts w:asciiTheme="minorHAnsi" w:hAnsiTheme="minorHAnsi" w:cstheme="minorHAnsi"/>
          <w:sz w:val="24"/>
          <w:szCs w:val="24"/>
        </w:rPr>
        <w:t xml:space="preserve">recommendation </w:t>
      </w:r>
      <w:r w:rsidRPr="00E70441">
        <w:rPr>
          <w:rFonts w:asciiTheme="minorHAnsi" w:hAnsiTheme="minorHAnsi" w:cstheme="minorHAnsi"/>
          <w:sz w:val="24"/>
          <w:szCs w:val="24"/>
        </w:rPr>
        <w:t xml:space="preserve">65). </w:t>
      </w:r>
    </w:p>
    <w:p w14:paraId="3D6C8E9B" w14:textId="75CDBAAF" w:rsidR="003A664E" w:rsidRPr="00E70441" w:rsidRDefault="003A664E" w:rsidP="003A664E">
      <w:pPr>
        <w:pStyle w:val="BodyText"/>
        <w:rPr>
          <w:rFonts w:asciiTheme="minorHAnsi" w:hAnsiTheme="minorHAnsi" w:cstheme="minorHAnsi"/>
          <w:sz w:val="24"/>
          <w:szCs w:val="24"/>
        </w:rPr>
      </w:pPr>
      <w:r w:rsidRPr="00E70441">
        <w:rPr>
          <w:rFonts w:asciiTheme="minorHAnsi" w:hAnsiTheme="minorHAnsi" w:cstheme="minorHAnsi"/>
          <w:sz w:val="24"/>
          <w:szCs w:val="24"/>
        </w:rPr>
        <w:t>The Government notes the recommendation for future consideration of a centralised online harms regulator noting the formation in 2022 of the Digital Platform Regulators Forum</w:t>
      </w:r>
      <w:r w:rsidR="00243F3C">
        <w:rPr>
          <w:rFonts w:asciiTheme="minorHAnsi" w:hAnsiTheme="minorHAnsi" w:cstheme="minorHAnsi"/>
          <w:sz w:val="24"/>
          <w:szCs w:val="24"/>
        </w:rPr>
        <w:t xml:space="preserve"> </w:t>
      </w:r>
      <w:r w:rsidRPr="00E70441">
        <w:rPr>
          <w:rFonts w:asciiTheme="minorHAnsi" w:hAnsiTheme="minorHAnsi" w:cstheme="minorHAnsi"/>
          <w:sz w:val="24"/>
          <w:szCs w:val="24"/>
        </w:rPr>
        <w:t>(DP</w:t>
      </w:r>
      <w:r w:rsidR="00243F3C">
        <w:rPr>
          <w:rFonts w:asciiTheme="minorHAnsi" w:hAnsiTheme="minorHAnsi" w:cstheme="minorHAnsi"/>
          <w:sz w:val="24"/>
          <w:szCs w:val="24"/>
        </w:rPr>
        <w:t>-</w:t>
      </w:r>
      <w:r w:rsidRPr="00E70441">
        <w:rPr>
          <w:rFonts w:asciiTheme="minorHAnsi" w:hAnsiTheme="minorHAnsi" w:cstheme="minorHAnsi"/>
          <w:sz w:val="24"/>
          <w:szCs w:val="24"/>
        </w:rPr>
        <w:t>REG) to address the risks and harms faced by Australians in the online environment. DP-REG consists of the Australian Competition and Consumer Commission, the Australian Communications and Media Authority, the eSafety Commissioner and the Office of the Australian Information Commissioner (</w:t>
      </w:r>
      <w:r w:rsidR="00113CFC" w:rsidRPr="00E70441">
        <w:rPr>
          <w:rFonts w:asciiTheme="minorHAnsi" w:hAnsiTheme="minorHAnsi" w:cstheme="minorHAnsi"/>
          <w:sz w:val="24"/>
          <w:szCs w:val="24"/>
        </w:rPr>
        <w:t xml:space="preserve">recommendation </w:t>
      </w:r>
      <w:r w:rsidRPr="00E70441">
        <w:rPr>
          <w:rFonts w:asciiTheme="minorHAnsi" w:hAnsiTheme="minorHAnsi" w:cstheme="minorHAnsi"/>
          <w:sz w:val="24"/>
          <w:szCs w:val="24"/>
        </w:rPr>
        <w:t xml:space="preserve">67). </w:t>
      </w:r>
    </w:p>
    <w:p w14:paraId="08A79998" w14:textId="77777777" w:rsidR="003A664E" w:rsidRPr="00E70441" w:rsidRDefault="003A664E" w:rsidP="003A664E">
      <w:pPr>
        <w:pStyle w:val="BodyText"/>
        <w:rPr>
          <w:rFonts w:asciiTheme="minorHAnsi" w:hAnsiTheme="minorHAnsi" w:cstheme="minorHAnsi"/>
          <w:sz w:val="24"/>
          <w:szCs w:val="24"/>
        </w:rPr>
      </w:pPr>
      <w:r w:rsidRPr="00E70441">
        <w:rPr>
          <w:rFonts w:asciiTheme="minorHAnsi" w:hAnsiTheme="minorHAnsi" w:cstheme="minorHAnsi"/>
          <w:sz w:val="24"/>
          <w:szCs w:val="24"/>
        </w:rPr>
        <w:lastRenderedPageBreak/>
        <w:t>The Forum is an information-sharing and collaboration initiative between Australia’s independent regulators with a shared goal of ensuring Australia’s digital economy is safe, trusted, fair, innovative and competitive.</w:t>
      </w:r>
    </w:p>
    <w:p w14:paraId="226BC79E" w14:textId="77777777" w:rsidR="00597341" w:rsidRPr="00E70441" w:rsidRDefault="00597341" w:rsidP="00162088">
      <w:pPr>
        <w:pStyle w:val="BodyText"/>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6516"/>
        <w:gridCol w:w="2500"/>
      </w:tblGrid>
      <w:tr w:rsidR="007D724C" w:rsidRPr="00E70441" w14:paraId="30200161" w14:textId="77777777" w:rsidTr="00EB54CD">
        <w:tc>
          <w:tcPr>
            <w:tcW w:w="6516" w:type="dxa"/>
          </w:tcPr>
          <w:p w14:paraId="288E7CC0" w14:textId="77777777" w:rsidR="007D724C" w:rsidRPr="00E70441" w:rsidRDefault="007D724C" w:rsidP="00DB56B4">
            <w:pPr>
              <w:pStyle w:val="BodyText"/>
              <w:rPr>
                <w:rFonts w:asciiTheme="minorHAnsi" w:hAnsiTheme="minorHAnsi" w:cstheme="minorHAnsi"/>
                <w:b/>
                <w:bCs/>
                <w:sz w:val="24"/>
                <w:szCs w:val="24"/>
              </w:rPr>
            </w:pPr>
            <w:r w:rsidRPr="00E70441">
              <w:rPr>
                <w:rFonts w:asciiTheme="minorHAnsi" w:hAnsiTheme="minorHAnsi" w:cstheme="minorHAnsi"/>
                <w:b/>
                <w:bCs/>
                <w:sz w:val="24"/>
                <w:szCs w:val="24"/>
              </w:rPr>
              <w:t>Review Recommendation</w:t>
            </w:r>
          </w:p>
        </w:tc>
        <w:tc>
          <w:tcPr>
            <w:tcW w:w="2500" w:type="dxa"/>
          </w:tcPr>
          <w:p w14:paraId="7D548FDD" w14:textId="77777777" w:rsidR="007D724C" w:rsidRPr="00E70441" w:rsidRDefault="007D724C" w:rsidP="00DB56B4">
            <w:pPr>
              <w:pStyle w:val="BodyText"/>
              <w:rPr>
                <w:rFonts w:asciiTheme="minorHAnsi" w:hAnsiTheme="minorHAnsi" w:cstheme="minorHAnsi"/>
                <w:b/>
                <w:bCs/>
                <w:sz w:val="24"/>
                <w:szCs w:val="24"/>
              </w:rPr>
            </w:pPr>
            <w:r w:rsidRPr="00E70441">
              <w:rPr>
                <w:rFonts w:asciiTheme="minorHAnsi" w:hAnsiTheme="minorHAnsi" w:cstheme="minorHAnsi"/>
                <w:b/>
                <w:bCs/>
                <w:sz w:val="24"/>
                <w:szCs w:val="24"/>
              </w:rPr>
              <w:t>Government Response</w:t>
            </w:r>
          </w:p>
        </w:tc>
      </w:tr>
      <w:tr w:rsidR="007D724C" w:rsidRPr="00E70441" w14:paraId="475B59D2" w14:textId="77777777" w:rsidTr="00EB54CD">
        <w:tc>
          <w:tcPr>
            <w:tcW w:w="6516" w:type="dxa"/>
          </w:tcPr>
          <w:p w14:paraId="4C0E80B3" w14:textId="35F504C0" w:rsidR="007D724C" w:rsidRPr="00E70441" w:rsidRDefault="007D724C" w:rsidP="007D724C">
            <w:pPr>
              <w:pStyle w:val="BodyText"/>
              <w:rPr>
                <w:rFonts w:asciiTheme="minorHAnsi" w:hAnsiTheme="minorHAnsi" w:cstheme="minorHAnsi"/>
                <w:b/>
                <w:bCs/>
                <w:sz w:val="24"/>
                <w:szCs w:val="24"/>
              </w:rPr>
            </w:pPr>
            <w:r w:rsidRPr="00E70441">
              <w:rPr>
                <w:rFonts w:asciiTheme="minorHAnsi" w:hAnsiTheme="minorHAnsi" w:cstheme="minorHAnsi"/>
                <w:sz w:val="24"/>
                <w:szCs w:val="24"/>
              </w:rPr>
              <w:t xml:space="preserve">65: That if required, the Government should prioritise implementation of the key reforms arising from this review that will provide the most substantial and immediate online safety protections for Australians, including </w:t>
            </w:r>
            <w:proofErr w:type="gramStart"/>
            <w:r w:rsidRPr="00E70441">
              <w:rPr>
                <w:rFonts w:asciiTheme="minorHAnsi" w:hAnsiTheme="minorHAnsi" w:cstheme="minorHAnsi"/>
                <w:sz w:val="24"/>
                <w:szCs w:val="24"/>
              </w:rPr>
              <w:t>in particular the</w:t>
            </w:r>
            <w:proofErr w:type="gramEnd"/>
            <w:r w:rsidRPr="00E70441">
              <w:rPr>
                <w:rFonts w:asciiTheme="minorHAnsi" w:hAnsiTheme="minorHAnsi" w:cstheme="minorHAnsi"/>
                <w:sz w:val="24"/>
                <w:szCs w:val="24"/>
              </w:rPr>
              <w:t xml:space="preserve"> new duty of care and associated reforms. This should coincide with the regulator moving to a Commission model of governance and appropriate resourcing to support the implementation of priority reforms.</w:t>
            </w:r>
          </w:p>
        </w:tc>
        <w:tc>
          <w:tcPr>
            <w:tcW w:w="2500" w:type="dxa"/>
          </w:tcPr>
          <w:p w14:paraId="636C2885" w14:textId="13C40CEC" w:rsidR="007D724C" w:rsidRPr="00E70441" w:rsidRDefault="007D724C" w:rsidP="007D724C">
            <w:pPr>
              <w:pStyle w:val="BodyText"/>
              <w:rPr>
                <w:rFonts w:asciiTheme="minorHAnsi" w:hAnsiTheme="minorHAnsi" w:cstheme="minorHAnsi"/>
                <w:b/>
                <w:bCs/>
                <w:sz w:val="24"/>
                <w:szCs w:val="24"/>
              </w:rPr>
            </w:pPr>
            <w:r w:rsidRPr="00E70441">
              <w:rPr>
                <w:rFonts w:asciiTheme="minorHAnsi" w:hAnsiTheme="minorHAnsi" w:cstheme="minorHAnsi"/>
                <w:sz w:val="24"/>
                <w:szCs w:val="24"/>
              </w:rPr>
              <w:t>Note</w:t>
            </w:r>
          </w:p>
        </w:tc>
      </w:tr>
      <w:tr w:rsidR="007D724C" w:rsidRPr="00E70441" w14:paraId="53B1E047" w14:textId="77777777" w:rsidTr="00EB54CD">
        <w:tc>
          <w:tcPr>
            <w:tcW w:w="6516" w:type="dxa"/>
          </w:tcPr>
          <w:p w14:paraId="3BADDE1C" w14:textId="63308509" w:rsidR="007D724C" w:rsidRPr="00E70441" w:rsidRDefault="007D724C" w:rsidP="007D724C">
            <w:pPr>
              <w:pStyle w:val="BodyText"/>
              <w:rPr>
                <w:rFonts w:asciiTheme="minorHAnsi" w:hAnsiTheme="minorHAnsi" w:cstheme="minorHAnsi"/>
                <w:b/>
                <w:bCs/>
                <w:sz w:val="24"/>
                <w:szCs w:val="24"/>
              </w:rPr>
            </w:pPr>
            <w:r w:rsidRPr="00E70441">
              <w:rPr>
                <w:rFonts w:asciiTheme="minorHAnsi" w:hAnsiTheme="minorHAnsi" w:cstheme="minorHAnsi"/>
                <w:sz w:val="24"/>
                <w:szCs w:val="24"/>
              </w:rPr>
              <w:t>66: That the updated Act be subject to independent review within three years of the commencement of the key reforms to the Act, or by 2029, whichever is earliest.</w:t>
            </w:r>
          </w:p>
        </w:tc>
        <w:tc>
          <w:tcPr>
            <w:tcW w:w="2500" w:type="dxa"/>
          </w:tcPr>
          <w:p w14:paraId="182EBA68" w14:textId="576C992A" w:rsidR="007D724C" w:rsidRPr="00E70441" w:rsidRDefault="007D724C" w:rsidP="007D724C">
            <w:pPr>
              <w:pStyle w:val="BodyText"/>
              <w:rPr>
                <w:rFonts w:asciiTheme="minorHAnsi" w:hAnsiTheme="minorHAnsi" w:cstheme="minorHAnsi"/>
                <w:b/>
                <w:bCs/>
                <w:sz w:val="24"/>
                <w:szCs w:val="24"/>
              </w:rPr>
            </w:pPr>
            <w:r w:rsidRPr="00E70441">
              <w:rPr>
                <w:rFonts w:asciiTheme="minorHAnsi" w:hAnsiTheme="minorHAnsi" w:cstheme="minorHAnsi"/>
                <w:sz w:val="24"/>
                <w:szCs w:val="24"/>
              </w:rPr>
              <w:t>Support</w:t>
            </w:r>
          </w:p>
        </w:tc>
      </w:tr>
      <w:tr w:rsidR="007D724C" w:rsidRPr="00E70441" w14:paraId="242867D0" w14:textId="77777777" w:rsidTr="00EB54CD">
        <w:tc>
          <w:tcPr>
            <w:tcW w:w="6516" w:type="dxa"/>
          </w:tcPr>
          <w:p w14:paraId="23918258" w14:textId="7C3CB380" w:rsidR="007D724C" w:rsidRPr="00E70441" w:rsidRDefault="007D724C" w:rsidP="007D724C">
            <w:pPr>
              <w:pStyle w:val="BodyText"/>
              <w:rPr>
                <w:rFonts w:asciiTheme="minorHAnsi" w:hAnsiTheme="minorHAnsi" w:cstheme="minorHAnsi"/>
                <w:b/>
                <w:bCs/>
                <w:sz w:val="24"/>
                <w:szCs w:val="24"/>
              </w:rPr>
            </w:pPr>
            <w:r w:rsidRPr="00E70441">
              <w:rPr>
                <w:rFonts w:asciiTheme="minorHAnsi" w:hAnsiTheme="minorHAnsi" w:cstheme="minorHAnsi"/>
                <w:sz w:val="24"/>
                <w:szCs w:val="24"/>
              </w:rPr>
              <w:t>67: That the Government consider how its existing administrative arrangements relating to online harms are operating and whether there is a case for having a central online harms regulator. Given the level of change that needs to happen now to better protect Australians, this consideration may be best left to around the time of the next review.</w:t>
            </w:r>
          </w:p>
        </w:tc>
        <w:tc>
          <w:tcPr>
            <w:tcW w:w="2500" w:type="dxa"/>
          </w:tcPr>
          <w:p w14:paraId="2042223E" w14:textId="3FBF2E23" w:rsidR="007D724C" w:rsidRPr="00E70441" w:rsidRDefault="007D724C" w:rsidP="007D724C">
            <w:pPr>
              <w:pStyle w:val="BodyText"/>
              <w:rPr>
                <w:rFonts w:asciiTheme="minorHAnsi" w:hAnsiTheme="minorHAnsi" w:cstheme="minorHAnsi"/>
                <w:b/>
                <w:bCs/>
                <w:sz w:val="24"/>
                <w:szCs w:val="24"/>
              </w:rPr>
            </w:pPr>
            <w:r w:rsidRPr="00E70441">
              <w:rPr>
                <w:rFonts w:asciiTheme="minorHAnsi" w:hAnsiTheme="minorHAnsi" w:cstheme="minorHAnsi"/>
                <w:sz w:val="24"/>
                <w:szCs w:val="24"/>
              </w:rPr>
              <w:t>Note</w:t>
            </w:r>
          </w:p>
        </w:tc>
      </w:tr>
    </w:tbl>
    <w:p w14:paraId="4DBF74A4" w14:textId="77777777" w:rsidR="007D724C" w:rsidRPr="00E70441" w:rsidRDefault="007D724C" w:rsidP="00162088">
      <w:pPr>
        <w:pStyle w:val="BodyText"/>
        <w:rPr>
          <w:rFonts w:asciiTheme="minorHAnsi" w:hAnsiTheme="minorHAnsi" w:cstheme="minorHAnsi"/>
          <w:sz w:val="24"/>
          <w:szCs w:val="24"/>
        </w:rPr>
      </w:pPr>
    </w:p>
    <w:sectPr w:rsidR="007D724C" w:rsidRPr="00E70441" w:rsidSect="005D71FF">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360" w:footer="3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071B4" w14:textId="77777777" w:rsidR="00B73F3F" w:rsidRDefault="00B73F3F" w:rsidP="00C3421C">
      <w:pPr>
        <w:spacing w:after="0" w:line="240" w:lineRule="auto"/>
      </w:pPr>
      <w:r>
        <w:separator/>
      </w:r>
    </w:p>
  </w:endnote>
  <w:endnote w:type="continuationSeparator" w:id="0">
    <w:p w14:paraId="09E8D12F" w14:textId="77777777" w:rsidR="00B73F3F" w:rsidRDefault="00B73F3F" w:rsidP="00C3421C">
      <w:pPr>
        <w:spacing w:after="0" w:line="240" w:lineRule="auto"/>
      </w:pPr>
      <w:r>
        <w:continuationSeparator/>
      </w:r>
    </w:p>
  </w:endnote>
  <w:endnote w:type="continuationNotice" w:id="1">
    <w:p w14:paraId="7944AA43" w14:textId="77777777" w:rsidR="00B73F3F" w:rsidRDefault="00B73F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1295" w14:textId="5DF7B1F8" w:rsidR="00CE6CF1" w:rsidRDefault="00CA3E73">
    <w:pPr>
      <w:pStyle w:val="Footer"/>
    </w:pPr>
    <w:r>
      <w:rPr>
        <w:noProof/>
      </w:rPr>
      <mc:AlternateContent>
        <mc:Choice Requires="wps">
          <w:drawing>
            <wp:anchor distT="0" distB="0" distL="0" distR="0" simplePos="0" relativeHeight="251658752" behindDoc="0" locked="0" layoutInCell="1" allowOverlap="1" wp14:anchorId="02736ACA" wp14:editId="30B72108">
              <wp:simplePos x="635" y="635"/>
              <wp:positionH relativeFrom="page">
                <wp:align>center</wp:align>
              </wp:positionH>
              <wp:positionV relativeFrom="page">
                <wp:align>bottom</wp:align>
              </wp:positionV>
              <wp:extent cx="1513205" cy="404495"/>
              <wp:effectExtent l="0" t="0" r="10795" b="0"/>
              <wp:wrapNone/>
              <wp:docPr id="1487919005" name="Text Box 11"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3205" cy="404495"/>
                      </a:xfrm>
                      <a:prstGeom prst="rect">
                        <a:avLst/>
                      </a:prstGeom>
                      <a:noFill/>
                      <a:ln>
                        <a:noFill/>
                      </a:ln>
                    </wps:spPr>
                    <wps:txbx>
                      <w:txbxContent>
                        <w:p w14:paraId="0F553FD0" w14:textId="547DB539" w:rsidR="00CA3E73" w:rsidRPr="00CA3E73" w:rsidRDefault="00CA3E73" w:rsidP="00CA3E73">
                          <w:pPr>
                            <w:spacing w:after="0"/>
                            <w:rPr>
                              <w:rFonts w:ascii="Aptos" w:eastAsia="Aptos" w:hAnsi="Aptos" w:cs="Aptos"/>
                              <w:noProof/>
                              <w:color w:val="FF0000"/>
                              <w:sz w:val="24"/>
                              <w:szCs w:val="24"/>
                            </w:rPr>
                          </w:pPr>
                          <w:r w:rsidRPr="00CA3E73">
                            <w:rPr>
                              <w:rFonts w:ascii="Aptos" w:eastAsia="Aptos" w:hAnsi="Aptos" w:cs="Aptos"/>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736ACA" id="_x0000_t202" coordsize="21600,21600" o:spt="202" path="m,l,21600r21600,l21600,xe">
              <v:stroke joinstyle="miter"/>
              <v:path gradientshapeok="t" o:connecttype="rect"/>
            </v:shapetype>
            <v:shape id="Text Box 11" o:spid="_x0000_s1027" type="#_x0000_t202" alt="PROTECTED//CABINET" style="position:absolute;margin-left:0;margin-top:0;width:119.15pt;height:31.8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" filled="f" stroked="f">
              <v:textbox style="mso-fit-shape-to-text:t" inset="0,0,0,15pt">
                <w:txbxContent>
                  <w:p w14:paraId="0F553FD0" w14:textId="547DB539" w:rsidR="00CA3E73" w:rsidRPr="00CA3E73" w:rsidRDefault="00CA3E73" w:rsidP="00CA3E73">
                    <w:pPr>
                      <w:spacing w:after="0"/>
                      <w:rPr>
                        <w:rFonts w:ascii="Aptos" w:eastAsia="Aptos" w:hAnsi="Aptos" w:cs="Aptos"/>
                        <w:noProof/>
                        <w:color w:val="FF0000"/>
                        <w:sz w:val="24"/>
                        <w:szCs w:val="24"/>
                      </w:rPr>
                    </w:pPr>
                    <w:r w:rsidRPr="00CA3E73">
                      <w:rPr>
                        <w:rFonts w:ascii="Aptos" w:eastAsia="Aptos" w:hAnsi="Aptos" w:cs="Aptos"/>
                        <w:noProof/>
                        <w:color w:val="FF0000"/>
                        <w:sz w:val="24"/>
                        <w:szCs w:val="24"/>
                      </w:rPr>
                      <w:t>PROTECTED//CABINET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14B1" w14:textId="17F24D66" w:rsidR="00986BC3" w:rsidRDefault="00CA3E73">
    <w:pPr>
      <w:pStyle w:val="Footer"/>
      <w:jc w:val="right"/>
    </w:pPr>
    <w:r>
      <w:rPr>
        <w:noProof/>
      </w:rPr>
      <mc:AlternateContent>
        <mc:Choice Requires="wps">
          <w:drawing>
            <wp:anchor distT="0" distB="0" distL="0" distR="0" simplePos="0" relativeHeight="251659776" behindDoc="0" locked="0" layoutInCell="1" allowOverlap="1" wp14:anchorId="458FED97" wp14:editId="401A3D64">
              <wp:simplePos x="914400" y="10111255"/>
              <wp:positionH relativeFrom="page">
                <wp:align>center</wp:align>
              </wp:positionH>
              <wp:positionV relativeFrom="page">
                <wp:align>bottom</wp:align>
              </wp:positionV>
              <wp:extent cx="1513205" cy="404495"/>
              <wp:effectExtent l="0" t="0" r="10795" b="0"/>
              <wp:wrapNone/>
              <wp:docPr id="772658741" name="Text Box 12"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3205" cy="404495"/>
                      </a:xfrm>
                      <a:prstGeom prst="rect">
                        <a:avLst/>
                      </a:prstGeom>
                      <a:noFill/>
                      <a:ln>
                        <a:noFill/>
                      </a:ln>
                    </wps:spPr>
                    <wps:txbx>
                      <w:txbxContent>
                        <w:p w14:paraId="6B71E43E" w14:textId="3661C7B7" w:rsidR="00CA3E73" w:rsidRPr="00CA3E73" w:rsidRDefault="00CA3E73" w:rsidP="00CA3E73">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8FED97" id="_x0000_t202" coordsize="21600,21600" o:spt="202" path="m,l,21600r21600,l21600,xe">
              <v:stroke joinstyle="miter"/>
              <v:path gradientshapeok="t" o:connecttype="rect"/>
            </v:shapetype>
            <v:shape id="Text Box 12" o:spid="_x0000_s1028" type="#_x0000_t202" alt="PROTECTED//CABINET" style="position:absolute;left:0;text-align:left;margin-left:0;margin-top:0;width:119.15pt;height:31.8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" filled="f" stroked="f">
              <v:textbox style="mso-fit-shape-to-text:t" inset="0,0,0,15pt">
                <w:txbxContent>
                  <w:p w14:paraId="6B71E43E" w14:textId="3661C7B7" w:rsidR="00CA3E73" w:rsidRPr="00CA3E73" w:rsidRDefault="00CA3E73" w:rsidP="00CA3E73">
                    <w:pPr>
                      <w:spacing w:after="0"/>
                      <w:rPr>
                        <w:rFonts w:ascii="Aptos" w:eastAsia="Aptos" w:hAnsi="Aptos" w:cs="Aptos"/>
                        <w:noProof/>
                        <w:color w:val="FF0000"/>
                        <w:sz w:val="24"/>
                        <w:szCs w:val="24"/>
                      </w:rPr>
                    </w:pPr>
                  </w:p>
                </w:txbxContent>
              </v:textbox>
              <w10:wrap anchorx="page" anchory="page"/>
            </v:shape>
          </w:pict>
        </mc:Fallback>
      </mc:AlternateContent>
    </w:r>
    <w:sdt>
      <w:sdtPr>
        <w:id w:val="-628392708"/>
        <w:docPartObj>
          <w:docPartGallery w:val="Page Numbers (Bottom of Page)"/>
          <w:docPartUnique/>
        </w:docPartObj>
      </w:sdtPr>
      <w:sdtEndPr>
        <w:rPr>
          <w:noProof/>
        </w:rPr>
      </w:sdtEndPr>
      <w:sdtContent>
        <w:r w:rsidR="00986BC3">
          <w:fldChar w:fldCharType="begin"/>
        </w:r>
        <w:r w:rsidR="00986BC3">
          <w:instrText xml:space="preserve"> PAGE   \* MERGEFORMAT </w:instrText>
        </w:r>
        <w:r w:rsidR="00986BC3">
          <w:fldChar w:fldCharType="separate"/>
        </w:r>
        <w:r w:rsidR="00986BC3">
          <w:rPr>
            <w:noProof/>
          </w:rPr>
          <w:t>2</w:t>
        </w:r>
        <w:r w:rsidR="00986BC3">
          <w:rPr>
            <w:noProof/>
          </w:rPr>
          <w:fldChar w:fldCharType="end"/>
        </w:r>
      </w:sdtContent>
    </w:sdt>
  </w:p>
  <w:p w14:paraId="3766F670" w14:textId="41B06AAC" w:rsidR="00CE6CF1" w:rsidRDefault="00CE6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CDB6" w14:textId="7CDC9C36" w:rsidR="00A87262" w:rsidRDefault="0014118E">
    <w:pPr>
      <w:pStyle w:val="Footer"/>
      <w:jc w:val="right"/>
    </w:pPr>
    <w:sdt>
      <w:sdtPr>
        <w:id w:val="-1251429443"/>
        <w:docPartObj>
          <w:docPartGallery w:val="Page Numbers (Bottom of Page)"/>
          <w:docPartUnique/>
        </w:docPartObj>
      </w:sdtPr>
      <w:sdtEndPr>
        <w:rPr>
          <w:noProof/>
        </w:rPr>
      </w:sdtEndPr>
      <w:sdtContent>
        <w:r w:rsidR="00A87262">
          <w:fldChar w:fldCharType="begin"/>
        </w:r>
        <w:r w:rsidR="00A87262">
          <w:instrText xml:space="preserve"> PAGE   \* MERGEFORMAT </w:instrText>
        </w:r>
        <w:r w:rsidR="00A87262">
          <w:fldChar w:fldCharType="separate"/>
        </w:r>
        <w:r w:rsidR="00A87262">
          <w:rPr>
            <w:noProof/>
          </w:rPr>
          <w:t>2</w:t>
        </w:r>
        <w:r w:rsidR="00A87262">
          <w:rPr>
            <w:noProof/>
          </w:rPr>
          <w:fldChar w:fldCharType="end"/>
        </w:r>
      </w:sdtContent>
    </w:sdt>
  </w:p>
  <w:p w14:paraId="5741E5C6" w14:textId="396650DB" w:rsidR="000123E5" w:rsidRDefault="000123E5" w:rsidP="005D684D">
    <w:pPr>
      <w:pStyle w:val="ProtectiveMarking"/>
      <w:jc w:val="left"/>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BE40D" w14:textId="77777777" w:rsidR="00B73F3F" w:rsidRDefault="00B73F3F" w:rsidP="00C3421C">
      <w:pPr>
        <w:spacing w:after="0" w:line="240" w:lineRule="auto"/>
      </w:pPr>
      <w:r>
        <w:separator/>
      </w:r>
    </w:p>
  </w:footnote>
  <w:footnote w:type="continuationSeparator" w:id="0">
    <w:p w14:paraId="7F2087FE" w14:textId="77777777" w:rsidR="00B73F3F" w:rsidRDefault="00B73F3F" w:rsidP="00C3421C">
      <w:pPr>
        <w:spacing w:after="0" w:line="240" w:lineRule="auto"/>
      </w:pPr>
      <w:r>
        <w:continuationSeparator/>
      </w:r>
    </w:p>
  </w:footnote>
  <w:footnote w:type="continuationNotice" w:id="1">
    <w:p w14:paraId="1FA2793D" w14:textId="77777777" w:rsidR="00B73F3F" w:rsidRDefault="00B73F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9132" w14:textId="3838B2F9" w:rsidR="00CE6CF1" w:rsidRDefault="00CA3E73">
    <w:pPr>
      <w:pStyle w:val="Header"/>
    </w:pPr>
    <w:r>
      <w:rPr>
        <w:noProof/>
      </w:rPr>
      <mc:AlternateContent>
        <mc:Choice Requires="wps">
          <w:drawing>
            <wp:anchor distT="0" distB="0" distL="0" distR="0" simplePos="0" relativeHeight="251655680" behindDoc="0" locked="0" layoutInCell="1" allowOverlap="1" wp14:anchorId="7236C981" wp14:editId="2FB1732C">
              <wp:simplePos x="635" y="635"/>
              <wp:positionH relativeFrom="page">
                <wp:align>center</wp:align>
              </wp:positionH>
              <wp:positionV relativeFrom="page">
                <wp:align>top</wp:align>
              </wp:positionV>
              <wp:extent cx="1513205" cy="404495"/>
              <wp:effectExtent l="0" t="0" r="10795" b="14605"/>
              <wp:wrapNone/>
              <wp:docPr id="165895354" name="Text Box 8"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13205" cy="404495"/>
                      </a:xfrm>
                      <a:prstGeom prst="rect">
                        <a:avLst/>
                      </a:prstGeom>
                      <a:noFill/>
                      <a:ln>
                        <a:noFill/>
                      </a:ln>
                    </wps:spPr>
                    <wps:txbx>
                      <w:txbxContent>
                        <w:p w14:paraId="56B5C870" w14:textId="16D763A1" w:rsidR="00CA3E73" w:rsidRPr="00CA3E73" w:rsidRDefault="00CA3E73" w:rsidP="00CA3E73">
                          <w:pPr>
                            <w:spacing w:after="0"/>
                            <w:rPr>
                              <w:rFonts w:ascii="Aptos" w:eastAsia="Aptos" w:hAnsi="Aptos" w:cs="Aptos"/>
                              <w:noProof/>
                              <w:color w:val="FF0000"/>
                              <w:sz w:val="24"/>
                              <w:szCs w:val="24"/>
                            </w:rPr>
                          </w:pPr>
                          <w:r w:rsidRPr="00CA3E73">
                            <w:rPr>
                              <w:rFonts w:ascii="Aptos" w:eastAsia="Aptos" w:hAnsi="Aptos" w:cs="Aptos"/>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36C981" id="_x0000_t202" coordsize="21600,21600" o:spt="202" path="m,l,21600r21600,l21600,xe">
              <v:stroke joinstyle="miter"/>
              <v:path gradientshapeok="t" o:connecttype="rect"/>
            </v:shapetype>
            <v:shape id="Text Box 8" o:spid="_x0000_s1026" type="#_x0000_t202" alt="PROTECTED//CABINET" style="position:absolute;margin-left:0;margin-top:0;width:119.15pt;height:31.8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" filled="f" stroked="f">
              <v:textbox style="mso-fit-shape-to-text:t" inset="0,15pt,0,0">
                <w:txbxContent>
                  <w:p w14:paraId="56B5C870" w14:textId="16D763A1" w:rsidR="00CA3E73" w:rsidRPr="00CA3E73" w:rsidRDefault="00CA3E73" w:rsidP="00CA3E73">
                    <w:pPr>
                      <w:spacing w:after="0"/>
                      <w:rPr>
                        <w:rFonts w:ascii="Aptos" w:eastAsia="Aptos" w:hAnsi="Aptos" w:cs="Aptos"/>
                        <w:noProof/>
                        <w:color w:val="FF0000"/>
                        <w:sz w:val="24"/>
                        <w:szCs w:val="24"/>
                      </w:rPr>
                    </w:pPr>
                    <w:r w:rsidRPr="00CA3E73">
                      <w:rPr>
                        <w:rFonts w:ascii="Aptos" w:eastAsia="Aptos" w:hAnsi="Aptos" w:cs="Aptos"/>
                        <w:noProof/>
                        <w:color w:val="FF0000"/>
                        <w:sz w:val="24"/>
                        <w:szCs w:val="24"/>
                      </w:rPr>
                      <w:t>PROTECTED//CABINET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B804" w14:textId="438465F9" w:rsidR="000123E5" w:rsidRDefault="000123E5" w:rsidP="00DA36AE">
    <w:pPr>
      <w:pStyle w:val="TOCLevel1"/>
      <w:spacing w:before="0"/>
    </w:pPr>
  </w:p>
  <w:p w14:paraId="40FCF2C5" w14:textId="77777777" w:rsidR="000123E5" w:rsidRDefault="000123E5" w:rsidP="00DA36AE">
    <w:pPr>
      <w:pStyle w:val="ProtectiveMarking"/>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2727" w14:textId="61BAFEDA" w:rsidR="000123E5" w:rsidRDefault="00CA3E73" w:rsidP="00C3421C">
    <w:pPr>
      <w:pStyle w:val="ProtectiveMarking"/>
      <w:jc w:val="left"/>
      <w:rPr>
        <w:sz w:val="4"/>
        <w:szCs w:val="4"/>
      </w:rPr>
    </w:pPr>
    <w:r>
      <w:rPr>
        <w:noProof/>
        <w:sz w:val="4"/>
        <w:szCs w:val="4"/>
      </w:rPr>
      <mc:AlternateContent>
        <mc:Choice Requires="wps">
          <w:drawing>
            <wp:anchor distT="0" distB="0" distL="0" distR="0" simplePos="0" relativeHeight="251654656" behindDoc="0" locked="0" layoutInCell="1" allowOverlap="1" wp14:anchorId="5DCFCAA8" wp14:editId="2E4621E6">
              <wp:simplePos x="635" y="635"/>
              <wp:positionH relativeFrom="page">
                <wp:align>center</wp:align>
              </wp:positionH>
              <wp:positionV relativeFrom="page">
                <wp:align>top</wp:align>
              </wp:positionV>
              <wp:extent cx="1513205" cy="404495"/>
              <wp:effectExtent l="0" t="0" r="10795" b="14605"/>
              <wp:wrapNone/>
              <wp:docPr id="919962880" name="Text Box 7"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13205" cy="404495"/>
                      </a:xfrm>
                      <a:prstGeom prst="rect">
                        <a:avLst/>
                      </a:prstGeom>
                      <a:noFill/>
                      <a:ln>
                        <a:noFill/>
                      </a:ln>
                    </wps:spPr>
                    <wps:txbx>
                      <w:txbxContent>
                        <w:p w14:paraId="68378A7C" w14:textId="0DA26811" w:rsidR="00CA3E73" w:rsidRPr="00CA3E73" w:rsidRDefault="00CA3E73" w:rsidP="00CA3E73">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CFCAA8" id="_x0000_t202" coordsize="21600,21600" o:spt="202" path="m,l,21600r21600,l21600,xe">
              <v:stroke joinstyle="miter"/>
              <v:path gradientshapeok="t" o:connecttype="rect"/>
            </v:shapetype>
            <v:shape id="Text Box 7" o:spid="_x0000_s1029" type="#_x0000_t202" alt="PROTECTED//CABINET" style="position:absolute;margin-left:0;margin-top:0;width:119.15pt;height:31.8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" filled="f" stroked="f">
              <v:textbox style="mso-fit-shape-to-text:t" inset="0,15pt,0,0">
                <w:txbxContent>
                  <w:p w14:paraId="68378A7C" w14:textId="0DA26811" w:rsidR="00CA3E73" w:rsidRPr="00CA3E73" w:rsidRDefault="00CA3E73" w:rsidP="00CA3E73">
                    <w:pPr>
                      <w:spacing w:after="0"/>
                      <w:rPr>
                        <w:rFonts w:ascii="Aptos" w:eastAsia="Aptos" w:hAnsi="Aptos" w:cs="Aptos"/>
                        <w:noProof/>
                        <w:color w:val="FF0000"/>
                        <w:sz w:val="24"/>
                        <w:szCs w:val="24"/>
                      </w:rPr>
                    </w:pPr>
                  </w:p>
                </w:txbxContent>
              </v:textbox>
              <w10:wrap anchorx="page" anchory="page"/>
            </v:shape>
          </w:pict>
        </mc:Fallback>
      </mc:AlternateContent>
    </w:r>
  </w:p>
  <w:p w14:paraId="0B8E64D2" w14:textId="1B8E4C4D" w:rsidR="000123E5" w:rsidRDefault="000123E5" w:rsidP="00C3421C">
    <w:pPr>
      <w:pStyle w:val="ProtectiveMarking"/>
      <w:jc w:val="lef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C01"/>
    <w:multiLevelType w:val="hybridMultilevel"/>
    <w:tmpl w:val="9A682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76E8C"/>
    <w:multiLevelType w:val="hybridMultilevel"/>
    <w:tmpl w:val="5BD6A496"/>
    <w:lvl w:ilvl="0" w:tplc="0D582FE2">
      <w:start w:val="1"/>
      <w:numFmt w:val="bullet"/>
      <w:lvlText w:val=""/>
      <w:lvlJc w:val="left"/>
      <w:pPr>
        <w:ind w:left="720" w:hanging="360"/>
      </w:pPr>
      <w:rPr>
        <w:rFonts w:ascii="Symbol" w:hAnsi="Symbol" w:hint="default"/>
      </w:rPr>
    </w:lvl>
    <w:lvl w:ilvl="1" w:tplc="3B942DF8">
      <w:start w:val="1"/>
      <w:numFmt w:val="bullet"/>
      <w:lvlText w:val="o"/>
      <w:lvlJc w:val="left"/>
      <w:pPr>
        <w:ind w:left="1440" w:hanging="360"/>
      </w:pPr>
      <w:rPr>
        <w:rFonts w:ascii="Courier New" w:hAnsi="Courier New" w:hint="default"/>
      </w:rPr>
    </w:lvl>
    <w:lvl w:ilvl="2" w:tplc="EC680E78">
      <w:start w:val="1"/>
      <w:numFmt w:val="bullet"/>
      <w:lvlText w:val=""/>
      <w:lvlJc w:val="left"/>
      <w:pPr>
        <w:ind w:left="2160" w:hanging="360"/>
      </w:pPr>
      <w:rPr>
        <w:rFonts w:ascii="Wingdings" w:hAnsi="Wingdings" w:hint="default"/>
      </w:rPr>
    </w:lvl>
    <w:lvl w:ilvl="3" w:tplc="8F7E6334">
      <w:start w:val="1"/>
      <w:numFmt w:val="bullet"/>
      <w:lvlText w:val=""/>
      <w:lvlJc w:val="left"/>
      <w:pPr>
        <w:ind w:left="2880" w:hanging="360"/>
      </w:pPr>
      <w:rPr>
        <w:rFonts w:ascii="Symbol" w:hAnsi="Symbol" w:hint="default"/>
      </w:rPr>
    </w:lvl>
    <w:lvl w:ilvl="4" w:tplc="2FE850A8">
      <w:start w:val="1"/>
      <w:numFmt w:val="bullet"/>
      <w:lvlText w:val="o"/>
      <w:lvlJc w:val="left"/>
      <w:pPr>
        <w:ind w:left="3600" w:hanging="360"/>
      </w:pPr>
      <w:rPr>
        <w:rFonts w:ascii="Courier New" w:hAnsi="Courier New" w:hint="default"/>
      </w:rPr>
    </w:lvl>
    <w:lvl w:ilvl="5" w:tplc="B840E96A">
      <w:start w:val="1"/>
      <w:numFmt w:val="bullet"/>
      <w:lvlText w:val=""/>
      <w:lvlJc w:val="left"/>
      <w:pPr>
        <w:ind w:left="4320" w:hanging="360"/>
      </w:pPr>
      <w:rPr>
        <w:rFonts w:ascii="Wingdings" w:hAnsi="Wingdings" w:hint="default"/>
      </w:rPr>
    </w:lvl>
    <w:lvl w:ilvl="6" w:tplc="401CEFB0">
      <w:start w:val="1"/>
      <w:numFmt w:val="bullet"/>
      <w:lvlText w:val=""/>
      <w:lvlJc w:val="left"/>
      <w:pPr>
        <w:ind w:left="5040" w:hanging="360"/>
      </w:pPr>
      <w:rPr>
        <w:rFonts w:ascii="Symbol" w:hAnsi="Symbol" w:hint="default"/>
      </w:rPr>
    </w:lvl>
    <w:lvl w:ilvl="7" w:tplc="C7767634">
      <w:start w:val="1"/>
      <w:numFmt w:val="bullet"/>
      <w:lvlText w:val="o"/>
      <w:lvlJc w:val="left"/>
      <w:pPr>
        <w:ind w:left="5760" w:hanging="360"/>
      </w:pPr>
      <w:rPr>
        <w:rFonts w:ascii="Courier New" w:hAnsi="Courier New" w:hint="default"/>
      </w:rPr>
    </w:lvl>
    <w:lvl w:ilvl="8" w:tplc="2DE4EB06">
      <w:start w:val="1"/>
      <w:numFmt w:val="bullet"/>
      <w:lvlText w:val=""/>
      <w:lvlJc w:val="left"/>
      <w:pPr>
        <w:ind w:left="6480" w:hanging="360"/>
      </w:pPr>
      <w:rPr>
        <w:rFonts w:ascii="Wingdings" w:hAnsi="Wingdings" w:hint="default"/>
      </w:rPr>
    </w:lvl>
  </w:abstractNum>
  <w:abstractNum w:abstractNumId="2" w15:restartNumberingAfterBreak="0">
    <w:nsid w:val="037B40F6"/>
    <w:multiLevelType w:val="hybridMultilevel"/>
    <w:tmpl w:val="9D1E07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067ADC"/>
    <w:multiLevelType w:val="hybridMultilevel"/>
    <w:tmpl w:val="51D033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5A36E8E"/>
    <w:multiLevelType w:val="hybridMultilevel"/>
    <w:tmpl w:val="05E204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A41159C"/>
    <w:multiLevelType w:val="hybridMultilevel"/>
    <w:tmpl w:val="6C9039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F3B0882"/>
    <w:multiLevelType w:val="hybridMultilevel"/>
    <w:tmpl w:val="345047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1470F42"/>
    <w:multiLevelType w:val="hybridMultilevel"/>
    <w:tmpl w:val="345047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3C62D4"/>
    <w:multiLevelType w:val="hybridMultilevel"/>
    <w:tmpl w:val="61186B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16DF18B3"/>
    <w:multiLevelType w:val="hybridMultilevel"/>
    <w:tmpl w:val="A4D4F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50F7608"/>
    <w:multiLevelType w:val="hybridMultilevel"/>
    <w:tmpl w:val="C2C214D8"/>
    <w:lvl w:ilvl="0" w:tplc="135C1296">
      <w:start w:val="1"/>
      <w:numFmt w:val="bullet"/>
      <w:lvlText w:val=""/>
      <w:lvlJc w:val="left"/>
      <w:pPr>
        <w:ind w:left="360" w:hanging="360"/>
      </w:pPr>
      <w:rPr>
        <w:rFonts w:ascii="Symbol" w:hAnsi="Symbol" w:hint="default"/>
      </w:rPr>
    </w:lvl>
    <w:lvl w:ilvl="1" w:tplc="4A2AB1E8">
      <w:start w:val="1"/>
      <w:numFmt w:val="bullet"/>
      <w:lvlText w:val="o"/>
      <w:lvlJc w:val="left"/>
      <w:pPr>
        <w:ind w:left="1080" w:hanging="360"/>
      </w:pPr>
      <w:rPr>
        <w:rFonts w:ascii="Courier New" w:hAnsi="Courier New" w:hint="default"/>
      </w:rPr>
    </w:lvl>
    <w:lvl w:ilvl="2" w:tplc="B5A29266">
      <w:start w:val="1"/>
      <w:numFmt w:val="bullet"/>
      <w:lvlText w:val=""/>
      <w:lvlJc w:val="left"/>
      <w:pPr>
        <w:ind w:left="1800" w:hanging="360"/>
      </w:pPr>
      <w:rPr>
        <w:rFonts w:ascii="Wingdings" w:hAnsi="Wingdings" w:hint="default"/>
      </w:rPr>
    </w:lvl>
    <w:lvl w:ilvl="3" w:tplc="C02E24F8">
      <w:start w:val="1"/>
      <w:numFmt w:val="bullet"/>
      <w:lvlText w:val=""/>
      <w:lvlJc w:val="left"/>
      <w:pPr>
        <w:ind w:left="2520" w:hanging="360"/>
      </w:pPr>
      <w:rPr>
        <w:rFonts w:ascii="Symbol" w:hAnsi="Symbol" w:hint="default"/>
      </w:rPr>
    </w:lvl>
    <w:lvl w:ilvl="4" w:tplc="AE78A37C">
      <w:start w:val="1"/>
      <w:numFmt w:val="bullet"/>
      <w:lvlText w:val="o"/>
      <w:lvlJc w:val="left"/>
      <w:pPr>
        <w:ind w:left="3240" w:hanging="360"/>
      </w:pPr>
      <w:rPr>
        <w:rFonts w:ascii="Courier New" w:hAnsi="Courier New" w:hint="default"/>
      </w:rPr>
    </w:lvl>
    <w:lvl w:ilvl="5" w:tplc="40F67C54">
      <w:start w:val="1"/>
      <w:numFmt w:val="bullet"/>
      <w:lvlText w:val=""/>
      <w:lvlJc w:val="left"/>
      <w:pPr>
        <w:ind w:left="3960" w:hanging="360"/>
      </w:pPr>
      <w:rPr>
        <w:rFonts w:ascii="Wingdings" w:hAnsi="Wingdings" w:hint="default"/>
      </w:rPr>
    </w:lvl>
    <w:lvl w:ilvl="6" w:tplc="34029E8E">
      <w:start w:val="1"/>
      <w:numFmt w:val="bullet"/>
      <w:lvlText w:val=""/>
      <w:lvlJc w:val="left"/>
      <w:pPr>
        <w:ind w:left="4680" w:hanging="360"/>
      </w:pPr>
      <w:rPr>
        <w:rFonts w:ascii="Symbol" w:hAnsi="Symbol" w:hint="default"/>
      </w:rPr>
    </w:lvl>
    <w:lvl w:ilvl="7" w:tplc="29F615CE">
      <w:start w:val="1"/>
      <w:numFmt w:val="bullet"/>
      <w:lvlText w:val="o"/>
      <w:lvlJc w:val="left"/>
      <w:pPr>
        <w:ind w:left="5400" w:hanging="360"/>
      </w:pPr>
      <w:rPr>
        <w:rFonts w:ascii="Courier New" w:hAnsi="Courier New" w:hint="default"/>
      </w:rPr>
    </w:lvl>
    <w:lvl w:ilvl="8" w:tplc="E5E29582">
      <w:start w:val="1"/>
      <w:numFmt w:val="bullet"/>
      <w:lvlText w:val=""/>
      <w:lvlJc w:val="left"/>
      <w:pPr>
        <w:ind w:left="6120" w:hanging="360"/>
      </w:pPr>
      <w:rPr>
        <w:rFonts w:ascii="Wingdings" w:hAnsi="Wingdings" w:hint="default"/>
      </w:rPr>
    </w:lvl>
  </w:abstractNum>
  <w:abstractNum w:abstractNumId="11" w15:restartNumberingAfterBreak="0">
    <w:nsid w:val="2B466603"/>
    <w:multiLevelType w:val="hybridMultilevel"/>
    <w:tmpl w:val="79C4D3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2C031DC3"/>
    <w:multiLevelType w:val="hybridMultilevel"/>
    <w:tmpl w:val="798669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0060865"/>
    <w:multiLevelType w:val="hybridMultilevel"/>
    <w:tmpl w:val="41F6D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5E4A0D"/>
    <w:multiLevelType w:val="hybridMultilevel"/>
    <w:tmpl w:val="D44E3A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6A516DF"/>
    <w:multiLevelType w:val="hybridMultilevel"/>
    <w:tmpl w:val="FF0E5324"/>
    <w:lvl w:ilvl="0" w:tplc="DB5AA708">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80D02A8"/>
    <w:multiLevelType w:val="hybridMultilevel"/>
    <w:tmpl w:val="5CFEEE7E"/>
    <w:lvl w:ilvl="0" w:tplc="7082C260">
      <w:start w:val="1"/>
      <w:numFmt w:val="decimal"/>
      <w:lvlText w:val="2.%1"/>
      <w:lvlJc w:val="left"/>
      <w:pPr>
        <w:ind w:left="757" w:hanging="360"/>
      </w:pPr>
      <w:rPr>
        <w:rFonts w:hint="default"/>
      </w:rPr>
    </w:lvl>
    <w:lvl w:ilvl="1" w:tplc="88C208C2">
      <w:start w:val="1"/>
      <w:numFmt w:val="lowerLetter"/>
      <w:lvlText w:val="%2."/>
      <w:lvlJc w:val="left"/>
      <w:pPr>
        <w:ind w:left="1211" w:hanging="360"/>
      </w:pPr>
    </w:lvl>
    <w:lvl w:ilvl="2" w:tplc="625A6E16">
      <w:start w:val="1"/>
      <w:numFmt w:val="lowerRoman"/>
      <w:lvlText w:val="%3."/>
      <w:lvlJc w:val="right"/>
      <w:pPr>
        <w:ind w:left="1881" w:hanging="180"/>
      </w:pPr>
    </w:lvl>
    <w:lvl w:ilvl="3" w:tplc="E53CE6AA">
      <w:start w:val="1"/>
      <w:numFmt w:val="decimal"/>
      <w:lvlText w:val="%4."/>
      <w:lvlJc w:val="left"/>
      <w:pPr>
        <w:ind w:left="2917" w:hanging="360"/>
      </w:pPr>
    </w:lvl>
    <w:lvl w:ilvl="4" w:tplc="9728883C">
      <w:start w:val="1"/>
      <w:numFmt w:val="lowerLetter"/>
      <w:lvlText w:val="%5."/>
      <w:lvlJc w:val="left"/>
      <w:pPr>
        <w:ind w:left="3637" w:hanging="360"/>
      </w:pPr>
    </w:lvl>
    <w:lvl w:ilvl="5" w:tplc="EA6CD33E">
      <w:start w:val="1"/>
      <w:numFmt w:val="lowerRoman"/>
      <w:lvlText w:val="%6."/>
      <w:lvlJc w:val="right"/>
      <w:pPr>
        <w:ind w:left="4357" w:hanging="180"/>
      </w:pPr>
    </w:lvl>
    <w:lvl w:ilvl="6" w:tplc="A0F2E1DE">
      <w:start w:val="1"/>
      <w:numFmt w:val="decimal"/>
      <w:lvlText w:val="%7."/>
      <w:lvlJc w:val="left"/>
      <w:pPr>
        <w:ind w:left="5077" w:hanging="360"/>
      </w:pPr>
    </w:lvl>
    <w:lvl w:ilvl="7" w:tplc="85A0F4D6">
      <w:start w:val="1"/>
      <w:numFmt w:val="lowerLetter"/>
      <w:lvlText w:val="%8."/>
      <w:lvlJc w:val="left"/>
      <w:pPr>
        <w:ind w:left="5797" w:hanging="360"/>
      </w:pPr>
    </w:lvl>
    <w:lvl w:ilvl="8" w:tplc="3BB627A2">
      <w:start w:val="1"/>
      <w:numFmt w:val="lowerRoman"/>
      <w:lvlText w:val="%9."/>
      <w:lvlJc w:val="right"/>
      <w:pPr>
        <w:ind w:left="6517" w:hanging="180"/>
      </w:pPr>
    </w:lvl>
  </w:abstractNum>
  <w:abstractNum w:abstractNumId="17" w15:restartNumberingAfterBreak="0">
    <w:nsid w:val="3BBB4575"/>
    <w:multiLevelType w:val="multilevel"/>
    <w:tmpl w:val="1F38328A"/>
    <w:lvl w:ilvl="0">
      <w:start w:val="1"/>
      <w:numFmt w:val="decimal"/>
      <w:pStyle w:val="Heading1"/>
      <w:lvlText w:val="%1"/>
      <w:lvlJc w:val="left"/>
      <w:pPr>
        <w:ind w:left="360" w:hanging="360"/>
      </w:pPr>
      <w:rPr>
        <w:rFonts w:hint="default"/>
        <w:sz w:val="28"/>
      </w:rPr>
    </w:lvl>
    <w:lvl w:ilvl="1">
      <w:start w:val="1"/>
      <w:numFmt w:val="decimal"/>
      <w:pStyle w:val="CABNumberedParagraph"/>
      <w:lvlText w:val="%1.%2"/>
      <w:lvlJc w:val="left"/>
      <w:pPr>
        <w:tabs>
          <w:tab w:val="num" w:pos="340"/>
        </w:tabs>
        <w:ind w:left="34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365603"/>
    <w:multiLevelType w:val="hybridMultilevel"/>
    <w:tmpl w:val="3EC479C0"/>
    <w:lvl w:ilvl="0" w:tplc="0C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9772A3B"/>
    <w:multiLevelType w:val="hybridMultilevel"/>
    <w:tmpl w:val="C9DC9808"/>
    <w:lvl w:ilvl="0" w:tplc="D2A0C8BE">
      <w:start w:val="1"/>
      <w:numFmt w:val="bullet"/>
      <w:lvlText w:val=""/>
      <w:lvlJc w:val="left"/>
      <w:pPr>
        <w:ind w:left="720" w:hanging="360"/>
      </w:pPr>
      <w:rPr>
        <w:rFonts w:ascii="Symbol" w:hAnsi="Symbol" w:hint="default"/>
      </w:rPr>
    </w:lvl>
    <w:lvl w:ilvl="1" w:tplc="B6A0D186">
      <w:start w:val="1"/>
      <w:numFmt w:val="bullet"/>
      <w:lvlText w:val=""/>
      <w:lvlJc w:val="left"/>
      <w:pPr>
        <w:ind w:left="1440" w:hanging="360"/>
      </w:pPr>
      <w:rPr>
        <w:rFonts w:ascii="Symbol" w:hAnsi="Symbol" w:hint="default"/>
      </w:rPr>
    </w:lvl>
    <w:lvl w:ilvl="2" w:tplc="952E7052">
      <w:start w:val="1"/>
      <w:numFmt w:val="bullet"/>
      <w:lvlText w:val=""/>
      <w:lvlJc w:val="left"/>
      <w:pPr>
        <w:ind w:left="2160" w:hanging="360"/>
      </w:pPr>
      <w:rPr>
        <w:rFonts w:ascii="Wingdings" w:hAnsi="Wingdings" w:hint="default"/>
      </w:rPr>
    </w:lvl>
    <w:lvl w:ilvl="3" w:tplc="7F1AAB34">
      <w:start w:val="1"/>
      <w:numFmt w:val="bullet"/>
      <w:lvlText w:val=""/>
      <w:lvlJc w:val="left"/>
      <w:pPr>
        <w:ind w:left="2880" w:hanging="360"/>
      </w:pPr>
      <w:rPr>
        <w:rFonts w:ascii="Symbol" w:hAnsi="Symbol" w:hint="default"/>
      </w:rPr>
    </w:lvl>
    <w:lvl w:ilvl="4" w:tplc="671C02DA">
      <w:start w:val="1"/>
      <w:numFmt w:val="bullet"/>
      <w:lvlText w:val="o"/>
      <w:lvlJc w:val="left"/>
      <w:pPr>
        <w:ind w:left="3600" w:hanging="360"/>
      </w:pPr>
      <w:rPr>
        <w:rFonts w:ascii="Courier New" w:hAnsi="Courier New" w:hint="default"/>
      </w:rPr>
    </w:lvl>
    <w:lvl w:ilvl="5" w:tplc="A9443DE2">
      <w:start w:val="1"/>
      <w:numFmt w:val="bullet"/>
      <w:lvlText w:val=""/>
      <w:lvlJc w:val="left"/>
      <w:pPr>
        <w:ind w:left="4320" w:hanging="360"/>
      </w:pPr>
      <w:rPr>
        <w:rFonts w:ascii="Wingdings" w:hAnsi="Wingdings" w:hint="default"/>
      </w:rPr>
    </w:lvl>
    <w:lvl w:ilvl="6" w:tplc="90F8FFF2">
      <w:start w:val="1"/>
      <w:numFmt w:val="bullet"/>
      <w:lvlText w:val=""/>
      <w:lvlJc w:val="left"/>
      <w:pPr>
        <w:ind w:left="5040" w:hanging="360"/>
      </w:pPr>
      <w:rPr>
        <w:rFonts w:ascii="Symbol" w:hAnsi="Symbol" w:hint="default"/>
      </w:rPr>
    </w:lvl>
    <w:lvl w:ilvl="7" w:tplc="8C0420FA">
      <w:start w:val="1"/>
      <w:numFmt w:val="bullet"/>
      <w:lvlText w:val="o"/>
      <w:lvlJc w:val="left"/>
      <w:pPr>
        <w:ind w:left="5760" w:hanging="360"/>
      </w:pPr>
      <w:rPr>
        <w:rFonts w:ascii="Courier New" w:hAnsi="Courier New" w:hint="default"/>
      </w:rPr>
    </w:lvl>
    <w:lvl w:ilvl="8" w:tplc="7598CA22">
      <w:start w:val="1"/>
      <w:numFmt w:val="bullet"/>
      <w:lvlText w:val=""/>
      <w:lvlJc w:val="left"/>
      <w:pPr>
        <w:ind w:left="6480" w:hanging="360"/>
      </w:pPr>
      <w:rPr>
        <w:rFonts w:ascii="Wingdings" w:hAnsi="Wingdings" w:hint="default"/>
      </w:rPr>
    </w:lvl>
  </w:abstractNum>
  <w:abstractNum w:abstractNumId="20" w15:restartNumberingAfterBreak="0">
    <w:nsid w:val="4CB16DCA"/>
    <w:multiLevelType w:val="hybridMultilevel"/>
    <w:tmpl w:val="5C3CF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95515A"/>
    <w:multiLevelType w:val="hybridMultilevel"/>
    <w:tmpl w:val="38F2EF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B04415"/>
    <w:multiLevelType w:val="hybridMultilevel"/>
    <w:tmpl w:val="E7203A9A"/>
    <w:lvl w:ilvl="0" w:tplc="39E80036">
      <w:start w:val="3"/>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E5F1352"/>
    <w:multiLevelType w:val="hybridMultilevel"/>
    <w:tmpl w:val="D87E12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36E1FC6"/>
    <w:multiLevelType w:val="hybridMultilevel"/>
    <w:tmpl w:val="61186B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75DA7206"/>
    <w:multiLevelType w:val="hybridMultilevel"/>
    <w:tmpl w:val="023AE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297C2B"/>
    <w:multiLevelType w:val="hybridMultilevel"/>
    <w:tmpl w:val="83F61174"/>
    <w:lvl w:ilvl="0" w:tplc="4A424646">
      <w:start w:val="1"/>
      <w:numFmt w:val="bullet"/>
      <w:lvlText w:val=""/>
      <w:lvlJc w:val="left"/>
      <w:pPr>
        <w:ind w:left="1440" w:hanging="360"/>
      </w:pPr>
      <w:rPr>
        <w:rFonts w:ascii="Symbol" w:hAnsi="Symbol" w:hint="default"/>
      </w:rPr>
    </w:lvl>
    <w:lvl w:ilvl="1" w:tplc="38A8166E">
      <w:start w:val="1"/>
      <w:numFmt w:val="bullet"/>
      <w:lvlText w:val="o"/>
      <w:lvlJc w:val="left"/>
      <w:pPr>
        <w:ind w:left="2160" w:hanging="360"/>
      </w:pPr>
      <w:rPr>
        <w:rFonts w:ascii="Courier New" w:hAnsi="Courier New" w:hint="default"/>
      </w:rPr>
    </w:lvl>
    <w:lvl w:ilvl="2" w:tplc="DF149456">
      <w:start w:val="1"/>
      <w:numFmt w:val="bullet"/>
      <w:lvlText w:val=""/>
      <w:lvlJc w:val="left"/>
      <w:pPr>
        <w:ind w:left="2880" w:hanging="360"/>
      </w:pPr>
      <w:rPr>
        <w:rFonts w:ascii="Wingdings" w:hAnsi="Wingdings" w:hint="default"/>
      </w:rPr>
    </w:lvl>
    <w:lvl w:ilvl="3" w:tplc="3D8EC5E2">
      <w:start w:val="1"/>
      <w:numFmt w:val="bullet"/>
      <w:lvlText w:val=""/>
      <w:lvlJc w:val="left"/>
      <w:pPr>
        <w:ind w:left="3600" w:hanging="360"/>
      </w:pPr>
      <w:rPr>
        <w:rFonts w:ascii="Symbol" w:hAnsi="Symbol" w:hint="default"/>
      </w:rPr>
    </w:lvl>
    <w:lvl w:ilvl="4" w:tplc="E0F0FFF4">
      <w:start w:val="1"/>
      <w:numFmt w:val="bullet"/>
      <w:lvlText w:val="o"/>
      <w:lvlJc w:val="left"/>
      <w:pPr>
        <w:ind w:left="4320" w:hanging="360"/>
      </w:pPr>
      <w:rPr>
        <w:rFonts w:ascii="Courier New" w:hAnsi="Courier New" w:hint="default"/>
      </w:rPr>
    </w:lvl>
    <w:lvl w:ilvl="5" w:tplc="CF3E3B82">
      <w:start w:val="1"/>
      <w:numFmt w:val="bullet"/>
      <w:lvlText w:val=""/>
      <w:lvlJc w:val="left"/>
      <w:pPr>
        <w:ind w:left="5040" w:hanging="360"/>
      </w:pPr>
      <w:rPr>
        <w:rFonts w:ascii="Wingdings" w:hAnsi="Wingdings" w:hint="default"/>
      </w:rPr>
    </w:lvl>
    <w:lvl w:ilvl="6" w:tplc="40F211AA">
      <w:start w:val="1"/>
      <w:numFmt w:val="bullet"/>
      <w:lvlText w:val=""/>
      <w:lvlJc w:val="left"/>
      <w:pPr>
        <w:ind w:left="5760" w:hanging="360"/>
      </w:pPr>
      <w:rPr>
        <w:rFonts w:ascii="Symbol" w:hAnsi="Symbol" w:hint="default"/>
      </w:rPr>
    </w:lvl>
    <w:lvl w:ilvl="7" w:tplc="154C6CB6">
      <w:start w:val="1"/>
      <w:numFmt w:val="bullet"/>
      <w:lvlText w:val="o"/>
      <w:lvlJc w:val="left"/>
      <w:pPr>
        <w:ind w:left="6480" w:hanging="360"/>
      </w:pPr>
      <w:rPr>
        <w:rFonts w:ascii="Courier New" w:hAnsi="Courier New" w:hint="default"/>
      </w:rPr>
    </w:lvl>
    <w:lvl w:ilvl="8" w:tplc="F3803E10">
      <w:start w:val="1"/>
      <w:numFmt w:val="bullet"/>
      <w:lvlText w:val=""/>
      <w:lvlJc w:val="left"/>
      <w:pPr>
        <w:ind w:left="7200" w:hanging="360"/>
      </w:pPr>
      <w:rPr>
        <w:rFonts w:ascii="Wingdings" w:hAnsi="Wingdings" w:hint="default"/>
      </w:rPr>
    </w:lvl>
  </w:abstractNum>
  <w:abstractNum w:abstractNumId="27" w15:restartNumberingAfterBreak="0">
    <w:nsid w:val="7FD02C9A"/>
    <w:multiLevelType w:val="hybridMultilevel"/>
    <w:tmpl w:val="CF3833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68105843">
    <w:abstractNumId w:val="26"/>
  </w:num>
  <w:num w:numId="2" w16cid:durableId="1638028145">
    <w:abstractNumId w:val="19"/>
  </w:num>
  <w:num w:numId="3" w16cid:durableId="1652171666">
    <w:abstractNumId w:val="10"/>
  </w:num>
  <w:num w:numId="4" w16cid:durableId="136147677">
    <w:abstractNumId w:val="1"/>
  </w:num>
  <w:num w:numId="5" w16cid:durableId="1613974435">
    <w:abstractNumId w:val="17"/>
  </w:num>
  <w:num w:numId="6" w16cid:durableId="1781796138">
    <w:abstractNumId w:val="27"/>
  </w:num>
  <w:num w:numId="7" w16cid:durableId="1847357593">
    <w:abstractNumId w:val="12"/>
  </w:num>
  <w:num w:numId="8" w16cid:durableId="354115623">
    <w:abstractNumId w:val="14"/>
  </w:num>
  <w:num w:numId="9" w16cid:durableId="1638098569">
    <w:abstractNumId w:val="18"/>
  </w:num>
  <w:num w:numId="10" w16cid:durableId="1638223134">
    <w:abstractNumId w:val="13"/>
  </w:num>
  <w:num w:numId="11" w16cid:durableId="1688945457">
    <w:abstractNumId w:val="17"/>
  </w:num>
  <w:num w:numId="12" w16cid:durableId="377048685">
    <w:abstractNumId w:val="17"/>
  </w:num>
  <w:num w:numId="13" w16cid:durableId="813836625">
    <w:abstractNumId w:val="3"/>
  </w:num>
  <w:num w:numId="14" w16cid:durableId="1410430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8961636">
    <w:abstractNumId w:val="6"/>
  </w:num>
  <w:num w:numId="16" w16cid:durableId="20562002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3313563">
    <w:abstractNumId w:val="6"/>
  </w:num>
  <w:num w:numId="18" w16cid:durableId="1086733811">
    <w:abstractNumId w:val="24"/>
  </w:num>
  <w:num w:numId="19" w16cid:durableId="1608805176">
    <w:abstractNumId w:val="7"/>
  </w:num>
  <w:num w:numId="20" w16cid:durableId="1889955370">
    <w:abstractNumId w:val="4"/>
  </w:num>
  <w:num w:numId="21" w16cid:durableId="1648901861">
    <w:abstractNumId w:val="15"/>
  </w:num>
  <w:num w:numId="22" w16cid:durableId="524367286">
    <w:abstractNumId w:val="20"/>
  </w:num>
  <w:num w:numId="23" w16cid:durableId="1219123618">
    <w:abstractNumId w:val="21"/>
  </w:num>
  <w:num w:numId="24" w16cid:durableId="220294910">
    <w:abstractNumId w:val="16"/>
  </w:num>
  <w:num w:numId="25" w16cid:durableId="1412241256">
    <w:abstractNumId w:val="2"/>
  </w:num>
  <w:num w:numId="26" w16cid:durableId="1016663080">
    <w:abstractNumId w:val="0"/>
  </w:num>
  <w:num w:numId="27" w16cid:durableId="1379237193">
    <w:abstractNumId w:val="22"/>
  </w:num>
  <w:num w:numId="28" w16cid:durableId="438337257">
    <w:abstractNumId w:val="9"/>
  </w:num>
  <w:num w:numId="29" w16cid:durableId="997729595">
    <w:abstractNumId w:val="5"/>
  </w:num>
  <w:num w:numId="30" w16cid:durableId="434711730">
    <w:abstractNumId w:val="23"/>
  </w:num>
  <w:num w:numId="31" w16cid:durableId="1638024114">
    <w:abstractNumId w:val="17"/>
  </w:num>
  <w:num w:numId="32" w16cid:durableId="1812846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1C"/>
    <w:rsid w:val="00001E04"/>
    <w:rsid w:val="0000714E"/>
    <w:rsid w:val="000115F8"/>
    <w:rsid w:val="000123E5"/>
    <w:rsid w:val="000154B3"/>
    <w:rsid w:val="000205B6"/>
    <w:rsid w:val="000207DA"/>
    <w:rsid w:val="00023C20"/>
    <w:rsid w:val="00024A58"/>
    <w:rsid w:val="00031AFD"/>
    <w:rsid w:val="0003390B"/>
    <w:rsid w:val="000423A7"/>
    <w:rsid w:val="00043550"/>
    <w:rsid w:val="00046967"/>
    <w:rsid w:val="00046D47"/>
    <w:rsid w:val="00053F11"/>
    <w:rsid w:val="00055A2E"/>
    <w:rsid w:val="00056A6C"/>
    <w:rsid w:val="0006031A"/>
    <w:rsid w:val="0006560D"/>
    <w:rsid w:val="000711A4"/>
    <w:rsid w:val="00074D47"/>
    <w:rsid w:val="000757D9"/>
    <w:rsid w:val="0008355B"/>
    <w:rsid w:val="0008782A"/>
    <w:rsid w:val="00093C72"/>
    <w:rsid w:val="000A2346"/>
    <w:rsid w:val="000A31BD"/>
    <w:rsid w:val="000A4AD2"/>
    <w:rsid w:val="000B3FCE"/>
    <w:rsid w:val="000B448A"/>
    <w:rsid w:val="000B5E65"/>
    <w:rsid w:val="000C7E7C"/>
    <w:rsid w:val="000D5D5A"/>
    <w:rsid w:val="000D7030"/>
    <w:rsid w:val="000E174F"/>
    <w:rsid w:val="000E18F2"/>
    <w:rsid w:val="000E253D"/>
    <w:rsid w:val="000E6B7E"/>
    <w:rsid w:val="000F4AE0"/>
    <w:rsid w:val="000F7D72"/>
    <w:rsid w:val="001003D6"/>
    <w:rsid w:val="00103A54"/>
    <w:rsid w:val="00111D38"/>
    <w:rsid w:val="001132B4"/>
    <w:rsid w:val="00113CFC"/>
    <w:rsid w:val="0011530B"/>
    <w:rsid w:val="00116637"/>
    <w:rsid w:val="00116CDA"/>
    <w:rsid w:val="00127BD2"/>
    <w:rsid w:val="00127E0A"/>
    <w:rsid w:val="00135368"/>
    <w:rsid w:val="00136DB0"/>
    <w:rsid w:val="001371D3"/>
    <w:rsid w:val="0014118E"/>
    <w:rsid w:val="00142568"/>
    <w:rsid w:val="00152614"/>
    <w:rsid w:val="00152F7E"/>
    <w:rsid w:val="00160075"/>
    <w:rsid w:val="001614C2"/>
    <w:rsid w:val="00162088"/>
    <w:rsid w:val="00164838"/>
    <w:rsid w:val="00172A1C"/>
    <w:rsid w:val="00176928"/>
    <w:rsid w:val="0018028B"/>
    <w:rsid w:val="001813C6"/>
    <w:rsid w:val="00181B1B"/>
    <w:rsid w:val="00186388"/>
    <w:rsid w:val="00192F68"/>
    <w:rsid w:val="001A054C"/>
    <w:rsid w:val="001A2339"/>
    <w:rsid w:val="001A5A63"/>
    <w:rsid w:val="001A72C3"/>
    <w:rsid w:val="001B65EE"/>
    <w:rsid w:val="001C08B1"/>
    <w:rsid w:val="001D4F29"/>
    <w:rsid w:val="001E37CA"/>
    <w:rsid w:val="001E5BE3"/>
    <w:rsid w:val="001F3AD7"/>
    <w:rsid w:val="001F3F1B"/>
    <w:rsid w:val="001F58DD"/>
    <w:rsid w:val="002038E8"/>
    <w:rsid w:val="00206A2C"/>
    <w:rsid w:val="002114D6"/>
    <w:rsid w:val="0021250B"/>
    <w:rsid w:val="00213FF3"/>
    <w:rsid w:val="00223D91"/>
    <w:rsid w:val="00230C21"/>
    <w:rsid w:val="00234CE7"/>
    <w:rsid w:val="00236DF0"/>
    <w:rsid w:val="00241587"/>
    <w:rsid w:val="00243F3C"/>
    <w:rsid w:val="00246CE2"/>
    <w:rsid w:val="00253453"/>
    <w:rsid w:val="00255D13"/>
    <w:rsid w:val="002566C7"/>
    <w:rsid w:val="00260E86"/>
    <w:rsid w:val="00263E5B"/>
    <w:rsid w:val="00272ECF"/>
    <w:rsid w:val="002839C9"/>
    <w:rsid w:val="00286C11"/>
    <w:rsid w:val="002B06BD"/>
    <w:rsid w:val="002C3CEB"/>
    <w:rsid w:val="002C4D11"/>
    <w:rsid w:val="002C4EA0"/>
    <w:rsid w:val="002D350F"/>
    <w:rsid w:val="002D64C9"/>
    <w:rsid w:val="002E29CE"/>
    <w:rsid w:val="002E61C8"/>
    <w:rsid w:val="002F10FD"/>
    <w:rsid w:val="002F2DBA"/>
    <w:rsid w:val="002F2F49"/>
    <w:rsid w:val="002F5223"/>
    <w:rsid w:val="00301B21"/>
    <w:rsid w:val="00307EDF"/>
    <w:rsid w:val="00314FD3"/>
    <w:rsid w:val="00315EF5"/>
    <w:rsid w:val="00334FE1"/>
    <w:rsid w:val="0033527D"/>
    <w:rsid w:val="00367B79"/>
    <w:rsid w:val="00372C02"/>
    <w:rsid w:val="00375574"/>
    <w:rsid w:val="00381520"/>
    <w:rsid w:val="00381E43"/>
    <w:rsid w:val="003850FA"/>
    <w:rsid w:val="00395336"/>
    <w:rsid w:val="003A1919"/>
    <w:rsid w:val="003A3130"/>
    <w:rsid w:val="003A61D0"/>
    <w:rsid w:val="003A664E"/>
    <w:rsid w:val="003A6BC6"/>
    <w:rsid w:val="003A768B"/>
    <w:rsid w:val="003B2820"/>
    <w:rsid w:val="003C7079"/>
    <w:rsid w:val="003D0040"/>
    <w:rsid w:val="003E2F10"/>
    <w:rsid w:val="003E5DA8"/>
    <w:rsid w:val="003E6E07"/>
    <w:rsid w:val="003F73DC"/>
    <w:rsid w:val="00405D08"/>
    <w:rsid w:val="00410D92"/>
    <w:rsid w:val="0041108B"/>
    <w:rsid w:val="004137FC"/>
    <w:rsid w:val="0041411E"/>
    <w:rsid w:val="00414329"/>
    <w:rsid w:val="00415755"/>
    <w:rsid w:val="004163DC"/>
    <w:rsid w:val="0042060F"/>
    <w:rsid w:val="0044349C"/>
    <w:rsid w:val="0044422F"/>
    <w:rsid w:val="00447BF7"/>
    <w:rsid w:val="0045162F"/>
    <w:rsid w:val="00462B88"/>
    <w:rsid w:val="00464968"/>
    <w:rsid w:val="004702F9"/>
    <w:rsid w:val="00471937"/>
    <w:rsid w:val="00473720"/>
    <w:rsid w:val="00473D8C"/>
    <w:rsid w:val="00473E71"/>
    <w:rsid w:val="0048476E"/>
    <w:rsid w:val="0049328C"/>
    <w:rsid w:val="004A2446"/>
    <w:rsid w:val="004A3DF0"/>
    <w:rsid w:val="004A5F91"/>
    <w:rsid w:val="004B0BCF"/>
    <w:rsid w:val="004B4426"/>
    <w:rsid w:val="004B5839"/>
    <w:rsid w:val="004B597C"/>
    <w:rsid w:val="004B6AA4"/>
    <w:rsid w:val="004C0DE4"/>
    <w:rsid w:val="004C32CA"/>
    <w:rsid w:val="004C533E"/>
    <w:rsid w:val="004D4D4C"/>
    <w:rsid w:val="004D5F2D"/>
    <w:rsid w:val="004D5FFB"/>
    <w:rsid w:val="004D6DA2"/>
    <w:rsid w:val="004E0DE8"/>
    <w:rsid w:val="00500AA7"/>
    <w:rsid w:val="00502403"/>
    <w:rsid w:val="0050753A"/>
    <w:rsid w:val="00535061"/>
    <w:rsid w:val="0053763A"/>
    <w:rsid w:val="00537AA1"/>
    <w:rsid w:val="005407AE"/>
    <w:rsid w:val="00550769"/>
    <w:rsid w:val="00551A3C"/>
    <w:rsid w:val="00553DA6"/>
    <w:rsid w:val="00572FCB"/>
    <w:rsid w:val="005732E8"/>
    <w:rsid w:val="00581341"/>
    <w:rsid w:val="00587515"/>
    <w:rsid w:val="005965BD"/>
    <w:rsid w:val="00597341"/>
    <w:rsid w:val="005A0678"/>
    <w:rsid w:val="005B0A19"/>
    <w:rsid w:val="005B1262"/>
    <w:rsid w:val="005B19A0"/>
    <w:rsid w:val="005B69D1"/>
    <w:rsid w:val="005B6B7B"/>
    <w:rsid w:val="005B79C3"/>
    <w:rsid w:val="005C13B0"/>
    <w:rsid w:val="005C5A49"/>
    <w:rsid w:val="005D684D"/>
    <w:rsid w:val="005D71FF"/>
    <w:rsid w:val="005E0EDB"/>
    <w:rsid w:val="005E38D2"/>
    <w:rsid w:val="005E468D"/>
    <w:rsid w:val="005E578F"/>
    <w:rsid w:val="005F0738"/>
    <w:rsid w:val="005F213D"/>
    <w:rsid w:val="005F353D"/>
    <w:rsid w:val="005F68C9"/>
    <w:rsid w:val="00604FB9"/>
    <w:rsid w:val="006065C6"/>
    <w:rsid w:val="00606E2B"/>
    <w:rsid w:val="00616AE0"/>
    <w:rsid w:val="0062639D"/>
    <w:rsid w:val="006265E6"/>
    <w:rsid w:val="006327AE"/>
    <w:rsid w:val="006349B3"/>
    <w:rsid w:val="00636F8C"/>
    <w:rsid w:val="00646D3E"/>
    <w:rsid w:val="006525BF"/>
    <w:rsid w:val="006620BB"/>
    <w:rsid w:val="00673C98"/>
    <w:rsid w:val="00681BF1"/>
    <w:rsid w:val="006903DE"/>
    <w:rsid w:val="00692B65"/>
    <w:rsid w:val="006934B3"/>
    <w:rsid w:val="00696BD2"/>
    <w:rsid w:val="006A207B"/>
    <w:rsid w:val="006B0A76"/>
    <w:rsid w:val="006B12CB"/>
    <w:rsid w:val="006B3417"/>
    <w:rsid w:val="006B7E71"/>
    <w:rsid w:val="006C7CB5"/>
    <w:rsid w:val="006D734A"/>
    <w:rsid w:val="006E0A7A"/>
    <w:rsid w:val="006F22D3"/>
    <w:rsid w:val="00702AF4"/>
    <w:rsid w:val="0070364B"/>
    <w:rsid w:val="0070411A"/>
    <w:rsid w:val="0070598C"/>
    <w:rsid w:val="00706C25"/>
    <w:rsid w:val="00717B50"/>
    <w:rsid w:val="0072023E"/>
    <w:rsid w:val="0072409B"/>
    <w:rsid w:val="00727E2A"/>
    <w:rsid w:val="007309BC"/>
    <w:rsid w:val="007348B9"/>
    <w:rsid w:val="00734FAA"/>
    <w:rsid w:val="00735545"/>
    <w:rsid w:val="00740AE8"/>
    <w:rsid w:val="00743A15"/>
    <w:rsid w:val="007444D1"/>
    <w:rsid w:val="00750801"/>
    <w:rsid w:val="00770F45"/>
    <w:rsid w:val="007730F7"/>
    <w:rsid w:val="0077360F"/>
    <w:rsid w:val="0077382E"/>
    <w:rsid w:val="007749EB"/>
    <w:rsid w:val="00774A8E"/>
    <w:rsid w:val="007816AD"/>
    <w:rsid w:val="0078285B"/>
    <w:rsid w:val="007A03F5"/>
    <w:rsid w:val="007B6214"/>
    <w:rsid w:val="007C49DC"/>
    <w:rsid w:val="007D724C"/>
    <w:rsid w:val="007E0D7B"/>
    <w:rsid w:val="007F18DD"/>
    <w:rsid w:val="007F5894"/>
    <w:rsid w:val="007F653B"/>
    <w:rsid w:val="007F6811"/>
    <w:rsid w:val="008019CC"/>
    <w:rsid w:val="00803543"/>
    <w:rsid w:val="00810B6B"/>
    <w:rsid w:val="00817FBF"/>
    <w:rsid w:val="00820330"/>
    <w:rsid w:val="00822EA9"/>
    <w:rsid w:val="008368DC"/>
    <w:rsid w:val="00836A85"/>
    <w:rsid w:val="00846EF4"/>
    <w:rsid w:val="0087455D"/>
    <w:rsid w:val="008759E1"/>
    <w:rsid w:val="00881E2D"/>
    <w:rsid w:val="008851BA"/>
    <w:rsid w:val="00897047"/>
    <w:rsid w:val="008A5215"/>
    <w:rsid w:val="008B449A"/>
    <w:rsid w:val="008B73A0"/>
    <w:rsid w:val="008B751C"/>
    <w:rsid w:val="008C242B"/>
    <w:rsid w:val="008C2F34"/>
    <w:rsid w:val="008C502B"/>
    <w:rsid w:val="008D4B44"/>
    <w:rsid w:val="008D5824"/>
    <w:rsid w:val="008E3A11"/>
    <w:rsid w:val="008F38CE"/>
    <w:rsid w:val="009000B3"/>
    <w:rsid w:val="00905696"/>
    <w:rsid w:val="00914540"/>
    <w:rsid w:val="00917CBF"/>
    <w:rsid w:val="009201BB"/>
    <w:rsid w:val="00920371"/>
    <w:rsid w:val="00921742"/>
    <w:rsid w:val="00922C5A"/>
    <w:rsid w:val="00932A84"/>
    <w:rsid w:val="00933104"/>
    <w:rsid w:val="00933D42"/>
    <w:rsid w:val="00936777"/>
    <w:rsid w:val="009429CD"/>
    <w:rsid w:val="00946EF3"/>
    <w:rsid w:val="00947AC7"/>
    <w:rsid w:val="0095185C"/>
    <w:rsid w:val="0095240C"/>
    <w:rsid w:val="00957BB0"/>
    <w:rsid w:val="0096413A"/>
    <w:rsid w:val="00966572"/>
    <w:rsid w:val="00967AE6"/>
    <w:rsid w:val="00982D30"/>
    <w:rsid w:val="00986BC3"/>
    <w:rsid w:val="00997791"/>
    <w:rsid w:val="009A44AE"/>
    <w:rsid w:val="009B7500"/>
    <w:rsid w:val="009C3A70"/>
    <w:rsid w:val="009D2FE9"/>
    <w:rsid w:val="009D3A75"/>
    <w:rsid w:val="009E3EFE"/>
    <w:rsid w:val="009E60DC"/>
    <w:rsid w:val="009F72E2"/>
    <w:rsid w:val="00A04067"/>
    <w:rsid w:val="00A10E3E"/>
    <w:rsid w:val="00A15C84"/>
    <w:rsid w:val="00A21068"/>
    <w:rsid w:val="00A22004"/>
    <w:rsid w:val="00A25E0B"/>
    <w:rsid w:val="00A42215"/>
    <w:rsid w:val="00A42D89"/>
    <w:rsid w:val="00A43951"/>
    <w:rsid w:val="00A51644"/>
    <w:rsid w:val="00A525D2"/>
    <w:rsid w:val="00A528F6"/>
    <w:rsid w:val="00A57F87"/>
    <w:rsid w:val="00A603FC"/>
    <w:rsid w:val="00A70FBD"/>
    <w:rsid w:val="00A728B8"/>
    <w:rsid w:val="00A87262"/>
    <w:rsid w:val="00A9001F"/>
    <w:rsid w:val="00A963CE"/>
    <w:rsid w:val="00AA57F3"/>
    <w:rsid w:val="00AA60F7"/>
    <w:rsid w:val="00AB210D"/>
    <w:rsid w:val="00AB2EE8"/>
    <w:rsid w:val="00AC6638"/>
    <w:rsid w:val="00AE2BD6"/>
    <w:rsid w:val="00AE6A67"/>
    <w:rsid w:val="00AE6A7A"/>
    <w:rsid w:val="00AF2C02"/>
    <w:rsid w:val="00AF3BD7"/>
    <w:rsid w:val="00AF58E4"/>
    <w:rsid w:val="00AF63AD"/>
    <w:rsid w:val="00AF7CC1"/>
    <w:rsid w:val="00B042F0"/>
    <w:rsid w:val="00B164AB"/>
    <w:rsid w:val="00B23451"/>
    <w:rsid w:val="00B2603D"/>
    <w:rsid w:val="00B4064B"/>
    <w:rsid w:val="00B41B96"/>
    <w:rsid w:val="00B54CB9"/>
    <w:rsid w:val="00B65242"/>
    <w:rsid w:val="00B70580"/>
    <w:rsid w:val="00B73F3F"/>
    <w:rsid w:val="00B85134"/>
    <w:rsid w:val="00B85358"/>
    <w:rsid w:val="00B9417E"/>
    <w:rsid w:val="00B97947"/>
    <w:rsid w:val="00BA2810"/>
    <w:rsid w:val="00BA4877"/>
    <w:rsid w:val="00BA5DA2"/>
    <w:rsid w:val="00BA77A3"/>
    <w:rsid w:val="00BC0CFF"/>
    <w:rsid w:val="00BC20E1"/>
    <w:rsid w:val="00BC5B63"/>
    <w:rsid w:val="00BD155E"/>
    <w:rsid w:val="00BD48D7"/>
    <w:rsid w:val="00BD5DFD"/>
    <w:rsid w:val="00BD612B"/>
    <w:rsid w:val="00BD798D"/>
    <w:rsid w:val="00BE53FC"/>
    <w:rsid w:val="00BF4030"/>
    <w:rsid w:val="00BF430B"/>
    <w:rsid w:val="00C02FEB"/>
    <w:rsid w:val="00C056D7"/>
    <w:rsid w:val="00C11CD7"/>
    <w:rsid w:val="00C17738"/>
    <w:rsid w:val="00C3421C"/>
    <w:rsid w:val="00C34E72"/>
    <w:rsid w:val="00C51D32"/>
    <w:rsid w:val="00C57CE4"/>
    <w:rsid w:val="00C754EF"/>
    <w:rsid w:val="00C75E8F"/>
    <w:rsid w:val="00C76523"/>
    <w:rsid w:val="00C76E99"/>
    <w:rsid w:val="00C806C3"/>
    <w:rsid w:val="00C84D3E"/>
    <w:rsid w:val="00C865E2"/>
    <w:rsid w:val="00C9307C"/>
    <w:rsid w:val="00C94305"/>
    <w:rsid w:val="00CA0FFD"/>
    <w:rsid w:val="00CA28EB"/>
    <w:rsid w:val="00CA3E73"/>
    <w:rsid w:val="00CA6898"/>
    <w:rsid w:val="00CB0B20"/>
    <w:rsid w:val="00CB4A28"/>
    <w:rsid w:val="00CB635B"/>
    <w:rsid w:val="00CC2DA1"/>
    <w:rsid w:val="00CD1935"/>
    <w:rsid w:val="00CD25F4"/>
    <w:rsid w:val="00CD4E34"/>
    <w:rsid w:val="00CE6CF1"/>
    <w:rsid w:val="00CF124B"/>
    <w:rsid w:val="00CF62F1"/>
    <w:rsid w:val="00D05BEF"/>
    <w:rsid w:val="00D07724"/>
    <w:rsid w:val="00D14DD4"/>
    <w:rsid w:val="00D15A5D"/>
    <w:rsid w:val="00D17DF5"/>
    <w:rsid w:val="00D32665"/>
    <w:rsid w:val="00D36043"/>
    <w:rsid w:val="00D36AA9"/>
    <w:rsid w:val="00D53AC2"/>
    <w:rsid w:val="00D60AC6"/>
    <w:rsid w:val="00D671CB"/>
    <w:rsid w:val="00D73E0A"/>
    <w:rsid w:val="00D75EC3"/>
    <w:rsid w:val="00D87BAF"/>
    <w:rsid w:val="00D9481D"/>
    <w:rsid w:val="00D973B1"/>
    <w:rsid w:val="00DA36AE"/>
    <w:rsid w:val="00DA58F5"/>
    <w:rsid w:val="00DA5E58"/>
    <w:rsid w:val="00DB407B"/>
    <w:rsid w:val="00DB4416"/>
    <w:rsid w:val="00DC50B5"/>
    <w:rsid w:val="00DD6FD5"/>
    <w:rsid w:val="00DD7EAA"/>
    <w:rsid w:val="00DE061D"/>
    <w:rsid w:val="00DE0FF0"/>
    <w:rsid w:val="00DF0785"/>
    <w:rsid w:val="00E0262B"/>
    <w:rsid w:val="00E03545"/>
    <w:rsid w:val="00E05401"/>
    <w:rsid w:val="00E11856"/>
    <w:rsid w:val="00E12D16"/>
    <w:rsid w:val="00E1622D"/>
    <w:rsid w:val="00E16B90"/>
    <w:rsid w:val="00E250BA"/>
    <w:rsid w:val="00E25299"/>
    <w:rsid w:val="00E26031"/>
    <w:rsid w:val="00E2776E"/>
    <w:rsid w:val="00E32EC0"/>
    <w:rsid w:val="00E365AE"/>
    <w:rsid w:val="00E409C8"/>
    <w:rsid w:val="00E44C18"/>
    <w:rsid w:val="00E54721"/>
    <w:rsid w:val="00E55408"/>
    <w:rsid w:val="00E566B9"/>
    <w:rsid w:val="00E70441"/>
    <w:rsid w:val="00E74D46"/>
    <w:rsid w:val="00E753BE"/>
    <w:rsid w:val="00E75F43"/>
    <w:rsid w:val="00E81A5E"/>
    <w:rsid w:val="00E904E2"/>
    <w:rsid w:val="00E97C9D"/>
    <w:rsid w:val="00E97D87"/>
    <w:rsid w:val="00EA1E13"/>
    <w:rsid w:val="00EA4ED8"/>
    <w:rsid w:val="00EA6709"/>
    <w:rsid w:val="00EB54CD"/>
    <w:rsid w:val="00EB7379"/>
    <w:rsid w:val="00EC25F4"/>
    <w:rsid w:val="00EE2914"/>
    <w:rsid w:val="00EE35E8"/>
    <w:rsid w:val="00EE500E"/>
    <w:rsid w:val="00EF1332"/>
    <w:rsid w:val="00EF6D8E"/>
    <w:rsid w:val="00F0136A"/>
    <w:rsid w:val="00F04691"/>
    <w:rsid w:val="00F0469D"/>
    <w:rsid w:val="00F15777"/>
    <w:rsid w:val="00F1632A"/>
    <w:rsid w:val="00F17C35"/>
    <w:rsid w:val="00F20E7C"/>
    <w:rsid w:val="00F218EE"/>
    <w:rsid w:val="00F34D00"/>
    <w:rsid w:val="00F404C0"/>
    <w:rsid w:val="00F46D29"/>
    <w:rsid w:val="00F54527"/>
    <w:rsid w:val="00F73CB1"/>
    <w:rsid w:val="00F75158"/>
    <w:rsid w:val="00F75C77"/>
    <w:rsid w:val="00F81199"/>
    <w:rsid w:val="00F86E4E"/>
    <w:rsid w:val="00F91F4B"/>
    <w:rsid w:val="00F963E9"/>
    <w:rsid w:val="00FA6FE7"/>
    <w:rsid w:val="00FB3E1C"/>
    <w:rsid w:val="00FB453E"/>
    <w:rsid w:val="00FC2207"/>
    <w:rsid w:val="00FC4273"/>
    <w:rsid w:val="00FC4C40"/>
    <w:rsid w:val="00FE63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BCF55"/>
  <w15:chartTrackingRefBased/>
  <w15:docId w15:val="{CAB2486B-913E-41FC-BD7D-9B897406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98" w:qFormat="1"/>
    <w:lsdException w:name="heading 1" w:uiPriority="4" w:qFormat="1"/>
    <w:lsdException w:name="heading 2" w:semiHidden="1" w:uiPriority="4" w:unhideWhenUsed="1" w:qFormat="1"/>
    <w:lsdException w:name="heading 3" w:semiHidden="1" w:uiPriority="9" w:unhideWhenUsed="1" w:qFormat="1"/>
    <w:lsdException w:name="heading 4" w:semiHidden="1" w:uiPriority="98"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53763A"/>
    <w:pPr>
      <w:spacing w:after="200" w:line="276" w:lineRule="auto"/>
    </w:pPr>
    <w:rPr>
      <w:rFonts w:ascii="Arial" w:hAnsi="Arial"/>
    </w:rPr>
  </w:style>
  <w:style w:type="paragraph" w:styleId="Heading1">
    <w:name w:val="heading 1"/>
    <w:aliases w:val="CAB Section Heading"/>
    <w:next w:val="BodyText"/>
    <w:link w:val="Heading1Char"/>
    <w:uiPriority w:val="4"/>
    <w:qFormat/>
    <w:rsid w:val="00C3421C"/>
    <w:pPr>
      <w:keepNext/>
      <w:keepLines/>
      <w:numPr>
        <w:numId w:val="5"/>
      </w:numPr>
      <w:tabs>
        <w:tab w:val="left" w:pos="567"/>
      </w:tabs>
      <w:spacing w:before="240" w:after="200" w:line="240" w:lineRule="auto"/>
      <w:outlineLvl w:val="0"/>
    </w:pPr>
    <w:rPr>
      <w:rFonts w:ascii="Arial" w:eastAsiaTheme="majorEastAsia" w:hAnsi="Arial" w:cstheme="majorBidi"/>
      <w:b/>
      <w:bCs/>
      <w:color w:val="003865"/>
      <w:sz w:val="28"/>
      <w:szCs w:val="28"/>
    </w:rPr>
  </w:style>
  <w:style w:type="paragraph" w:styleId="Heading2">
    <w:name w:val="heading 2"/>
    <w:aliases w:val="Heading 2 Cab"/>
    <w:next w:val="Normal"/>
    <w:link w:val="Heading2Char"/>
    <w:uiPriority w:val="4"/>
    <w:rsid w:val="00C3421C"/>
    <w:pPr>
      <w:keepNext/>
      <w:keepLines/>
      <w:spacing w:before="200" w:after="0" w:line="240" w:lineRule="auto"/>
      <w:outlineLvl w:val="1"/>
    </w:pPr>
    <w:rPr>
      <w:rFonts w:ascii="Arial" w:eastAsiaTheme="majorEastAsia" w:hAnsi="Arial" w:cstheme="majorBidi"/>
      <w:b/>
      <w:bCs/>
      <w:sz w:val="24"/>
      <w:szCs w:val="32"/>
    </w:rPr>
  </w:style>
  <w:style w:type="paragraph" w:styleId="Heading3">
    <w:name w:val="heading 3"/>
    <w:basedOn w:val="Normal"/>
    <w:next w:val="Normal"/>
    <w:link w:val="Heading3Char"/>
    <w:uiPriority w:val="9"/>
    <w:unhideWhenUsed/>
    <w:qFormat/>
    <w:rsid w:val="00DA36AE"/>
    <w:pPr>
      <w:keepNext/>
      <w:keepLines/>
      <w:spacing w:before="120" w:after="120"/>
      <w:outlineLvl w:val="2"/>
    </w:pPr>
    <w:rPr>
      <w:rFonts w:asciiTheme="majorHAnsi" w:eastAsiaTheme="majorEastAsia" w:hAnsiTheme="majorHAnsi" w:cstheme="majorBidi"/>
      <w:b/>
      <w:i/>
      <w:color w:val="1F3763" w:themeColor="accent1" w:themeShade="7F"/>
      <w:sz w:val="24"/>
      <w:szCs w:val="24"/>
    </w:rPr>
  </w:style>
  <w:style w:type="paragraph" w:styleId="Heading4">
    <w:name w:val="heading 4"/>
    <w:basedOn w:val="Normal"/>
    <w:next w:val="Normal"/>
    <w:link w:val="Heading4Char"/>
    <w:uiPriority w:val="98"/>
    <w:semiHidden/>
    <w:qFormat/>
    <w:rsid w:val="00C3421C"/>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B Section Heading Char"/>
    <w:basedOn w:val="DefaultParagraphFont"/>
    <w:link w:val="Heading1"/>
    <w:uiPriority w:val="4"/>
    <w:rsid w:val="00C3421C"/>
    <w:rPr>
      <w:rFonts w:ascii="Arial" w:eastAsiaTheme="majorEastAsia" w:hAnsi="Arial" w:cstheme="majorBidi"/>
      <w:b/>
      <w:bCs/>
      <w:color w:val="003865"/>
      <w:sz w:val="28"/>
      <w:szCs w:val="28"/>
    </w:rPr>
  </w:style>
  <w:style w:type="character" w:customStyle="1" w:styleId="Heading2Char">
    <w:name w:val="Heading 2 Char"/>
    <w:aliases w:val="Heading 2 Cab Char"/>
    <w:basedOn w:val="DefaultParagraphFont"/>
    <w:link w:val="Heading2"/>
    <w:uiPriority w:val="4"/>
    <w:rsid w:val="00C3421C"/>
    <w:rPr>
      <w:rFonts w:ascii="Arial" w:eastAsiaTheme="majorEastAsia" w:hAnsi="Arial" w:cstheme="majorBidi"/>
      <w:b/>
      <w:bCs/>
      <w:sz w:val="24"/>
      <w:szCs w:val="32"/>
    </w:rPr>
  </w:style>
  <w:style w:type="character" w:customStyle="1" w:styleId="Heading4Char">
    <w:name w:val="Heading 4 Char"/>
    <w:basedOn w:val="DefaultParagraphFont"/>
    <w:link w:val="Heading4"/>
    <w:uiPriority w:val="98"/>
    <w:semiHidden/>
    <w:rsid w:val="00C3421C"/>
    <w:rPr>
      <w:rFonts w:ascii="Arial" w:eastAsiaTheme="majorEastAsia" w:hAnsi="Arial" w:cstheme="majorBidi"/>
      <w:b/>
      <w:bCs/>
      <w:iCs/>
    </w:rPr>
  </w:style>
  <w:style w:type="paragraph" w:styleId="BodyText">
    <w:name w:val="Body Text"/>
    <w:aliases w:val="CAB Body Text"/>
    <w:link w:val="BodyTextChar"/>
    <w:qFormat/>
    <w:rsid w:val="00C3421C"/>
    <w:pPr>
      <w:spacing w:before="120" w:after="0" w:line="240" w:lineRule="auto"/>
    </w:pPr>
    <w:rPr>
      <w:rFonts w:ascii="Arial" w:hAnsi="Arial"/>
    </w:rPr>
  </w:style>
  <w:style w:type="character" w:customStyle="1" w:styleId="BodyTextChar">
    <w:name w:val="Body Text Char"/>
    <w:aliases w:val="CAB Body Text Char"/>
    <w:basedOn w:val="DefaultParagraphFont"/>
    <w:link w:val="BodyText"/>
    <w:rsid w:val="00C3421C"/>
    <w:rPr>
      <w:rFonts w:ascii="Arial" w:hAnsi="Arial"/>
    </w:rPr>
  </w:style>
  <w:style w:type="paragraph" w:customStyle="1" w:styleId="ProtectiveMarking">
    <w:name w:val="Protective Marking"/>
    <w:link w:val="ProtectiveMarkingChar"/>
    <w:uiPriority w:val="15"/>
    <w:semiHidden/>
    <w:qFormat/>
    <w:rsid w:val="00C3421C"/>
    <w:pPr>
      <w:spacing w:after="0" w:line="240" w:lineRule="auto"/>
      <w:jc w:val="center"/>
    </w:pPr>
    <w:rPr>
      <w:rFonts w:ascii="Arial" w:hAnsi="Arial"/>
      <w:b/>
      <w:color w:val="FF0000"/>
      <w:sz w:val="30"/>
    </w:rPr>
  </w:style>
  <w:style w:type="character" w:styleId="PageNumber">
    <w:name w:val="page number"/>
    <w:basedOn w:val="DefaultParagraphFont"/>
    <w:uiPriority w:val="99"/>
    <w:semiHidden/>
    <w:unhideWhenUsed/>
    <w:rsid w:val="00C3421C"/>
  </w:style>
  <w:style w:type="character" w:styleId="CommentReference">
    <w:name w:val="annotation reference"/>
    <w:basedOn w:val="DefaultParagraphFont"/>
    <w:uiPriority w:val="99"/>
    <w:semiHidden/>
    <w:unhideWhenUsed/>
    <w:rsid w:val="00C3421C"/>
    <w:rPr>
      <w:sz w:val="16"/>
      <w:szCs w:val="16"/>
    </w:rPr>
  </w:style>
  <w:style w:type="paragraph" w:styleId="CommentText">
    <w:name w:val="annotation text"/>
    <w:basedOn w:val="Normal"/>
    <w:link w:val="CommentTextChar"/>
    <w:uiPriority w:val="99"/>
    <w:unhideWhenUsed/>
    <w:rsid w:val="00C3421C"/>
    <w:rPr>
      <w:sz w:val="20"/>
      <w:szCs w:val="20"/>
    </w:rPr>
  </w:style>
  <w:style w:type="character" w:customStyle="1" w:styleId="CommentTextChar">
    <w:name w:val="Comment Text Char"/>
    <w:basedOn w:val="DefaultParagraphFont"/>
    <w:link w:val="CommentText"/>
    <w:uiPriority w:val="99"/>
    <w:rsid w:val="00C3421C"/>
    <w:rPr>
      <w:rFonts w:ascii="Arial" w:hAnsi="Arial"/>
      <w:sz w:val="20"/>
      <w:szCs w:val="20"/>
    </w:rPr>
  </w:style>
  <w:style w:type="paragraph" w:customStyle="1" w:styleId="CABH2">
    <w:name w:val="CAB H2"/>
    <w:basedOn w:val="Normal"/>
    <w:link w:val="CABH2Char"/>
    <w:uiPriority w:val="98"/>
    <w:qFormat/>
    <w:rsid w:val="00C3421C"/>
    <w:pPr>
      <w:keepNext/>
      <w:keepLines/>
      <w:tabs>
        <w:tab w:val="left" w:pos="567"/>
      </w:tabs>
      <w:spacing w:before="240"/>
      <w:outlineLvl w:val="0"/>
    </w:pPr>
    <w:rPr>
      <w:rFonts w:eastAsiaTheme="majorEastAsia" w:cstheme="majorBidi"/>
      <w:b/>
      <w:bCs/>
      <w:color w:val="003865"/>
      <w:sz w:val="24"/>
      <w:szCs w:val="28"/>
    </w:rPr>
  </w:style>
  <w:style w:type="character" w:customStyle="1" w:styleId="CABH2Char">
    <w:name w:val="CAB H2 Char"/>
    <w:basedOn w:val="DefaultParagraphFont"/>
    <w:link w:val="CABH2"/>
    <w:uiPriority w:val="98"/>
    <w:rsid w:val="00C3421C"/>
    <w:rPr>
      <w:rFonts w:ascii="Arial" w:eastAsiaTheme="majorEastAsia" w:hAnsi="Arial" w:cstheme="majorBidi"/>
      <w:b/>
      <w:bCs/>
      <w:color w:val="003865"/>
      <w:sz w:val="24"/>
      <w:szCs w:val="28"/>
    </w:rPr>
  </w:style>
  <w:style w:type="paragraph" w:styleId="Footer">
    <w:name w:val="footer"/>
    <w:basedOn w:val="Normal"/>
    <w:link w:val="FooterChar"/>
    <w:uiPriority w:val="99"/>
    <w:unhideWhenUsed/>
    <w:rsid w:val="00C3421C"/>
    <w:pPr>
      <w:tabs>
        <w:tab w:val="center" w:pos="4513"/>
        <w:tab w:val="right" w:pos="9026"/>
      </w:tabs>
      <w:spacing w:after="0"/>
    </w:pPr>
  </w:style>
  <w:style w:type="character" w:customStyle="1" w:styleId="FooterChar">
    <w:name w:val="Footer Char"/>
    <w:basedOn w:val="DefaultParagraphFont"/>
    <w:link w:val="Footer"/>
    <w:uiPriority w:val="99"/>
    <w:rsid w:val="00C3421C"/>
    <w:rPr>
      <w:rFonts w:ascii="Arial" w:hAnsi="Arial"/>
    </w:rPr>
  </w:style>
  <w:style w:type="paragraph" w:customStyle="1" w:styleId="PageRefCab">
    <w:name w:val="Page Ref Cab"/>
    <w:uiPriority w:val="98"/>
    <w:semiHidden/>
    <w:rsid w:val="00C3421C"/>
    <w:pPr>
      <w:framePr w:wrap="around" w:vAnchor="text" w:hAnchor="page" w:x="9403" w:y="139"/>
      <w:spacing w:after="200" w:line="240" w:lineRule="auto"/>
    </w:pPr>
    <w:rPr>
      <w:rFonts w:ascii="Arial" w:hAnsi="Arial"/>
      <w:sz w:val="18"/>
      <w:szCs w:val="18"/>
    </w:rPr>
  </w:style>
  <w:style w:type="paragraph" w:customStyle="1" w:styleId="CABFooter">
    <w:name w:val="CAB Footer"/>
    <w:basedOn w:val="Normal"/>
    <w:rsid w:val="00C3421C"/>
    <w:pPr>
      <w:tabs>
        <w:tab w:val="right" w:pos="7513"/>
      </w:tabs>
      <w:spacing w:after="0"/>
      <w:ind w:right="357"/>
      <w:jc w:val="center"/>
    </w:pPr>
    <w:rPr>
      <w:rFonts w:ascii="Times New Roman" w:hAnsi="Times New Roman"/>
      <w:sz w:val="18"/>
      <w:szCs w:val="18"/>
    </w:rPr>
  </w:style>
  <w:style w:type="paragraph" w:styleId="ListParagraph">
    <w:name w:val="List Paragraph"/>
    <w:aliases w:val="CAB - List Bullet,List Bullet Cab,Bullet Point,Bullet point,Bullet points,Bulleted Para,CV text,Content descriptions,Dot pt,L,List Paragraph Number,List Paragraph1,List Paragraph11,List Paragraph2,NFP GP Bulleted List,Recommendation,列出段落"/>
    <w:basedOn w:val="BodyText"/>
    <w:link w:val="ListParagraphChar"/>
    <w:uiPriority w:val="34"/>
    <w:qFormat/>
    <w:rsid w:val="00C3421C"/>
    <w:pPr>
      <w:tabs>
        <w:tab w:val="left" w:pos="851"/>
      </w:tabs>
      <w:spacing w:before="0"/>
      <w:ind w:left="851" w:hanging="284"/>
      <w:contextualSpacing/>
    </w:pPr>
  </w:style>
  <w:style w:type="paragraph" w:customStyle="1" w:styleId="CABNumberedParagraph">
    <w:name w:val="CAB Numbered Paragraph"/>
    <w:basedOn w:val="Normal"/>
    <w:uiPriority w:val="98"/>
    <w:rsid w:val="00C3421C"/>
    <w:pPr>
      <w:numPr>
        <w:ilvl w:val="1"/>
        <w:numId w:val="5"/>
      </w:numPr>
    </w:pPr>
  </w:style>
  <w:style w:type="character" w:customStyle="1" w:styleId="ProtectiveMarkingChar">
    <w:name w:val="Protective Marking Char"/>
    <w:basedOn w:val="DefaultParagraphFont"/>
    <w:link w:val="ProtectiveMarking"/>
    <w:uiPriority w:val="15"/>
    <w:semiHidden/>
    <w:rsid w:val="00C3421C"/>
    <w:rPr>
      <w:rFonts w:ascii="Arial" w:hAnsi="Arial"/>
      <w:b/>
      <w:color w:val="FF0000"/>
      <w:sz w:val="30"/>
    </w:rPr>
  </w:style>
  <w:style w:type="character" w:customStyle="1" w:styleId="TOCLevel1Char">
    <w:name w:val="TOCLevel1 Char"/>
    <w:basedOn w:val="DefaultParagraphFont"/>
    <w:link w:val="TOCLevel1"/>
    <w:uiPriority w:val="98"/>
    <w:locked/>
    <w:rsid w:val="00C3421C"/>
    <w:rPr>
      <w:rFonts w:ascii="Arial" w:eastAsiaTheme="majorEastAsia" w:hAnsi="Arial" w:cstheme="majorBidi"/>
      <w:b/>
      <w:bCs/>
      <w:color w:val="003865"/>
      <w:sz w:val="24"/>
      <w:szCs w:val="28"/>
    </w:rPr>
  </w:style>
  <w:style w:type="paragraph" w:customStyle="1" w:styleId="TOCLevel1">
    <w:name w:val="TOCLevel1"/>
    <w:basedOn w:val="Normal"/>
    <w:link w:val="TOCLevel1Char"/>
    <w:uiPriority w:val="98"/>
    <w:qFormat/>
    <w:rsid w:val="00C3421C"/>
    <w:pPr>
      <w:keepNext/>
      <w:keepLines/>
      <w:tabs>
        <w:tab w:val="left" w:pos="567"/>
      </w:tabs>
      <w:spacing w:before="240" w:line="240" w:lineRule="auto"/>
      <w:jc w:val="right"/>
      <w:outlineLvl w:val="0"/>
    </w:pPr>
    <w:rPr>
      <w:rFonts w:eastAsiaTheme="majorEastAsia" w:cstheme="majorBidi"/>
      <w:b/>
      <w:bCs/>
      <w:color w:val="003865"/>
      <w:sz w:val="24"/>
      <w:szCs w:val="28"/>
    </w:rPr>
  </w:style>
  <w:style w:type="table" w:styleId="GridTable1Light-Accent1">
    <w:name w:val="Grid Table 1 Light Accent 1"/>
    <w:basedOn w:val="TableNormal"/>
    <w:uiPriority w:val="46"/>
    <w:rsid w:val="00C3421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C34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21C"/>
    <w:rPr>
      <w:rFonts w:ascii="Segoe UI" w:hAnsi="Segoe UI" w:cs="Segoe UI"/>
      <w:sz w:val="18"/>
      <w:szCs w:val="18"/>
    </w:rPr>
  </w:style>
  <w:style w:type="paragraph" w:styleId="Header">
    <w:name w:val="header"/>
    <w:basedOn w:val="Normal"/>
    <w:link w:val="HeaderChar"/>
    <w:uiPriority w:val="99"/>
    <w:unhideWhenUsed/>
    <w:rsid w:val="00C342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21C"/>
    <w:rPr>
      <w:rFonts w:ascii="Arial" w:hAnsi="Arial"/>
    </w:rPr>
  </w:style>
  <w:style w:type="paragraph" w:styleId="CommentSubject">
    <w:name w:val="annotation subject"/>
    <w:basedOn w:val="CommentText"/>
    <w:next w:val="CommentText"/>
    <w:link w:val="CommentSubjectChar"/>
    <w:uiPriority w:val="99"/>
    <w:semiHidden/>
    <w:unhideWhenUsed/>
    <w:rsid w:val="0042060F"/>
    <w:pPr>
      <w:spacing w:line="240" w:lineRule="auto"/>
    </w:pPr>
    <w:rPr>
      <w:b/>
      <w:bCs/>
    </w:rPr>
  </w:style>
  <w:style w:type="character" w:customStyle="1" w:styleId="CommentSubjectChar">
    <w:name w:val="Comment Subject Char"/>
    <w:basedOn w:val="CommentTextChar"/>
    <w:link w:val="CommentSubject"/>
    <w:uiPriority w:val="99"/>
    <w:semiHidden/>
    <w:rsid w:val="0042060F"/>
    <w:rPr>
      <w:rFonts w:ascii="Arial" w:hAnsi="Arial"/>
      <w:b/>
      <w:bCs/>
      <w:sz w:val="20"/>
      <w:szCs w:val="20"/>
    </w:rPr>
  </w:style>
  <w:style w:type="paragraph" w:styleId="FootnoteText">
    <w:name w:val="footnote text"/>
    <w:basedOn w:val="Normal"/>
    <w:link w:val="FootnoteTextChar"/>
    <w:uiPriority w:val="99"/>
    <w:unhideWhenUsed/>
    <w:rsid w:val="008759E1"/>
    <w:pPr>
      <w:spacing w:after="0" w:line="240" w:lineRule="auto"/>
    </w:pPr>
    <w:rPr>
      <w:sz w:val="20"/>
      <w:szCs w:val="20"/>
    </w:rPr>
  </w:style>
  <w:style w:type="character" w:customStyle="1" w:styleId="FootnoteTextChar">
    <w:name w:val="Footnote Text Char"/>
    <w:basedOn w:val="DefaultParagraphFont"/>
    <w:link w:val="FootnoteText"/>
    <w:uiPriority w:val="99"/>
    <w:rsid w:val="008759E1"/>
    <w:rPr>
      <w:rFonts w:ascii="Arial" w:hAnsi="Arial"/>
      <w:sz w:val="20"/>
      <w:szCs w:val="20"/>
    </w:rPr>
  </w:style>
  <w:style w:type="character" w:styleId="FootnoteReference">
    <w:name w:val="footnote reference"/>
    <w:basedOn w:val="DefaultParagraphFont"/>
    <w:uiPriority w:val="99"/>
    <w:semiHidden/>
    <w:unhideWhenUsed/>
    <w:rsid w:val="008759E1"/>
    <w:rPr>
      <w:vertAlign w:val="superscript"/>
    </w:rPr>
  </w:style>
  <w:style w:type="character" w:customStyle="1" w:styleId="Heading3Char">
    <w:name w:val="Heading 3 Char"/>
    <w:basedOn w:val="DefaultParagraphFont"/>
    <w:link w:val="Heading3"/>
    <w:uiPriority w:val="9"/>
    <w:rsid w:val="00DA36AE"/>
    <w:rPr>
      <w:rFonts w:asciiTheme="majorHAnsi" w:eastAsiaTheme="majorEastAsia" w:hAnsiTheme="majorHAnsi" w:cstheme="majorBidi"/>
      <w:b/>
      <w:i/>
      <w:color w:val="1F3763" w:themeColor="accent1" w:themeShade="7F"/>
      <w:sz w:val="24"/>
      <w:szCs w:val="24"/>
    </w:rPr>
  </w:style>
  <w:style w:type="character" w:customStyle="1" w:styleId="ListParagraphChar">
    <w:name w:val="List Paragraph Char"/>
    <w:aliases w:val="CAB - List Bullet Char,List Bullet Cab Char,Bullet Point Char,Bullet point Char,Bullet points Char,Bulleted Para Char,CV text Char,Content descriptions Char,Dot pt Char,L Char,List Paragraph Number Char,List Paragraph1 Char,列出段落 Char"/>
    <w:basedOn w:val="DefaultParagraphFont"/>
    <w:link w:val="ListParagraph"/>
    <w:uiPriority w:val="34"/>
    <w:qFormat/>
    <w:locked/>
    <w:rsid w:val="00CB635B"/>
    <w:rPr>
      <w:rFonts w:ascii="Arial" w:hAnsi="Arial"/>
    </w:rPr>
  </w:style>
  <w:style w:type="character" w:styleId="Hyperlink">
    <w:name w:val="Hyperlink"/>
    <w:basedOn w:val="DefaultParagraphFont"/>
    <w:uiPriority w:val="99"/>
    <w:unhideWhenUsed/>
    <w:rsid w:val="00D671CB"/>
    <w:rPr>
      <w:color w:val="467886"/>
      <w:u w:val="single"/>
    </w:rPr>
  </w:style>
  <w:style w:type="paragraph" w:styleId="NormalWeb">
    <w:name w:val="Normal (Web)"/>
    <w:basedOn w:val="Normal"/>
    <w:uiPriority w:val="99"/>
    <w:semiHidden/>
    <w:unhideWhenUsed/>
    <w:rsid w:val="00D671CB"/>
    <w:pPr>
      <w:spacing w:before="100" w:beforeAutospacing="1" w:after="100" w:afterAutospacing="1" w:line="240" w:lineRule="auto"/>
    </w:pPr>
    <w:rPr>
      <w:rFonts w:ascii="Calibri" w:hAnsi="Calibri" w:cs="Calibri"/>
      <w:lang w:eastAsia="en-AU"/>
    </w:rPr>
  </w:style>
  <w:style w:type="character" w:customStyle="1" w:styleId="apple-converted-space">
    <w:name w:val="apple-converted-space"/>
    <w:basedOn w:val="DefaultParagraphFont"/>
    <w:rsid w:val="00D671CB"/>
  </w:style>
  <w:style w:type="character" w:styleId="FollowedHyperlink">
    <w:name w:val="FollowedHyperlink"/>
    <w:basedOn w:val="DefaultParagraphFont"/>
    <w:uiPriority w:val="99"/>
    <w:semiHidden/>
    <w:unhideWhenUsed/>
    <w:rsid w:val="00B164AB"/>
    <w:rPr>
      <w:color w:val="954F72" w:themeColor="followedHyperlink"/>
      <w:u w:val="single"/>
    </w:rPr>
  </w:style>
  <w:style w:type="paragraph" w:styleId="Title">
    <w:name w:val="Title"/>
    <w:basedOn w:val="Normal"/>
    <w:next w:val="Normal"/>
    <w:link w:val="TitleChar"/>
    <w:uiPriority w:val="10"/>
    <w:qFormat/>
    <w:rsid w:val="008B75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51C"/>
    <w:rPr>
      <w:rFonts w:asciiTheme="majorHAnsi" w:eastAsiaTheme="majorEastAsia" w:hAnsiTheme="majorHAnsi" w:cstheme="majorBidi"/>
      <w:spacing w:val="-10"/>
      <w:kern w:val="28"/>
      <w:sz w:val="56"/>
      <w:szCs w:val="56"/>
    </w:rPr>
  </w:style>
  <w:style w:type="paragraph" w:styleId="Revision">
    <w:name w:val="Revision"/>
    <w:hidden/>
    <w:uiPriority w:val="99"/>
    <w:semiHidden/>
    <w:rsid w:val="000A31BD"/>
    <w:pPr>
      <w:spacing w:after="0" w:line="240" w:lineRule="auto"/>
    </w:pPr>
    <w:rPr>
      <w:rFonts w:ascii="Arial" w:hAnsi="Arial"/>
    </w:rPr>
  </w:style>
  <w:style w:type="table" w:styleId="PlainTable1">
    <w:name w:val="Plain Table 1"/>
    <w:basedOn w:val="TableNormal"/>
    <w:uiPriority w:val="41"/>
    <w:rsid w:val="004D5F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E9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6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76325">
      <w:bodyDiv w:val="1"/>
      <w:marLeft w:val="0"/>
      <w:marRight w:val="0"/>
      <w:marTop w:val="0"/>
      <w:marBottom w:val="0"/>
      <w:divBdr>
        <w:top w:val="none" w:sz="0" w:space="0" w:color="auto"/>
        <w:left w:val="none" w:sz="0" w:space="0" w:color="auto"/>
        <w:bottom w:val="none" w:sz="0" w:space="0" w:color="auto"/>
        <w:right w:val="none" w:sz="0" w:space="0" w:color="auto"/>
      </w:divBdr>
    </w:div>
    <w:div w:id="183992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988FC-ADAB-4106-AE3F-F91CAC2E9C0F}">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 id="{b64cc150-0c71-4c9d-aecf-1a5dd655e3e9}" enabled="1" method="Privileged" siteId="{5d2dd196-0646-4419-8922-440f7d464cf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16</Pages>
  <Words>5322</Words>
  <Characters>30235</Characters>
  <Application>Microsoft Office Word</Application>
  <DocSecurity>4</DocSecurity>
  <Lines>671</Lines>
  <Paragraphs>273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 Jonina</dc:creator>
  <cp:keywords/>
  <dc:description/>
  <cp:lastModifiedBy>SCHEIDEL, Fiona</cp:lastModifiedBy>
  <cp:revision>2</cp:revision>
  <cp:lastPrinted>2026-04-13T06:53:00Z</cp:lastPrinted>
  <dcterms:created xsi:type="dcterms:W3CDTF">2026-04-14T01:14:00Z</dcterms:created>
  <dcterms:modified xsi:type="dcterms:W3CDTF">2026-04-14T01:14:00Z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36d58500,9e35cba,519cca66</vt:lpwstr>
  </property>
  <property fmtid="{D5CDD505-2E9C-101B-9397-08002B2CF9AE}" pid="3" name="ClassificationContentMarkingHeaderFontProps">
    <vt:lpwstr>#ff0000,12,Aptos</vt:lpwstr>
  </property>
  <property fmtid="{D5CDD505-2E9C-101B-9397-08002B2CF9AE}" pid="4" name="ClassificationContentMarkingHeaderText">
    <vt:lpwstr>PROTECTED//CABINET</vt:lpwstr>
  </property>
  <property fmtid="{D5CDD505-2E9C-101B-9397-08002B2CF9AE}" pid="5" name="ClassificationContentMarkingFooterShapeIds">
    <vt:lpwstr>361f36ff,7ef3bee2,58afd79d,2e0dd635</vt:lpwstr>
  </property>
  <property fmtid="{D5CDD505-2E9C-101B-9397-08002B2CF9AE}" pid="6" name="ClassificationContentMarkingFooterFontProps">
    <vt:lpwstr>#ff0000,12,Aptos</vt:lpwstr>
  </property>
  <property fmtid="{D5CDD505-2E9C-101B-9397-08002B2CF9AE}" pid="7" name="ClassificationContentMarkingFooterText">
    <vt:lpwstr>PROTECTED//CABINET</vt:lpwstr>
  </property>
</Properties>
</file>