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40AF9" w14:textId="18D68238" w:rsidR="008456D5" w:rsidRDefault="00AD1F5B" w:rsidP="00AD1F5B">
      <w:pPr>
        <w:spacing w:before="0" w:after="1080"/>
      </w:pPr>
      <w:r>
        <w:rPr>
          <w:noProof/>
          <w:lang w:eastAsia="en-AU"/>
        </w:rPr>
        <w:drawing>
          <wp:inline distT="0" distB="0" distL="0" distR="0" wp14:anchorId="6D787090" wp14:editId="784E5796">
            <wp:extent cx="2843077" cy="597528"/>
            <wp:effectExtent l="0" t="0" r="1905" b="0"/>
            <wp:docPr id="5" name="Picture 5" descr="Australian Government. 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Infrastructure, Transport, Regional Development and Communication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07588" cy="611086"/>
                    </a:xfrm>
                    <a:prstGeom prst="rect">
                      <a:avLst/>
                    </a:prstGeom>
                  </pic:spPr>
                </pic:pic>
              </a:graphicData>
            </a:graphic>
          </wp:inline>
        </w:drawing>
      </w:r>
      <w:r>
        <w:tab/>
      </w:r>
      <w:r>
        <w:rPr>
          <w:noProof/>
          <w:lang w:eastAsia="en-AU"/>
        </w:rPr>
        <w:drawing>
          <wp:inline distT="0" distB="0" distL="0" distR="0" wp14:anchorId="1F088E4B" wp14:editId="6D40F650">
            <wp:extent cx="2670772" cy="669271"/>
            <wp:effectExtent l="0" t="0" r="0" b="4445"/>
            <wp:docPr id="2" name="Picture 2" descr="Bureau of Communications, Arts and Regional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ureau of Communications, Arts and Regional Research."/>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96327" cy="675675"/>
                    </a:xfrm>
                    <a:prstGeom prst="rect">
                      <a:avLst/>
                    </a:prstGeom>
                  </pic:spPr>
                </pic:pic>
              </a:graphicData>
            </a:graphic>
          </wp:inline>
        </w:drawing>
      </w:r>
    </w:p>
    <w:p w14:paraId="01FAE9F2" w14:textId="77777777" w:rsidR="00E2218A" w:rsidRDefault="00E2218A">
      <w:pPr>
        <w:sectPr w:rsidR="00E2218A" w:rsidSect="002A22BD">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21" w:right="1021" w:bottom="1021" w:left="1021" w:header="0" w:footer="0" w:gutter="0"/>
          <w:cols w:space="708"/>
          <w:titlePg/>
          <w:docGrid w:linePitch="360"/>
          <w15:footnoteColumns w:val="1"/>
        </w:sectPr>
      </w:pPr>
    </w:p>
    <w:sdt>
      <w:sdtPr>
        <w:alias w:val="Title"/>
        <w:tag w:val=""/>
        <w:id w:val="975726233"/>
        <w:placeholder>
          <w:docPart w:val="F471757B960341A3B8037B8720B80E37"/>
        </w:placeholder>
        <w:dataBinding w:prefixMappings="xmlns:ns0='http://purl.org/dc/elements/1.1/' xmlns:ns1='http://schemas.openxmlformats.org/package/2006/metadata/core-properties' " w:xpath="/ns1:coreProperties[1]/ns0:title[1]" w:storeItemID="{6C3C8BC8-F283-45AE-878A-BAB7291924A1}"/>
        <w:text/>
      </w:sdtPr>
      <w:sdtEndPr/>
      <w:sdtContent>
        <w:p w14:paraId="78EF0E89" w14:textId="0BDA214F" w:rsidR="007D60DD" w:rsidRPr="00BE3AD8" w:rsidRDefault="005119E1" w:rsidP="007D60DD">
          <w:pPr>
            <w:pStyle w:val="Title"/>
            <w:spacing w:before="0"/>
          </w:pPr>
          <w:r>
            <w:t>Government payments to the cultural and creative sectors</w:t>
          </w:r>
        </w:p>
      </w:sdtContent>
    </w:sdt>
    <w:p w14:paraId="060DA398" w14:textId="3F35A750" w:rsidR="007D60DD" w:rsidRDefault="008C5FE8" w:rsidP="007D60DD">
      <w:pPr>
        <w:spacing w:after="240"/>
      </w:pPr>
      <w:bookmarkStart w:id="0" w:name="_GoBack"/>
      <w:bookmarkEnd w:id="0"/>
      <w:r>
        <w:t>September</w:t>
      </w:r>
      <w:r w:rsidR="007D60DD" w:rsidRPr="003D0A4D">
        <w:t xml:space="preserve"> 2021</w:t>
      </w:r>
    </w:p>
    <w:p w14:paraId="2671E513" w14:textId="10C3185E" w:rsidR="009A6E62" w:rsidRDefault="009A6E62">
      <w:pPr>
        <w:suppressAutoHyphens w:val="0"/>
      </w:pPr>
      <w:r>
        <w:br w:type="page"/>
      </w:r>
    </w:p>
    <w:p w14:paraId="6C426EEE" w14:textId="77777777" w:rsidR="009A6E62" w:rsidRPr="000E5674" w:rsidRDefault="009A6E62" w:rsidP="009A6E62">
      <w:pPr>
        <w:pStyle w:val="ImprintHeading"/>
      </w:pPr>
      <w:r w:rsidRPr="000E5674">
        <w:lastRenderedPageBreak/>
        <w:t>Ownership of intellectual property rights in this publication</w:t>
      </w:r>
    </w:p>
    <w:p w14:paraId="4BA6A349" w14:textId="77777777" w:rsidR="009A6E62" w:rsidRPr="004D4B0F" w:rsidRDefault="009A6E62" w:rsidP="009A6E62">
      <w:r w:rsidRPr="004D4B0F">
        <w:t>Unless otherwise noted, copyright (and any other intellectual property rights, if any) in this publication is owned by the Commonwealth of Australia (referred to below as the Commonwealth).</w:t>
      </w:r>
    </w:p>
    <w:p w14:paraId="52D3070D" w14:textId="77777777" w:rsidR="009A6E62" w:rsidRPr="000E5674" w:rsidRDefault="009A6E62" w:rsidP="009A6E62">
      <w:pPr>
        <w:pStyle w:val="ImprintHeading"/>
      </w:pPr>
      <w:r w:rsidRPr="000E5674">
        <w:t>Disclaimer</w:t>
      </w:r>
    </w:p>
    <w:p w14:paraId="04C26E45" w14:textId="77777777" w:rsidR="009A6E62" w:rsidRPr="000E5674" w:rsidRDefault="009A6E62" w:rsidP="009A6E62">
      <w:r w:rsidRPr="000E5674">
        <w:t>The material contained in this publication is made available on the understanding that the Commonwealth is not</w:t>
      </w:r>
      <w:r>
        <w:t xml:space="preserve"> </w:t>
      </w:r>
      <w:r w:rsidRPr="000E5674">
        <w:t>providing professional advice, and that users exercise their own skill and care with respect to its use, and seek</w:t>
      </w:r>
      <w:r>
        <w:t xml:space="preserve"> </w:t>
      </w:r>
      <w:r w:rsidRPr="000E5674">
        <w:t>independent advice if necessary.</w:t>
      </w:r>
    </w:p>
    <w:p w14:paraId="320CF9CD" w14:textId="77777777" w:rsidR="009A6E62" w:rsidRPr="000E5674" w:rsidRDefault="009A6E62" w:rsidP="009A6E62">
      <w:r w:rsidRPr="000E5674">
        <w:t>The Commonwealth makes no representations or warranties as to the contents or accuracy of the information contained</w:t>
      </w:r>
      <w:r>
        <w:t xml:space="preserve"> </w:t>
      </w:r>
      <w:r w:rsidRPr="000E5674">
        <w:t>in this publication. To the extent permitted by law, the Commonwealth disclaims liability to any person or organisation in</w:t>
      </w:r>
      <w:r>
        <w:t xml:space="preserve"> </w:t>
      </w:r>
      <w:r w:rsidRPr="000E5674">
        <w:t>respect of anything done, or omitted to be done, in reliance upon information contained in this publication.</w:t>
      </w:r>
    </w:p>
    <w:p w14:paraId="36D7F1CF" w14:textId="77777777" w:rsidR="009A6E62" w:rsidRPr="000E5674" w:rsidRDefault="009A6E62" w:rsidP="009A6E62">
      <w:pPr>
        <w:pStyle w:val="ImprintHeading"/>
      </w:pPr>
      <w:r w:rsidRPr="000E5674">
        <w:t>Creative Commons licence</w:t>
      </w:r>
    </w:p>
    <w:p w14:paraId="15645EDB" w14:textId="77777777" w:rsidR="009A6E62" w:rsidRPr="000E5674" w:rsidRDefault="009A6E62" w:rsidP="009A6E62">
      <w:r w:rsidRPr="000E5674">
        <w:t>With the exception of (a) the Coat of Arms; (b) the Department of Infrastructure, Transport, Regional Development</w:t>
      </w:r>
      <w:r>
        <w:t xml:space="preserve"> </w:t>
      </w:r>
      <w:r w:rsidRPr="000E5674">
        <w:t>and Communications photos and graphics; and (c) [OTHER], copyright in this publication is licensed under a Creative</w:t>
      </w:r>
      <w:r>
        <w:t xml:space="preserve"> </w:t>
      </w:r>
      <w:r w:rsidRPr="000E5674">
        <w:t>Commons Attribution 4.0 Australia Licence.</w:t>
      </w:r>
    </w:p>
    <w:p w14:paraId="4697A411" w14:textId="77777777" w:rsidR="009A6E62" w:rsidRPr="000E5674" w:rsidRDefault="009A6E62" w:rsidP="009A6E62">
      <w:r w:rsidRPr="000E5674">
        <w:lastRenderedPageBreak/>
        <w:t>Creative Commons Attribution 4.0 Australia Licence is a standard form licence agreement that allows you to copy,</w:t>
      </w:r>
      <w:r>
        <w:t xml:space="preserve"> </w:t>
      </w:r>
      <w:r w:rsidRPr="000E5674">
        <w:t>communicate and adapt this publication provided that you attribute the work to the Commonwealth and abide by the</w:t>
      </w:r>
      <w:r>
        <w:t xml:space="preserve"> </w:t>
      </w:r>
      <w:r w:rsidRPr="000E5674">
        <w:t>other licence terms.</w:t>
      </w:r>
    </w:p>
    <w:p w14:paraId="427DF5F8" w14:textId="77777777" w:rsidR="009A6E62" w:rsidRPr="000E5674" w:rsidRDefault="009A6E62" w:rsidP="009A6E62">
      <w:r w:rsidRPr="000E5674">
        <w:t xml:space="preserve">Further information on the licence terms is available from </w:t>
      </w:r>
      <w:hyperlink r:id="rId20" w:tooltip="Creative Commons website" w:history="1">
        <w:r w:rsidRPr="0063722A">
          <w:rPr>
            <w:rStyle w:val="Hyperlink"/>
            <w:lang w:val="x-none"/>
          </w:rPr>
          <w:t>https://creativecommons.org/licenses/by/4.0/</w:t>
        </w:r>
      </w:hyperlink>
    </w:p>
    <w:p w14:paraId="7552041B" w14:textId="77777777" w:rsidR="009A6E62" w:rsidRPr="00F71E4C" w:rsidRDefault="009A6E62" w:rsidP="009A6E62">
      <w:r w:rsidRPr="000E5674">
        <w:t xml:space="preserve">This publication should be attributed in the following way: © Commonwealth of Australia </w:t>
      </w:r>
      <w:r>
        <w:t>2021.</w:t>
      </w:r>
    </w:p>
    <w:p w14:paraId="667477EB" w14:textId="77777777" w:rsidR="009A6E62" w:rsidRPr="000E5674" w:rsidRDefault="009A6E62" w:rsidP="009A6E62">
      <w:pPr>
        <w:pStyle w:val="ImprintHeading"/>
      </w:pPr>
      <w:r w:rsidRPr="000E5674">
        <w:t>Use of the Coat of Arms</w:t>
      </w:r>
    </w:p>
    <w:p w14:paraId="1D2952CE" w14:textId="77777777" w:rsidR="009A6E62" w:rsidRPr="000E5674" w:rsidRDefault="009A6E62" w:rsidP="009A6E62">
      <w:r w:rsidRPr="000E5674">
        <w:t>The Department of the Prime Minister and Cabinet sets the terms under which the Coat of Arms is used. Please refer to</w:t>
      </w:r>
      <w:r>
        <w:t xml:space="preserve"> </w:t>
      </w:r>
      <w:r w:rsidRPr="000E5674">
        <w:t xml:space="preserve">the Commonwealth Coat of Arms - Information and Guidelines publication available at </w:t>
      </w:r>
      <w:hyperlink r:id="rId21" w:tooltip="Department of Prime Minister and Cabinet website" w:history="1">
        <w:r w:rsidRPr="0063722A">
          <w:rPr>
            <w:rStyle w:val="Hyperlink"/>
            <w:lang w:val="x-none"/>
          </w:rPr>
          <w:t>http://www.pmc.gov.au</w:t>
        </w:r>
      </w:hyperlink>
      <w:r w:rsidRPr="000E5674">
        <w:t>.</w:t>
      </w:r>
    </w:p>
    <w:p w14:paraId="555A79E8" w14:textId="77777777" w:rsidR="009A6E62" w:rsidRPr="000E5674" w:rsidRDefault="009A6E62" w:rsidP="009A6E62">
      <w:pPr>
        <w:pStyle w:val="ImprintHeading"/>
      </w:pPr>
      <w:r w:rsidRPr="000E5674">
        <w:t>Contact us</w:t>
      </w:r>
    </w:p>
    <w:p w14:paraId="0B03A7A7" w14:textId="77777777" w:rsidR="009A6E62" w:rsidRPr="000E5674" w:rsidRDefault="009A6E62" w:rsidP="009A6E62">
      <w:r w:rsidRPr="000E5674">
        <w:t>This publication is available in hard copy or PDF format. All other rights are reserved, including in relation to any</w:t>
      </w:r>
      <w:r>
        <w:t xml:space="preserve"> departmental</w:t>
      </w:r>
      <w:r w:rsidRPr="000E5674">
        <w:t xml:space="preserve"> logos or </w:t>
      </w:r>
      <w:proofErr w:type="spellStart"/>
      <w:r w:rsidRPr="000E5674">
        <w:t>trade marks</w:t>
      </w:r>
      <w:proofErr w:type="spellEnd"/>
      <w:r w:rsidRPr="000E5674">
        <w:t xml:space="preserve"> which may exist. For enquiries regarding the licence and any use of this publication,</w:t>
      </w:r>
      <w:r>
        <w:t xml:space="preserve"> </w:t>
      </w:r>
      <w:r w:rsidRPr="000E5674">
        <w:t>please contact:</w:t>
      </w:r>
    </w:p>
    <w:p w14:paraId="26437A80" w14:textId="77777777" w:rsidR="009A6E62" w:rsidRPr="004D4B0F" w:rsidRDefault="009A6E62" w:rsidP="009A6E62">
      <w:pPr>
        <w:pStyle w:val="NoSpacing"/>
      </w:pPr>
      <w:r w:rsidRPr="004D4B0F">
        <w:t>Director – Creative Services</w:t>
      </w:r>
    </w:p>
    <w:p w14:paraId="05BF4942" w14:textId="77777777" w:rsidR="009A6E62" w:rsidRPr="004D4B0F" w:rsidRDefault="009A6E62" w:rsidP="009A6E62">
      <w:pPr>
        <w:pStyle w:val="NoSpacing"/>
      </w:pPr>
      <w:r w:rsidRPr="004D4B0F">
        <w:t>Communication Branch</w:t>
      </w:r>
    </w:p>
    <w:p w14:paraId="166A2AC4" w14:textId="77777777" w:rsidR="009A6E62" w:rsidRPr="004D4B0F" w:rsidRDefault="009A6E62" w:rsidP="009A6E62">
      <w:pPr>
        <w:pStyle w:val="NoSpacing"/>
      </w:pPr>
      <w:r w:rsidRPr="004D4B0F">
        <w:lastRenderedPageBreak/>
        <w:t>Department of Infrastructure, Transport, Regional Development and Communications</w:t>
      </w:r>
    </w:p>
    <w:p w14:paraId="01F7671E" w14:textId="77777777" w:rsidR="009A6E62" w:rsidRPr="004D4B0F" w:rsidRDefault="009A6E62" w:rsidP="009A6E62">
      <w:pPr>
        <w:pStyle w:val="NoSpacing"/>
      </w:pPr>
      <w:r w:rsidRPr="004D4B0F">
        <w:t>GPO Box 594</w:t>
      </w:r>
    </w:p>
    <w:p w14:paraId="0B3B8912" w14:textId="77777777" w:rsidR="009A6E62" w:rsidRPr="004D4B0F" w:rsidRDefault="009A6E62" w:rsidP="009A6E62">
      <w:pPr>
        <w:pStyle w:val="NoSpacing"/>
      </w:pPr>
      <w:r w:rsidRPr="004D4B0F">
        <w:t>Canberra ACT 2601</w:t>
      </w:r>
    </w:p>
    <w:p w14:paraId="0606409A" w14:textId="77777777" w:rsidR="009A6E62" w:rsidRPr="000E5674" w:rsidRDefault="009A6E62" w:rsidP="009A6E62">
      <w:r w:rsidRPr="000E5674">
        <w:t>Australia</w:t>
      </w:r>
    </w:p>
    <w:p w14:paraId="38E8FBE0" w14:textId="5B27D0EB" w:rsidR="009A6E62" w:rsidRPr="000E5674" w:rsidRDefault="009A6E62" w:rsidP="009A6E62">
      <w:pPr>
        <w:pStyle w:val="NoSpacing"/>
        <w:rPr>
          <w:lang w:val="en-US"/>
        </w:rPr>
      </w:pPr>
      <w:r w:rsidRPr="000E5674">
        <w:rPr>
          <w:lang w:val="x-none"/>
        </w:rPr>
        <w:t xml:space="preserve">Email: </w:t>
      </w:r>
      <w:hyperlink r:id="rId22" w:history="1">
        <w:r w:rsidRPr="003233A3">
          <w:rPr>
            <w:rStyle w:val="Hyperlink"/>
          </w:rPr>
          <w:t>webservices</w:t>
        </w:r>
        <w:r w:rsidRPr="003233A3">
          <w:rPr>
            <w:rStyle w:val="Hyperlink"/>
            <w:lang w:val="x-none"/>
          </w:rPr>
          <w:t>@infrastructure.gov.au</w:t>
        </w:r>
      </w:hyperlink>
    </w:p>
    <w:p w14:paraId="5D1383D6" w14:textId="77777777" w:rsidR="009A6E62" w:rsidRPr="000E5674" w:rsidRDefault="009A6E62" w:rsidP="009A6E62">
      <w:pPr>
        <w:pStyle w:val="NoSpacing"/>
        <w:rPr>
          <w:lang w:val="en-US"/>
        </w:rPr>
      </w:pPr>
      <w:r w:rsidRPr="000E5674">
        <w:rPr>
          <w:lang w:val="x-none"/>
        </w:rPr>
        <w:t xml:space="preserve">Website: </w:t>
      </w:r>
      <w:hyperlink r:id="rId23" w:tooltip="Department of Infrastructure, Transport, Regional Development and Communications website" w:history="1">
        <w:r w:rsidRPr="0063722A">
          <w:rPr>
            <w:rStyle w:val="Hyperlink"/>
            <w:lang w:val="x-none"/>
          </w:rPr>
          <w:t>www.infrastructure.gov.au</w:t>
        </w:r>
      </w:hyperlink>
    </w:p>
    <w:p w14:paraId="50B59C48" w14:textId="77777777" w:rsidR="009A6E62" w:rsidRPr="00A522A9" w:rsidRDefault="009A6E62" w:rsidP="009A6E62">
      <w:pPr>
        <w:spacing w:before="0" w:after="0"/>
      </w:pPr>
      <w:r w:rsidRPr="00A522A9">
        <w:t>GPO Box 594</w:t>
      </w:r>
    </w:p>
    <w:p w14:paraId="62395371" w14:textId="77777777" w:rsidR="009A6E62" w:rsidRPr="00A522A9" w:rsidRDefault="009A6E62" w:rsidP="009A6E62">
      <w:pPr>
        <w:spacing w:before="0" w:after="0"/>
      </w:pPr>
      <w:r w:rsidRPr="00A522A9">
        <w:t>Canberra ACT 2601</w:t>
      </w:r>
    </w:p>
    <w:p w14:paraId="4C42F55C" w14:textId="77777777" w:rsidR="009A6E62" w:rsidRPr="00A522A9" w:rsidRDefault="009A6E62" w:rsidP="009A6E62">
      <w:pPr>
        <w:spacing w:before="0" w:after="0"/>
      </w:pPr>
      <w:r w:rsidRPr="00A522A9">
        <w:t>Australia</w:t>
      </w:r>
    </w:p>
    <w:p w14:paraId="3FCBA60F" w14:textId="77777777" w:rsidR="009A6E62" w:rsidRPr="00EA4812" w:rsidRDefault="009A6E62" w:rsidP="009A6E62">
      <w:pPr>
        <w:spacing w:before="0" w:after="0"/>
      </w:pPr>
      <w:r w:rsidRPr="000E5674">
        <w:rPr>
          <w:lang w:val="x-none"/>
        </w:rPr>
        <w:t xml:space="preserve">Email: </w:t>
      </w:r>
      <w:hyperlink r:id="rId24" w:history="1">
        <w:r w:rsidRPr="00864C2C">
          <w:rPr>
            <w:rStyle w:val="Hyperlink"/>
            <w:lang w:val="x-none"/>
          </w:rPr>
          <w:t>publishing@</w:t>
        </w:r>
        <w:r w:rsidRPr="00864C2C">
          <w:rPr>
            <w:rStyle w:val="Hyperlink"/>
          </w:rPr>
          <w:t>communications</w:t>
        </w:r>
        <w:r w:rsidRPr="00864C2C">
          <w:rPr>
            <w:rStyle w:val="Hyperlink"/>
            <w:lang w:val="x-none"/>
          </w:rPr>
          <w:t>.gov.au</w:t>
        </w:r>
      </w:hyperlink>
      <w:r w:rsidRPr="00EA4812">
        <w:t xml:space="preserve"> </w:t>
      </w:r>
      <w:r>
        <w:t xml:space="preserve">and </w:t>
      </w:r>
      <w:hyperlink r:id="rId25" w:history="1">
        <w:r w:rsidRPr="00864C2C">
          <w:rPr>
            <w:rStyle w:val="Hyperlink"/>
          </w:rPr>
          <w:t>webservices@infrastructure.gov.au</w:t>
        </w:r>
      </w:hyperlink>
    </w:p>
    <w:p w14:paraId="278A7543" w14:textId="1D7F10D4" w:rsidR="009A6E62" w:rsidRDefault="009A6E62" w:rsidP="009A6E62">
      <w:pPr>
        <w:spacing w:before="0" w:after="0"/>
        <w:rPr>
          <w:rFonts w:ascii="Calibri" w:eastAsia="MingLiU" w:hAnsi="Calibri" w:cs="Segoe UI Semibold"/>
          <w:b/>
          <w:color w:val="4C5564"/>
          <w:kern w:val="0"/>
          <w:sz w:val="28"/>
          <w:szCs w:val="26"/>
        </w:rPr>
      </w:pPr>
      <w:r w:rsidRPr="000E5674">
        <w:rPr>
          <w:lang w:val="x-none"/>
        </w:rPr>
        <w:t xml:space="preserve">Website: </w:t>
      </w:r>
      <w:hyperlink r:id="rId26" w:tooltip="Department of Infrastructure, Transport, Regional Development and Communications website" w:history="1">
        <w:r w:rsidRPr="0063722A">
          <w:rPr>
            <w:rStyle w:val="Hyperlink"/>
            <w:lang w:val="x-none"/>
          </w:rPr>
          <w:t>www.infrastructure.gov.au</w:t>
        </w:r>
      </w:hyperlink>
      <w:r>
        <w:br w:type="page"/>
      </w:r>
    </w:p>
    <w:p w14:paraId="0E160FC8" w14:textId="0F4F47BC" w:rsidR="00592606" w:rsidRPr="00592606" w:rsidRDefault="00592606" w:rsidP="005119E1">
      <w:pPr>
        <w:pStyle w:val="Heading2"/>
      </w:pPr>
      <w:bookmarkStart w:id="1" w:name="_Toc13583341"/>
      <w:bookmarkStart w:id="2" w:name="_Toc16607104"/>
      <w:bookmarkStart w:id="3" w:name="_Toc16689907"/>
      <w:bookmarkStart w:id="4" w:name="_Toc16694395"/>
      <w:bookmarkStart w:id="5" w:name="_Toc512941854"/>
      <w:bookmarkStart w:id="6" w:name="_Toc45109589"/>
      <w:bookmarkStart w:id="7" w:name="_Toc45531361"/>
      <w:bookmarkStart w:id="8" w:name="_Toc73021017"/>
      <w:bookmarkStart w:id="9" w:name="_Toc73021824"/>
      <w:bookmarkStart w:id="10" w:name="_Toc73021945"/>
      <w:bookmarkStart w:id="11" w:name="_Toc73022108"/>
      <w:bookmarkStart w:id="12" w:name="_Toc49855348"/>
      <w:bookmarkEnd w:id="1"/>
      <w:bookmarkEnd w:id="2"/>
      <w:bookmarkEnd w:id="3"/>
      <w:bookmarkEnd w:id="4"/>
      <w:r w:rsidRPr="00592606">
        <w:lastRenderedPageBreak/>
        <w:t>Executive summary</w:t>
      </w:r>
      <w:bookmarkEnd w:id="5"/>
      <w:bookmarkEnd w:id="6"/>
      <w:bookmarkEnd w:id="7"/>
      <w:bookmarkEnd w:id="8"/>
      <w:bookmarkEnd w:id="9"/>
      <w:bookmarkEnd w:id="10"/>
      <w:bookmarkEnd w:id="11"/>
    </w:p>
    <w:p w14:paraId="236F58EB" w14:textId="467F31F4" w:rsidR="00F76476" w:rsidRDefault="00F76476" w:rsidP="00F76476">
      <w:bookmarkStart w:id="13" w:name="_Toc45109590"/>
      <w:bookmarkStart w:id="14" w:name="_Toc45531362"/>
      <w:r>
        <w:t>Cultural and creative activity contributed $115.</w:t>
      </w:r>
      <w:r w:rsidR="000C4637">
        <w:t>8</w:t>
      </w:r>
      <w:r>
        <w:t> billion or 6</w:t>
      </w:r>
      <w:r w:rsidR="00556030">
        <w:t> </w:t>
      </w:r>
      <w:r>
        <w:t xml:space="preserve">per cent to Australia’s economy in </w:t>
      </w:r>
      <w:r w:rsidR="000C4637">
        <w:t>2018</w:t>
      </w:r>
      <w:r>
        <w:t>–</w:t>
      </w:r>
      <w:r w:rsidR="000C4637">
        <w:t>19</w:t>
      </w:r>
      <w:r>
        <w:t>, according to the latest published estimates by the Bureau of Communications, Arts and Regional Research (BCARR).</w:t>
      </w:r>
      <w:r>
        <w:rPr>
          <w:rStyle w:val="EndnoteReference"/>
        </w:rPr>
        <w:endnoteReference w:id="2"/>
      </w:r>
      <w:r>
        <w:t xml:space="preserve"> Over the previous decade, its economic contribution grew by more than a </w:t>
      </w:r>
      <w:r w:rsidR="0033263F">
        <w:t>quarter</w:t>
      </w:r>
      <w:r>
        <w:t>, with some activities growing faster than the overall economy.</w:t>
      </w:r>
    </w:p>
    <w:p w14:paraId="01B2F608" w14:textId="19ED5CDC" w:rsidR="00F76476" w:rsidRDefault="00F76476" w:rsidP="00F76476">
      <w:r>
        <w:t>Prior to the COVID-19 pandemic cultural and creative activity was expected to continue to increase in economic importance. If it had continued to grow at its 10</w:t>
      </w:r>
      <w:r>
        <w:noBreakHyphen/>
        <w:t>year average, activity is estimated to have been $</w:t>
      </w:r>
      <w:r w:rsidR="0058205E">
        <w:t>11</w:t>
      </w:r>
      <w:r w:rsidR="003A1D35">
        <w:t>9</w:t>
      </w:r>
      <w:r>
        <w:t>.</w:t>
      </w:r>
      <w:r w:rsidR="003A1D35">
        <w:t>0</w:t>
      </w:r>
      <w:r>
        <w:t> billion in 2019–20 and $</w:t>
      </w:r>
      <w:r w:rsidR="0058205E">
        <w:t>122</w:t>
      </w:r>
      <w:r>
        <w:t>.</w:t>
      </w:r>
      <w:r w:rsidR="003A1D35">
        <w:t>2</w:t>
      </w:r>
      <w:r w:rsidR="0058205E">
        <w:t> </w:t>
      </w:r>
      <w:r>
        <w:t>billion in 2020–21.</w:t>
      </w:r>
    </w:p>
    <w:p w14:paraId="49954F65" w14:textId="500EC40E" w:rsidR="00F76476" w:rsidRDefault="00F76476" w:rsidP="00F76476">
      <w:r>
        <w:t>Government intervention through whole</w:t>
      </w:r>
      <w:r>
        <w:noBreakHyphen/>
        <w:t>of</w:t>
      </w:r>
      <w:r>
        <w:noBreakHyphen/>
        <w:t xml:space="preserve">economy measures, such as the </w:t>
      </w:r>
      <w:proofErr w:type="spellStart"/>
      <w:r>
        <w:t>JobKeeper</w:t>
      </w:r>
      <w:proofErr w:type="spellEnd"/>
      <w:r>
        <w:t xml:space="preserve"> and Boosting Cash Flow for Employers payments, has </w:t>
      </w:r>
      <w:r w:rsidRPr="00E836AF">
        <w:t>supported</w:t>
      </w:r>
      <w:r>
        <w:t xml:space="preserve"> activity and employment during the pandemic.</w:t>
      </w:r>
    </w:p>
    <w:p w14:paraId="0013C245" w14:textId="73618FB0" w:rsidR="00F76476" w:rsidRDefault="00F76476" w:rsidP="00F76476">
      <w:r w:rsidRPr="008A4B8C">
        <w:t>Overall, employees and entities in cultural and creative sectors received $10</w:t>
      </w:r>
      <w:r>
        <w:t>.7</w:t>
      </w:r>
      <w:r w:rsidRPr="008A4B8C">
        <w:t> billion</w:t>
      </w:r>
      <w:r>
        <w:t xml:space="preserve">—including $8 billion </w:t>
      </w:r>
      <w:r w:rsidRPr="008A4B8C">
        <w:t xml:space="preserve">in </w:t>
      </w:r>
      <w:proofErr w:type="spellStart"/>
      <w:r w:rsidRPr="008A4B8C">
        <w:t>JobKeeper</w:t>
      </w:r>
      <w:proofErr w:type="spellEnd"/>
      <w:r>
        <w:t xml:space="preserve"> payments</w:t>
      </w:r>
      <w:r w:rsidRPr="008A4B8C">
        <w:t xml:space="preserve"> between April and December 2020</w:t>
      </w:r>
      <w:r>
        <w:t xml:space="preserve">, </w:t>
      </w:r>
      <w:r w:rsidRPr="008A4B8C">
        <w:t xml:space="preserve">and </w:t>
      </w:r>
      <w:r>
        <w:t>$2.7 billion</w:t>
      </w:r>
      <w:r w:rsidRPr="008A4B8C">
        <w:t xml:space="preserve"> </w:t>
      </w:r>
      <w:r>
        <w:t xml:space="preserve">in </w:t>
      </w:r>
      <w:r w:rsidRPr="008A4B8C">
        <w:t xml:space="preserve">Boosting Cash Flow for Employers payments to early February 2021. </w:t>
      </w:r>
      <w:r w:rsidRPr="000F5496">
        <w:t>This would have represented 8.</w:t>
      </w:r>
      <w:r w:rsidR="0058205E" w:rsidRPr="009470DB">
        <w:t>8</w:t>
      </w:r>
      <w:r w:rsidR="0058205E" w:rsidRPr="000F5496">
        <w:t> </w:t>
      </w:r>
      <w:r w:rsidRPr="000F5496">
        <w:t>per cent of the estimated economic contribution of cultural and creative sectors of $</w:t>
      </w:r>
      <w:r w:rsidR="0058205E" w:rsidRPr="000F5496">
        <w:t>12</w:t>
      </w:r>
      <w:r w:rsidR="0058205E" w:rsidRPr="009470DB">
        <w:t>2</w:t>
      </w:r>
      <w:r w:rsidRPr="000F5496">
        <w:t>.</w:t>
      </w:r>
      <w:r w:rsidR="00FB5867" w:rsidRPr="009470DB">
        <w:t>2</w:t>
      </w:r>
      <w:r w:rsidR="0058205E" w:rsidRPr="000F5496">
        <w:t> </w:t>
      </w:r>
      <w:r w:rsidRPr="000F5496">
        <w:t>billion in 2020–21.</w:t>
      </w:r>
    </w:p>
    <w:p w14:paraId="11107CC1" w14:textId="6A91F251" w:rsidR="00F76476" w:rsidRDefault="00F76476" w:rsidP="00F76476">
      <w:r>
        <w:lastRenderedPageBreak/>
        <w:t xml:space="preserve">During the first phase of </w:t>
      </w:r>
      <w:proofErr w:type="spellStart"/>
      <w:r>
        <w:t>JobKeeper</w:t>
      </w:r>
      <w:proofErr w:type="spellEnd"/>
      <w:r>
        <w:t xml:space="preserve"> (April – September 2020),</w:t>
      </w:r>
      <w:r w:rsidRPr="008A4B8C">
        <w:t xml:space="preserve"> more than half of all employees and businesses in cultural</w:t>
      </w:r>
      <w:r>
        <w:t xml:space="preserve"> </w:t>
      </w:r>
      <w:r w:rsidRPr="008A4B8C">
        <w:t>and creative sectors rece</w:t>
      </w:r>
      <w:r w:rsidR="00EF726E">
        <w:t>ived</w:t>
      </w:r>
      <w:r w:rsidRPr="008A4B8C">
        <w:t xml:space="preserve"> </w:t>
      </w:r>
      <w:proofErr w:type="spellStart"/>
      <w:r w:rsidRPr="008A4B8C">
        <w:t>JobKeeper</w:t>
      </w:r>
      <w:proofErr w:type="spellEnd"/>
      <w:r w:rsidRPr="008A4B8C">
        <w:t xml:space="preserve"> payments. Further, although cultural and creative sectors represent 6 per cent of all employees</w:t>
      </w:r>
      <w:r>
        <w:t>,</w:t>
      </w:r>
      <w:r w:rsidRPr="008A4B8C">
        <w:rPr>
          <w:vertAlign w:val="superscript"/>
        </w:rPr>
        <w:endnoteReference w:id="3"/>
      </w:r>
      <w:r w:rsidRPr="008A4B8C">
        <w:t xml:space="preserve"> these sectors have received 9.7 per cent of all </w:t>
      </w:r>
      <w:proofErr w:type="spellStart"/>
      <w:r w:rsidRPr="008A4B8C">
        <w:t>JobKeeper</w:t>
      </w:r>
      <w:proofErr w:type="spellEnd"/>
      <w:r w:rsidRPr="008A4B8C">
        <w:t xml:space="preserve"> payments.</w:t>
      </w:r>
    </w:p>
    <w:p w14:paraId="408EA79F" w14:textId="7C09F280" w:rsidR="00F76476" w:rsidRDefault="00F76476" w:rsidP="00F76476">
      <w:r>
        <w:t xml:space="preserve">The average monthly number of employees in cultural and creative sectors </w:t>
      </w:r>
      <w:r w:rsidR="00EF726E">
        <w:t xml:space="preserve">that </w:t>
      </w:r>
      <w:r>
        <w:t>receiv</w:t>
      </w:r>
      <w:r w:rsidR="00EF726E">
        <w:t>ed</w:t>
      </w:r>
      <w:r>
        <w:t xml:space="preserve"> </w:t>
      </w:r>
      <w:proofErr w:type="spellStart"/>
      <w:r>
        <w:t>JobKeeper</w:t>
      </w:r>
      <w:proofErr w:type="spellEnd"/>
      <w:r>
        <w:t xml:space="preserve"> payments approximately halved from the first phase of </w:t>
      </w:r>
      <w:proofErr w:type="spellStart"/>
      <w:r>
        <w:t>JobKeeper</w:t>
      </w:r>
      <w:proofErr w:type="spellEnd"/>
      <w:r>
        <w:t xml:space="preserve"> to the first quarter of the </w:t>
      </w:r>
      <w:proofErr w:type="spellStart"/>
      <w:r>
        <w:t>JobKeeper</w:t>
      </w:r>
      <w:proofErr w:type="spellEnd"/>
      <w:r>
        <w:t xml:space="preserve"> extension. However, employees in cultural and creative sectors represented a greater share of all </w:t>
      </w:r>
      <w:proofErr w:type="spellStart"/>
      <w:r>
        <w:t>JobKeeper</w:t>
      </w:r>
      <w:proofErr w:type="spellEnd"/>
      <w:r>
        <w:t xml:space="preserve"> payments during the first quarter of the </w:t>
      </w:r>
      <w:proofErr w:type="spellStart"/>
      <w:r>
        <w:t>JobKeeper</w:t>
      </w:r>
      <w:proofErr w:type="spellEnd"/>
      <w:r>
        <w:t xml:space="preserve"> extension, </w:t>
      </w:r>
      <w:r w:rsidRPr="00722FE0">
        <w:t>indicat</w:t>
      </w:r>
      <w:r>
        <w:t>ing that these</w:t>
      </w:r>
      <w:r w:rsidRPr="00722FE0">
        <w:t xml:space="preserve"> sectors were harder hit by the negative impacts of the COVID-19 pandemic</w:t>
      </w:r>
      <w:r>
        <w:t>.</w:t>
      </w:r>
    </w:p>
    <w:p w14:paraId="3BC1460A" w14:textId="3E48E003" w:rsidR="00F76476" w:rsidRDefault="00F76476" w:rsidP="00F76476">
      <w:r>
        <w:t>These whole</w:t>
      </w:r>
      <w:r>
        <w:noBreakHyphen/>
        <w:t>of</w:t>
      </w:r>
      <w:r>
        <w:noBreakHyphen/>
        <w:t xml:space="preserve">economy measures were supplemented by </w:t>
      </w:r>
      <w:r w:rsidR="001D5831" w:rsidRPr="001D5831">
        <w:t xml:space="preserve">the Creative Economy COVID support package </w:t>
      </w:r>
      <w:r w:rsidR="001D5831">
        <w:t>which now stands at</w:t>
      </w:r>
      <w:r w:rsidR="001D5831" w:rsidRPr="001D5831">
        <w:t xml:space="preserve"> $475 million, </w:t>
      </w:r>
      <w:r w:rsidR="001D5831">
        <w:t xml:space="preserve">up </w:t>
      </w:r>
      <w:r w:rsidR="001D5831" w:rsidRPr="001D5831">
        <w:t>from an original $250 million in 2020</w:t>
      </w:r>
      <w:r w:rsidR="001D5831">
        <w:t>.</w:t>
      </w:r>
      <w:r w:rsidR="001D5831">
        <w:rPr>
          <w:rStyle w:val="EndnoteReference"/>
        </w:rPr>
        <w:endnoteReference w:id="4"/>
      </w:r>
      <w:r w:rsidR="001D5831">
        <w:t xml:space="preserve"> </w:t>
      </w:r>
    </w:p>
    <w:p w14:paraId="228FC987" w14:textId="137F5A21" w:rsidR="00592606" w:rsidRPr="00592606" w:rsidRDefault="00592606" w:rsidP="005119E1">
      <w:pPr>
        <w:pStyle w:val="Heading2"/>
      </w:pPr>
      <w:bookmarkStart w:id="15" w:name="_Toc73021018"/>
      <w:bookmarkStart w:id="16" w:name="_Toc73021825"/>
      <w:bookmarkStart w:id="17" w:name="_Toc73021946"/>
      <w:bookmarkStart w:id="18" w:name="_Toc73022109"/>
      <w:r w:rsidRPr="00592606">
        <w:t>Cultural and creative s</w:t>
      </w:r>
      <w:bookmarkEnd w:id="13"/>
      <w:bookmarkEnd w:id="14"/>
      <w:r w:rsidRPr="00592606">
        <w:t>ectors</w:t>
      </w:r>
      <w:bookmarkEnd w:id="15"/>
      <w:bookmarkEnd w:id="16"/>
      <w:bookmarkEnd w:id="17"/>
      <w:bookmarkEnd w:id="18"/>
    </w:p>
    <w:p w14:paraId="1F46DE2C" w14:textId="77777777" w:rsidR="00F76476" w:rsidRDefault="00F76476" w:rsidP="00F76476">
      <w:r w:rsidRPr="00DE6B24">
        <w:t xml:space="preserve">The COVID-19 pandemic </w:t>
      </w:r>
      <w:r>
        <w:t>ha</w:t>
      </w:r>
      <w:r w:rsidRPr="00DE6B24">
        <w:t xml:space="preserve">s </w:t>
      </w:r>
      <w:r>
        <w:t>affected</w:t>
      </w:r>
      <w:r w:rsidRPr="00DE6B24">
        <w:t xml:space="preserve"> employment and output across Australia</w:t>
      </w:r>
      <w:r>
        <w:t>, including in cultural and</w:t>
      </w:r>
      <w:r w:rsidRPr="00DE6B24">
        <w:t xml:space="preserve"> creative </w:t>
      </w:r>
      <w:r w:rsidRPr="00B46FB8">
        <w:t xml:space="preserve">sectors. To counter the effects of the pandemic on employment and output, the Australian </w:t>
      </w:r>
      <w:r w:rsidRPr="00B46FB8">
        <w:lastRenderedPageBreak/>
        <w:t>Government introduced whole</w:t>
      </w:r>
      <w:r>
        <w:noBreakHyphen/>
      </w:r>
      <w:r w:rsidRPr="00B46FB8">
        <w:t>of</w:t>
      </w:r>
      <w:r>
        <w:noBreakHyphen/>
      </w:r>
      <w:r w:rsidRPr="00B46FB8">
        <w:t>economy</w:t>
      </w:r>
      <w:r>
        <w:t xml:space="preserve"> and targeted</w:t>
      </w:r>
      <w:r w:rsidRPr="00DE6B24">
        <w:t xml:space="preserve"> </w:t>
      </w:r>
      <w:r>
        <w:t>measures</w:t>
      </w:r>
      <w:r w:rsidRPr="00DE6B24">
        <w:t xml:space="preserve"> for cultural and crea</w:t>
      </w:r>
      <w:r>
        <w:t>tive sectors.</w:t>
      </w:r>
    </w:p>
    <w:p w14:paraId="7CC5F32E" w14:textId="77777777" w:rsidR="00F76476" w:rsidRPr="00DE6B24" w:rsidRDefault="00F76476" w:rsidP="00F76476">
      <w:r>
        <w:t>T</w:t>
      </w:r>
      <w:r w:rsidRPr="00DE6B24">
        <w:t xml:space="preserve">his analysis </w:t>
      </w:r>
      <w:r w:rsidRPr="00967E49">
        <w:t xml:space="preserve">measures </w:t>
      </w:r>
      <w:proofErr w:type="spellStart"/>
      <w:r w:rsidRPr="00967E49">
        <w:t>JobKeeper</w:t>
      </w:r>
      <w:proofErr w:type="spellEnd"/>
      <w:r w:rsidRPr="00967E49">
        <w:t xml:space="preserve"> and Boosting Cash Flow for Employers</w:t>
      </w:r>
      <w:r w:rsidRPr="00967E49" w:rsidDel="00491CF5">
        <w:t xml:space="preserve"> </w:t>
      </w:r>
      <w:r>
        <w:t>payments to</w:t>
      </w:r>
      <w:r w:rsidRPr="00967E49">
        <w:t xml:space="preserve"> the cultural and creative sectors.</w:t>
      </w:r>
    </w:p>
    <w:p w14:paraId="510F2A90" w14:textId="77777777" w:rsidR="00F76476" w:rsidRPr="00252C3E" w:rsidRDefault="00F76476" w:rsidP="00F76476">
      <w:r w:rsidRPr="008A2D42">
        <w:t>Cultural and creative sectors span a range of industries, including broadcasting, electronic and digital media and film, design, fashion, libraries and archives, literature and print media, manufacturing and education</w:t>
      </w:r>
      <w:r>
        <w:t xml:space="preserve">. In 2016, approximately 645,000 </w:t>
      </w:r>
      <w:r w:rsidRPr="00F44A6A">
        <w:t>people</w:t>
      </w:r>
      <w:r w:rsidRPr="0043308D" w:rsidDel="006A4355">
        <w:t xml:space="preserve"> </w:t>
      </w:r>
      <w:r>
        <w:t xml:space="preserve">recorded their </w:t>
      </w:r>
      <w:r w:rsidRPr="008A2D42">
        <w:t>main industry of employment in cultural and creative sectors</w:t>
      </w:r>
      <w:r w:rsidRPr="00A16675">
        <w:t>.</w:t>
      </w:r>
      <w:r w:rsidRPr="00A16675">
        <w:rPr>
          <w:rStyle w:val="EndnoteReference"/>
        </w:rPr>
        <w:endnoteReference w:id="5"/>
      </w:r>
      <w:r w:rsidRPr="00A16675">
        <w:t xml:space="preserve"> BCARR research</w:t>
      </w:r>
      <w:r>
        <w:t xml:space="preserve"> in 2020</w:t>
      </w:r>
      <w:r w:rsidRPr="00A16675">
        <w:t xml:space="preserve"> estimate</w:t>
      </w:r>
      <w:r>
        <w:t>d</w:t>
      </w:r>
      <w:r w:rsidRPr="00A16675">
        <w:t xml:space="preserve"> that, based on employment status, up to around 90</w:t>
      </w:r>
      <w:r>
        <w:t> per cent</w:t>
      </w:r>
      <w:r w:rsidRPr="00A16675">
        <w:t xml:space="preserve"> of </w:t>
      </w:r>
      <w:r>
        <w:t>this</w:t>
      </w:r>
      <w:r w:rsidRPr="00A16675">
        <w:t xml:space="preserve"> workforce could have been eligible for </w:t>
      </w:r>
      <w:proofErr w:type="spellStart"/>
      <w:r w:rsidRPr="00A16675">
        <w:t>JobKeeper</w:t>
      </w:r>
      <w:proofErr w:type="spellEnd"/>
      <w:r w:rsidRPr="00A16675">
        <w:t>, subject to their employer meeting further eligibility criteria.</w:t>
      </w:r>
      <w:r w:rsidRPr="00A16675">
        <w:rPr>
          <w:rStyle w:val="EndnoteReference"/>
        </w:rPr>
        <w:endnoteReference w:id="6"/>
      </w:r>
    </w:p>
    <w:p w14:paraId="4DE0C415" w14:textId="0CC6B40D" w:rsidR="00F76476" w:rsidRDefault="00F76476" w:rsidP="00F76476">
      <w:r w:rsidRPr="0003565E">
        <w:t xml:space="preserve">Some </w:t>
      </w:r>
      <w:r>
        <w:t>cultural and creative sectors</w:t>
      </w:r>
      <w:r w:rsidRPr="0003565E">
        <w:t xml:space="preserve"> </w:t>
      </w:r>
      <w:r w:rsidR="008656C5">
        <w:t>a</w:t>
      </w:r>
      <w:r w:rsidRPr="0003565E">
        <w:t xml:space="preserve">re exposed to </w:t>
      </w:r>
      <w:r>
        <w:t xml:space="preserve">the </w:t>
      </w:r>
      <w:r w:rsidRPr="0003565E">
        <w:t>COVID-19</w:t>
      </w:r>
      <w:r>
        <w:t xml:space="preserve"> pandemic due to l</w:t>
      </w:r>
      <w:r w:rsidRPr="0003565E">
        <w:t>ockdown</w:t>
      </w:r>
      <w:r>
        <w:t>s</w:t>
      </w:r>
      <w:r w:rsidRPr="0003565E">
        <w:t xml:space="preserve"> and </w:t>
      </w:r>
      <w:r>
        <w:t>health restrictions affecting attendance at</w:t>
      </w:r>
      <w:r w:rsidRPr="0003565E">
        <w:t xml:space="preserve"> arts</w:t>
      </w:r>
      <w:r>
        <w:t xml:space="preserve"> events and </w:t>
      </w:r>
      <w:r w:rsidRPr="0003565E">
        <w:t xml:space="preserve">cultural institutions, and </w:t>
      </w:r>
      <w:r>
        <w:t xml:space="preserve">the </w:t>
      </w:r>
      <w:r w:rsidRPr="0003565E">
        <w:t>demand for print media.</w:t>
      </w:r>
    </w:p>
    <w:p w14:paraId="0FE0D766" w14:textId="04149A2A" w:rsidR="008914CB" w:rsidRDefault="00F76476" w:rsidP="009470DB">
      <w:r>
        <w:t>Data are</w:t>
      </w:r>
      <w:r w:rsidRPr="0003565E">
        <w:t xml:space="preserve"> not yet available on the economic impacts of COVID-19 on cultural and creative activity, but will be captured in future releases of </w:t>
      </w:r>
      <w:r w:rsidRPr="0003565E">
        <w:rPr>
          <w:i/>
        </w:rPr>
        <w:t>Cultural and Creative Activity in Australia</w:t>
      </w:r>
      <w:r w:rsidRPr="0003565E">
        <w:t>.</w:t>
      </w:r>
      <w:r>
        <w:t xml:space="preserve"> </w:t>
      </w:r>
      <w:r w:rsidR="006343E0" w:rsidRPr="009470DB">
        <w:t>Detailed a</w:t>
      </w:r>
      <w:r w:rsidR="0058205E" w:rsidRPr="00A91D6D">
        <w:t xml:space="preserve">nalysis </w:t>
      </w:r>
      <w:r w:rsidRPr="00A91D6D">
        <w:t>of the impacts of COVID-19 on cultural and creative activity will not be possible until 2022.</w:t>
      </w:r>
    </w:p>
    <w:p w14:paraId="147E12A7" w14:textId="77777777" w:rsidR="00592606" w:rsidRPr="00CF6CFD" w:rsidRDefault="00592606" w:rsidP="009470DB">
      <w:pPr>
        <w:pStyle w:val="Box1Heading"/>
        <w:keepNext/>
        <w:keepLines/>
      </w:pPr>
      <w:proofErr w:type="spellStart"/>
      <w:r>
        <w:rPr>
          <w:lang w:val="en-AU"/>
        </w:rPr>
        <w:lastRenderedPageBreak/>
        <w:t>JobKeeper</w:t>
      </w:r>
      <w:proofErr w:type="spellEnd"/>
      <w:r>
        <w:rPr>
          <w:lang w:val="en-AU"/>
        </w:rPr>
        <w:t xml:space="preserve"> and Boosting Cash Flow for Employers</w:t>
      </w:r>
    </w:p>
    <w:p w14:paraId="53C7F0A3" w14:textId="77777777" w:rsidR="00F76476" w:rsidRDefault="00F76476" w:rsidP="009470DB">
      <w:pPr>
        <w:pStyle w:val="Box1Text"/>
        <w:keepNext/>
        <w:keepLines/>
        <w:rPr>
          <w:lang w:val="en-AU"/>
        </w:rPr>
      </w:pPr>
      <w:r w:rsidRPr="00F17282">
        <w:rPr>
          <w:lang w:val="en-AU"/>
        </w:rPr>
        <w:t xml:space="preserve">The </w:t>
      </w:r>
      <w:proofErr w:type="spellStart"/>
      <w:r w:rsidRPr="00F17282">
        <w:rPr>
          <w:lang w:val="en-AU"/>
        </w:rPr>
        <w:t>JobKeeper</w:t>
      </w:r>
      <w:proofErr w:type="spellEnd"/>
      <w:r w:rsidRPr="00F17282">
        <w:rPr>
          <w:lang w:val="en-AU"/>
        </w:rPr>
        <w:t xml:space="preserve"> </w:t>
      </w:r>
      <w:r>
        <w:rPr>
          <w:lang w:val="en-AU"/>
        </w:rPr>
        <w:t>P</w:t>
      </w:r>
      <w:r w:rsidRPr="00F17282">
        <w:rPr>
          <w:lang w:val="en-AU"/>
        </w:rPr>
        <w:t xml:space="preserve">ayment </w:t>
      </w:r>
      <w:r>
        <w:rPr>
          <w:lang w:val="en-AU"/>
        </w:rPr>
        <w:t>wa</w:t>
      </w:r>
      <w:r w:rsidRPr="00F17282">
        <w:rPr>
          <w:lang w:val="en-AU"/>
        </w:rPr>
        <w:t xml:space="preserve">s a wage subsidy program </w:t>
      </w:r>
      <w:r>
        <w:rPr>
          <w:lang w:val="en-AU"/>
        </w:rPr>
        <w:t>f</w:t>
      </w:r>
      <w:r w:rsidRPr="00F17282">
        <w:rPr>
          <w:lang w:val="en-AU"/>
        </w:rPr>
        <w:t>o</w:t>
      </w:r>
      <w:r>
        <w:rPr>
          <w:lang w:val="en-AU"/>
        </w:rPr>
        <w:t>r</w:t>
      </w:r>
      <w:r w:rsidRPr="00F17282">
        <w:rPr>
          <w:lang w:val="en-AU"/>
        </w:rPr>
        <w:t xml:space="preserve"> Australian employees and businesses. The payment consist</w:t>
      </w:r>
      <w:r>
        <w:rPr>
          <w:lang w:val="en-AU"/>
        </w:rPr>
        <w:t>ed</w:t>
      </w:r>
      <w:r w:rsidRPr="00F17282">
        <w:rPr>
          <w:lang w:val="en-AU"/>
        </w:rPr>
        <w:t xml:space="preserve"> of the first phase of </w:t>
      </w:r>
      <w:proofErr w:type="spellStart"/>
      <w:r w:rsidRPr="00F17282">
        <w:rPr>
          <w:lang w:val="en-AU"/>
        </w:rPr>
        <w:t>JobKeeper</w:t>
      </w:r>
      <w:proofErr w:type="spellEnd"/>
      <w:r w:rsidRPr="00F17282">
        <w:rPr>
          <w:lang w:val="en-AU"/>
        </w:rPr>
        <w:t xml:space="preserve"> (April – September 2020), where eligible businesses</w:t>
      </w:r>
      <w:r>
        <w:rPr>
          <w:lang w:val="en-AU"/>
        </w:rPr>
        <w:t xml:space="preserve"> (including the self-employed) and not-for-profit organisations, </w:t>
      </w:r>
      <w:r w:rsidRPr="00F17282">
        <w:rPr>
          <w:lang w:val="en-AU"/>
        </w:rPr>
        <w:t>were provided $1,500 per fortnight for each eligible employee</w:t>
      </w:r>
      <w:r>
        <w:rPr>
          <w:lang w:val="en-AU"/>
        </w:rPr>
        <w:t xml:space="preserve"> and eligible business participant (EBP)</w:t>
      </w:r>
      <w:r w:rsidRPr="00F17282">
        <w:rPr>
          <w:lang w:val="en-AU"/>
        </w:rPr>
        <w:t xml:space="preserve">. In the first quarter of the </w:t>
      </w:r>
      <w:proofErr w:type="spellStart"/>
      <w:r w:rsidRPr="00F17282">
        <w:rPr>
          <w:lang w:val="en-AU"/>
        </w:rPr>
        <w:t>JobKeeper</w:t>
      </w:r>
      <w:proofErr w:type="spellEnd"/>
      <w:r w:rsidRPr="00F17282">
        <w:rPr>
          <w:lang w:val="en-AU"/>
        </w:rPr>
        <w:t xml:space="preserve"> extension (October – December 2020) this was $1,200</w:t>
      </w:r>
      <w:r>
        <w:rPr>
          <w:lang w:val="en-AU"/>
        </w:rPr>
        <w:t xml:space="preserve"> or $750</w:t>
      </w:r>
      <w:r w:rsidRPr="00F17282">
        <w:rPr>
          <w:lang w:val="en-AU"/>
        </w:rPr>
        <w:t xml:space="preserve"> per fortnight for each eligible employee</w:t>
      </w:r>
      <w:r>
        <w:rPr>
          <w:lang w:val="en-AU"/>
        </w:rPr>
        <w:t xml:space="preserve"> and EBP and</w:t>
      </w:r>
      <w:r w:rsidRPr="00F17282">
        <w:rPr>
          <w:lang w:val="en-AU"/>
        </w:rPr>
        <w:t xml:space="preserve"> $1,000</w:t>
      </w:r>
      <w:r>
        <w:rPr>
          <w:lang w:val="en-AU"/>
        </w:rPr>
        <w:t xml:space="preserve"> or $650</w:t>
      </w:r>
      <w:r w:rsidRPr="00F17282">
        <w:rPr>
          <w:lang w:val="en-AU"/>
        </w:rPr>
        <w:t xml:space="preserve"> per fortnight in the second quarter of the </w:t>
      </w:r>
      <w:proofErr w:type="spellStart"/>
      <w:r w:rsidRPr="00F17282">
        <w:rPr>
          <w:lang w:val="en-AU"/>
        </w:rPr>
        <w:t>JobKeeper</w:t>
      </w:r>
      <w:proofErr w:type="spellEnd"/>
      <w:r w:rsidRPr="00F17282">
        <w:rPr>
          <w:lang w:val="en-AU"/>
        </w:rPr>
        <w:t xml:space="preserve"> extension (January – March 2021).</w:t>
      </w:r>
      <w:r>
        <w:rPr>
          <w:lang w:val="en-AU"/>
        </w:rPr>
        <w:t xml:space="preserve"> The lower payment rates applied when the employee or EBP had worked fewer than 20 hours per week in the relevant reference period. Stricter business eligibility requirements also applied in the </w:t>
      </w:r>
      <w:proofErr w:type="spellStart"/>
      <w:r>
        <w:rPr>
          <w:lang w:val="en-AU"/>
        </w:rPr>
        <w:t>JobKeeper</w:t>
      </w:r>
      <w:proofErr w:type="spellEnd"/>
      <w:r>
        <w:rPr>
          <w:lang w:val="en-AU"/>
        </w:rPr>
        <w:t xml:space="preserve"> extension.</w:t>
      </w:r>
      <w:r>
        <w:rPr>
          <w:rStyle w:val="EndnoteReference"/>
          <w:lang w:val="en-AU"/>
        </w:rPr>
        <w:endnoteReference w:id="7"/>
      </w:r>
    </w:p>
    <w:p w14:paraId="38678E22" w14:textId="77777777" w:rsidR="00F76476" w:rsidRPr="002B3569" w:rsidRDefault="00F76476" w:rsidP="009470DB">
      <w:pPr>
        <w:pStyle w:val="Box1Text"/>
        <w:keepLines/>
      </w:pPr>
      <w:r>
        <w:rPr>
          <w:lang w:val="en-AU"/>
        </w:rPr>
        <w:lastRenderedPageBreak/>
        <w:t>The Boosting Cash Flow for Employers measure provided temporary cash flow for small and medium businesses and not-for-profit organisations that employed staff.</w:t>
      </w:r>
      <w:r>
        <w:rPr>
          <w:rStyle w:val="EndnoteReference"/>
          <w:lang w:val="en-AU"/>
        </w:rPr>
        <w:endnoteReference w:id="8"/>
      </w:r>
      <w:r>
        <w:rPr>
          <w:lang w:val="en-AU"/>
        </w:rPr>
        <w:t xml:space="preserve"> </w:t>
      </w:r>
      <w:r w:rsidRPr="00B603A8">
        <w:rPr>
          <w:lang w:val="en-AU"/>
        </w:rPr>
        <w:t xml:space="preserve">Eligible businesses and </w:t>
      </w:r>
      <w:r>
        <w:rPr>
          <w:lang w:val="en-AU"/>
        </w:rPr>
        <w:t>not-for-profit</w:t>
      </w:r>
      <w:r w:rsidRPr="00B603A8">
        <w:rPr>
          <w:lang w:val="en-AU"/>
        </w:rPr>
        <w:t xml:space="preserve"> organisations received</w:t>
      </w:r>
      <w:r>
        <w:rPr>
          <w:lang w:val="en-AU"/>
        </w:rPr>
        <w:t xml:space="preserve"> </w:t>
      </w:r>
      <w:r w:rsidRPr="00B603A8">
        <w:rPr>
          <w:lang w:val="en-AU"/>
        </w:rPr>
        <w:t>between $20,000 to $100,000 in cash flow boost credits</w:t>
      </w:r>
      <w:r>
        <w:rPr>
          <w:lang w:val="en-AU"/>
        </w:rPr>
        <w:t xml:space="preserve"> </w:t>
      </w:r>
      <w:r w:rsidRPr="00B603A8">
        <w:rPr>
          <w:lang w:val="en-AU"/>
        </w:rPr>
        <w:t>by lodging their activity statements up to the month or</w:t>
      </w:r>
      <w:r>
        <w:rPr>
          <w:lang w:val="en-AU"/>
        </w:rPr>
        <w:t xml:space="preserve"> </w:t>
      </w:r>
      <w:r w:rsidRPr="00B603A8">
        <w:rPr>
          <w:lang w:val="en-AU"/>
        </w:rPr>
        <w:t>quarter of September 2020. This included an initial cash</w:t>
      </w:r>
      <w:r>
        <w:rPr>
          <w:lang w:val="en-AU"/>
        </w:rPr>
        <w:t xml:space="preserve"> </w:t>
      </w:r>
      <w:r w:rsidRPr="00B603A8">
        <w:rPr>
          <w:lang w:val="en-AU"/>
        </w:rPr>
        <w:t xml:space="preserve">flow boost </w:t>
      </w:r>
      <w:r>
        <w:rPr>
          <w:lang w:val="en-AU"/>
        </w:rPr>
        <w:t xml:space="preserve">of </w:t>
      </w:r>
      <w:r w:rsidRPr="00B603A8">
        <w:rPr>
          <w:lang w:val="en-AU"/>
        </w:rPr>
        <w:t xml:space="preserve">between $10,000 </w:t>
      </w:r>
      <w:r>
        <w:rPr>
          <w:lang w:val="en-AU"/>
        </w:rPr>
        <w:t>and</w:t>
      </w:r>
      <w:r w:rsidRPr="00B603A8">
        <w:rPr>
          <w:lang w:val="en-AU"/>
        </w:rPr>
        <w:t xml:space="preserve"> $50,000 </w:t>
      </w:r>
      <w:r>
        <w:rPr>
          <w:lang w:val="en-AU"/>
        </w:rPr>
        <w:t>on lodgement of</w:t>
      </w:r>
      <w:r w:rsidRPr="00B603A8">
        <w:rPr>
          <w:lang w:val="en-AU"/>
        </w:rPr>
        <w:t xml:space="preserve"> the March to</w:t>
      </w:r>
      <w:r>
        <w:rPr>
          <w:lang w:val="en-AU"/>
        </w:rPr>
        <w:t xml:space="preserve"> June activity statements, generally based on the employer’s pay as you go withholding obligations for those periods. There was also an additional cash flow boost on lodgement of June to September activity statements, equal to the initial cash flow boost payments received.</w:t>
      </w:r>
    </w:p>
    <w:p w14:paraId="7A7454DE" w14:textId="5D960FDC" w:rsidR="00592606" w:rsidRPr="00AB22E9" w:rsidRDefault="00592606" w:rsidP="005119E1">
      <w:pPr>
        <w:pStyle w:val="Heading2"/>
      </w:pPr>
      <w:bookmarkStart w:id="19" w:name="_Toc73021019"/>
      <w:bookmarkStart w:id="20" w:name="_Toc73021826"/>
      <w:bookmarkStart w:id="21" w:name="_Toc73021947"/>
      <w:bookmarkStart w:id="22" w:name="_Toc73022110"/>
      <w:r>
        <w:t>Key findings</w:t>
      </w:r>
      <w:bookmarkEnd w:id="19"/>
      <w:bookmarkEnd w:id="20"/>
      <w:bookmarkEnd w:id="21"/>
      <w:bookmarkEnd w:id="22"/>
    </w:p>
    <w:p w14:paraId="15D0C8E9" w14:textId="3AA962B4" w:rsidR="00F76476" w:rsidRPr="008A4B8C" w:rsidRDefault="00F76476" w:rsidP="00F76476">
      <w:bookmarkStart w:id="23" w:name="_Toc73013202"/>
      <w:proofErr w:type="spellStart"/>
      <w:r>
        <w:t>JobKeeper</w:t>
      </w:r>
      <w:proofErr w:type="spellEnd"/>
      <w:r>
        <w:t xml:space="preserve"> and the Boosting Cash Flow for Employers measure provided </w:t>
      </w:r>
      <w:r w:rsidRPr="008A4B8C">
        <w:t>$10.7 billion</w:t>
      </w:r>
      <w:r>
        <w:t xml:space="preserve"> to businesses and individuals </w:t>
      </w:r>
      <w:r w:rsidR="000567B9">
        <w:t>in</w:t>
      </w:r>
      <w:r>
        <w:t xml:space="preserve"> cultural and creative </w:t>
      </w:r>
      <w:r w:rsidR="000567B9">
        <w:t>sectors</w:t>
      </w:r>
      <w:r>
        <w:t xml:space="preserve"> for April through to the end of December 2020 (to early February 2021 for the Boosting Cash Flow for Employers measure). </w:t>
      </w:r>
      <w:r w:rsidRPr="008A4B8C">
        <w:t>If cultural and creative activity had continued to grow at its 10</w:t>
      </w:r>
      <w:r>
        <w:noBreakHyphen/>
      </w:r>
      <w:r w:rsidRPr="008A4B8C">
        <w:t xml:space="preserve">year average growth rate, this would represent </w:t>
      </w:r>
      <w:r>
        <w:t>8.</w:t>
      </w:r>
      <w:r w:rsidR="004827E5">
        <w:t>8</w:t>
      </w:r>
      <w:r w:rsidR="004827E5" w:rsidRPr="008A4B8C">
        <w:t> </w:t>
      </w:r>
      <w:r w:rsidRPr="008A4B8C">
        <w:t xml:space="preserve">per cent of the economic contribution of </w:t>
      </w:r>
      <w:r w:rsidRPr="008A4B8C">
        <w:lastRenderedPageBreak/>
        <w:t>cultural and creative sectors in 2020–21 of $</w:t>
      </w:r>
      <w:r>
        <w:t>12</w:t>
      </w:r>
      <w:r w:rsidR="004827E5">
        <w:t>2</w:t>
      </w:r>
      <w:r>
        <w:t>.</w:t>
      </w:r>
      <w:r w:rsidR="004827E5">
        <w:t>2</w:t>
      </w:r>
      <w:r w:rsidR="004827E5" w:rsidRPr="008A4B8C">
        <w:t> </w:t>
      </w:r>
      <w:r w:rsidRPr="008A4B8C">
        <w:t>billion.</w:t>
      </w:r>
      <w:r w:rsidRPr="008A4B8C">
        <w:rPr>
          <w:rStyle w:val="FootnoteReference"/>
        </w:rPr>
        <w:footnoteReference w:id="2"/>
      </w:r>
      <w:r w:rsidRPr="008A4B8C">
        <w:t xml:space="preserve"> </w:t>
      </w:r>
      <w:r w:rsidR="00040DF7">
        <w:fldChar w:fldCharType="begin"/>
      </w:r>
      <w:r w:rsidR="00040DF7">
        <w:instrText xml:space="preserve"> REF _Ref73019672 \h </w:instrText>
      </w:r>
      <w:r w:rsidR="00040DF7">
        <w:fldChar w:fldCharType="separate"/>
      </w:r>
      <w:r w:rsidR="00040DF7" w:rsidRPr="008A4B8C">
        <w:t xml:space="preserve">Table </w:t>
      </w:r>
      <w:r w:rsidR="00040DF7">
        <w:t>1</w:t>
      </w:r>
      <w:r w:rsidR="00040DF7">
        <w:fldChar w:fldCharType="end"/>
      </w:r>
      <w:r w:rsidRPr="008A4B8C">
        <w:t xml:space="preserve"> shows the value of these payments as a proportion of cultural and creative activity.</w:t>
      </w:r>
    </w:p>
    <w:p w14:paraId="6BFCFF27" w14:textId="447D66EC" w:rsidR="00592606" w:rsidRPr="008A4B8C" w:rsidRDefault="00592606" w:rsidP="00BB4972">
      <w:pPr>
        <w:pStyle w:val="Tablefigureheading"/>
      </w:pPr>
      <w:bookmarkStart w:id="24" w:name="_Ref73019672"/>
      <w:r w:rsidRPr="00397B68">
        <w:t xml:space="preserve">Table </w:t>
      </w:r>
      <w:r w:rsidR="001613CD" w:rsidRPr="00397B68">
        <w:fldChar w:fldCharType="begin"/>
      </w:r>
      <w:r w:rsidR="001613CD" w:rsidRPr="00397B68">
        <w:instrText xml:space="preserve"> SEQ Table \* ARABIC </w:instrText>
      </w:r>
      <w:r w:rsidR="001613CD" w:rsidRPr="00397B68">
        <w:fldChar w:fldCharType="separate"/>
      </w:r>
      <w:r w:rsidRPr="00397B68">
        <w:t>1</w:t>
      </w:r>
      <w:r w:rsidR="001613CD" w:rsidRPr="00397B68">
        <w:fldChar w:fldCharType="end"/>
      </w:r>
      <w:bookmarkEnd w:id="24"/>
      <w:r w:rsidRPr="00397B68">
        <w:t>. Total JobKeeper and Boosting Cash Flow for Employers contributions to cultural and creative activity</w:t>
      </w:r>
      <w:bookmarkEnd w:id="23"/>
    </w:p>
    <w:tbl>
      <w:tblPr>
        <w:tblStyle w:val="DefaultTable1"/>
        <w:tblW w:w="9639" w:type="dxa"/>
        <w:tblLayout w:type="fixed"/>
        <w:tblLook w:val="04A0" w:firstRow="1" w:lastRow="0" w:firstColumn="1" w:lastColumn="0" w:noHBand="0" w:noVBand="1"/>
        <w:tblCaption w:val="Table 1. Total JobKeeper and Boosting Cash Flow for Employers contributions to cultural and creative activity"/>
        <w:tblDescription w:val="Table 1 shows the total amount of payments that went towards the cultural and creative sectors and the share that these sectors received as a proportion of total payment amounts across the economy. This is split by JobKeeper payments (April 2020 - Dec 2020) and Boosting Cash Flow for Employers payments.   "/>
      </w:tblPr>
      <w:tblGrid>
        <w:gridCol w:w="3231"/>
        <w:gridCol w:w="3231"/>
        <w:gridCol w:w="3177"/>
      </w:tblGrid>
      <w:tr w:rsidR="00592606" w:rsidRPr="008A4B8C" w14:paraId="4B3CE4D3" w14:textId="77777777" w:rsidTr="0086350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63D5656A" w14:textId="77777777" w:rsidR="00592606" w:rsidRPr="008A4B8C" w:rsidRDefault="00592606" w:rsidP="00AC04E0">
            <w:pPr>
              <w:keepNext/>
              <w:suppressAutoHyphens w:val="0"/>
              <w:rPr>
                <w:rFonts w:ascii="Calibri" w:eastAsia="Times New Roman" w:hAnsi="Calibri" w:cs="Calibri"/>
                <w:kern w:val="0"/>
                <w:lang w:eastAsia="en-AU"/>
              </w:rPr>
            </w:pPr>
            <w:r w:rsidRPr="008A4B8C">
              <w:rPr>
                <w:rFonts w:ascii="Calibri" w:eastAsia="Times New Roman" w:hAnsi="Calibri" w:cs="Calibri"/>
                <w:kern w:val="0"/>
                <w:lang w:eastAsia="en-AU"/>
              </w:rPr>
              <w:t>Measure</w:t>
            </w:r>
          </w:p>
        </w:tc>
        <w:tc>
          <w:tcPr>
            <w:tcW w:w="3231" w:type="dxa"/>
            <w:noWrap/>
            <w:vAlign w:val="center"/>
            <w:hideMark/>
          </w:tcPr>
          <w:p w14:paraId="0CA0833B" w14:textId="77777777" w:rsidR="00592606" w:rsidRPr="008A4B8C" w:rsidRDefault="00592606" w:rsidP="00AC04E0">
            <w:pPr>
              <w:keepNext/>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lang w:eastAsia="en-AU"/>
              </w:rPr>
            </w:pPr>
            <w:r w:rsidRPr="008A4B8C">
              <w:rPr>
                <w:rFonts w:ascii="Calibri" w:eastAsia="Times New Roman" w:hAnsi="Calibri" w:cs="Calibri"/>
                <w:kern w:val="0"/>
                <w:lang w:eastAsia="en-AU"/>
              </w:rPr>
              <w:t>Total payments</w:t>
            </w:r>
          </w:p>
        </w:tc>
        <w:tc>
          <w:tcPr>
            <w:tcW w:w="3177" w:type="dxa"/>
            <w:noWrap/>
            <w:vAlign w:val="center"/>
            <w:hideMark/>
          </w:tcPr>
          <w:p w14:paraId="04D71B3F" w14:textId="7811A2C0" w:rsidR="00592606" w:rsidRPr="008A4B8C" w:rsidRDefault="00592606" w:rsidP="00E20D92">
            <w:pPr>
              <w:keepNext/>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lang w:eastAsia="en-AU"/>
              </w:rPr>
            </w:pPr>
            <w:r w:rsidRPr="008A4B8C">
              <w:rPr>
                <w:rFonts w:ascii="Calibri" w:eastAsia="Times New Roman" w:hAnsi="Calibri" w:cs="Calibri"/>
                <w:kern w:val="0"/>
                <w:lang w:eastAsia="en-AU"/>
              </w:rPr>
              <w:t xml:space="preserve">Share of estimated </w:t>
            </w:r>
            <w:r w:rsidR="008051DB">
              <w:rPr>
                <w:rFonts w:ascii="Calibri" w:eastAsia="Times New Roman" w:hAnsi="Calibri" w:cs="Calibri"/>
                <w:kern w:val="0"/>
                <w:lang w:eastAsia="en-AU"/>
              </w:rPr>
              <w:t>2020–21</w:t>
            </w:r>
            <w:r w:rsidRPr="008A4B8C">
              <w:rPr>
                <w:rFonts w:ascii="Calibri" w:eastAsia="Times New Roman" w:hAnsi="Calibri" w:cs="Calibri"/>
                <w:kern w:val="0"/>
                <w:lang w:eastAsia="en-AU"/>
              </w:rPr>
              <w:t xml:space="preserve"> cultural and creative </w:t>
            </w:r>
            <w:r w:rsidR="00E20D92">
              <w:rPr>
                <w:rFonts w:ascii="Calibri" w:eastAsia="Times New Roman" w:hAnsi="Calibri" w:cs="Calibri"/>
                <w:kern w:val="0"/>
                <w:lang w:eastAsia="en-AU"/>
              </w:rPr>
              <w:t>activity</w:t>
            </w:r>
          </w:p>
        </w:tc>
      </w:tr>
      <w:tr w:rsidR="00592606" w:rsidRPr="008A4B8C" w14:paraId="5F4112E8" w14:textId="77777777" w:rsidTr="00672971">
        <w:trPr>
          <w:cantSplit/>
        </w:trPr>
        <w:tc>
          <w:tcPr>
            <w:cnfStyle w:val="001000000000" w:firstRow="0" w:lastRow="0" w:firstColumn="1" w:lastColumn="0" w:oddVBand="0" w:evenVBand="0" w:oddHBand="0" w:evenHBand="0" w:firstRowFirstColumn="0" w:firstRowLastColumn="0" w:lastRowFirstColumn="0" w:lastRowLastColumn="0"/>
            <w:tcW w:w="3231" w:type="dxa"/>
            <w:noWrap/>
            <w:hideMark/>
          </w:tcPr>
          <w:p w14:paraId="7A23618B" w14:textId="25E06C3C" w:rsidR="00592606" w:rsidRPr="008A4B8C" w:rsidRDefault="00592606" w:rsidP="008051DB">
            <w:pPr>
              <w:keepNext/>
              <w:rPr>
                <w:rFonts w:ascii="Calibri" w:eastAsia="Times New Roman" w:hAnsi="Calibri" w:cs="Calibri"/>
                <w:b w:val="0"/>
                <w:color w:val="000000"/>
                <w:kern w:val="0"/>
                <w:lang w:eastAsia="en-AU"/>
              </w:rPr>
            </w:pPr>
            <w:proofErr w:type="spellStart"/>
            <w:r w:rsidRPr="008A4B8C">
              <w:rPr>
                <w:rFonts w:ascii="Calibri" w:hAnsi="Calibri" w:cs="Calibri"/>
                <w:b w:val="0"/>
                <w:bCs/>
                <w:color w:val="000000"/>
              </w:rPr>
              <w:t>JobKeeper</w:t>
            </w:r>
            <w:proofErr w:type="spellEnd"/>
            <w:r w:rsidRPr="008A4B8C">
              <w:rPr>
                <w:rFonts w:ascii="Calibri" w:hAnsi="Calibri" w:cs="Calibri"/>
                <w:b w:val="0"/>
                <w:bCs/>
                <w:color w:val="000000"/>
              </w:rPr>
              <w:t xml:space="preserve"> payments </w:t>
            </w:r>
            <w:r w:rsidR="00A734C9">
              <w:rPr>
                <w:rFonts w:ascii="Calibri" w:hAnsi="Calibri" w:cs="Calibri"/>
                <w:b w:val="0"/>
                <w:bCs/>
                <w:color w:val="000000"/>
              </w:rPr>
              <w:t>(Apr 2020 – </w:t>
            </w:r>
            <w:r w:rsidRPr="008A4B8C">
              <w:rPr>
                <w:rFonts w:ascii="Calibri" w:hAnsi="Calibri" w:cs="Calibri"/>
                <w:b w:val="0"/>
                <w:bCs/>
                <w:color w:val="000000"/>
              </w:rPr>
              <w:t>Dec 2020)</w:t>
            </w:r>
          </w:p>
        </w:tc>
        <w:tc>
          <w:tcPr>
            <w:tcW w:w="3231" w:type="dxa"/>
            <w:noWrap/>
            <w:vAlign w:val="center"/>
            <w:hideMark/>
          </w:tcPr>
          <w:p w14:paraId="3A620B1B" w14:textId="77777777" w:rsidR="00592606" w:rsidRPr="008A4B8C" w:rsidRDefault="00592606" w:rsidP="00F76476">
            <w:pPr>
              <w:keepNext/>
              <w:ind w:right="1098"/>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A4B8C">
              <w:rPr>
                <w:rFonts w:ascii="Calibri" w:hAnsi="Calibri" w:cs="Calibri"/>
                <w:color w:val="000000"/>
              </w:rPr>
              <w:t>$8.0</w:t>
            </w:r>
            <w:r>
              <w:rPr>
                <w:rFonts w:ascii="Calibri" w:hAnsi="Calibri" w:cs="Calibri"/>
                <w:color w:val="000000"/>
              </w:rPr>
              <w:t> billion</w:t>
            </w:r>
          </w:p>
        </w:tc>
        <w:tc>
          <w:tcPr>
            <w:tcW w:w="3177" w:type="dxa"/>
            <w:noWrap/>
            <w:vAlign w:val="center"/>
            <w:hideMark/>
          </w:tcPr>
          <w:p w14:paraId="5E50DD27" w14:textId="0F3C5EFF" w:rsidR="00592606" w:rsidRPr="00995FB8" w:rsidRDefault="009B79D5" w:rsidP="00AC04E0">
            <w:pPr>
              <w:keepNext/>
              <w:ind w:right="1166"/>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95FB8">
              <w:rPr>
                <w:rFonts w:ascii="Calibri" w:hAnsi="Calibri" w:cs="Calibri"/>
                <w:color w:val="000000"/>
              </w:rPr>
              <w:t>6.</w:t>
            </w:r>
            <w:r w:rsidR="0058205E">
              <w:rPr>
                <w:rFonts w:ascii="Calibri" w:hAnsi="Calibri" w:cs="Calibri"/>
                <w:color w:val="000000"/>
              </w:rPr>
              <w:t>5</w:t>
            </w:r>
            <w:r w:rsidR="00592606" w:rsidRPr="00995FB8">
              <w:rPr>
                <w:rFonts w:ascii="Calibri" w:hAnsi="Calibri" w:cs="Calibri"/>
                <w:color w:val="000000"/>
              </w:rPr>
              <w:t>%</w:t>
            </w:r>
          </w:p>
        </w:tc>
      </w:tr>
      <w:tr w:rsidR="00592606" w:rsidRPr="008A4B8C" w14:paraId="5D0B680A" w14:textId="77777777" w:rsidTr="0067297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1" w:type="dxa"/>
            <w:noWrap/>
            <w:hideMark/>
          </w:tcPr>
          <w:p w14:paraId="5E7F4424" w14:textId="77777777" w:rsidR="00592606" w:rsidRPr="008A4B8C" w:rsidRDefault="00592606" w:rsidP="00AC04E0">
            <w:pPr>
              <w:keepNext/>
              <w:rPr>
                <w:rFonts w:ascii="Calibri" w:eastAsia="Times New Roman" w:hAnsi="Calibri" w:cs="Calibri"/>
                <w:b w:val="0"/>
                <w:color w:val="000000"/>
                <w:kern w:val="0"/>
                <w:lang w:eastAsia="en-AU"/>
              </w:rPr>
            </w:pPr>
            <w:r w:rsidRPr="008A4B8C">
              <w:rPr>
                <w:rFonts w:ascii="Calibri" w:hAnsi="Calibri" w:cs="Calibri"/>
                <w:b w:val="0"/>
                <w:bCs/>
                <w:color w:val="000000"/>
              </w:rPr>
              <w:t>Boosting Cash Flow for Employers</w:t>
            </w:r>
          </w:p>
        </w:tc>
        <w:tc>
          <w:tcPr>
            <w:tcW w:w="3231" w:type="dxa"/>
            <w:noWrap/>
            <w:vAlign w:val="center"/>
            <w:hideMark/>
          </w:tcPr>
          <w:p w14:paraId="53660E91" w14:textId="77777777" w:rsidR="00592606" w:rsidRPr="008A4B8C" w:rsidRDefault="00592606" w:rsidP="00F76476">
            <w:pPr>
              <w:keepNext/>
              <w:ind w:right="1098"/>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8A4B8C">
              <w:rPr>
                <w:rFonts w:ascii="Calibri" w:hAnsi="Calibri" w:cs="Calibri"/>
                <w:color w:val="000000"/>
              </w:rPr>
              <w:t>$2.7</w:t>
            </w:r>
            <w:r>
              <w:rPr>
                <w:rFonts w:ascii="Calibri" w:hAnsi="Calibri" w:cs="Calibri"/>
                <w:color w:val="000000"/>
              </w:rPr>
              <w:t> billion</w:t>
            </w:r>
          </w:p>
        </w:tc>
        <w:tc>
          <w:tcPr>
            <w:tcW w:w="3177" w:type="dxa"/>
            <w:noWrap/>
            <w:vAlign w:val="center"/>
            <w:hideMark/>
          </w:tcPr>
          <w:p w14:paraId="0D49A353" w14:textId="42327E4A" w:rsidR="00592606" w:rsidRPr="00995FB8" w:rsidRDefault="00592606" w:rsidP="009B79D5">
            <w:pPr>
              <w:keepNext/>
              <w:ind w:right="1166"/>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995FB8">
              <w:rPr>
                <w:rFonts w:ascii="Calibri" w:hAnsi="Calibri" w:cs="Calibri"/>
                <w:color w:val="000000"/>
              </w:rPr>
              <w:t>2.</w:t>
            </w:r>
            <w:r w:rsidR="009B79D5" w:rsidRPr="00995FB8">
              <w:rPr>
                <w:rFonts w:ascii="Calibri" w:hAnsi="Calibri" w:cs="Calibri"/>
                <w:color w:val="000000"/>
              </w:rPr>
              <w:t>2</w:t>
            </w:r>
            <w:r w:rsidRPr="00995FB8">
              <w:rPr>
                <w:rFonts w:ascii="Calibri" w:hAnsi="Calibri" w:cs="Calibri"/>
                <w:color w:val="000000"/>
              </w:rPr>
              <w:t>%</w:t>
            </w:r>
          </w:p>
        </w:tc>
      </w:tr>
      <w:tr w:rsidR="00592606" w:rsidRPr="008A4B8C" w14:paraId="0726AA31" w14:textId="77777777" w:rsidTr="00672971">
        <w:trPr>
          <w:cantSplit/>
        </w:trPr>
        <w:tc>
          <w:tcPr>
            <w:cnfStyle w:val="001000000000" w:firstRow="0" w:lastRow="0" w:firstColumn="1" w:lastColumn="0" w:oddVBand="0" w:evenVBand="0" w:oddHBand="0" w:evenHBand="0" w:firstRowFirstColumn="0" w:firstRowLastColumn="0" w:lastRowFirstColumn="0" w:lastRowLastColumn="0"/>
            <w:tcW w:w="3231" w:type="dxa"/>
            <w:shd w:val="clear" w:color="auto" w:fill="F2F6E8" w:themeFill="accent5" w:themeFillTint="33"/>
            <w:noWrap/>
            <w:hideMark/>
          </w:tcPr>
          <w:p w14:paraId="19A32D03" w14:textId="77777777" w:rsidR="00592606" w:rsidRPr="008A4B8C" w:rsidRDefault="00592606" w:rsidP="00AC04E0">
            <w:pPr>
              <w:keepNext/>
              <w:rPr>
                <w:rFonts w:ascii="Calibri" w:eastAsia="Times New Roman" w:hAnsi="Calibri" w:cs="Calibri"/>
                <w:color w:val="000000"/>
                <w:kern w:val="0"/>
                <w:lang w:eastAsia="en-AU"/>
              </w:rPr>
            </w:pPr>
            <w:r w:rsidRPr="008A4B8C">
              <w:rPr>
                <w:rFonts w:ascii="Calibri" w:hAnsi="Calibri" w:cs="Calibri"/>
                <w:bCs/>
                <w:color w:val="000000"/>
              </w:rPr>
              <w:t>Total</w:t>
            </w:r>
          </w:p>
        </w:tc>
        <w:tc>
          <w:tcPr>
            <w:tcW w:w="3231" w:type="dxa"/>
            <w:shd w:val="clear" w:color="auto" w:fill="F2F6E8" w:themeFill="accent5" w:themeFillTint="33"/>
            <w:noWrap/>
            <w:vAlign w:val="center"/>
            <w:hideMark/>
          </w:tcPr>
          <w:p w14:paraId="24029CB7" w14:textId="77777777" w:rsidR="00592606" w:rsidRPr="008A4B8C" w:rsidRDefault="00592606" w:rsidP="00F76476">
            <w:pPr>
              <w:keepNext/>
              <w:ind w:right="1098"/>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kern w:val="0"/>
                <w:lang w:eastAsia="en-AU"/>
              </w:rPr>
            </w:pPr>
            <w:r w:rsidRPr="008A4B8C">
              <w:rPr>
                <w:rFonts w:ascii="Calibri" w:hAnsi="Calibri" w:cs="Calibri"/>
                <w:b/>
                <w:color w:val="000000"/>
              </w:rPr>
              <w:t>$10</w:t>
            </w:r>
            <w:r w:rsidRPr="00D8321B">
              <w:rPr>
                <w:rFonts w:ascii="Calibri" w:hAnsi="Calibri" w:cs="Calibri"/>
                <w:b/>
                <w:color w:val="000000"/>
              </w:rPr>
              <w:t>.7</w:t>
            </w:r>
            <w:r w:rsidRPr="00232BC1">
              <w:rPr>
                <w:rFonts w:ascii="Calibri" w:hAnsi="Calibri" w:cs="Calibri"/>
                <w:b/>
                <w:color w:val="000000"/>
              </w:rPr>
              <w:t> billion</w:t>
            </w:r>
          </w:p>
        </w:tc>
        <w:tc>
          <w:tcPr>
            <w:tcW w:w="3177" w:type="dxa"/>
            <w:shd w:val="clear" w:color="auto" w:fill="F2F6E8" w:themeFill="accent5" w:themeFillTint="33"/>
            <w:noWrap/>
            <w:vAlign w:val="center"/>
            <w:hideMark/>
          </w:tcPr>
          <w:p w14:paraId="1342DD0B" w14:textId="1A151AAE" w:rsidR="00592606" w:rsidRPr="00995FB8" w:rsidRDefault="009B79D5" w:rsidP="00AC04E0">
            <w:pPr>
              <w:keepNext/>
              <w:ind w:right="1166"/>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sidRPr="00995FB8">
              <w:rPr>
                <w:rFonts w:ascii="Calibri" w:hAnsi="Calibri" w:cs="Calibri"/>
                <w:b/>
                <w:color w:val="000000"/>
              </w:rPr>
              <w:t>8.</w:t>
            </w:r>
            <w:r w:rsidR="0058205E">
              <w:rPr>
                <w:rFonts w:ascii="Calibri" w:hAnsi="Calibri" w:cs="Calibri"/>
                <w:b/>
                <w:color w:val="000000"/>
              </w:rPr>
              <w:t>8</w:t>
            </w:r>
            <w:r w:rsidR="00592606" w:rsidRPr="00995FB8">
              <w:rPr>
                <w:rFonts w:ascii="Calibri" w:hAnsi="Calibri" w:cs="Calibri"/>
                <w:b/>
                <w:color w:val="000000"/>
              </w:rPr>
              <w:t>%</w:t>
            </w:r>
          </w:p>
        </w:tc>
      </w:tr>
    </w:tbl>
    <w:p w14:paraId="6F4308DB" w14:textId="0288336F" w:rsidR="00592606" w:rsidRPr="00D66461" w:rsidRDefault="00592606" w:rsidP="00D66461">
      <w:pPr>
        <w:pStyle w:val="Sourcenotes"/>
        <w:keepNext/>
        <w:rPr>
          <w:lang w:val="en-AU"/>
        </w:rPr>
      </w:pPr>
      <w:r w:rsidRPr="008A4B8C">
        <w:rPr>
          <w:lang w:val="en-AU"/>
        </w:rPr>
        <w:t>Source: BCARR analysis of Australian Taxation Office administrative data</w:t>
      </w:r>
      <w:r>
        <w:rPr>
          <w:lang w:val="en-AU"/>
        </w:rPr>
        <w:t>,</w:t>
      </w:r>
      <w:r w:rsidR="00F76476">
        <w:rPr>
          <w:lang w:val="en-AU"/>
        </w:rPr>
        <w:t xml:space="preserve"> data</w:t>
      </w:r>
      <w:r>
        <w:rPr>
          <w:lang w:val="en-AU"/>
        </w:rPr>
        <w:t xml:space="preserve"> as at 10 February 2021</w:t>
      </w:r>
      <w:r w:rsidRPr="008A4B8C">
        <w:rPr>
          <w:lang w:val="en-AU"/>
        </w:rPr>
        <w:t>.</w:t>
      </w:r>
    </w:p>
    <w:p w14:paraId="6E70EA0D" w14:textId="4F7D1E7A" w:rsidR="00592606" w:rsidRPr="00722FE0" w:rsidRDefault="00592606" w:rsidP="005119E1">
      <w:pPr>
        <w:pStyle w:val="Heading3"/>
      </w:pPr>
      <w:bookmarkStart w:id="25" w:name="_Toc73021020"/>
      <w:bookmarkStart w:id="26" w:name="_Toc73021827"/>
      <w:bookmarkStart w:id="27" w:name="_Toc73021948"/>
      <w:bookmarkStart w:id="28" w:name="_Toc73022111"/>
      <w:proofErr w:type="spellStart"/>
      <w:r w:rsidRPr="00722FE0">
        <w:t>JobKeeper</w:t>
      </w:r>
      <w:proofErr w:type="spellEnd"/>
      <w:r w:rsidRPr="00722FE0">
        <w:t xml:space="preserve"> provided $8 billion to cultural and creative sectors</w:t>
      </w:r>
      <w:bookmarkEnd w:id="25"/>
      <w:bookmarkEnd w:id="26"/>
      <w:bookmarkEnd w:id="27"/>
      <w:bookmarkEnd w:id="28"/>
    </w:p>
    <w:p w14:paraId="7CCFF572" w14:textId="1B389104" w:rsidR="00592606" w:rsidRPr="00722FE0" w:rsidRDefault="00F76476" w:rsidP="00592606">
      <w:r w:rsidRPr="00722FE0">
        <w:t xml:space="preserve">Around $8 billion in </w:t>
      </w:r>
      <w:proofErr w:type="spellStart"/>
      <w:r w:rsidRPr="00722FE0">
        <w:t>JobKeeper</w:t>
      </w:r>
      <w:proofErr w:type="spellEnd"/>
      <w:r w:rsidRPr="00722FE0">
        <w:t xml:space="preserve"> payments were made to the cultural and creative sectors as at end December 2020. This include</w:t>
      </w:r>
      <w:r>
        <w:t>d</w:t>
      </w:r>
      <w:r w:rsidRPr="00722FE0">
        <w:t xml:space="preserve"> $6.6 billion in the first phase of </w:t>
      </w:r>
      <w:proofErr w:type="spellStart"/>
      <w:r w:rsidRPr="00722FE0">
        <w:t>JobKeeper</w:t>
      </w:r>
      <w:proofErr w:type="spellEnd"/>
      <w:r w:rsidRPr="00722FE0">
        <w:t xml:space="preserve"> and $1.4 billion in the first quarter of the </w:t>
      </w:r>
      <w:proofErr w:type="spellStart"/>
      <w:r w:rsidRPr="00722FE0">
        <w:lastRenderedPageBreak/>
        <w:t>JobKeeper</w:t>
      </w:r>
      <w:proofErr w:type="spellEnd"/>
      <w:r w:rsidRPr="00722FE0">
        <w:t xml:space="preserve"> extension. Over the period, 9.7 per cent of all </w:t>
      </w:r>
      <w:proofErr w:type="spellStart"/>
      <w:r w:rsidRPr="00722FE0">
        <w:t>JobKeeper</w:t>
      </w:r>
      <w:proofErr w:type="spellEnd"/>
      <w:r w:rsidRPr="00722FE0">
        <w:t xml:space="preserve"> payments went to cultural and creative sectors </w:t>
      </w:r>
      <w:r w:rsidR="00592606" w:rsidRPr="00722FE0">
        <w:t>(</w:t>
      </w:r>
      <w:r w:rsidR="00592606" w:rsidRPr="00722FE0">
        <w:fldChar w:fldCharType="begin"/>
      </w:r>
      <w:r w:rsidR="00592606" w:rsidRPr="00722FE0">
        <w:instrText xml:space="preserve"> REF _Ref64984545 \h  \* MERGEFORMAT </w:instrText>
      </w:r>
      <w:r w:rsidR="00592606" w:rsidRPr="00722FE0">
        <w:fldChar w:fldCharType="separate"/>
      </w:r>
      <w:r w:rsidR="00592606" w:rsidRPr="00722FE0">
        <w:t xml:space="preserve">Table </w:t>
      </w:r>
      <w:r w:rsidR="00592606">
        <w:rPr>
          <w:noProof/>
        </w:rPr>
        <w:t>2</w:t>
      </w:r>
      <w:r w:rsidR="00592606" w:rsidRPr="00722FE0">
        <w:fldChar w:fldCharType="end"/>
      </w:r>
      <w:r w:rsidR="00592606" w:rsidRPr="00722FE0">
        <w:t>).</w:t>
      </w:r>
    </w:p>
    <w:p w14:paraId="24263E1D" w14:textId="0CD59255" w:rsidR="00592606" w:rsidRPr="00722FE0" w:rsidRDefault="00592606" w:rsidP="00BB4972">
      <w:pPr>
        <w:pStyle w:val="Tablefigureheading"/>
      </w:pPr>
      <w:bookmarkStart w:id="29" w:name="_Ref64984545"/>
      <w:bookmarkStart w:id="30" w:name="_Toc73013203"/>
      <w:r w:rsidRPr="00722FE0">
        <w:t xml:space="preserve">Table </w:t>
      </w:r>
      <w:r w:rsidR="001613CD">
        <w:fldChar w:fldCharType="begin"/>
      </w:r>
      <w:r w:rsidR="001613CD">
        <w:instrText xml:space="preserve"> SEQ Table \* ARABIC </w:instrText>
      </w:r>
      <w:r w:rsidR="001613CD">
        <w:fldChar w:fldCharType="separate"/>
      </w:r>
      <w:r>
        <w:t>2</w:t>
      </w:r>
      <w:r w:rsidR="001613CD">
        <w:fldChar w:fldCharType="end"/>
      </w:r>
      <w:bookmarkEnd w:id="29"/>
      <w:r w:rsidRPr="00722FE0">
        <w:t>. JobKeeper payments to cultural and creative sectors</w:t>
      </w:r>
      <w:bookmarkEnd w:id="30"/>
    </w:p>
    <w:tbl>
      <w:tblPr>
        <w:tblStyle w:val="DefaultTable1"/>
        <w:tblW w:w="9639" w:type="dxa"/>
        <w:tblLook w:val="04A0" w:firstRow="1" w:lastRow="0" w:firstColumn="1" w:lastColumn="0" w:noHBand="0" w:noVBand="1"/>
        <w:tblCaption w:val="Table 2. JobKeeper payments to cultural and creative sectors"/>
        <w:tblDescription w:val="This is a table showing the value of JobKeeper payments made towards cultural and creative sectors, all other industries and the share of cultural and creative payments of total JobKeeper payments, during JobKeeper Phase 1 and JobKeeper Extension 2.1.  "/>
      </w:tblPr>
      <w:tblGrid>
        <w:gridCol w:w="3144"/>
        <w:gridCol w:w="2583"/>
        <w:gridCol w:w="1644"/>
        <w:gridCol w:w="2268"/>
      </w:tblGrid>
      <w:tr w:rsidR="00592606" w:rsidRPr="00722FE0" w14:paraId="66F03ED2" w14:textId="77777777" w:rsidTr="0086350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299BAD" w14:textId="6BA86958" w:rsidR="00592606" w:rsidRPr="00722FE0" w:rsidRDefault="00592606" w:rsidP="00D26150">
            <w:r w:rsidRPr="00722FE0">
              <w:t>Phase</w:t>
            </w:r>
          </w:p>
        </w:tc>
        <w:tc>
          <w:tcPr>
            <w:tcW w:w="0" w:type="auto"/>
            <w:vAlign w:val="center"/>
          </w:tcPr>
          <w:p w14:paraId="59461E14" w14:textId="77777777" w:rsidR="00592606" w:rsidRPr="00722FE0" w:rsidRDefault="00592606" w:rsidP="00AC04E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22FE0">
              <w:rPr>
                <w:rFonts w:ascii="Calibri" w:hAnsi="Calibri" w:cs="Calibri"/>
              </w:rPr>
              <w:t xml:space="preserve">Cultural and creative </w:t>
            </w:r>
            <w:proofErr w:type="spellStart"/>
            <w:r w:rsidRPr="00722FE0">
              <w:rPr>
                <w:rFonts w:ascii="Calibri" w:hAnsi="Calibri" w:cs="Calibri"/>
              </w:rPr>
              <w:t>JobKeeper</w:t>
            </w:r>
            <w:proofErr w:type="spellEnd"/>
            <w:r w:rsidRPr="00722FE0">
              <w:rPr>
                <w:rFonts w:ascii="Calibri" w:hAnsi="Calibri" w:cs="Calibri"/>
              </w:rPr>
              <w:t xml:space="preserve"> payment</w:t>
            </w:r>
            <w:r>
              <w:rPr>
                <w:rFonts w:ascii="Calibri" w:hAnsi="Calibri" w:cs="Calibri"/>
              </w:rPr>
              <w:t>s</w:t>
            </w:r>
          </w:p>
        </w:tc>
        <w:tc>
          <w:tcPr>
            <w:tcW w:w="0" w:type="auto"/>
            <w:vAlign w:val="center"/>
          </w:tcPr>
          <w:p w14:paraId="71FCC41F" w14:textId="77777777" w:rsidR="00592606" w:rsidRPr="00722FE0" w:rsidRDefault="00592606" w:rsidP="00AC04E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722FE0">
              <w:rPr>
                <w:rFonts w:ascii="Calibri" w:hAnsi="Calibri" w:cs="Calibri"/>
              </w:rPr>
              <w:t>All industries</w:t>
            </w:r>
            <w:r w:rsidRPr="00722FE0">
              <w:rPr>
                <w:rFonts w:ascii="Calibri" w:hAnsi="Calibri" w:cs="Calibri"/>
              </w:rPr>
              <w:br/>
            </w:r>
            <w:proofErr w:type="spellStart"/>
            <w:r w:rsidRPr="00722FE0">
              <w:rPr>
                <w:rFonts w:ascii="Calibri" w:hAnsi="Calibri" w:cs="Calibri"/>
              </w:rPr>
              <w:t>JobKeeper</w:t>
            </w:r>
            <w:proofErr w:type="spellEnd"/>
            <w:r w:rsidRPr="00722FE0">
              <w:rPr>
                <w:rFonts w:ascii="Calibri" w:hAnsi="Calibri" w:cs="Calibri"/>
              </w:rPr>
              <w:t xml:space="preserve"> payments</w:t>
            </w:r>
          </w:p>
        </w:tc>
        <w:tc>
          <w:tcPr>
            <w:tcW w:w="2268" w:type="dxa"/>
            <w:vAlign w:val="center"/>
          </w:tcPr>
          <w:p w14:paraId="08FCD7D2" w14:textId="77777777" w:rsidR="00592606" w:rsidRPr="00722FE0" w:rsidRDefault="00592606" w:rsidP="00AC04E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722FE0">
              <w:rPr>
                <w:rFonts w:ascii="Calibri" w:hAnsi="Calibri" w:cs="Calibri"/>
              </w:rPr>
              <w:t xml:space="preserve">Cultural and creative share of total </w:t>
            </w:r>
            <w:proofErr w:type="spellStart"/>
            <w:r w:rsidRPr="00722FE0">
              <w:rPr>
                <w:rFonts w:ascii="Calibri" w:hAnsi="Calibri" w:cs="Calibri"/>
              </w:rPr>
              <w:t>JobKeeper</w:t>
            </w:r>
            <w:proofErr w:type="spellEnd"/>
            <w:r w:rsidRPr="00722FE0">
              <w:rPr>
                <w:rFonts w:ascii="Calibri" w:hAnsi="Calibri" w:cs="Calibri"/>
              </w:rPr>
              <w:t xml:space="preserve"> payments</w:t>
            </w:r>
          </w:p>
        </w:tc>
      </w:tr>
      <w:tr w:rsidR="00592606" w:rsidRPr="00722FE0" w14:paraId="00A5B461" w14:textId="77777777" w:rsidTr="00E50E20">
        <w:trPr>
          <w:cantSplit/>
        </w:trPr>
        <w:tc>
          <w:tcPr>
            <w:cnfStyle w:val="001000000000" w:firstRow="0" w:lastRow="0" w:firstColumn="1" w:lastColumn="0" w:oddVBand="0" w:evenVBand="0" w:oddHBand="0" w:evenHBand="0" w:firstRowFirstColumn="0" w:firstRowLastColumn="0" w:lastRowFirstColumn="0" w:lastRowLastColumn="0"/>
            <w:tcW w:w="0" w:type="auto"/>
          </w:tcPr>
          <w:p w14:paraId="29A6EC96" w14:textId="77777777" w:rsidR="00592606" w:rsidRPr="00722FE0" w:rsidRDefault="00592606" w:rsidP="00AC04E0">
            <w:pPr>
              <w:rPr>
                <w:rFonts w:ascii="Calibri" w:hAnsi="Calibri" w:cs="Calibri"/>
                <w:color w:val="000000"/>
              </w:rPr>
            </w:pPr>
            <w:proofErr w:type="spellStart"/>
            <w:r w:rsidRPr="00722FE0">
              <w:rPr>
                <w:rFonts w:ascii="Calibri" w:hAnsi="Calibri" w:cs="Calibri"/>
                <w:b w:val="0"/>
                <w:bCs/>
                <w:color w:val="000000"/>
              </w:rPr>
              <w:t>JobKeeper</w:t>
            </w:r>
            <w:proofErr w:type="spellEnd"/>
            <w:r w:rsidRPr="00722FE0">
              <w:rPr>
                <w:rFonts w:ascii="Calibri" w:hAnsi="Calibri" w:cs="Calibri"/>
                <w:b w:val="0"/>
                <w:bCs/>
                <w:color w:val="000000"/>
              </w:rPr>
              <w:t xml:space="preserve"> Phase 1 (Apr 2020 – Sep 2020)</w:t>
            </w:r>
          </w:p>
        </w:tc>
        <w:tc>
          <w:tcPr>
            <w:tcW w:w="0" w:type="auto"/>
            <w:vAlign w:val="center"/>
          </w:tcPr>
          <w:p w14:paraId="03CEF85C" w14:textId="77777777" w:rsidR="00592606" w:rsidRPr="00722FE0" w:rsidRDefault="00592606" w:rsidP="00CE4A46">
            <w:pPr>
              <w:ind w:right="4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22FE0">
              <w:rPr>
                <w:rFonts w:ascii="Calibri" w:hAnsi="Calibri" w:cs="Calibri"/>
                <w:color w:val="000000"/>
              </w:rPr>
              <w:t>$6.6</w:t>
            </w:r>
            <w:r>
              <w:rPr>
                <w:rFonts w:ascii="Calibri" w:hAnsi="Calibri" w:cs="Calibri"/>
                <w:color w:val="000000"/>
              </w:rPr>
              <w:t> billion</w:t>
            </w:r>
          </w:p>
        </w:tc>
        <w:tc>
          <w:tcPr>
            <w:tcW w:w="0" w:type="auto"/>
            <w:vAlign w:val="center"/>
          </w:tcPr>
          <w:p w14:paraId="361A87F0" w14:textId="77777777" w:rsidR="00592606" w:rsidRPr="00722FE0" w:rsidRDefault="00592606" w:rsidP="00E50E20">
            <w:pPr>
              <w:ind w:right="32"/>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22FE0">
              <w:rPr>
                <w:rFonts w:ascii="Calibri" w:hAnsi="Calibri" w:cs="Calibri"/>
                <w:color w:val="000000"/>
              </w:rPr>
              <w:t>$69.9</w:t>
            </w:r>
            <w:r>
              <w:rPr>
                <w:rFonts w:ascii="Calibri" w:hAnsi="Calibri" w:cs="Calibri"/>
                <w:color w:val="000000"/>
              </w:rPr>
              <w:t> billion</w:t>
            </w:r>
          </w:p>
        </w:tc>
        <w:tc>
          <w:tcPr>
            <w:tcW w:w="2268" w:type="dxa"/>
            <w:vAlign w:val="center"/>
          </w:tcPr>
          <w:p w14:paraId="32DDC39A" w14:textId="77777777" w:rsidR="00592606" w:rsidRPr="00722FE0" w:rsidRDefault="00592606" w:rsidP="008A73BD">
            <w:pPr>
              <w:ind w:right="115"/>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22FE0">
              <w:rPr>
                <w:rFonts w:ascii="Calibri" w:hAnsi="Calibri" w:cs="Calibri"/>
                <w:color w:val="000000"/>
              </w:rPr>
              <w:t>9.5%</w:t>
            </w:r>
          </w:p>
        </w:tc>
      </w:tr>
      <w:tr w:rsidR="00592606" w:rsidRPr="00722FE0" w14:paraId="63D535BD" w14:textId="77777777" w:rsidTr="00E50E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7005A103" w14:textId="77777777" w:rsidR="00592606" w:rsidRPr="00722FE0" w:rsidRDefault="00592606" w:rsidP="00AC04E0">
            <w:pPr>
              <w:rPr>
                <w:rFonts w:ascii="Calibri" w:hAnsi="Calibri" w:cs="Calibri"/>
                <w:color w:val="000000"/>
              </w:rPr>
            </w:pPr>
            <w:proofErr w:type="spellStart"/>
            <w:r w:rsidRPr="00722FE0">
              <w:rPr>
                <w:rFonts w:ascii="Calibri" w:hAnsi="Calibri" w:cs="Calibri"/>
                <w:b w:val="0"/>
                <w:bCs/>
                <w:color w:val="000000"/>
              </w:rPr>
              <w:t>JobKeeper</w:t>
            </w:r>
            <w:proofErr w:type="spellEnd"/>
            <w:r w:rsidRPr="00722FE0">
              <w:rPr>
                <w:rFonts w:ascii="Calibri" w:hAnsi="Calibri" w:cs="Calibri"/>
                <w:b w:val="0"/>
                <w:bCs/>
                <w:color w:val="000000"/>
              </w:rPr>
              <w:t xml:space="preserve"> Extension 2.1 (Oct 2020 – Dec 2020)</w:t>
            </w:r>
          </w:p>
        </w:tc>
        <w:tc>
          <w:tcPr>
            <w:tcW w:w="0" w:type="auto"/>
            <w:vAlign w:val="center"/>
          </w:tcPr>
          <w:p w14:paraId="22FEDDA3" w14:textId="77777777" w:rsidR="00592606" w:rsidRPr="00722FE0" w:rsidRDefault="00592606" w:rsidP="00CE4A46">
            <w:pPr>
              <w:ind w:right="44"/>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22FE0">
              <w:rPr>
                <w:rFonts w:ascii="Calibri" w:hAnsi="Calibri" w:cs="Calibri"/>
                <w:color w:val="000000"/>
              </w:rPr>
              <w:t>$1.4</w:t>
            </w:r>
            <w:r>
              <w:rPr>
                <w:rFonts w:ascii="Calibri" w:hAnsi="Calibri" w:cs="Calibri"/>
                <w:color w:val="000000"/>
              </w:rPr>
              <w:t> billion</w:t>
            </w:r>
          </w:p>
        </w:tc>
        <w:tc>
          <w:tcPr>
            <w:tcW w:w="0" w:type="auto"/>
            <w:vAlign w:val="center"/>
          </w:tcPr>
          <w:p w14:paraId="26898AA9" w14:textId="77777777" w:rsidR="00592606" w:rsidRPr="00722FE0" w:rsidRDefault="00592606" w:rsidP="00E50E20">
            <w:pPr>
              <w:ind w:right="32"/>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22FE0">
              <w:rPr>
                <w:rFonts w:ascii="Calibri" w:hAnsi="Calibri" w:cs="Calibri"/>
                <w:color w:val="000000"/>
              </w:rPr>
              <w:t>$12.6</w:t>
            </w:r>
            <w:r>
              <w:rPr>
                <w:rFonts w:ascii="Calibri" w:hAnsi="Calibri" w:cs="Calibri"/>
                <w:color w:val="000000"/>
              </w:rPr>
              <w:t> billion</w:t>
            </w:r>
          </w:p>
        </w:tc>
        <w:tc>
          <w:tcPr>
            <w:tcW w:w="2268" w:type="dxa"/>
            <w:vAlign w:val="center"/>
          </w:tcPr>
          <w:p w14:paraId="05994413" w14:textId="77777777" w:rsidR="00592606" w:rsidRPr="00722FE0" w:rsidRDefault="00592606" w:rsidP="008A73BD">
            <w:pPr>
              <w:ind w:right="115"/>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22FE0">
              <w:rPr>
                <w:rFonts w:ascii="Calibri" w:hAnsi="Calibri" w:cs="Calibri"/>
                <w:color w:val="000000"/>
              </w:rPr>
              <w:t>10.7%</w:t>
            </w:r>
          </w:p>
        </w:tc>
      </w:tr>
      <w:tr w:rsidR="00592606" w:rsidRPr="003456A1" w14:paraId="1F4A6DD6" w14:textId="77777777" w:rsidTr="00E50E20">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F2F6E8" w:themeFill="accent5" w:themeFillTint="33"/>
          </w:tcPr>
          <w:p w14:paraId="057B6D47" w14:textId="77777777" w:rsidR="00592606" w:rsidRPr="00722FE0" w:rsidRDefault="00592606" w:rsidP="00AC04E0">
            <w:pPr>
              <w:rPr>
                <w:rFonts w:ascii="Calibri" w:hAnsi="Calibri" w:cs="Calibri"/>
                <w:color w:val="000000"/>
              </w:rPr>
            </w:pPr>
            <w:r w:rsidRPr="00722FE0">
              <w:rPr>
                <w:rFonts w:ascii="Calibri" w:hAnsi="Calibri" w:cs="Calibri"/>
                <w:bCs/>
                <w:color w:val="000000"/>
              </w:rPr>
              <w:t>Total</w:t>
            </w:r>
          </w:p>
        </w:tc>
        <w:tc>
          <w:tcPr>
            <w:tcW w:w="0" w:type="auto"/>
            <w:shd w:val="clear" w:color="auto" w:fill="F2F6E8" w:themeFill="accent5" w:themeFillTint="33"/>
            <w:vAlign w:val="center"/>
          </w:tcPr>
          <w:p w14:paraId="6B1BF98F" w14:textId="77777777" w:rsidR="00592606" w:rsidRPr="00591BC5" w:rsidRDefault="00592606" w:rsidP="00CE4A46">
            <w:pPr>
              <w:ind w:right="44"/>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sidRPr="00591BC5">
              <w:rPr>
                <w:rFonts w:ascii="Calibri" w:hAnsi="Calibri" w:cs="Calibri"/>
                <w:b/>
                <w:color w:val="000000"/>
              </w:rPr>
              <w:t>$8.0</w:t>
            </w:r>
            <w:r w:rsidRPr="00232BC1">
              <w:rPr>
                <w:rFonts w:ascii="Calibri" w:hAnsi="Calibri" w:cs="Calibri"/>
                <w:b/>
                <w:color w:val="000000"/>
              </w:rPr>
              <w:t> billion</w:t>
            </w:r>
          </w:p>
        </w:tc>
        <w:tc>
          <w:tcPr>
            <w:tcW w:w="0" w:type="auto"/>
            <w:shd w:val="clear" w:color="auto" w:fill="F2F6E8" w:themeFill="accent5" w:themeFillTint="33"/>
            <w:vAlign w:val="center"/>
          </w:tcPr>
          <w:p w14:paraId="2B41C8B4" w14:textId="77777777" w:rsidR="00592606" w:rsidRPr="00591BC5" w:rsidRDefault="00592606" w:rsidP="00E50E20">
            <w:pPr>
              <w:ind w:right="32"/>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sidRPr="00591BC5">
              <w:rPr>
                <w:rFonts w:ascii="Calibri" w:hAnsi="Calibri" w:cs="Calibri"/>
                <w:b/>
                <w:color w:val="000000"/>
              </w:rPr>
              <w:t>$82.5</w:t>
            </w:r>
            <w:r w:rsidRPr="00232BC1">
              <w:rPr>
                <w:rFonts w:ascii="Calibri" w:hAnsi="Calibri" w:cs="Calibri"/>
                <w:b/>
                <w:color w:val="000000"/>
              </w:rPr>
              <w:t> billion</w:t>
            </w:r>
          </w:p>
        </w:tc>
        <w:tc>
          <w:tcPr>
            <w:tcW w:w="2268" w:type="dxa"/>
            <w:shd w:val="clear" w:color="auto" w:fill="F2F6E8" w:themeFill="accent5" w:themeFillTint="33"/>
            <w:vAlign w:val="center"/>
          </w:tcPr>
          <w:p w14:paraId="15BD6EA5" w14:textId="77777777" w:rsidR="00592606" w:rsidRPr="00722FE0" w:rsidRDefault="00592606" w:rsidP="008A73BD">
            <w:pPr>
              <w:ind w:right="115"/>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sidRPr="00722FE0">
              <w:rPr>
                <w:rFonts w:ascii="Calibri" w:hAnsi="Calibri" w:cs="Calibri"/>
                <w:b/>
                <w:color w:val="000000"/>
              </w:rPr>
              <w:t>9.7%</w:t>
            </w:r>
          </w:p>
        </w:tc>
      </w:tr>
    </w:tbl>
    <w:p w14:paraId="05645F92" w14:textId="68D3B744" w:rsidR="00592606" w:rsidRPr="00722FE0" w:rsidRDefault="00592606" w:rsidP="00592606">
      <w:pPr>
        <w:pStyle w:val="Sourcenotes"/>
      </w:pPr>
      <w:r w:rsidRPr="00722FE0">
        <w:t>Source</w:t>
      </w:r>
      <w:r w:rsidRPr="00722FE0">
        <w:rPr>
          <w:lang w:val="en-AU"/>
        </w:rPr>
        <w:t xml:space="preserve">: </w:t>
      </w:r>
      <w:r>
        <w:rPr>
          <w:lang w:val="en-AU"/>
        </w:rPr>
        <w:t xml:space="preserve">BCARR analysis of </w:t>
      </w:r>
      <w:r w:rsidRPr="00722FE0">
        <w:rPr>
          <w:lang w:val="en-AU"/>
        </w:rPr>
        <w:t>Australian Taxation Office administrative data</w:t>
      </w:r>
      <w:r>
        <w:rPr>
          <w:lang w:val="en-AU"/>
        </w:rPr>
        <w:t>,</w:t>
      </w:r>
      <w:r w:rsidR="00F76476">
        <w:rPr>
          <w:lang w:val="en-AU"/>
        </w:rPr>
        <w:t xml:space="preserve"> data</w:t>
      </w:r>
      <w:r>
        <w:rPr>
          <w:lang w:val="en-AU"/>
        </w:rPr>
        <w:t xml:space="preserve"> as at 10 February 2021</w:t>
      </w:r>
      <w:r w:rsidRPr="00722FE0">
        <w:t>.</w:t>
      </w:r>
    </w:p>
    <w:p w14:paraId="38EA1920" w14:textId="24A919FA" w:rsidR="00592606" w:rsidRPr="00722FE0" w:rsidRDefault="00F76476" w:rsidP="008051DB">
      <w:pPr>
        <w:keepLines/>
      </w:pPr>
      <w:r w:rsidRPr="00722FE0">
        <w:t xml:space="preserve">More than </w:t>
      </w:r>
      <w:r w:rsidRPr="00602E0C">
        <w:t xml:space="preserve">half of </w:t>
      </w:r>
      <w:r>
        <w:t>all</w:t>
      </w:r>
      <w:r w:rsidRPr="00602E0C">
        <w:t xml:space="preserve"> employees</w:t>
      </w:r>
      <w:r w:rsidRPr="00722FE0">
        <w:t xml:space="preserve"> within cultural and creative sectors</w:t>
      </w:r>
      <w:r w:rsidR="00592606" w:rsidRPr="00722FE0">
        <w:t xml:space="preserve"> (</w:t>
      </w:r>
      <w:r w:rsidR="00592606" w:rsidRPr="00722FE0">
        <w:fldChar w:fldCharType="begin"/>
      </w:r>
      <w:r w:rsidR="00592606" w:rsidRPr="00722FE0">
        <w:instrText xml:space="preserve"> REF _Ref64989524 \h  \* MERGEFORMAT </w:instrText>
      </w:r>
      <w:r w:rsidR="00592606" w:rsidRPr="00722FE0">
        <w:fldChar w:fldCharType="separate"/>
      </w:r>
      <w:r w:rsidR="00592606" w:rsidRPr="00722FE0">
        <w:t xml:space="preserve">Table </w:t>
      </w:r>
      <w:r w:rsidR="00592606">
        <w:rPr>
          <w:noProof/>
        </w:rPr>
        <w:t>3</w:t>
      </w:r>
      <w:r w:rsidR="00592606" w:rsidRPr="00722FE0">
        <w:fldChar w:fldCharType="end"/>
      </w:r>
      <w:r w:rsidR="00592606" w:rsidRPr="00722FE0">
        <w:t xml:space="preserve">) </w:t>
      </w:r>
      <w:r w:rsidRPr="00722FE0">
        <w:t xml:space="preserve">have received </w:t>
      </w:r>
      <w:proofErr w:type="spellStart"/>
      <w:r w:rsidRPr="00722FE0">
        <w:t>JobKeeper</w:t>
      </w:r>
      <w:proofErr w:type="spellEnd"/>
      <w:r w:rsidRPr="00722FE0">
        <w:t xml:space="preserve"> payments. The average number of employees and eligible business participants (EBP)</w:t>
      </w:r>
      <w:r w:rsidRPr="00722FE0">
        <w:rPr>
          <w:rStyle w:val="FootnoteReference"/>
        </w:rPr>
        <w:footnoteReference w:id="3"/>
      </w:r>
      <w:r w:rsidRPr="00722FE0">
        <w:t xml:space="preserve"> within cultural and creative sectors </w:t>
      </w:r>
      <w:r w:rsidR="00CA60FC">
        <w:t xml:space="preserve">that </w:t>
      </w:r>
      <w:r w:rsidRPr="00722FE0">
        <w:t>receiv</w:t>
      </w:r>
      <w:r w:rsidR="00CA60FC">
        <w:t>ed</w:t>
      </w:r>
      <w:r w:rsidRPr="00722FE0">
        <w:t xml:space="preserve"> </w:t>
      </w:r>
      <w:proofErr w:type="spellStart"/>
      <w:r w:rsidRPr="00722FE0">
        <w:t>JobKeeper</w:t>
      </w:r>
      <w:proofErr w:type="spellEnd"/>
      <w:r w:rsidRPr="00722FE0">
        <w:t xml:space="preserve"> payments was around 340,000 per month during the first phase of the payment. This would equate to roughly 53 per cent of the estimated 645,000 cultural and creative workers.</w:t>
      </w:r>
      <w:r w:rsidRPr="00722FE0">
        <w:rPr>
          <w:rStyle w:val="EndnoteReference"/>
        </w:rPr>
        <w:endnoteReference w:id="9"/>
      </w:r>
      <w:r w:rsidRPr="00722FE0">
        <w:t xml:space="preserve"> Overall</w:t>
      </w:r>
      <w:r>
        <w:t>,</w:t>
      </w:r>
      <w:r w:rsidRPr="00722FE0">
        <w:t xml:space="preserve"> 9.5 per cent of </w:t>
      </w:r>
      <w:proofErr w:type="spellStart"/>
      <w:r w:rsidRPr="00722FE0">
        <w:t>JobKeeper</w:t>
      </w:r>
      <w:proofErr w:type="spellEnd"/>
      <w:r w:rsidRPr="00722FE0">
        <w:t xml:space="preserve"> payments in the first phase were to workers in cultural and creative sectors.</w:t>
      </w:r>
    </w:p>
    <w:p w14:paraId="52FA6843" w14:textId="3ACEDE58" w:rsidR="00F76476" w:rsidRPr="00722FE0" w:rsidRDefault="00F76476" w:rsidP="00F76476">
      <w:r w:rsidRPr="00722FE0">
        <w:lastRenderedPageBreak/>
        <w:t xml:space="preserve">The average number of employees and EBP in cultural and creative sectors </w:t>
      </w:r>
      <w:r w:rsidR="00CA60FC">
        <w:t xml:space="preserve">that </w:t>
      </w:r>
      <w:r w:rsidRPr="00722FE0">
        <w:t>receiv</w:t>
      </w:r>
      <w:r w:rsidR="00CA60FC">
        <w:t>ed</w:t>
      </w:r>
      <w:r w:rsidRPr="00722FE0">
        <w:t xml:space="preserve"> </w:t>
      </w:r>
      <w:proofErr w:type="spellStart"/>
      <w:r w:rsidRPr="00722FE0">
        <w:t>JobKeeper</w:t>
      </w:r>
      <w:proofErr w:type="spellEnd"/>
      <w:r w:rsidRPr="00722FE0">
        <w:t xml:space="preserve"> payments fell during the first quarter of the </w:t>
      </w:r>
      <w:proofErr w:type="spellStart"/>
      <w:r w:rsidRPr="00722FE0">
        <w:t>JobKeeper</w:t>
      </w:r>
      <w:proofErr w:type="spellEnd"/>
      <w:r w:rsidRPr="00722FE0">
        <w:t xml:space="preserve"> extension to around 172,000 per month</w:t>
      </w:r>
      <w:r>
        <w:t>, broadly</w:t>
      </w:r>
      <w:r w:rsidRPr="00722FE0">
        <w:t xml:space="preserve"> consistent with the overall drop in the number of employees and EBP. However, the share of employees and EBP </w:t>
      </w:r>
      <w:r w:rsidR="00CA60FC">
        <w:t xml:space="preserve">that </w:t>
      </w:r>
      <w:r w:rsidRPr="00722FE0">
        <w:t>receiv</w:t>
      </w:r>
      <w:r w:rsidR="00CA60FC">
        <w:t>ed</w:t>
      </w:r>
      <w:r w:rsidRPr="00722FE0">
        <w:t xml:space="preserve"> payments in cultural and creative sectors during the </w:t>
      </w:r>
      <w:r>
        <w:t xml:space="preserve">first quarter of the </w:t>
      </w:r>
      <w:proofErr w:type="spellStart"/>
      <w:r w:rsidRPr="00722FE0">
        <w:t>JobKeeper</w:t>
      </w:r>
      <w:proofErr w:type="spellEnd"/>
      <w:r w:rsidRPr="00722FE0">
        <w:t xml:space="preserve"> extension rose to 10.</w:t>
      </w:r>
      <w:r>
        <w:t>8</w:t>
      </w:r>
      <w:r w:rsidRPr="00722FE0">
        <w:t> per cent. This indicates that cultural and creative sectors were harder hit by the negative impacts of the COVID-19 pandemic.</w:t>
      </w:r>
    </w:p>
    <w:p w14:paraId="0DF98F67" w14:textId="34793BDE" w:rsidR="00592606" w:rsidRPr="00722FE0" w:rsidRDefault="00F76476" w:rsidP="00592606">
      <w:r w:rsidRPr="00722FE0">
        <w:t xml:space="preserve">The number of entities </w:t>
      </w:r>
      <w:r w:rsidR="00CA60FC">
        <w:t xml:space="preserve">that </w:t>
      </w:r>
      <w:r w:rsidRPr="00722FE0">
        <w:t>receiv</w:t>
      </w:r>
      <w:r w:rsidR="00CA60FC">
        <w:t>ed</w:t>
      </w:r>
      <w:r w:rsidRPr="00722FE0">
        <w:t xml:space="preserve"> </w:t>
      </w:r>
      <w:proofErr w:type="spellStart"/>
      <w:r w:rsidRPr="00722FE0">
        <w:t>JobKeeper</w:t>
      </w:r>
      <w:proofErr w:type="spellEnd"/>
      <w:r w:rsidRPr="00722FE0">
        <w:t xml:space="preserve"> payments within cultural and creative sectors averaged 99,000 each month</w:t>
      </w:r>
      <w:r>
        <w:t xml:space="preserve"> during the first phase of the payment</w:t>
      </w:r>
      <w:r w:rsidR="00592606" w:rsidRPr="00722FE0">
        <w:t xml:space="preserve"> (</w:t>
      </w:r>
      <w:r w:rsidR="00592606" w:rsidRPr="00722FE0">
        <w:fldChar w:fldCharType="begin"/>
      </w:r>
      <w:r w:rsidR="00592606" w:rsidRPr="00722FE0">
        <w:instrText xml:space="preserve"> REF _Ref64989524 \h  \* MERGEFORMAT </w:instrText>
      </w:r>
      <w:r w:rsidR="00592606" w:rsidRPr="00722FE0">
        <w:fldChar w:fldCharType="separate"/>
      </w:r>
      <w:r w:rsidR="00592606" w:rsidRPr="00722FE0">
        <w:t xml:space="preserve">Table </w:t>
      </w:r>
      <w:r w:rsidR="00592606">
        <w:rPr>
          <w:noProof/>
        </w:rPr>
        <w:t>3</w:t>
      </w:r>
      <w:r w:rsidR="00592606" w:rsidRPr="00722FE0">
        <w:fldChar w:fldCharType="end"/>
      </w:r>
      <w:r w:rsidR="00592606" w:rsidRPr="00722FE0">
        <w:t xml:space="preserve">). </w:t>
      </w:r>
      <w:r w:rsidRPr="00722FE0">
        <w:t>To put these figures in context, there were around 17</w:t>
      </w:r>
      <w:r>
        <w:t>0</w:t>
      </w:r>
      <w:r w:rsidRPr="00722FE0">
        <w:t>,000 businesses in cultural and creative sectors as at June 20</w:t>
      </w:r>
      <w:r>
        <w:t>19</w:t>
      </w:r>
      <w:r w:rsidRPr="00722FE0">
        <w:t>.</w:t>
      </w:r>
      <w:r w:rsidRPr="00722FE0">
        <w:rPr>
          <w:rStyle w:val="EndnoteReference"/>
        </w:rPr>
        <w:endnoteReference w:id="10"/>
      </w:r>
      <w:r w:rsidRPr="00722FE0">
        <w:t xml:space="preserve"> This means that about 5</w:t>
      </w:r>
      <w:r>
        <w:t>8</w:t>
      </w:r>
      <w:r w:rsidRPr="00722FE0">
        <w:t> per cent of</w:t>
      </w:r>
      <w:r>
        <w:t xml:space="preserve"> </w:t>
      </w:r>
      <w:r w:rsidRPr="00722FE0">
        <w:t>all cultural and creative entities receiv</w:t>
      </w:r>
      <w:r w:rsidR="00CA60FC">
        <w:t>ed</w:t>
      </w:r>
      <w:r w:rsidRPr="00722FE0">
        <w:t xml:space="preserve"> payments during the first phase of </w:t>
      </w:r>
      <w:proofErr w:type="spellStart"/>
      <w:r w:rsidRPr="00722FE0">
        <w:t>JobKeeper</w:t>
      </w:r>
      <w:proofErr w:type="spellEnd"/>
      <w:r w:rsidRPr="00722FE0">
        <w:t>.</w:t>
      </w:r>
      <w:r w:rsidRPr="00722FE0">
        <w:rPr>
          <w:rStyle w:val="FootnoteReference"/>
        </w:rPr>
        <w:footnoteReference w:id="4"/>
      </w:r>
      <w:r w:rsidRPr="00722FE0">
        <w:t xml:space="preserve"> </w:t>
      </w:r>
      <w:r w:rsidRPr="00722FE0">
        <w:lastRenderedPageBreak/>
        <w:t xml:space="preserve">In the first quarter of the </w:t>
      </w:r>
      <w:proofErr w:type="spellStart"/>
      <w:r w:rsidRPr="00722FE0">
        <w:t>JobKeeper</w:t>
      </w:r>
      <w:proofErr w:type="spellEnd"/>
      <w:r w:rsidRPr="00722FE0">
        <w:t xml:space="preserve"> extension, the average number of entities </w:t>
      </w:r>
      <w:r w:rsidR="00CA60FC">
        <w:t xml:space="preserve">that </w:t>
      </w:r>
      <w:r w:rsidRPr="00722FE0">
        <w:t>receiv</w:t>
      </w:r>
      <w:r w:rsidR="00CA60FC">
        <w:t>ed</w:t>
      </w:r>
      <w:r w:rsidRPr="00722FE0">
        <w:t xml:space="preserve"> payments decreased to 62,000 per month (or about 36 per cent of all cultural and creative </w:t>
      </w:r>
      <w:r>
        <w:t>businesses</w:t>
      </w:r>
      <w:r w:rsidRPr="00722FE0">
        <w:t xml:space="preserve">). Entities within the cultural and creative sectors represented 10.7 per cent of all entities </w:t>
      </w:r>
      <w:r w:rsidR="00CA60FC">
        <w:t xml:space="preserve">that </w:t>
      </w:r>
      <w:r w:rsidRPr="00722FE0">
        <w:t>receiv</w:t>
      </w:r>
      <w:r w:rsidR="00CA60FC">
        <w:t>ed</w:t>
      </w:r>
      <w:r w:rsidRPr="00722FE0">
        <w:t xml:space="preserve"> </w:t>
      </w:r>
      <w:proofErr w:type="spellStart"/>
      <w:r w:rsidRPr="00722FE0">
        <w:t>JobKeeper</w:t>
      </w:r>
      <w:proofErr w:type="spellEnd"/>
      <w:r w:rsidRPr="00722FE0">
        <w:t xml:space="preserve"> for the first phase and 12.2 per cent in the extension through to the end of December 2020.</w:t>
      </w:r>
    </w:p>
    <w:p w14:paraId="0C224254" w14:textId="29FA7031" w:rsidR="00592606" w:rsidRDefault="00592606" w:rsidP="00BB4972">
      <w:pPr>
        <w:pStyle w:val="Tablefigureheading"/>
      </w:pPr>
      <w:bookmarkStart w:id="31" w:name="_Ref64989524"/>
      <w:bookmarkStart w:id="32" w:name="_Toc73013204"/>
      <w:r w:rsidRPr="00722FE0">
        <w:t xml:space="preserve">Table </w:t>
      </w:r>
      <w:r w:rsidR="001613CD">
        <w:fldChar w:fldCharType="begin"/>
      </w:r>
      <w:r w:rsidR="001613CD">
        <w:instrText xml:space="preserve"> SEQ Table \* ARABIC </w:instrText>
      </w:r>
      <w:r w:rsidR="001613CD">
        <w:fldChar w:fldCharType="separate"/>
      </w:r>
      <w:r>
        <w:t>3</w:t>
      </w:r>
      <w:r w:rsidR="001613CD">
        <w:fldChar w:fldCharType="end"/>
      </w:r>
      <w:bookmarkEnd w:id="31"/>
      <w:r w:rsidRPr="00722FE0">
        <w:t xml:space="preserve">. Entities and employees in cultural and creative sectors </w:t>
      </w:r>
      <w:r w:rsidR="00CA60FC">
        <w:t xml:space="preserve">that </w:t>
      </w:r>
      <w:r w:rsidRPr="00722FE0">
        <w:t>receiv</w:t>
      </w:r>
      <w:r w:rsidR="00CA60FC">
        <w:t>ed</w:t>
      </w:r>
      <w:r w:rsidRPr="00722FE0">
        <w:t xml:space="preserve"> JobKeeper</w:t>
      </w:r>
      <w:bookmarkEnd w:id="32"/>
    </w:p>
    <w:tbl>
      <w:tblPr>
        <w:tblW w:w="0" w:type="auto"/>
        <w:tblLook w:val="04A0" w:firstRow="1" w:lastRow="0" w:firstColumn="1" w:lastColumn="0" w:noHBand="0" w:noVBand="1"/>
        <w:tblCaption w:val="Table 3. Entities and employees in cultural and creative sectors receiving JobKeeper"/>
        <w:tblDescription w:val="This is a table showing the average monthly employees and eligible business participants, and average monthly entities receiving JobKeeper payments during phase one and the first quarter of the extension phase. The figures are split by all industries and those within cultural and creative sectors. The split of cultural and creative employees and entities, is represented as a share of total employees and entities in the economy. The share of JobKeeper payments made towards cultural and creative employees and entities is also reported.      "/>
      </w:tblPr>
      <w:tblGrid>
        <w:gridCol w:w="2528"/>
        <w:gridCol w:w="1703"/>
        <w:gridCol w:w="1965"/>
        <w:gridCol w:w="1703"/>
        <w:gridCol w:w="1965"/>
      </w:tblGrid>
      <w:tr w:rsidR="00592606" w:rsidRPr="00CA1C33" w14:paraId="6AA0479D" w14:textId="77777777" w:rsidTr="00D26150">
        <w:trPr>
          <w:cantSplit/>
          <w:tblHeader/>
        </w:trPr>
        <w:tc>
          <w:tcPr>
            <w:tcW w:w="0" w:type="auto"/>
            <w:tcBorders>
              <w:top w:val="nil"/>
              <w:left w:val="nil"/>
              <w:bottom w:val="single" w:sz="8" w:space="0" w:color="4BB3B5"/>
              <w:right w:val="single" w:sz="8" w:space="0" w:color="4BB3B5"/>
            </w:tcBorders>
            <w:shd w:val="clear" w:color="000000" w:fill="081E3E"/>
            <w:vAlign w:val="center"/>
            <w:hideMark/>
          </w:tcPr>
          <w:p w14:paraId="1957353C" w14:textId="77777777" w:rsidR="00592606" w:rsidRPr="00CA1C33" w:rsidRDefault="00592606" w:rsidP="009470DB">
            <w:pPr>
              <w:keepNext/>
              <w:suppressAutoHyphens w:val="0"/>
              <w:jc w:val="center"/>
              <w:rPr>
                <w:rFonts w:ascii="Calibri" w:eastAsia="Times New Roman" w:hAnsi="Calibri" w:cs="Calibri"/>
                <w:color w:val="FFFFFF"/>
                <w:kern w:val="0"/>
                <w:lang w:eastAsia="en-AU"/>
              </w:rPr>
            </w:pPr>
          </w:p>
        </w:tc>
        <w:tc>
          <w:tcPr>
            <w:tcW w:w="0" w:type="auto"/>
            <w:gridSpan w:val="2"/>
            <w:tcBorders>
              <w:top w:val="nil"/>
              <w:left w:val="nil"/>
              <w:bottom w:val="single" w:sz="8" w:space="0" w:color="4BB3B5"/>
              <w:right w:val="single" w:sz="8" w:space="0" w:color="4BB3B5"/>
            </w:tcBorders>
            <w:shd w:val="clear" w:color="000000" w:fill="081E3E"/>
            <w:vAlign w:val="center"/>
            <w:hideMark/>
          </w:tcPr>
          <w:p w14:paraId="41A1F26C" w14:textId="77777777" w:rsidR="00592606" w:rsidRPr="00CA1C33" w:rsidRDefault="00592606" w:rsidP="009470DB">
            <w:pPr>
              <w:keepNext/>
              <w:suppressAutoHyphens w:val="0"/>
              <w:spacing w:before="0" w:after="0"/>
              <w:jc w:val="center"/>
              <w:rPr>
                <w:rFonts w:ascii="Calibri" w:eastAsia="Times New Roman" w:hAnsi="Calibri" w:cs="Calibri"/>
                <w:b/>
                <w:bCs/>
                <w:color w:val="FFFFFF"/>
                <w:kern w:val="0"/>
                <w:lang w:eastAsia="en-AU"/>
              </w:rPr>
            </w:pPr>
            <w:r w:rsidRPr="00CA1C33">
              <w:rPr>
                <w:rFonts w:ascii="Calibri" w:eastAsia="Times New Roman" w:hAnsi="Calibri" w:cs="Calibri"/>
                <w:b/>
                <w:bCs/>
                <w:color w:val="FFFFFF" w:themeColor="background1"/>
                <w:kern w:val="0"/>
                <w:lang w:eastAsia="en-AU"/>
              </w:rPr>
              <w:t>Average monthly employees and eligible business participants</w:t>
            </w:r>
          </w:p>
        </w:tc>
        <w:tc>
          <w:tcPr>
            <w:tcW w:w="0" w:type="auto"/>
            <w:gridSpan w:val="2"/>
            <w:tcBorders>
              <w:top w:val="nil"/>
              <w:left w:val="nil"/>
              <w:bottom w:val="single" w:sz="8" w:space="0" w:color="4BB3B5"/>
              <w:right w:val="nil"/>
            </w:tcBorders>
            <w:shd w:val="clear" w:color="000000" w:fill="081E3E"/>
            <w:vAlign w:val="center"/>
            <w:hideMark/>
          </w:tcPr>
          <w:p w14:paraId="7CDDF8D7" w14:textId="77777777" w:rsidR="00592606" w:rsidRPr="00CA1C33" w:rsidRDefault="00592606" w:rsidP="009470DB">
            <w:pPr>
              <w:keepNext/>
              <w:suppressAutoHyphens w:val="0"/>
              <w:spacing w:before="0" w:after="0"/>
              <w:jc w:val="center"/>
              <w:rPr>
                <w:rFonts w:ascii="Calibri" w:eastAsia="Times New Roman" w:hAnsi="Calibri" w:cs="Calibri"/>
                <w:b/>
                <w:bCs/>
                <w:color w:val="FFFFFF"/>
                <w:kern w:val="0"/>
                <w:lang w:eastAsia="en-AU"/>
              </w:rPr>
            </w:pPr>
            <w:r w:rsidRPr="00CA1C33">
              <w:rPr>
                <w:rFonts w:ascii="Calibri" w:eastAsia="Times New Roman" w:hAnsi="Calibri" w:cs="Calibri"/>
                <w:b/>
                <w:bCs/>
                <w:color w:val="FFFFFF" w:themeColor="background1"/>
                <w:kern w:val="0"/>
                <w:lang w:eastAsia="en-AU"/>
              </w:rPr>
              <w:t>Average monthly entities</w:t>
            </w:r>
          </w:p>
        </w:tc>
      </w:tr>
      <w:tr w:rsidR="00592917" w:rsidRPr="00CA1C33" w14:paraId="06C540F4" w14:textId="77777777" w:rsidTr="001B4CD9">
        <w:trPr>
          <w:cantSplit/>
          <w:trHeight w:val="1104"/>
          <w:tblHeader/>
        </w:trPr>
        <w:tc>
          <w:tcPr>
            <w:tcW w:w="0" w:type="auto"/>
            <w:tcBorders>
              <w:top w:val="nil"/>
              <w:left w:val="nil"/>
              <w:right w:val="single" w:sz="8" w:space="0" w:color="4BB3B5"/>
            </w:tcBorders>
            <w:shd w:val="clear" w:color="000000" w:fill="081E3E"/>
            <w:vAlign w:val="center"/>
            <w:hideMark/>
          </w:tcPr>
          <w:p w14:paraId="2E817BE3" w14:textId="77777777" w:rsidR="00F76476" w:rsidRPr="00CA1C33" w:rsidRDefault="00F76476" w:rsidP="009470DB">
            <w:pPr>
              <w:keepNext/>
              <w:suppressAutoHyphens w:val="0"/>
              <w:spacing w:before="0" w:after="0"/>
              <w:rPr>
                <w:rFonts w:ascii="Calibri" w:eastAsia="Times New Roman" w:hAnsi="Calibri" w:cs="Calibri"/>
                <w:b/>
                <w:bCs/>
                <w:color w:val="FFFFFF"/>
                <w:kern w:val="0"/>
                <w:lang w:eastAsia="en-AU"/>
              </w:rPr>
            </w:pPr>
            <w:r w:rsidRPr="00CA1C33">
              <w:rPr>
                <w:rFonts w:ascii="Calibri" w:eastAsia="Times New Roman" w:hAnsi="Calibri" w:cs="Calibri"/>
                <w:b/>
                <w:bCs/>
                <w:color w:val="FFFFFF" w:themeColor="background1"/>
                <w:kern w:val="0"/>
                <w:lang w:eastAsia="en-AU"/>
              </w:rPr>
              <w:t>Sector</w:t>
            </w:r>
          </w:p>
          <w:p w14:paraId="21E84773" w14:textId="07891900" w:rsidR="00F76476" w:rsidRPr="00CA1C33" w:rsidRDefault="00F76476" w:rsidP="009470DB">
            <w:pPr>
              <w:keepNext/>
              <w:spacing w:before="0" w:after="0"/>
              <w:jc w:val="center"/>
              <w:rPr>
                <w:rFonts w:ascii="Calibri" w:eastAsia="Times New Roman" w:hAnsi="Calibri" w:cs="Calibri"/>
                <w:b/>
                <w:bCs/>
                <w:color w:val="FFFFFF"/>
                <w:kern w:val="0"/>
                <w:lang w:eastAsia="en-AU"/>
              </w:rPr>
            </w:pPr>
          </w:p>
        </w:tc>
        <w:tc>
          <w:tcPr>
            <w:tcW w:w="0" w:type="auto"/>
            <w:tcBorders>
              <w:top w:val="nil"/>
              <w:left w:val="nil"/>
              <w:right w:val="nil"/>
            </w:tcBorders>
            <w:shd w:val="clear" w:color="000000" w:fill="081E3E"/>
            <w:vAlign w:val="bottom"/>
            <w:hideMark/>
          </w:tcPr>
          <w:p w14:paraId="6709D274" w14:textId="0A6E9F8D" w:rsidR="00F76476" w:rsidRPr="00F76476" w:rsidRDefault="00F76476" w:rsidP="009470DB">
            <w:pPr>
              <w:keepNext/>
              <w:pBdr>
                <w:bottom w:val="single" w:sz="12" w:space="1" w:color="auto"/>
              </w:pBdr>
              <w:suppressAutoHyphens w:val="0"/>
              <w:spacing w:before="0" w:after="0"/>
              <w:jc w:val="center"/>
              <w:rPr>
                <w:rFonts w:ascii="Calibri" w:eastAsia="Times New Roman" w:hAnsi="Calibri" w:cs="Calibri"/>
                <w:b/>
                <w:bCs/>
                <w:color w:val="FFFFFF" w:themeColor="background1"/>
                <w:kern w:val="0"/>
                <w:lang w:eastAsia="en-AU"/>
              </w:rPr>
            </w:pPr>
            <w:proofErr w:type="spellStart"/>
            <w:r w:rsidRPr="00CA1C33">
              <w:rPr>
                <w:rFonts w:ascii="Calibri" w:eastAsia="Times New Roman" w:hAnsi="Calibri" w:cs="Calibri"/>
                <w:b/>
                <w:bCs/>
                <w:color w:val="FFFFFF" w:themeColor="background1"/>
                <w:kern w:val="0"/>
                <w:lang w:eastAsia="en-AU"/>
              </w:rPr>
              <w:t>JobKeeper</w:t>
            </w:r>
            <w:proofErr w:type="spellEnd"/>
            <w:r w:rsidRPr="00CA1C33">
              <w:rPr>
                <w:rFonts w:ascii="Calibri" w:eastAsia="Times New Roman" w:hAnsi="Calibri" w:cs="Calibri"/>
                <w:b/>
                <w:bCs/>
                <w:color w:val="FFFFFF" w:themeColor="background1"/>
                <w:kern w:val="0"/>
                <w:lang w:eastAsia="en-AU"/>
              </w:rPr>
              <w:t xml:space="preserve"> phase 1</w:t>
            </w:r>
            <w:r>
              <w:rPr>
                <w:rFonts w:ascii="Calibri" w:eastAsia="Times New Roman" w:hAnsi="Calibri" w:cs="Calibri"/>
                <w:b/>
                <w:bCs/>
                <w:color w:val="FFFFFF" w:themeColor="background1"/>
                <w:kern w:val="0"/>
                <w:lang w:eastAsia="en-AU"/>
              </w:rPr>
              <w:t xml:space="preserve"> (</w:t>
            </w:r>
            <w:r w:rsidRPr="00CA1C33">
              <w:rPr>
                <w:rFonts w:ascii="Calibri" w:eastAsia="Times New Roman" w:hAnsi="Calibri" w:cs="Calibri"/>
                <w:b/>
                <w:bCs/>
                <w:color w:val="FFFFFF" w:themeColor="background1"/>
                <w:kern w:val="0"/>
                <w:lang w:eastAsia="en-AU"/>
              </w:rPr>
              <w:t xml:space="preserve">Apr 2020 </w:t>
            </w:r>
            <w:r w:rsidR="00A734C9">
              <w:rPr>
                <w:rFonts w:ascii="Calibri" w:eastAsia="Times New Roman" w:hAnsi="Calibri" w:cs="Calibri"/>
                <w:b/>
                <w:bCs/>
                <w:color w:val="FFFFFF" w:themeColor="background1"/>
                <w:kern w:val="0"/>
                <w:lang w:eastAsia="en-AU"/>
              </w:rPr>
              <w:t>– Sep </w:t>
            </w:r>
            <w:r w:rsidRPr="00CA1C33">
              <w:rPr>
                <w:rFonts w:ascii="Calibri" w:eastAsia="Times New Roman" w:hAnsi="Calibri" w:cs="Calibri"/>
                <w:b/>
                <w:bCs/>
                <w:color w:val="FFFFFF" w:themeColor="background1"/>
                <w:kern w:val="0"/>
                <w:lang w:eastAsia="en-AU"/>
              </w:rPr>
              <w:t>2020)</w:t>
            </w:r>
          </w:p>
        </w:tc>
        <w:tc>
          <w:tcPr>
            <w:tcW w:w="0" w:type="auto"/>
            <w:tcBorders>
              <w:top w:val="nil"/>
              <w:left w:val="nil"/>
              <w:right w:val="single" w:sz="8" w:space="0" w:color="4BB3B5"/>
            </w:tcBorders>
            <w:shd w:val="clear" w:color="000000" w:fill="081E3E"/>
            <w:vAlign w:val="bottom"/>
            <w:hideMark/>
          </w:tcPr>
          <w:p w14:paraId="7EDB9782" w14:textId="7ECD24C1" w:rsidR="00F76476" w:rsidRPr="00CA1C33" w:rsidRDefault="00F76476" w:rsidP="009470DB">
            <w:pPr>
              <w:keepNext/>
              <w:pBdr>
                <w:bottom w:val="single" w:sz="12" w:space="1" w:color="auto"/>
              </w:pBdr>
              <w:suppressAutoHyphens w:val="0"/>
              <w:spacing w:before="0" w:after="0"/>
              <w:jc w:val="center"/>
              <w:rPr>
                <w:rFonts w:ascii="Calibri" w:eastAsia="Times New Roman" w:hAnsi="Calibri" w:cs="Calibri"/>
                <w:b/>
                <w:bCs/>
                <w:color w:val="FFFFFF"/>
                <w:kern w:val="0"/>
                <w:lang w:eastAsia="en-AU"/>
              </w:rPr>
            </w:pPr>
            <w:proofErr w:type="spellStart"/>
            <w:r w:rsidRPr="00CA1C33">
              <w:rPr>
                <w:rFonts w:ascii="Calibri" w:eastAsia="Times New Roman" w:hAnsi="Calibri" w:cs="Calibri"/>
                <w:b/>
                <w:bCs/>
                <w:color w:val="FFFFFF" w:themeColor="background1"/>
                <w:kern w:val="0"/>
                <w:lang w:eastAsia="en-AU"/>
              </w:rPr>
              <w:t>JobKeeper</w:t>
            </w:r>
            <w:proofErr w:type="spellEnd"/>
            <w:r w:rsidRPr="00CA1C33">
              <w:rPr>
                <w:rFonts w:ascii="Calibri" w:eastAsia="Times New Roman" w:hAnsi="Calibri" w:cs="Calibri"/>
                <w:b/>
                <w:bCs/>
                <w:color w:val="FFFFFF" w:themeColor="background1"/>
                <w:kern w:val="0"/>
                <w:lang w:eastAsia="en-AU"/>
              </w:rPr>
              <w:t xml:space="preserve"> extension 1</w:t>
            </w:r>
            <w:r w:rsidRPr="007A71CE">
              <w:rPr>
                <w:rFonts w:ascii="Calibri" w:eastAsia="Times New Roman" w:hAnsi="Calibri" w:cs="Calibri"/>
                <w:b/>
                <w:bCs/>
                <w:color w:val="FFFFFF" w:themeColor="background1"/>
                <w:kern w:val="0"/>
                <w:vertAlign w:val="superscript"/>
                <w:lang w:eastAsia="en-AU"/>
              </w:rPr>
              <w:t>st</w:t>
            </w:r>
            <w:r>
              <w:rPr>
                <w:rFonts w:ascii="Calibri" w:eastAsia="Times New Roman" w:hAnsi="Calibri" w:cs="Calibri"/>
                <w:b/>
                <w:bCs/>
                <w:color w:val="FFFFFF" w:themeColor="background1"/>
                <w:kern w:val="0"/>
                <w:lang w:eastAsia="en-AU"/>
              </w:rPr>
              <w:t> </w:t>
            </w:r>
            <w:r w:rsidRPr="00CA1C33">
              <w:rPr>
                <w:rFonts w:ascii="Calibri" w:eastAsia="Times New Roman" w:hAnsi="Calibri" w:cs="Calibri"/>
                <w:b/>
                <w:bCs/>
                <w:color w:val="FFFFFF" w:themeColor="background1"/>
                <w:kern w:val="0"/>
                <w:lang w:eastAsia="en-AU"/>
              </w:rPr>
              <w:t>quarter</w:t>
            </w:r>
            <w:r>
              <w:rPr>
                <w:rFonts w:ascii="Calibri" w:eastAsia="Times New Roman" w:hAnsi="Calibri" w:cs="Calibri"/>
                <w:b/>
                <w:bCs/>
                <w:color w:val="FFFFFF" w:themeColor="background1"/>
                <w:kern w:val="0"/>
                <w:lang w:eastAsia="en-AU"/>
              </w:rPr>
              <w:t xml:space="preserve"> </w:t>
            </w:r>
            <w:r w:rsidRPr="00CA1C33">
              <w:rPr>
                <w:rFonts w:ascii="Calibri" w:eastAsia="Times New Roman" w:hAnsi="Calibri" w:cs="Calibri"/>
                <w:b/>
                <w:bCs/>
                <w:color w:val="FFFFFF" w:themeColor="background1"/>
                <w:kern w:val="0"/>
                <w:lang w:eastAsia="en-AU"/>
              </w:rPr>
              <w:t xml:space="preserve">(Oct 2020 </w:t>
            </w:r>
            <w:r w:rsidR="00A734C9">
              <w:rPr>
                <w:rFonts w:ascii="Calibri" w:eastAsia="Times New Roman" w:hAnsi="Calibri" w:cs="Calibri"/>
                <w:b/>
                <w:bCs/>
                <w:color w:val="FFFFFF" w:themeColor="background1"/>
                <w:kern w:val="0"/>
                <w:lang w:eastAsia="en-AU"/>
              </w:rPr>
              <w:t>–</w:t>
            </w:r>
            <w:r w:rsidRPr="00CA1C33">
              <w:rPr>
                <w:rFonts w:ascii="Calibri" w:eastAsia="Times New Roman" w:hAnsi="Calibri" w:cs="Calibri"/>
                <w:b/>
                <w:bCs/>
                <w:color w:val="FFFFFF" w:themeColor="background1"/>
                <w:kern w:val="0"/>
                <w:lang w:eastAsia="en-AU"/>
              </w:rPr>
              <w:t xml:space="preserve"> Dec</w:t>
            </w:r>
            <w:r>
              <w:rPr>
                <w:rFonts w:ascii="Calibri" w:eastAsia="Times New Roman" w:hAnsi="Calibri" w:cs="Calibri"/>
                <w:b/>
                <w:bCs/>
                <w:color w:val="FFFFFF" w:themeColor="background1"/>
                <w:kern w:val="0"/>
                <w:lang w:eastAsia="en-AU"/>
              </w:rPr>
              <w:t> </w:t>
            </w:r>
            <w:r w:rsidRPr="00CA1C33">
              <w:rPr>
                <w:rFonts w:ascii="Calibri" w:eastAsia="Times New Roman" w:hAnsi="Calibri" w:cs="Calibri"/>
                <w:b/>
                <w:bCs/>
                <w:color w:val="FFFFFF" w:themeColor="background1"/>
                <w:kern w:val="0"/>
                <w:lang w:eastAsia="en-AU"/>
              </w:rPr>
              <w:t>2020)</w:t>
            </w:r>
          </w:p>
        </w:tc>
        <w:tc>
          <w:tcPr>
            <w:tcW w:w="0" w:type="auto"/>
            <w:tcBorders>
              <w:top w:val="nil"/>
              <w:left w:val="nil"/>
              <w:right w:val="nil"/>
            </w:tcBorders>
            <w:shd w:val="clear" w:color="000000" w:fill="081E3E"/>
            <w:vAlign w:val="bottom"/>
            <w:hideMark/>
          </w:tcPr>
          <w:p w14:paraId="49506198" w14:textId="28CC1328" w:rsidR="00F76476" w:rsidRPr="00CA1C33" w:rsidRDefault="00F76476" w:rsidP="009470DB">
            <w:pPr>
              <w:keepNext/>
              <w:pBdr>
                <w:bottom w:val="single" w:sz="12" w:space="1" w:color="auto"/>
              </w:pBdr>
              <w:suppressAutoHyphens w:val="0"/>
              <w:spacing w:before="0" w:after="0"/>
              <w:jc w:val="center"/>
              <w:rPr>
                <w:rFonts w:ascii="Calibri" w:eastAsia="Times New Roman" w:hAnsi="Calibri" w:cs="Calibri"/>
                <w:b/>
                <w:bCs/>
                <w:color w:val="FFFFFF"/>
                <w:kern w:val="0"/>
                <w:lang w:eastAsia="en-AU"/>
              </w:rPr>
            </w:pPr>
            <w:proofErr w:type="spellStart"/>
            <w:r>
              <w:rPr>
                <w:rFonts w:ascii="Calibri" w:eastAsia="Times New Roman" w:hAnsi="Calibri" w:cs="Calibri"/>
                <w:b/>
                <w:bCs/>
                <w:color w:val="FFFFFF" w:themeColor="background1"/>
                <w:kern w:val="0"/>
                <w:lang w:eastAsia="en-AU"/>
              </w:rPr>
              <w:t>JobKeeper</w:t>
            </w:r>
            <w:proofErr w:type="spellEnd"/>
            <w:r>
              <w:rPr>
                <w:rFonts w:ascii="Calibri" w:eastAsia="Times New Roman" w:hAnsi="Calibri" w:cs="Calibri"/>
                <w:b/>
                <w:bCs/>
                <w:color w:val="FFFFFF" w:themeColor="background1"/>
                <w:kern w:val="0"/>
                <w:lang w:eastAsia="en-AU"/>
              </w:rPr>
              <w:t xml:space="preserve"> phase </w:t>
            </w:r>
            <w:r w:rsidRPr="00CA1C33">
              <w:rPr>
                <w:rFonts w:ascii="Calibri" w:eastAsia="Times New Roman" w:hAnsi="Calibri" w:cs="Calibri"/>
                <w:b/>
                <w:bCs/>
                <w:color w:val="FFFFFF" w:themeColor="background1"/>
                <w:kern w:val="0"/>
                <w:lang w:eastAsia="en-AU"/>
              </w:rPr>
              <w:t xml:space="preserve">1 (Apr 2020 </w:t>
            </w:r>
            <w:r w:rsidR="00A734C9">
              <w:rPr>
                <w:rFonts w:ascii="Calibri" w:eastAsia="Times New Roman" w:hAnsi="Calibri" w:cs="Calibri"/>
                <w:b/>
                <w:bCs/>
                <w:color w:val="FFFFFF" w:themeColor="background1"/>
                <w:kern w:val="0"/>
                <w:lang w:eastAsia="en-AU"/>
              </w:rPr>
              <w:t>–</w:t>
            </w:r>
            <w:r w:rsidRPr="00CA1C33">
              <w:rPr>
                <w:rFonts w:ascii="Calibri" w:eastAsia="Times New Roman" w:hAnsi="Calibri" w:cs="Calibri"/>
                <w:b/>
                <w:bCs/>
                <w:color w:val="FFFFFF" w:themeColor="background1"/>
                <w:kern w:val="0"/>
                <w:lang w:eastAsia="en-AU"/>
              </w:rPr>
              <w:t xml:space="preserve"> Sep 2020)</w:t>
            </w:r>
          </w:p>
        </w:tc>
        <w:tc>
          <w:tcPr>
            <w:tcW w:w="0" w:type="auto"/>
            <w:tcBorders>
              <w:top w:val="nil"/>
              <w:left w:val="nil"/>
              <w:right w:val="nil"/>
            </w:tcBorders>
            <w:shd w:val="clear" w:color="000000" w:fill="081E3E"/>
            <w:vAlign w:val="bottom"/>
            <w:hideMark/>
          </w:tcPr>
          <w:p w14:paraId="2BBCD85D" w14:textId="557743F5" w:rsidR="00F76476" w:rsidRPr="00CA1C33" w:rsidRDefault="00F76476" w:rsidP="009470DB">
            <w:pPr>
              <w:keepNext/>
              <w:pBdr>
                <w:bottom w:val="single" w:sz="12" w:space="1" w:color="auto"/>
              </w:pBdr>
              <w:suppressAutoHyphens w:val="0"/>
              <w:spacing w:before="0" w:after="0"/>
              <w:jc w:val="center"/>
              <w:rPr>
                <w:rFonts w:ascii="Calibri" w:eastAsia="Times New Roman" w:hAnsi="Calibri" w:cs="Calibri"/>
                <w:b/>
                <w:bCs/>
                <w:color w:val="FFFFFF"/>
                <w:kern w:val="0"/>
                <w:lang w:eastAsia="en-AU"/>
              </w:rPr>
            </w:pPr>
            <w:proofErr w:type="spellStart"/>
            <w:r>
              <w:rPr>
                <w:rFonts w:ascii="Calibri" w:eastAsia="Times New Roman" w:hAnsi="Calibri" w:cs="Calibri"/>
                <w:b/>
                <w:bCs/>
                <w:color w:val="FFFFFF" w:themeColor="background1"/>
                <w:kern w:val="0"/>
                <w:lang w:eastAsia="en-AU"/>
              </w:rPr>
              <w:t>JobKeeper</w:t>
            </w:r>
            <w:proofErr w:type="spellEnd"/>
            <w:r>
              <w:rPr>
                <w:rFonts w:ascii="Calibri" w:eastAsia="Times New Roman" w:hAnsi="Calibri" w:cs="Calibri"/>
                <w:b/>
                <w:bCs/>
                <w:color w:val="FFFFFF" w:themeColor="background1"/>
                <w:kern w:val="0"/>
                <w:lang w:eastAsia="en-AU"/>
              </w:rPr>
              <w:t xml:space="preserve"> extension 1</w:t>
            </w:r>
            <w:r w:rsidRPr="007A71CE">
              <w:rPr>
                <w:rFonts w:ascii="Calibri" w:eastAsia="Times New Roman" w:hAnsi="Calibri" w:cs="Calibri"/>
                <w:b/>
                <w:bCs/>
                <w:color w:val="FFFFFF" w:themeColor="background1"/>
                <w:kern w:val="0"/>
                <w:vertAlign w:val="superscript"/>
                <w:lang w:eastAsia="en-AU"/>
              </w:rPr>
              <w:t>st</w:t>
            </w:r>
            <w:r>
              <w:rPr>
                <w:rFonts w:ascii="Calibri" w:eastAsia="Times New Roman" w:hAnsi="Calibri" w:cs="Calibri"/>
                <w:b/>
                <w:bCs/>
                <w:color w:val="FFFFFF" w:themeColor="background1"/>
                <w:kern w:val="0"/>
                <w:lang w:eastAsia="en-AU"/>
              </w:rPr>
              <w:t> </w:t>
            </w:r>
            <w:r w:rsidRPr="00CA1C33">
              <w:rPr>
                <w:rFonts w:ascii="Calibri" w:eastAsia="Times New Roman" w:hAnsi="Calibri" w:cs="Calibri"/>
                <w:b/>
                <w:bCs/>
                <w:color w:val="FFFFFF" w:themeColor="background1"/>
                <w:kern w:val="0"/>
                <w:lang w:eastAsia="en-AU"/>
              </w:rPr>
              <w:t xml:space="preserve">quarter (Oct 2020 </w:t>
            </w:r>
            <w:r w:rsidR="00A734C9">
              <w:rPr>
                <w:rFonts w:ascii="Calibri" w:eastAsia="Times New Roman" w:hAnsi="Calibri" w:cs="Calibri"/>
                <w:b/>
                <w:bCs/>
                <w:color w:val="FFFFFF" w:themeColor="background1"/>
                <w:kern w:val="0"/>
                <w:lang w:eastAsia="en-AU"/>
              </w:rPr>
              <w:t>–</w:t>
            </w:r>
            <w:r>
              <w:rPr>
                <w:rFonts w:ascii="Calibri" w:eastAsia="Times New Roman" w:hAnsi="Calibri" w:cs="Calibri"/>
                <w:b/>
                <w:bCs/>
                <w:color w:val="FFFFFF" w:themeColor="background1"/>
                <w:kern w:val="0"/>
                <w:lang w:eastAsia="en-AU"/>
              </w:rPr>
              <w:t xml:space="preserve"> Dec </w:t>
            </w:r>
            <w:r w:rsidRPr="00CA1C33">
              <w:rPr>
                <w:rFonts w:ascii="Calibri" w:eastAsia="Times New Roman" w:hAnsi="Calibri" w:cs="Calibri"/>
                <w:b/>
                <w:bCs/>
                <w:color w:val="FFFFFF" w:themeColor="background1"/>
                <w:kern w:val="0"/>
                <w:lang w:eastAsia="en-AU"/>
              </w:rPr>
              <w:t>2020)</w:t>
            </w:r>
          </w:p>
        </w:tc>
      </w:tr>
      <w:tr w:rsidR="00592917" w:rsidRPr="00CA1C33" w14:paraId="623F4603" w14:textId="77777777" w:rsidTr="00E50E20">
        <w:trPr>
          <w:cantSplit/>
          <w:trHeight w:val="397"/>
        </w:trPr>
        <w:tc>
          <w:tcPr>
            <w:tcW w:w="0" w:type="auto"/>
            <w:tcBorders>
              <w:top w:val="nil"/>
              <w:left w:val="nil"/>
              <w:bottom w:val="single" w:sz="8" w:space="0" w:color="4BB3B5"/>
              <w:right w:val="single" w:sz="8" w:space="0" w:color="4BB3B5"/>
            </w:tcBorders>
            <w:shd w:val="clear" w:color="000000" w:fill="F2F2F2"/>
            <w:vAlign w:val="center"/>
            <w:hideMark/>
          </w:tcPr>
          <w:p w14:paraId="171E2B6E" w14:textId="77777777" w:rsidR="00592606" w:rsidRPr="00CA1C33" w:rsidRDefault="00592606" w:rsidP="009470DB">
            <w:pPr>
              <w:keepNext/>
              <w:suppressAutoHyphens w:val="0"/>
              <w:spacing w:before="0" w:after="0"/>
              <w:rPr>
                <w:rFonts w:ascii="Calibri" w:eastAsia="Times New Roman" w:hAnsi="Calibri" w:cs="Calibri"/>
                <w:b/>
                <w:bCs/>
                <w:color w:val="000000"/>
                <w:kern w:val="0"/>
                <w:lang w:eastAsia="en-AU"/>
              </w:rPr>
            </w:pPr>
            <w:r w:rsidRPr="00CA1C33">
              <w:rPr>
                <w:rFonts w:ascii="Calibri" w:eastAsia="Times New Roman" w:hAnsi="Calibri" w:cs="Calibri"/>
                <w:b/>
                <w:bCs/>
                <w:color w:val="000000"/>
                <w:kern w:val="0"/>
                <w:lang w:eastAsia="en-AU"/>
              </w:rPr>
              <w:t>Cultural and creative</w:t>
            </w:r>
          </w:p>
        </w:tc>
        <w:tc>
          <w:tcPr>
            <w:tcW w:w="0" w:type="auto"/>
            <w:tcBorders>
              <w:top w:val="nil"/>
              <w:left w:val="nil"/>
              <w:bottom w:val="single" w:sz="8" w:space="0" w:color="4BB3B5"/>
              <w:right w:val="nil"/>
            </w:tcBorders>
            <w:shd w:val="clear" w:color="000000" w:fill="F2F2F2"/>
            <w:vAlign w:val="center"/>
            <w:hideMark/>
          </w:tcPr>
          <w:p w14:paraId="7B74CD3C" w14:textId="77777777" w:rsidR="00592606" w:rsidRPr="00CA1C33" w:rsidRDefault="00592606" w:rsidP="009470DB">
            <w:pPr>
              <w:keepNext/>
              <w:suppressAutoHyphens w:val="0"/>
              <w:spacing w:before="0" w:after="0"/>
              <w:jc w:val="right"/>
              <w:rPr>
                <w:rFonts w:ascii="Calibri" w:eastAsia="Times New Roman" w:hAnsi="Calibri" w:cs="Calibri"/>
                <w:color w:val="000000"/>
                <w:kern w:val="0"/>
                <w:lang w:eastAsia="en-AU"/>
              </w:rPr>
            </w:pPr>
            <w:r w:rsidRPr="00CA1C33">
              <w:rPr>
                <w:rFonts w:ascii="Calibri" w:eastAsia="Times New Roman" w:hAnsi="Calibri" w:cs="Calibri"/>
                <w:color w:val="000000"/>
                <w:kern w:val="0"/>
                <w:lang w:eastAsia="en-AU"/>
              </w:rPr>
              <w:t>340,000</w:t>
            </w:r>
          </w:p>
        </w:tc>
        <w:tc>
          <w:tcPr>
            <w:tcW w:w="0" w:type="auto"/>
            <w:tcBorders>
              <w:top w:val="nil"/>
              <w:left w:val="nil"/>
              <w:bottom w:val="single" w:sz="8" w:space="0" w:color="4BB3B5"/>
              <w:right w:val="single" w:sz="8" w:space="0" w:color="4BB3B5"/>
            </w:tcBorders>
            <w:shd w:val="clear" w:color="000000" w:fill="F2F2F2"/>
            <w:vAlign w:val="center"/>
            <w:hideMark/>
          </w:tcPr>
          <w:p w14:paraId="4AF2726E" w14:textId="77777777" w:rsidR="00592606" w:rsidRPr="00CA1C33" w:rsidRDefault="00592606" w:rsidP="009470DB">
            <w:pPr>
              <w:keepNext/>
              <w:suppressAutoHyphens w:val="0"/>
              <w:spacing w:before="0" w:after="0"/>
              <w:jc w:val="right"/>
              <w:rPr>
                <w:rFonts w:ascii="Calibri" w:eastAsia="Times New Roman" w:hAnsi="Calibri" w:cs="Calibri"/>
                <w:color w:val="000000"/>
                <w:kern w:val="0"/>
                <w:lang w:eastAsia="en-AU"/>
              </w:rPr>
            </w:pPr>
            <w:r w:rsidRPr="00CA1C33">
              <w:rPr>
                <w:rFonts w:ascii="Calibri" w:eastAsia="Times New Roman" w:hAnsi="Calibri" w:cs="Calibri"/>
                <w:color w:val="000000"/>
                <w:kern w:val="0"/>
                <w:lang w:eastAsia="en-AU"/>
              </w:rPr>
              <w:t>172,000</w:t>
            </w:r>
          </w:p>
        </w:tc>
        <w:tc>
          <w:tcPr>
            <w:tcW w:w="0" w:type="auto"/>
            <w:tcBorders>
              <w:top w:val="nil"/>
              <w:left w:val="nil"/>
              <w:bottom w:val="single" w:sz="8" w:space="0" w:color="4BB3B5"/>
              <w:right w:val="nil"/>
            </w:tcBorders>
            <w:shd w:val="clear" w:color="000000" w:fill="F2F2F2"/>
            <w:vAlign w:val="center"/>
            <w:hideMark/>
          </w:tcPr>
          <w:p w14:paraId="521CB4B6" w14:textId="77777777" w:rsidR="00592606" w:rsidRPr="00CA1C33" w:rsidRDefault="00592606" w:rsidP="009470DB">
            <w:pPr>
              <w:keepNext/>
              <w:suppressAutoHyphens w:val="0"/>
              <w:spacing w:before="0" w:after="0"/>
              <w:jc w:val="right"/>
              <w:rPr>
                <w:rFonts w:ascii="Calibri" w:eastAsia="Times New Roman" w:hAnsi="Calibri" w:cs="Calibri"/>
                <w:color w:val="000000"/>
                <w:kern w:val="0"/>
                <w:lang w:eastAsia="en-AU"/>
              </w:rPr>
            </w:pPr>
            <w:r w:rsidRPr="00CA1C33">
              <w:rPr>
                <w:rFonts w:ascii="Calibri" w:eastAsia="Times New Roman" w:hAnsi="Calibri" w:cs="Calibri"/>
                <w:color w:val="000000"/>
                <w:kern w:val="0"/>
                <w:lang w:eastAsia="en-AU"/>
              </w:rPr>
              <w:t>99,000</w:t>
            </w:r>
          </w:p>
        </w:tc>
        <w:tc>
          <w:tcPr>
            <w:tcW w:w="0" w:type="auto"/>
            <w:tcBorders>
              <w:top w:val="nil"/>
              <w:left w:val="nil"/>
              <w:bottom w:val="single" w:sz="8" w:space="0" w:color="4BB3B5"/>
              <w:right w:val="nil"/>
            </w:tcBorders>
            <w:shd w:val="clear" w:color="000000" w:fill="F2F2F2"/>
            <w:vAlign w:val="center"/>
            <w:hideMark/>
          </w:tcPr>
          <w:p w14:paraId="324D8049" w14:textId="77777777" w:rsidR="00592606" w:rsidRPr="00CA1C33" w:rsidRDefault="00592606" w:rsidP="009470DB">
            <w:pPr>
              <w:keepNext/>
              <w:suppressAutoHyphens w:val="0"/>
              <w:spacing w:before="0" w:after="0"/>
              <w:jc w:val="right"/>
              <w:rPr>
                <w:rFonts w:ascii="Calibri" w:eastAsia="Times New Roman" w:hAnsi="Calibri" w:cs="Calibri"/>
                <w:color w:val="000000"/>
                <w:kern w:val="0"/>
                <w:lang w:eastAsia="en-AU"/>
              </w:rPr>
            </w:pPr>
            <w:r w:rsidRPr="00CA1C33">
              <w:rPr>
                <w:rFonts w:ascii="Calibri" w:eastAsia="Times New Roman" w:hAnsi="Calibri" w:cs="Calibri"/>
                <w:color w:val="000000"/>
                <w:kern w:val="0"/>
                <w:lang w:eastAsia="en-AU"/>
              </w:rPr>
              <w:t>62,000</w:t>
            </w:r>
          </w:p>
        </w:tc>
      </w:tr>
      <w:tr w:rsidR="00592917" w:rsidRPr="00CA1C33" w14:paraId="1C11560E" w14:textId="77777777" w:rsidTr="00E50E20">
        <w:trPr>
          <w:cantSplit/>
          <w:trHeight w:val="397"/>
        </w:trPr>
        <w:tc>
          <w:tcPr>
            <w:tcW w:w="0" w:type="auto"/>
            <w:tcBorders>
              <w:top w:val="nil"/>
              <w:left w:val="nil"/>
              <w:bottom w:val="single" w:sz="8" w:space="0" w:color="4BB3B5"/>
              <w:right w:val="single" w:sz="8" w:space="0" w:color="4BB3B5"/>
            </w:tcBorders>
            <w:shd w:val="clear" w:color="auto" w:fill="auto"/>
            <w:vAlign w:val="center"/>
            <w:hideMark/>
          </w:tcPr>
          <w:p w14:paraId="306DC499" w14:textId="77777777" w:rsidR="00592606" w:rsidRPr="00CA1C33" w:rsidRDefault="00592606" w:rsidP="009470DB">
            <w:pPr>
              <w:keepNext/>
              <w:suppressAutoHyphens w:val="0"/>
              <w:spacing w:before="0" w:after="0"/>
              <w:rPr>
                <w:rFonts w:ascii="Calibri" w:eastAsia="Times New Roman" w:hAnsi="Calibri" w:cs="Calibri"/>
                <w:b/>
                <w:bCs/>
                <w:color w:val="000000"/>
                <w:kern w:val="0"/>
                <w:lang w:eastAsia="en-AU"/>
              </w:rPr>
            </w:pPr>
            <w:r w:rsidRPr="00CA1C33">
              <w:rPr>
                <w:rFonts w:ascii="Calibri" w:eastAsia="Times New Roman" w:hAnsi="Calibri" w:cs="Calibri"/>
                <w:b/>
                <w:bCs/>
                <w:color w:val="000000"/>
                <w:kern w:val="0"/>
                <w:lang w:eastAsia="en-AU"/>
              </w:rPr>
              <w:t>All industries</w:t>
            </w:r>
          </w:p>
        </w:tc>
        <w:tc>
          <w:tcPr>
            <w:tcW w:w="0" w:type="auto"/>
            <w:tcBorders>
              <w:top w:val="nil"/>
              <w:left w:val="nil"/>
              <w:bottom w:val="single" w:sz="8" w:space="0" w:color="4BB3B5"/>
              <w:right w:val="nil"/>
            </w:tcBorders>
            <w:shd w:val="clear" w:color="auto" w:fill="auto"/>
            <w:vAlign w:val="center"/>
            <w:hideMark/>
          </w:tcPr>
          <w:p w14:paraId="7E1BDD72" w14:textId="77777777" w:rsidR="00592606" w:rsidRPr="00CA1C33" w:rsidRDefault="00592606" w:rsidP="009470DB">
            <w:pPr>
              <w:keepNext/>
              <w:suppressAutoHyphens w:val="0"/>
              <w:spacing w:before="0" w:after="0"/>
              <w:jc w:val="right"/>
              <w:rPr>
                <w:rFonts w:ascii="Calibri" w:eastAsia="Times New Roman" w:hAnsi="Calibri" w:cs="Calibri"/>
                <w:color w:val="000000"/>
                <w:kern w:val="0"/>
                <w:lang w:eastAsia="en-AU"/>
              </w:rPr>
            </w:pPr>
            <w:r w:rsidRPr="00CA1C33">
              <w:rPr>
                <w:rFonts w:ascii="Calibri" w:eastAsia="Times New Roman" w:hAnsi="Calibri" w:cs="Calibri"/>
                <w:color w:val="000000"/>
                <w:kern w:val="0"/>
                <w:lang w:eastAsia="en-AU"/>
              </w:rPr>
              <w:t>3,580,000</w:t>
            </w:r>
          </w:p>
        </w:tc>
        <w:tc>
          <w:tcPr>
            <w:tcW w:w="0" w:type="auto"/>
            <w:tcBorders>
              <w:top w:val="nil"/>
              <w:left w:val="nil"/>
              <w:bottom w:val="single" w:sz="8" w:space="0" w:color="4BB3B5"/>
              <w:right w:val="single" w:sz="8" w:space="0" w:color="4BB3B5"/>
            </w:tcBorders>
            <w:shd w:val="clear" w:color="auto" w:fill="auto"/>
            <w:vAlign w:val="center"/>
            <w:hideMark/>
          </w:tcPr>
          <w:p w14:paraId="0E0B63A4" w14:textId="77777777" w:rsidR="00592606" w:rsidRPr="00CA1C33" w:rsidRDefault="00592606" w:rsidP="009470DB">
            <w:pPr>
              <w:keepNext/>
              <w:suppressAutoHyphens w:val="0"/>
              <w:spacing w:before="0" w:after="0"/>
              <w:jc w:val="right"/>
              <w:rPr>
                <w:rFonts w:ascii="Calibri" w:eastAsia="Times New Roman" w:hAnsi="Calibri" w:cs="Calibri"/>
                <w:color w:val="000000"/>
                <w:kern w:val="0"/>
                <w:lang w:eastAsia="en-AU"/>
              </w:rPr>
            </w:pPr>
            <w:r w:rsidRPr="00CA1C33">
              <w:rPr>
                <w:rFonts w:ascii="Calibri" w:eastAsia="Times New Roman" w:hAnsi="Calibri" w:cs="Calibri"/>
                <w:color w:val="000000"/>
                <w:kern w:val="0"/>
                <w:lang w:eastAsia="en-AU"/>
              </w:rPr>
              <w:t>1,592,000</w:t>
            </w:r>
          </w:p>
        </w:tc>
        <w:tc>
          <w:tcPr>
            <w:tcW w:w="0" w:type="auto"/>
            <w:tcBorders>
              <w:top w:val="nil"/>
              <w:left w:val="nil"/>
              <w:bottom w:val="single" w:sz="8" w:space="0" w:color="4BB3B5"/>
              <w:right w:val="nil"/>
            </w:tcBorders>
            <w:shd w:val="clear" w:color="auto" w:fill="auto"/>
            <w:vAlign w:val="center"/>
            <w:hideMark/>
          </w:tcPr>
          <w:p w14:paraId="65FA3C8E" w14:textId="77777777" w:rsidR="00592606" w:rsidRPr="00CA1C33" w:rsidRDefault="00592606" w:rsidP="009470DB">
            <w:pPr>
              <w:keepNext/>
              <w:suppressAutoHyphens w:val="0"/>
              <w:spacing w:before="0" w:after="0"/>
              <w:jc w:val="right"/>
              <w:rPr>
                <w:rFonts w:ascii="Calibri" w:eastAsia="Times New Roman" w:hAnsi="Calibri" w:cs="Calibri"/>
                <w:color w:val="000000"/>
                <w:kern w:val="0"/>
                <w:lang w:eastAsia="en-AU"/>
              </w:rPr>
            </w:pPr>
            <w:r w:rsidRPr="00CA1C33">
              <w:rPr>
                <w:rFonts w:ascii="Calibri" w:eastAsia="Times New Roman" w:hAnsi="Calibri" w:cs="Calibri"/>
                <w:color w:val="000000"/>
                <w:kern w:val="0"/>
                <w:lang w:eastAsia="en-AU"/>
              </w:rPr>
              <w:t>925,000</w:t>
            </w:r>
          </w:p>
        </w:tc>
        <w:tc>
          <w:tcPr>
            <w:tcW w:w="0" w:type="auto"/>
            <w:tcBorders>
              <w:top w:val="nil"/>
              <w:left w:val="nil"/>
              <w:bottom w:val="single" w:sz="8" w:space="0" w:color="4BB3B5"/>
              <w:right w:val="nil"/>
            </w:tcBorders>
            <w:shd w:val="clear" w:color="auto" w:fill="auto"/>
            <w:vAlign w:val="center"/>
            <w:hideMark/>
          </w:tcPr>
          <w:p w14:paraId="4BF1F358" w14:textId="77777777" w:rsidR="00592606" w:rsidRPr="00CA1C33" w:rsidRDefault="00592606" w:rsidP="009470DB">
            <w:pPr>
              <w:keepNext/>
              <w:suppressAutoHyphens w:val="0"/>
              <w:spacing w:before="0" w:after="0"/>
              <w:jc w:val="right"/>
              <w:rPr>
                <w:rFonts w:ascii="Calibri" w:eastAsia="Times New Roman" w:hAnsi="Calibri" w:cs="Calibri"/>
                <w:color w:val="000000"/>
                <w:kern w:val="0"/>
                <w:lang w:eastAsia="en-AU"/>
              </w:rPr>
            </w:pPr>
            <w:r w:rsidRPr="00CA1C33">
              <w:rPr>
                <w:rFonts w:ascii="Calibri" w:eastAsia="Times New Roman" w:hAnsi="Calibri" w:cs="Calibri"/>
                <w:color w:val="000000"/>
                <w:kern w:val="0"/>
                <w:lang w:eastAsia="en-AU"/>
              </w:rPr>
              <w:t>504,000</w:t>
            </w:r>
          </w:p>
        </w:tc>
      </w:tr>
      <w:tr w:rsidR="00592917" w:rsidRPr="00CA1C33" w14:paraId="1263A747" w14:textId="77777777" w:rsidTr="00E50E20">
        <w:trPr>
          <w:cantSplit/>
          <w:trHeight w:val="1162"/>
        </w:trPr>
        <w:tc>
          <w:tcPr>
            <w:tcW w:w="0" w:type="auto"/>
            <w:tcBorders>
              <w:top w:val="nil"/>
              <w:left w:val="nil"/>
              <w:bottom w:val="single" w:sz="8" w:space="0" w:color="4BB3B5"/>
              <w:right w:val="single" w:sz="8" w:space="0" w:color="4BB3B5"/>
            </w:tcBorders>
            <w:shd w:val="clear" w:color="000000" w:fill="F2F2F2"/>
            <w:vAlign w:val="center"/>
            <w:hideMark/>
          </w:tcPr>
          <w:p w14:paraId="601F1DD1" w14:textId="07AED8A7" w:rsidR="00592606" w:rsidRPr="00CA1C33" w:rsidRDefault="00592606" w:rsidP="009470DB">
            <w:pPr>
              <w:keepNext/>
              <w:suppressAutoHyphens w:val="0"/>
              <w:spacing w:before="0" w:after="0"/>
              <w:rPr>
                <w:rFonts w:ascii="Calibri" w:eastAsia="Times New Roman" w:hAnsi="Calibri" w:cs="Calibri"/>
                <w:b/>
                <w:bCs/>
                <w:color w:val="000000"/>
                <w:kern w:val="0"/>
                <w:lang w:eastAsia="en-AU"/>
              </w:rPr>
            </w:pPr>
            <w:r w:rsidRPr="00CA1C33">
              <w:rPr>
                <w:rFonts w:ascii="Calibri" w:eastAsia="Times New Roman" w:hAnsi="Calibri" w:cs="Calibri"/>
                <w:b/>
                <w:bCs/>
                <w:color w:val="000000"/>
                <w:kern w:val="0"/>
                <w:lang w:eastAsia="en-AU"/>
              </w:rPr>
              <w:t>Cultural and creative share of all employees and entities</w:t>
            </w:r>
            <w:r w:rsidR="00592917">
              <w:rPr>
                <w:rFonts w:ascii="Calibri" w:eastAsia="Times New Roman" w:hAnsi="Calibri" w:cs="Calibri"/>
                <w:b/>
                <w:bCs/>
                <w:color w:val="000000"/>
                <w:kern w:val="0"/>
                <w:lang w:eastAsia="en-AU"/>
              </w:rPr>
              <w:t xml:space="preserve"> that received </w:t>
            </w:r>
            <w:proofErr w:type="spellStart"/>
            <w:r w:rsidR="00592917">
              <w:rPr>
                <w:rFonts w:ascii="Calibri" w:eastAsia="Times New Roman" w:hAnsi="Calibri" w:cs="Calibri"/>
                <w:b/>
                <w:bCs/>
                <w:color w:val="000000"/>
                <w:kern w:val="0"/>
                <w:lang w:eastAsia="en-AU"/>
              </w:rPr>
              <w:t>JobKeeper</w:t>
            </w:r>
            <w:proofErr w:type="spellEnd"/>
          </w:p>
        </w:tc>
        <w:tc>
          <w:tcPr>
            <w:tcW w:w="0" w:type="auto"/>
            <w:tcBorders>
              <w:top w:val="nil"/>
              <w:left w:val="nil"/>
              <w:bottom w:val="single" w:sz="8" w:space="0" w:color="4BB3B5"/>
              <w:right w:val="nil"/>
            </w:tcBorders>
            <w:shd w:val="clear" w:color="000000" w:fill="F2F2F2"/>
            <w:vAlign w:val="center"/>
            <w:hideMark/>
          </w:tcPr>
          <w:p w14:paraId="24C7C6C0" w14:textId="77777777" w:rsidR="00592606" w:rsidRPr="00CA1C33" w:rsidRDefault="00592606" w:rsidP="009470DB">
            <w:pPr>
              <w:keepNext/>
              <w:suppressAutoHyphens w:val="0"/>
              <w:spacing w:before="0" w:after="0"/>
              <w:jc w:val="right"/>
              <w:rPr>
                <w:rFonts w:ascii="Calibri" w:eastAsia="Times New Roman" w:hAnsi="Calibri" w:cs="Calibri"/>
                <w:color w:val="000000"/>
                <w:kern w:val="0"/>
                <w:lang w:eastAsia="en-AU"/>
              </w:rPr>
            </w:pPr>
            <w:r w:rsidRPr="00CA1C33">
              <w:rPr>
                <w:rFonts w:ascii="Calibri" w:eastAsia="Times New Roman" w:hAnsi="Calibri" w:cs="Calibri"/>
                <w:color w:val="000000"/>
                <w:kern w:val="0"/>
                <w:lang w:eastAsia="en-AU"/>
              </w:rPr>
              <w:t>9.5%</w:t>
            </w:r>
          </w:p>
        </w:tc>
        <w:tc>
          <w:tcPr>
            <w:tcW w:w="0" w:type="auto"/>
            <w:tcBorders>
              <w:top w:val="nil"/>
              <w:left w:val="nil"/>
              <w:bottom w:val="single" w:sz="8" w:space="0" w:color="4BB3B5"/>
              <w:right w:val="single" w:sz="8" w:space="0" w:color="4BB3B5"/>
            </w:tcBorders>
            <w:shd w:val="clear" w:color="000000" w:fill="F2F2F2"/>
            <w:vAlign w:val="center"/>
            <w:hideMark/>
          </w:tcPr>
          <w:p w14:paraId="1F2075D7" w14:textId="77777777" w:rsidR="00592606" w:rsidRPr="00CA1C33" w:rsidRDefault="00592606" w:rsidP="009470DB">
            <w:pPr>
              <w:keepNext/>
              <w:suppressAutoHyphens w:val="0"/>
              <w:spacing w:before="0" w:after="0"/>
              <w:jc w:val="right"/>
              <w:rPr>
                <w:rFonts w:ascii="Calibri" w:eastAsia="Times New Roman" w:hAnsi="Calibri" w:cs="Calibri"/>
                <w:color w:val="000000"/>
                <w:kern w:val="0"/>
                <w:lang w:eastAsia="en-AU"/>
              </w:rPr>
            </w:pPr>
            <w:r w:rsidRPr="00CA1C33">
              <w:rPr>
                <w:rFonts w:ascii="Calibri" w:eastAsia="Times New Roman" w:hAnsi="Calibri" w:cs="Calibri"/>
                <w:color w:val="000000"/>
                <w:kern w:val="0"/>
                <w:lang w:eastAsia="en-AU"/>
              </w:rPr>
              <w:t>10.8%</w:t>
            </w:r>
          </w:p>
        </w:tc>
        <w:tc>
          <w:tcPr>
            <w:tcW w:w="0" w:type="auto"/>
            <w:tcBorders>
              <w:top w:val="nil"/>
              <w:left w:val="nil"/>
              <w:bottom w:val="single" w:sz="8" w:space="0" w:color="4BB3B5"/>
              <w:right w:val="nil"/>
            </w:tcBorders>
            <w:shd w:val="clear" w:color="000000" w:fill="F2F2F2"/>
            <w:vAlign w:val="center"/>
            <w:hideMark/>
          </w:tcPr>
          <w:p w14:paraId="3B557486" w14:textId="77777777" w:rsidR="00592606" w:rsidRPr="00CA1C33" w:rsidRDefault="00592606" w:rsidP="009470DB">
            <w:pPr>
              <w:keepNext/>
              <w:suppressAutoHyphens w:val="0"/>
              <w:spacing w:before="0" w:after="0"/>
              <w:jc w:val="right"/>
              <w:rPr>
                <w:rFonts w:ascii="Calibri" w:eastAsia="Times New Roman" w:hAnsi="Calibri" w:cs="Calibri"/>
                <w:color w:val="000000"/>
                <w:kern w:val="0"/>
                <w:lang w:eastAsia="en-AU"/>
              </w:rPr>
            </w:pPr>
            <w:r w:rsidRPr="00CA1C33">
              <w:rPr>
                <w:rFonts w:ascii="Calibri" w:eastAsia="Times New Roman" w:hAnsi="Calibri" w:cs="Calibri"/>
                <w:color w:val="000000"/>
                <w:kern w:val="0"/>
                <w:lang w:eastAsia="en-AU"/>
              </w:rPr>
              <w:t>10.7%</w:t>
            </w:r>
          </w:p>
        </w:tc>
        <w:tc>
          <w:tcPr>
            <w:tcW w:w="0" w:type="auto"/>
            <w:tcBorders>
              <w:top w:val="nil"/>
              <w:left w:val="nil"/>
              <w:bottom w:val="single" w:sz="8" w:space="0" w:color="4BB3B5"/>
              <w:right w:val="nil"/>
            </w:tcBorders>
            <w:shd w:val="clear" w:color="000000" w:fill="F2F2F2"/>
            <w:vAlign w:val="center"/>
            <w:hideMark/>
          </w:tcPr>
          <w:p w14:paraId="58641417" w14:textId="77777777" w:rsidR="00592606" w:rsidRPr="00CA1C33" w:rsidRDefault="00592606" w:rsidP="009470DB">
            <w:pPr>
              <w:keepNext/>
              <w:suppressAutoHyphens w:val="0"/>
              <w:spacing w:before="0" w:after="0"/>
              <w:jc w:val="right"/>
              <w:rPr>
                <w:rFonts w:ascii="Calibri" w:eastAsia="Times New Roman" w:hAnsi="Calibri" w:cs="Calibri"/>
                <w:color w:val="000000"/>
                <w:kern w:val="0"/>
                <w:lang w:eastAsia="en-AU"/>
              </w:rPr>
            </w:pPr>
            <w:r w:rsidRPr="00CA1C33">
              <w:rPr>
                <w:rFonts w:ascii="Calibri" w:eastAsia="Times New Roman" w:hAnsi="Calibri" w:cs="Calibri"/>
                <w:color w:val="000000"/>
                <w:kern w:val="0"/>
                <w:lang w:eastAsia="en-AU"/>
              </w:rPr>
              <w:t>12.2%</w:t>
            </w:r>
          </w:p>
        </w:tc>
      </w:tr>
      <w:tr w:rsidR="00592917" w:rsidRPr="00CA1C33" w14:paraId="33A5ECDA" w14:textId="77777777" w:rsidTr="00E50E20">
        <w:trPr>
          <w:cantSplit/>
          <w:trHeight w:val="952"/>
        </w:trPr>
        <w:tc>
          <w:tcPr>
            <w:tcW w:w="0" w:type="auto"/>
            <w:tcBorders>
              <w:top w:val="nil"/>
              <w:left w:val="nil"/>
              <w:bottom w:val="single" w:sz="8" w:space="0" w:color="4BB3B5"/>
              <w:right w:val="single" w:sz="8" w:space="0" w:color="4BB3B5"/>
            </w:tcBorders>
            <w:shd w:val="clear" w:color="auto" w:fill="auto"/>
            <w:vAlign w:val="center"/>
            <w:hideMark/>
          </w:tcPr>
          <w:p w14:paraId="1414F802" w14:textId="571427C2" w:rsidR="00592606" w:rsidRPr="00CA1C33" w:rsidRDefault="00592606" w:rsidP="009470DB">
            <w:pPr>
              <w:keepNext/>
              <w:suppressAutoHyphens w:val="0"/>
              <w:spacing w:before="0" w:after="0"/>
              <w:rPr>
                <w:rFonts w:ascii="Calibri" w:eastAsia="Times New Roman" w:hAnsi="Calibri" w:cs="Calibri"/>
                <w:b/>
                <w:bCs/>
                <w:color w:val="000000"/>
                <w:kern w:val="0"/>
                <w:lang w:eastAsia="en-AU"/>
              </w:rPr>
            </w:pPr>
            <w:r w:rsidRPr="00CA1C33">
              <w:rPr>
                <w:rFonts w:ascii="Calibri" w:eastAsia="Times New Roman" w:hAnsi="Calibri" w:cs="Calibri"/>
                <w:b/>
                <w:bCs/>
                <w:color w:val="000000"/>
                <w:kern w:val="0"/>
                <w:lang w:eastAsia="en-AU"/>
              </w:rPr>
              <w:t xml:space="preserve">Share of cultural and creative sector </w:t>
            </w:r>
            <w:r w:rsidR="00592917">
              <w:rPr>
                <w:rFonts w:ascii="Calibri" w:eastAsia="Times New Roman" w:hAnsi="Calibri" w:cs="Calibri"/>
                <w:b/>
                <w:bCs/>
                <w:color w:val="000000"/>
                <w:kern w:val="0"/>
                <w:lang w:eastAsia="en-AU"/>
              </w:rPr>
              <w:t xml:space="preserve">that </w:t>
            </w:r>
            <w:r w:rsidRPr="00CA1C33">
              <w:rPr>
                <w:rFonts w:ascii="Calibri" w:eastAsia="Times New Roman" w:hAnsi="Calibri" w:cs="Calibri"/>
                <w:b/>
                <w:bCs/>
                <w:color w:val="000000"/>
                <w:kern w:val="0"/>
                <w:lang w:eastAsia="en-AU"/>
              </w:rPr>
              <w:t>receiv</w:t>
            </w:r>
            <w:r w:rsidR="00592917">
              <w:rPr>
                <w:rFonts w:ascii="Calibri" w:eastAsia="Times New Roman" w:hAnsi="Calibri" w:cs="Calibri"/>
                <w:b/>
                <w:bCs/>
                <w:color w:val="000000"/>
                <w:kern w:val="0"/>
                <w:lang w:eastAsia="en-AU"/>
              </w:rPr>
              <w:t xml:space="preserve">ed </w:t>
            </w:r>
            <w:proofErr w:type="spellStart"/>
            <w:r w:rsidR="00592917">
              <w:rPr>
                <w:rFonts w:ascii="Calibri" w:eastAsia="Times New Roman" w:hAnsi="Calibri" w:cs="Calibri"/>
                <w:b/>
                <w:bCs/>
                <w:color w:val="000000"/>
                <w:kern w:val="0"/>
                <w:lang w:eastAsia="en-AU"/>
              </w:rPr>
              <w:t>JobKeeper</w:t>
            </w:r>
            <w:proofErr w:type="spellEnd"/>
          </w:p>
        </w:tc>
        <w:tc>
          <w:tcPr>
            <w:tcW w:w="0" w:type="auto"/>
            <w:tcBorders>
              <w:top w:val="nil"/>
              <w:left w:val="nil"/>
              <w:bottom w:val="single" w:sz="8" w:space="0" w:color="4BB3B5"/>
              <w:right w:val="nil"/>
            </w:tcBorders>
            <w:shd w:val="clear" w:color="auto" w:fill="auto"/>
            <w:vAlign w:val="center"/>
            <w:hideMark/>
          </w:tcPr>
          <w:p w14:paraId="037B1476" w14:textId="4FAC9AEC" w:rsidR="00592606" w:rsidRPr="00CA1C33" w:rsidRDefault="00592606" w:rsidP="009470DB">
            <w:pPr>
              <w:keepNext/>
              <w:suppressAutoHyphens w:val="0"/>
              <w:spacing w:before="0" w:after="0"/>
              <w:jc w:val="right"/>
              <w:rPr>
                <w:rFonts w:ascii="Calibri" w:eastAsia="Times New Roman" w:hAnsi="Calibri" w:cs="Calibri"/>
                <w:color w:val="000000"/>
                <w:kern w:val="0"/>
                <w:lang w:eastAsia="en-AU"/>
              </w:rPr>
            </w:pPr>
            <w:r w:rsidRPr="00CA1C33">
              <w:rPr>
                <w:rFonts w:ascii="Calibri" w:eastAsia="Times New Roman" w:hAnsi="Calibri" w:cs="Calibri"/>
                <w:color w:val="000000"/>
                <w:kern w:val="0"/>
                <w:lang w:eastAsia="en-AU"/>
              </w:rPr>
              <w:t>52.</w:t>
            </w:r>
            <w:r w:rsidR="00F55939">
              <w:rPr>
                <w:rFonts w:ascii="Calibri" w:eastAsia="Times New Roman" w:hAnsi="Calibri" w:cs="Calibri"/>
                <w:color w:val="000000"/>
                <w:kern w:val="0"/>
                <w:lang w:eastAsia="en-AU"/>
              </w:rPr>
              <w:t>6</w:t>
            </w:r>
            <w:r w:rsidRPr="00CA1C33">
              <w:rPr>
                <w:rFonts w:ascii="Calibri" w:eastAsia="Times New Roman" w:hAnsi="Calibri" w:cs="Calibri"/>
                <w:color w:val="000000"/>
                <w:kern w:val="0"/>
                <w:lang w:eastAsia="en-AU"/>
              </w:rPr>
              <w:t>%</w:t>
            </w:r>
          </w:p>
        </w:tc>
        <w:tc>
          <w:tcPr>
            <w:tcW w:w="0" w:type="auto"/>
            <w:tcBorders>
              <w:top w:val="nil"/>
              <w:left w:val="nil"/>
              <w:bottom w:val="single" w:sz="8" w:space="0" w:color="4BB3B5"/>
              <w:right w:val="single" w:sz="8" w:space="0" w:color="4BB3B5"/>
            </w:tcBorders>
            <w:shd w:val="clear" w:color="auto" w:fill="auto"/>
            <w:vAlign w:val="center"/>
            <w:hideMark/>
          </w:tcPr>
          <w:p w14:paraId="23CC9B08" w14:textId="1563F484" w:rsidR="00592606" w:rsidRPr="00CA1C33" w:rsidRDefault="00592606" w:rsidP="009470DB">
            <w:pPr>
              <w:keepNext/>
              <w:suppressAutoHyphens w:val="0"/>
              <w:spacing w:before="0" w:after="0"/>
              <w:jc w:val="right"/>
              <w:rPr>
                <w:rFonts w:ascii="Calibri" w:eastAsia="Times New Roman" w:hAnsi="Calibri" w:cs="Calibri"/>
                <w:color w:val="000000"/>
                <w:kern w:val="0"/>
                <w:lang w:eastAsia="en-AU"/>
              </w:rPr>
            </w:pPr>
            <w:r w:rsidRPr="00CA1C33">
              <w:rPr>
                <w:rFonts w:ascii="Calibri" w:eastAsia="Times New Roman" w:hAnsi="Calibri" w:cs="Calibri"/>
                <w:color w:val="000000"/>
                <w:kern w:val="0"/>
                <w:lang w:eastAsia="en-AU"/>
              </w:rPr>
              <w:t>26.</w:t>
            </w:r>
            <w:r w:rsidR="00ED4149">
              <w:rPr>
                <w:rFonts w:ascii="Calibri" w:eastAsia="Times New Roman" w:hAnsi="Calibri" w:cs="Calibri"/>
                <w:color w:val="000000"/>
                <w:kern w:val="0"/>
                <w:lang w:eastAsia="en-AU"/>
              </w:rPr>
              <w:t>7</w:t>
            </w:r>
            <w:r w:rsidRPr="00CA1C33">
              <w:rPr>
                <w:rFonts w:ascii="Calibri" w:eastAsia="Times New Roman" w:hAnsi="Calibri" w:cs="Calibri"/>
                <w:color w:val="000000"/>
                <w:kern w:val="0"/>
                <w:lang w:eastAsia="en-AU"/>
              </w:rPr>
              <w:t>%</w:t>
            </w:r>
          </w:p>
        </w:tc>
        <w:tc>
          <w:tcPr>
            <w:tcW w:w="0" w:type="auto"/>
            <w:tcBorders>
              <w:top w:val="nil"/>
              <w:left w:val="nil"/>
              <w:bottom w:val="single" w:sz="8" w:space="0" w:color="4BB3B5"/>
              <w:right w:val="nil"/>
            </w:tcBorders>
            <w:shd w:val="clear" w:color="auto" w:fill="auto"/>
            <w:vAlign w:val="center"/>
            <w:hideMark/>
          </w:tcPr>
          <w:p w14:paraId="7B64432A" w14:textId="02FD833E" w:rsidR="00592606" w:rsidRPr="00CA1C33" w:rsidRDefault="00ED4149" w:rsidP="009470DB">
            <w:pPr>
              <w:keepNext/>
              <w:suppressAutoHyphens w:val="0"/>
              <w:spacing w:before="0" w:after="0"/>
              <w:jc w:val="right"/>
              <w:rPr>
                <w:rFonts w:ascii="Calibri" w:eastAsia="Times New Roman" w:hAnsi="Calibri" w:cs="Calibri"/>
                <w:color w:val="000000"/>
                <w:kern w:val="0"/>
                <w:lang w:eastAsia="en-AU"/>
              </w:rPr>
            </w:pPr>
            <w:r>
              <w:rPr>
                <w:rFonts w:ascii="Calibri" w:eastAsia="Times New Roman" w:hAnsi="Calibri" w:cs="Calibri"/>
                <w:color w:val="000000"/>
                <w:kern w:val="0"/>
                <w:lang w:eastAsia="en-AU"/>
              </w:rPr>
              <w:t>5</w:t>
            </w:r>
            <w:r w:rsidR="00260D2D">
              <w:rPr>
                <w:rFonts w:ascii="Calibri" w:eastAsia="Times New Roman" w:hAnsi="Calibri" w:cs="Calibri"/>
                <w:color w:val="000000"/>
                <w:kern w:val="0"/>
                <w:lang w:eastAsia="en-AU"/>
              </w:rPr>
              <w:t>7.</w:t>
            </w:r>
            <w:r w:rsidR="005C7798">
              <w:rPr>
                <w:rFonts w:ascii="Calibri" w:eastAsia="Times New Roman" w:hAnsi="Calibri" w:cs="Calibri"/>
                <w:color w:val="000000"/>
                <w:kern w:val="0"/>
                <w:lang w:eastAsia="en-AU"/>
              </w:rPr>
              <w:t>9</w:t>
            </w:r>
            <w:r w:rsidR="00592606" w:rsidRPr="00CA1C33">
              <w:rPr>
                <w:rFonts w:ascii="Calibri" w:eastAsia="Times New Roman" w:hAnsi="Calibri" w:cs="Calibri"/>
                <w:color w:val="000000"/>
                <w:kern w:val="0"/>
                <w:lang w:eastAsia="en-AU"/>
              </w:rPr>
              <w:t>%</w:t>
            </w:r>
          </w:p>
        </w:tc>
        <w:tc>
          <w:tcPr>
            <w:tcW w:w="0" w:type="auto"/>
            <w:tcBorders>
              <w:top w:val="nil"/>
              <w:left w:val="nil"/>
              <w:bottom w:val="single" w:sz="8" w:space="0" w:color="4BB3B5"/>
              <w:right w:val="nil"/>
            </w:tcBorders>
            <w:shd w:val="clear" w:color="auto" w:fill="auto"/>
            <w:vAlign w:val="center"/>
            <w:hideMark/>
          </w:tcPr>
          <w:p w14:paraId="5071AA7A" w14:textId="7505583B" w:rsidR="00592606" w:rsidRPr="00CA1C33" w:rsidRDefault="005C7798" w:rsidP="009470DB">
            <w:pPr>
              <w:keepNext/>
              <w:suppressAutoHyphens w:val="0"/>
              <w:spacing w:before="0" w:after="0"/>
              <w:jc w:val="right"/>
              <w:rPr>
                <w:rFonts w:ascii="Calibri" w:eastAsia="Times New Roman" w:hAnsi="Calibri" w:cs="Calibri"/>
                <w:color w:val="000000"/>
                <w:kern w:val="0"/>
                <w:lang w:eastAsia="en-AU"/>
              </w:rPr>
            </w:pPr>
            <w:r>
              <w:rPr>
                <w:rFonts w:ascii="Calibri" w:eastAsia="Times New Roman" w:hAnsi="Calibri" w:cs="Calibri"/>
                <w:color w:val="000000"/>
                <w:kern w:val="0"/>
                <w:lang w:eastAsia="en-AU"/>
              </w:rPr>
              <w:t>36.2</w:t>
            </w:r>
            <w:r w:rsidRPr="00CA1C33">
              <w:rPr>
                <w:rFonts w:ascii="Calibri" w:eastAsia="Times New Roman" w:hAnsi="Calibri" w:cs="Calibri"/>
                <w:color w:val="000000"/>
                <w:kern w:val="0"/>
                <w:lang w:eastAsia="en-AU"/>
              </w:rPr>
              <w:t>%</w:t>
            </w:r>
          </w:p>
        </w:tc>
      </w:tr>
    </w:tbl>
    <w:p w14:paraId="047A5B18" w14:textId="3B462B79" w:rsidR="00F76476" w:rsidRPr="00CA1C33" w:rsidRDefault="00F76476" w:rsidP="00F76476">
      <w:pPr>
        <w:pStyle w:val="Sourcenotes"/>
      </w:pPr>
      <w:r w:rsidRPr="00722FE0">
        <w:t xml:space="preserve">Source: BCARR analysis of </w:t>
      </w:r>
      <w:r w:rsidRPr="00722FE0">
        <w:rPr>
          <w:lang w:val="en-AU"/>
        </w:rPr>
        <w:t xml:space="preserve">Australian Taxation Office </w:t>
      </w:r>
      <w:r w:rsidRPr="00722FE0">
        <w:t xml:space="preserve">administrative </w:t>
      </w:r>
      <w:r w:rsidRPr="00722FE0">
        <w:rPr>
          <w:lang w:val="en-AU"/>
        </w:rPr>
        <w:t>data</w:t>
      </w:r>
      <w:r>
        <w:rPr>
          <w:lang w:val="en-AU"/>
        </w:rPr>
        <w:t>, data as at 10 February 2021</w:t>
      </w:r>
      <w:r w:rsidRPr="00722FE0">
        <w:t>.</w:t>
      </w:r>
      <w:r w:rsidRPr="00722FE0">
        <w:rPr>
          <w:lang w:val="en-AU"/>
        </w:rPr>
        <w:t xml:space="preserve"> The share of the cultural and creative sector </w:t>
      </w:r>
      <w:r w:rsidR="00CA60FC">
        <w:rPr>
          <w:lang w:val="en-AU"/>
        </w:rPr>
        <w:t xml:space="preserve">that </w:t>
      </w:r>
      <w:r w:rsidRPr="00722FE0">
        <w:rPr>
          <w:lang w:val="en-AU"/>
        </w:rPr>
        <w:t>receiv</w:t>
      </w:r>
      <w:r w:rsidR="00CA60FC">
        <w:rPr>
          <w:lang w:val="en-AU"/>
        </w:rPr>
        <w:t>ed</w:t>
      </w:r>
      <w:r w:rsidRPr="00722FE0">
        <w:rPr>
          <w:lang w:val="en-AU"/>
        </w:rPr>
        <w:t xml:space="preserve"> payments uses business counts data from Australian Bureau of Statistics, Counts of Australian Businesses and employment </w:t>
      </w:r>
      <w:r>
        <w:rPr>
          <w:lang w:val="en-AU"/>
        </w:rPr>
        <w:t xml:space="preserve">data </w:t>
      </w:r>
      <w:r w:rsidRPr="00722FE0">
        <w:rPr>
          <w:lang w:val="en-AU"/>
        </w:rPr>
        <w:t xml:space="preserve">from the </w:t>
      </w:r>
      <w:r w:rsidRPr="00722FE0">
        <w:rPr>
          <w:rFonts w:ascii="Calibri" w:hAnsi="Calibri" w:cs="Calibri"/>
        </w:rPr>
        <w:t>Census of Population and Housing 2016</w:t>
      </w:r>
      <w:r w:rsidRPr="00722FE0">
        <w:rPr>
          <w:lang w:val="en-AU"/>
        </w:rPr>
        <w:t>.</w:t>
      </w:r>
    </w:p>
    <w:p w14:paraId="45DB8C9F" w14:textId="5CF41F89" w:rsidR="00592606" w:rsidRPr="00722FE0" w:rsidRDefault="00592606" w:rsidP="005119E1">
      <w:pPr>
        <w:pStyle w:val="Heading3"/>
      </w:pPr>
      <w:bookmarkStart w:id="33" w:name="_Toc73021021"/>
      <w:bookmarkStart w:id="34" w:name="_Toc73021828"/>
      <w:bookmarkStart w:id="35" w:name="_Toc73021949"/>
      <w:bookmarkStart w:id="36" w:name="_Toc73022112"/>
      <w:r w:rsidRPr="00722FE0">
        <w:lastRenderedPageBreak/>
        <w:t>Boosting Cash Flow for Employers has provided $2.7 billion to cultural and creative sectors</w:t>
      </w:r>
      <w:bookmarkEnd w:id="33"/>
      <w:bookmarkEnd w:id="34"/>
      <w:bookmarkEnd w:id="35"/>
      <w:bookmarkEnd w:id="36"/>
    </w:p>
    <w:p w14:paraId="12AE8CE7" w14:textId="0DFE8D50" w:rsidR="00592606" w:rsidRPr="00722FE0" w:rsidRDefault="00F76476" w:rsidP="00592606">
      <w:pPr>
        <w:suppressAutoHyphens w:val="0"/>
        <w:spacing w:before="240" w:after="240"/>
      </w:pPr>
      <w:r w:rsidRPr="00722FE0">
        <w:rPr>
          <w:lang w:val="x-none"/>
        </w:rPr>
        <w:t xml:space="preserve">As at 10 February 2021, 61,600 entities in the cultural and creative sectors had received Boosting Cash Flow for Employers payments with a total value of $2.75 billion. </w:t>
      </w:r>
      <w:r w:rsidRPr="00722FE0">
        <w:t>Cultural and creative sectors accounted for 8</w:t>
      </w:r>
      <w:r>
        <w:t>.0</w:t>
      </w:r>
      <w:r w:rsidRPr="00722FE0">
        <w:t xml:space="preserve"> per cent of all Boosting Cash Flow for Employers payments, and 7.6 per cent of all entities </w:t>
      </w:r>
      <w:r w:rsidR="00CA60FC">
        <w:t xml:space="preserve">that </w:t>
      </w:r>
      <w:r w:rsidRPr="00722FE0">
        <w:t>receiv</w:t>
      </w:r>
      <w:r w:rsidR="00CA60FC">
        <w:t>ed</w:t>
      </w:r>
      <w:r w:rsidRPr="00722FE0">
        <w:t xml:space="preserve"> payments</w:t>
      </w:r>
      <w:r w:rsidR="00706D43">
        <w:t xml:space="preserve"> (</w:t>
      </w:r>
      <w:r w:rsidR="00706D43">
        <w:fldChar w:fldCharType="begin"/>
      </w:r>
      <w:r w:rsidR="00706D43">
        <w:instrText xml:space="preserve"> REF _Ref73022032 \h </w:instrText>
      </w:r>
      <w:r w:rsidR="00706D43">
        <w:fldChar w:fldCharType="separate"/>
      </w:r>
      <w:r w:rsidR="00706D43">
        <w:t xml:space="preserve">Table </w:t>
      </w:r>
      <w:r w:rsidR="00706D43">
        <w:rPr>
          <w:noProof/>
        </w:rPr>
        <w:t>4</w:t>
      </w:r>
      <w:r w:rsidR="00706D43">
        <w:fldChar w:fldCharType="end"/>
      </w:r>
      <w:r w:rsidR="00706D43">
        <w:t>)</w:t>
      </w:r>
      <w:r w:rsidRPr="00722FE0">
        <w:t>.</w:t>
      </w:r>
      <w:r>
        <w:rPr>
          <w:rStyle w:val="EndnoteReference"/>
        </w:rPr>
        <w:endnoteReference w:id="11"/>
      </w:r>
    </w:p>
    <w:p w14:paraId="50612F28" w14:textId="267EC4C6" w:rsidR="0001631B" w:rsidRDefault="0001631B" w:rsidP="009049F6">
      <w:pPr>
        <w:pStyle w:val="Caption"/>
        <w:keepNext/>
        <w:spacing w:after="0"/>
      </w:pPr>
      <w:bookmarkStart w:id="37" w:name="_Ref73022032"/>
      <w:r>
        <w:lastRenderedPageBreak/>
        <w:t xml:space="preserve">Table </w:t>
      </w:r>
      <w:fldSimple w:instr=" SEQ Table \* ARABIC ">
        <w:r>
          <w:rPr>
            <w:noProof/>
          </w:rPr>
          <w:t>4</w:t>
        </w:r>
      </w:fldSimple>
      <w:bookmarkEnd w:id="37"/>
      <w:r w:rsidR="00ED4AF4">
        <w:t>.</w:t>
      </w:r>
      <w:r>
        <w:t xml:space="preserve"> Boosting Cash Flow for Employers payments to the cultural and creative sectors</w:t>
      </w:r>
    </w:p>
    <w:tbl>
      <w:tblPr>
        <w:tblStyle w:val="DefaultTable1"/>
        <w:tblW w:w="0" w:type="auto"/>
        <w:tblLook w:val="04A0" w:firstRow="1" w:lastRow="0" w:firstColumn="1" w:lastColumn="0" w:noHBand="0" w:noVBand="1"/>
        <w:tblCaption w:val="Table 4: Boosting Cash Flow for Employers payments to the cultural and creative sectors"/>
        <w:tblDescription w:val="This is a table showing the total value of Boosting Cash Flow for Employers payments, the number of entities receiving Boosting Cash Flow and the average cash flow per entity, split by cultural and creative sectors and all industries. The cultural and creative share of total Boosting Cash Flow for Employers and the share of cultural and creative entites receiving Boosting Cash Flow for Employers is also shown. "/>
      </w:tblPr>
      <w:tblGrid>
        <w:gridCol w:w="3786"/>
        <w:gridCol w:w="3078"/>
        <w:gridCol w:w="1316"/>
        <w:gridCol w:w="1684"/>
      </w:tblGrid>
      <w:tr w:rsidR="00592606" w:rsidRPr="003456A1" w14:paraId="489A32AB" w14:textId="77777777" w:rsidTr="00D2615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0CBE516A" w14:textId="77777777" w:rsidR="00592606" w:rsidRPr="00591BC5" w:rsidRDefault="00592606" w:rsidP="00AC04E0">
            <w:pPr>
              <w:keepNext/>
            </w:pPr>
            <w:r w:rsidRPr="00232BC1">
              <w:rPr>
                <w:rFonts w:ascii="Calibri" w:hAnsi="Calibri" w:cs="Calibri"/>
              </w:rPr>
              <w:t>Sector</w:t>
            </w:r>
          </w:p>
        </w:tc>
        <w:tc>
          <w:tcPr>
            <w:tcW w:w="3078" w:type="dxa"/>
          </w:tcPr>
          <w:p w14:paraId="7C4611D1" w14:textId="23B1EBF5" w:rsidR="00592606" w:rsidRPr="00591BC5" w:rsidRDefault="00592606" w:rsidP="00D26150">
            <w:pPr>
              <w:keepNext/>
              <w:jc w:val="center"/>
              <w:cnfStyle w:val="100000000000" w:firstRow="1" w:lastRow="0" w:firstColumn="0" w:lastColumn="0" w:oddVBand="0" w:evenVBand="0" w:oddHBand="0" w:evenHBand="0" w:firstRowFirstColumn="0" w:firstRowLastColumn="0" w:lastRowFirstColumn="0" w:lastRowLastColumn="0"/>
            </w:pPr>
            <w:r w:rsidRPr="00232BC1">
              <w:rPr>
                <w:rFonts w:ascii="Calibri" w:hAnsi="Calibri" w:cs="Calibri"/>
              </w:rPr>
              <w:t>Boosting Cash Flow for Employers</w:t>
            </w:r>
            <w:r w:rsidR="00D26150">
              <w:rPr>
                <w:rFonts w:ascii="Calibri" w:hAnsi="Calibri" w:cs="Calibri"/>
              </w:rPr>
              <w:t> </w:t>
            </w:r>
            <w:r w:rsidRPr="00232BC1">
              <w:rPr>
                <w:rFonts w:ascii="Calibri" w:hAnsi="Calibri" w:cs="Calibri"/>
              </w:rPr>
              <w:t>payments</w:t>
            </w:r>
          </w:p>
        </w:tc>
        <w:tc>
          <w:tcPr>
            <w:tcW w:w="0" w:type="auto"/>
          </w:tcPr>
          <w:p w14:paraId="2726759D" w14:textId="77777777" w:rsidR="00592606" w:rsidRPr="00591BC5" w:rsidRDefault="00592606" w:rsidP="00AC04E0">
            <w:pPr>
              <w:keepNext/>
              <w:jc w:val="center"/>
              <w:cnfStyle w:val="100000000000" w:firstRow="1" w:lastRow="0" w:firstColumn="0" w:lastColumn="0" w:oddVBand="0" w:evenVBand="0" w:oddHBand="0" w:evenHBand="0" w:firstRowFirstColumn="0" w:firstRowLastColumn="0" w:lastRowFirstColumn="0" w:lastRowLastColumn="0"/>
            </w:pPr>
            <w:r w:rsidRPr="00232BC1">
              <w:rPr>
                <w:rFonts w:ascii="Calibri" w:hAnsi="Calibri" w:cs="Calibri"/>
              </w:rPr>
              <w:t>Number of entities</w:t>
            </w:r>
          </w:p>
        </w:tc>
        <w:tc>
          <w:tcPr>
            <w:tcW w:w="0" w:type="auto"/>
          </w:tcPr>
          <w:p w14:paraId="097AD717" w14:textId="77777777" w:rsidR="00592606" w:rsidRPr="00591BC5" w:rsidRDefault="00592606" w:rsidP="00AC04E0">
            <w:pPr>
              <w:keepNext/>
              <w:jc w:val="center"/>
              <w:cnfStyle w:val="100000000000" w:firstRow="1" w:lastRow="0" w:firstColumn="0" w:lastColumn="0" w:oddVBand="0" w:evenVBand="0" w:oddHBand="0" w:evenHBand="0" w:firstRowFirstColumn="0" w:firstRowLastColumn="0" w:lastRowFirstColumn="0" w:lastRowLastColumn="0"/>
            </w:pPr>
            <w:r w:rsidRPr="00232BC1">
              <w:rPr>
                <w:rFonts w:ascii="Calibri" w:hAnsi="Calibri" w:cs="Calibri"/>
              </w:rPr>
              <w:t>Average cash flow per entity</w:t>
            </w:r>
          </w:p>
        </w:tc>
      </w:tr>
      <w:tr w:rsidR="00592606" w:rsidRPr="003456A1" w14:paraId="0E0D00E2" w14:textId="77777777" w:rsidTr="00D26150">
        <w:trPr>
          <w:cantSplit/>
        </w:trPr>
        <w:tc>
          <w:tcPr>
            <w:cnfStyle w:val="001000000000" w:firstRow="0" w:lastRow="0" w:firstColumn="1" w:lastColumn="0" w:oddVBand="0" w:evenVBand="0" w:oddHBand="0" w:evenHBand="0" w:firstRowFirstColumn="0" w:firstRowLastColumn="0" w:lastRowFirstColumn="0" w:lastRowLastColumn="0"/>
            <w:tcW w:w="0" w:type="auto"/>
          </w:tcPr>
          <w:p w14:paraId="5E96B57E" w14:textId="77777777" w:rsidR="00592606" w:rsidRPr="00591BC5" w:rsidRDefault="00592606" w:rsidP="00AC04E0">
            <w:pPr>
              <w:keepNext/>
            </w:pPr>
            <w:r w:rsidRPr="00232BC1">
              <w:rPr>
                <w:rFonts w:ascii="Calibri" w:hAnsi="Calibri" w:cs="Calibri"/>
                <w:color w:val="000000"/>
              </w:rPr>
              <w:t>Cultural and creative</w:t>
            </w:r>
          </w:p>
        </w:tc>
        <w:tc>
          <w:tcPr>
            <w:tcW w:w="3078" w:type="dxa"/>
          </w:tcPr>
          <w:p w14:paraId="56BD87C7" w14:textId="77777777" w:rsidR="00592606" w:rsidRPr="00591BC5" w:rsidRDefault="00592606" w:rsidP="00D26150">
            <w:pPr>
              <w:keepNext/>
              <w:ind w:left="720" w:right="899"/>
              <w:jc w:val="right"/>
              <w:cnfStyle w:val="000000000000" w:firstRow="0" w:lastRow="0" w:firstColumn="0" w:lastColumn="0" w:oddVBand="0" w:evenVBand="0" w:oddHBand="0" w:evenHBand="0" w:firstRowFirstColumn="0" w:firstRowLastColumn="0" w:lastRowFirstColumn="0" w:lastRowLastColumn="0"/>
            </w:pPr>
            <w:r w:rsidRPr="00232BC1">
              <w:rPr>
                <w:rFonts w:ascii="Calibri" w:hAnsi="Calibri" w:cs="Calibri"/>
                <w:color w:val="000000"/>
              </w:rPr>
              <w:t>$2.75 billion</w:t>
            </w:r>
          </w:p>
        </w:tc>
        <w:tc>
          <w:tcPr>
            <w:tcW w:w="0" w:type="auto"/>
          </w:tcPr>
          <w:p w14:paraId="400EB170" w14:textId="77777777" w:rsidR="00592606" w:rsidRPr="00591BC5" w:rsidRDefault="00592606" w:rsidP="00DE575C">
            <w:pPr>
              <w:keepNext/>
              <w:jc w:val="right"/>
              <w:cnfStyle w:val="000000000000" w:firstRow="0" w:lastRow="0" w:firstColumn="0" w:lastColumn="0" w:oddVBand="0" w:evenVBand="0" w:oddHBand="0" w:evenHBand="0" w:firstRowFirstColumn="0" w:firstRowLastColumn="0" w:lastRowFirstColumn="0" w:lastRowLastColumn="0"/>
            </w:pPr>
            <w:r w:rsidRPr="00232BC1">
              <w:rPr>
                <w:rFonts w:ascii="Calibri" w:hAnsi="Calibri" w:cs="Calibri"/>
                <w:color w:val="000000"/>
              </w:rPr>
              <w:t>61,600</w:t>
            </w:r>
          </w:p>
        </w:tc>
        <w:tc>
          <w:tcPr>
            <w:tcW w:w="0" w:type="auto"/>
          </w:tcPr>
          <w:p w14:paraId="0EB9EEDB" w14:textId="77777777" w:rsidR="00592606" w:rsidRPr="00232BC1" w:rsidRDefault="00592606" w:rsidP="00DE575C">
            <w:pPr>
              <w:keepNext/>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32BC1">
              <w:rPr>
                <w:rFonts w:ascii="Calibri" w:hAnsi="Calibri" w:cs="Calibri"/>
                <w:color w:val="000000"/>
              </w:rPr>
              <w:t>$44,600</w:t>
            </w:r>
          </w:p>
        </w:tc>
      </w:tr>
      <w:tr w:rsidR="00592606" w:rsidRPr="003456A1" w14:paraId="60015B0A" w14:textId="77777777" w:rsidTr="00D2615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23E78FDB" w14:textId="77777777" w:rsidR="00592606" w:rsidRPr="00591BC5" w:rsidRDefault="00592606" w:rsidP="00AC04E0">
            <w:pPr>
              <w:keepNext/>
            </w:pPr>
            <w:r w:rsidRPr="00232BC1">
              <w:rPr>
                <w:rFonts w:ascii="Calibri" w:hAnsi="Calibri" w:cs="Calibri"/>
                <w:color w:val="000000"/>
              </w:rPr>
              <w:t>All industries</w:t>
            </w:r>
          </w:p>
        </w:tc>
        <w:tc>
          <w:tcPr>
            <w:tcW w:w="3078" w:type="dxa"/>
          </w:tcPr>
          <w:p w14:paraId="05868F6A" w14:textId="77777777" w:rsidR="00592606" w:rsidRPr="00591BC5" w:rsidRDefault="00592606" w:rsidP="00D26150">
            <w:pPr>
              <w:keepNext/>
              <w:ind w:left="720" w:right="899"/>
              <w:jc w:val="right"/>
              <w:cnfStyle w:val="000000010000" w:firstRow="0" w:lastRow="0" w:firstColumn="0" w:lastColumn="0" w:oddVBand="0" w:evenVBand="0" w:oddHBand="0" w:evenHBand="1" w:firstRowFirstColumn="0" w:firstRowLastColumn="0" w:lastRowFirstColumn="0" w:lastRowLastColumn="0"/>
            </w:pPr>
            <w:r w:rsidRPr="00232BC1">
              <w:rPr>
                <w:rFonts w:ascii="Calibri" w:hAnsi="Calibri" w:cs="Calibri"/>
                <w:color w:val="000000"/>
              </w:rPr>
              <w:t>$34.31 billion</w:t>
            </w:r>
          </w:p>
        </w:tc>
        <w:tc>
          <w:tcPr>
            <w:tcW w:w="0" w:type="auto"/>
          </w:tcPr>
          <w:p w14:paraId="16389A98" w14:textId="77777777" w:rsidR="00592606" w:rsidRPr="00591BC5" w:rsidRDefault="00592606" w:rsidP="00DE575C">
            <w:pPr>
              <w:keepNext/>
              <w:ind w:left="2"/>
              <w:jc w:val="right"/>
              <w:cnfStyle w:val="000000010000" w:firstRow="0" w:lastRow="0" w:firstColumn="0" w:lastColumn="0" w:oddVBand="0" w:evenVBand="0" w:oddHBand="0" w:evenHBand="1" w:firstRowFirstColumn="0" w:firstRowLastColumn="0" w:lastRowFirstColumn="0" w:lastRowLastColumn="0"/>
            </w:pPr>
            <w:r w:rsidRPr="00232BC1">
              <w:rPr>
                <w:rFonts w:ascii="Calibri" w:hAnsi="Calibri" w:cs="Calibri"/>
                <w:color w:val="000000"/>
              </w:rPr>
              <w:t>806,6</w:t>
            </w:r>
            <w:r>
              <w:rPr>
                <w:rFonts w:ascii="Calibri" w:hAnsi="Calibri" w:cs="Calibri"/>
                <w:color w:val="000000"/>
              </w:rPr>
              <w:t>00</w:t>
            </w:r>
          </w:p>
        </w:tc>
        <w:tc>
          <w:tcPr>
            <w:tcW w:w="0" w:type="auto"/>
          </w:tcPr>
          <w:p w14:paraId="148F7ED5" w14:textId="46A95DD9" w:rsidR="00592606" w:rsidRPr="00232BC1" w:rsidRDefault="00592606" w:rsidP="00DB631F">
            <w:pPr>
              <w:keepNext/>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232BC1">
              <w:rPr>
                <w:rFonts w:ascii="Calibri" w:hAnsi="Calibri" w:cs="Calibri"/>
                <w:color w:val="000000"/>
              </w:rPr>
              <w:t>$43,</w:t>
            </w:r>
            <w:r w:rsidR="00DB631F">
              <w:rPr>
                <w:rFonts w:ascii="Calibri" w:hAnsi="Calibri" w:cs="Calibri"/>
                <w:color w:val="000000"/>
              </w:rPr>
              <w:t>0</w:t>
            </w:r>
            <w:r w:rsidR="001871BA">
              <w:rPr>
                <w:rFonts w:ascii="Calibri" w:hAnsi="Calibri" w:cs="Calibri"/>
                <w:color w:val="000000"/>
              </w:rPr>
              <w:t>0</w:t>
            </w:r>
            <w:r w:rsidR="001871BA" w:rsidRPr="00232BC1">
              <w:rPr>
                <w:rFonts w:ascii="Calibri" w:hAnsi="Calibri" w:cs="Calibri"/>
                <w:color w:val="000000"/>
              </w:rPr>
              <w:t>0</w:t>
            </w:r>
          </w:p>
        </w:tc>
      </w:tr>
      <w:tr w:rsidR="00592606" w:rsidRPr="003456A1" w14:paraId="603CEB02" w14:textId="77777777" w:rsidTr="00D26150">
        <w:trPr>
          <w:cantSplit/>
        </w:trPr>
        <w:tc>
          <w:tcPr>
            <w:cnfStyle w:val="001000000000" w:firstRow="0" w:lastRow="0" w:firstColumn="1" w:lastColumn="0" w:oddVBand="0" w:evenVBand="0" w:oddHBand="0" w:evenHBand="0" w:firstRowFirstColumn="0" w:firstRowLastColumn="0" w:lastRowFirstColumn="0" w:lastRowLastColumn="0"/>
            <w:tcW w:w="0" w:type="auto"/>
          </w:tcPr>
          <w:p w14:paraId="2F0E682C" w14:textId="77777777" w:rsidR="00592606" w:rsidRPr="00591BC5" w:rsidRDefault="00592606" w:rsidP="00AC04E0">
            <w:pPr>
              <w:keepNext/>
            </w:pPr>
            <w:r w:rsidRPr="00232BC1">
              <w:rPr>
                <w:rFonts w:ascii="Calibri" w:hAnsi="Calibri" w:cs="Calibri"/>
              </w:rPr>
              <w:t>Cultural and creative share of total Boosting Cash Flow for Employers payments</w:t>
            </w:r>
          </w:p>
        </w:tc>
        <w:tc>
          <w:tcPr>
            <w:tcW w:w="3078" w:type="dxa"/>
          </w:tcPr>
          <w:p w14:paraId="56BF3C25" w14:textId="77777777" w:rsidR="00592606" w:rsidRPr="00591BC5" w:rsidRDefault="00592606" w:rsidP="00D26150">
            <w:pPr>
              <w:keepNext/>
              <w:ind w:left="1440" w:right="899"/>
              <w:jc w:val="right"/>
              <w:cnfStyle w:val="000000000000" w:firstRow="0" w:lastRow="0" w:firstColumn="0" w:lastColumn="0" w:oddVBand="0" w:evenVBand="0" w:oddHBand="0" w:evenHBand="0" w:firstRowFirstColumn="0" w:firstRowLastColumn="0" w:lastRowFirstColumn="0" w:lastRowLastColumn="0"/>
            </w:pPr>
            <w:r w:rsidRPr="00232BC1">
              <w:rPr>
                <w:rFonts w:ascii="Calibri" w:hAnsi="Calibri" w:cs="Calibri"/>
                <w:color w:val="000000"/>
              </w:rPr>
              <w:t>8.0%</w:t>
            </w:r>
          </w:p>
        </w:tc>
        <w:tc>
          <w:tcPr>
            <w:tcW w:w="0" w:type="auto"/>
          </w:tcPr>
          <w:p w14:paraId="01734152" w14:textId="77777777" w:rsidR="00592606" w:rsidRPr="00591BC5" w:rsidRDefault="00592606" w:rsidP="00DE575C">
            <w:pPr>
              <w:keepNext/>
              <w:jc w:val="right"/>
              <w:cnfStyle w:val="000000000000" w:firstRow="0" w:lastRow="0" w:firstColumn="0" w:lastColumn="0" w:oddVBand="0" w:evenVBand="0" w:oddHBand="0" w:evenHBand="0" w:firstRowFirstColumn="0" w:firstRowLastColumn="0" w:lastRowFirstColumn="0" w:lastRowLastColumn="0"/>
            </w:pPr>
            <w:r w:rsidRPr="00232BC1">
              <w:rPr>
                <w:rFonts w:ascii="Calibri" w:hAnsi="Calibri" w:cs="Calibri"/>
                <w:color w:val="000000"/>
              </w:rPr>
              <w:t>7.6%</w:t>
            </w:r>
          </w:p>
        </w:tc>
        <w:tc>
          <w:tcPr>
            <w:tcW w:w="0" w:type="auto"/>
          </w:tcPr>
          <w:p w14:paraId="3D9D8D27" w14:textId="77777777" w:rsidR="00592606" w:rsidRPr="00232BC1" w:rsidRDefault="00592606" w:rsidP="00DE575C">
            <w:pPr>
              <w:keepNext/>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32BC1">
              <w:rPr>
                <w:rFonts w:ascii="Calibri" w:hAnsi="Calibri" w:cs="Calibri"/>
                <w:color w:val="000000"/>
              </w:rPr>
              <w:t>-</w:t>
            </w:r>
          </w:p>
        </w:tc>
      </w:tr>
    </w:tbl>
    <w:p w14:paraId="0CA537DB" w14:textId="2839ADD3" w:rsidR="00592606" w:rsidRDefault="00592606" w:rsidP="00D66461">
      <w:pPr>
        <w:pStyle w:val="Sourcenotes"/>
        <w:keepNext/>
      </w:pPr>
      <w:r w:rsidRPr="00722FE0">
        <w:t xml:space="preserve">Source: </w:t>
      </w:r>
      <w:r w:rsidRPr="00722FE0">
        <w:rPr>
          <w:lang w:val="en-AU"/>
        </w:rPr>
        <w:t>BCARR analysis of Australian Taxation Office administrative data</w:t>
      </w:r>
      <w:r w:rsidR="0048050A">
        <w:rPr>
          <w:lang w:val="en-AU"/>
        </w:rPr>
        <w:t>, as at 10 February 2021</w:t>
      </w:r>
      <w:r w:rsidR="00F76476" w:rsidRPr="00722FE0">
        <w:rPr>
          <w:lang w:val="en-AU"/>
        </w:rPr>
        <w:t>.</w:t>
      </w:r>
      <w:r w:rsidR="00F76476">
        <w:rPr>
          <w:lang w:val="en-AU"/>
        </w:rPr>
        <w:t xml:space="preserve"> The cultural and creative share of total Boosting Cash Flow for Employers payments uses Australian Taxation Office data as at 30 November 2020.</w:t>
      </w:r>
    </w:p>
    <w:p w14:paraId="4D7F70B2" w14:textId="669FB996" w:rsidR="00592606" w:rsidRPr="009B4D51" w:rsidRDefault="00592606" w:rsidP="005119E1">
      <w:pPr>
        <w:pStyle w:val="Heading3"/>
      </w:pPr>
      <w:bookmarkStart w:id="38" w:name="_Toc73021022"/>
      <w:bookmarkStart w:id="39" w:name="_Toc73021829"/>
      <w:bookmarkStart w:id="40" w:name="_Toc73021950"/>
      <w:bookmarkStart w:id="41" w:name="_Toc73022113"/>
      <w:r w:rsidRPr="00D66461">
        <w:t>Targeted</w:t>
      </w:r>
      <w:r>
        <w:t xml:space="preserve"> funding for cultural and creative sectors</w:t>
      </w:r>
      <w:bookmarkEnd w:id="38"/>
      <w:bookmarkEnd w:id="39"/>
      <w:bookmarkEnd w:id="40"/>
      <w:bookmarkEnd w:id="41"/>
    </w:p>
    <w:p w14:paraId="2D132EF0" w14:textId="267F741F" w:rsidR="00592606" w:rsidRDefault="00F76476" w:rsidP="00592606">
      <w:pPr>
        <w:suppressAutoHyphens w:val="0"/>
        <w:spacing w:before="240" w:after="240"/>
      </w:pPr>
      <w:r w:rsidRPr="001B42FC">
        <w:t>Broader whole</w:t>
      </w:r>
      <w:r>
        <w:noBreakHyphen/>
      </w:r>
      <w:r w:rsidRPr="001B42FC">
        <w:t>of</w:t>
      </w:r>
      <w:r>
        <w:noBreakHyphen/>
      </w:r>
      <w:r w:rsidRPr="001B42FC">
        <w:t xml:space="preserve">economy </w:t>
      </w:r>
      <w:r>
        <w:t>measures</w:t>
      </w:r>
      <w:r w:rsidRPr="001B42FC">
        <w:t xml:space="preserve"> w</w:t>
      </w:r>
      <w:r>
        <w:t>ere</w:t>
      </w:r>
      <w:r w:rsidRPr="001B42FC">
        <w:t xml:space="preserve"> complemented by </w:t>
      </w:r>
      <w:r w:rsidR="0082136D">
        <w:t xml:space="preserve">the </w:t>
      </w:r>
      <w:r w:rsidR="0082136D" w:rsidRPr="0082136D">
        <w:t>Creative Economy COVID</w:t>
      </w:r>
      <w:r w:rsidR="002B75A6">
        <w:t>-19</w:t>
      </w:r>
      <w:r w:rsidR="0082136D" w:rsidRPr="0082136D">
        <w:t xml:space="preserve"> support package </w:t>
      </w:r>
      <w:r w:rsidR="0082136D">
        <w:t>which has increased to $475 million</w:t>
      </w:r>
      <w:r w:rsidR="0082136D" w:rsidRPr="0082136D">
        <w:t xml:space="preserve"> from an original $250 million in 2020</w:t>
      </w:r>
      <w:r w:rsidR="0082136D">
        <w:t>.</w:t>
      </w:r>
      <w:r w:rsidR="0082136D">
        <w:rPr>
          <w:rStyle w:val="EndnoteReference"/>
        </w:rPr>
        <w:endnoteReference w:id="12"/>
      </w:r>
      <w:r>
        <w:t xml:space="preserve"> </w:t>
      </w:r>
      <w:r w:rsidRPr="001B42FC">
        <w:t xml:space="preserve">This </w:t>
      </w:r>
      <w:r w:rsidR="002B75A6">
        <w:t>package is in addition to the</w:t>
      </w:r>
      <w:r>
        <w:t xml:space="preserve"> </w:t>
      </w:r>
      <w:r w:rsidRPr="001B42FC">
        <w:t>$750</w:t>
      </w:r>
      <w:r>
        <w:t> </w:t>
      </w:r>
      <w:r w:rsidRPr="001B42FC">
        <w:t xml:space="preserve">million </w:t>
      </w:r>
      <w:r w:rsidR="002B75A6">
        <w:t>the Australian Government invests in</w:t>
      </w:r>
      <w:r w:rsidR="002B75A6" w:rsidRPr="001B42FC">
        <w:t xml:space="preserve"> </w:t>
      </w:r>
      <w:r w:rsidRPr="001B42FC">
        <w:t xml:space="preserve">core </w:t>
      </w:r>
      <w:r w:rsidR="002B75A6">
        <w:t>arts</w:t>
      </w:r>
      <w:r w:rsidRPr="001B42FC">
        <w:t xml:space="preserve"> funding each year through its regular programs.</w:t>
      </w:r>
      <w:r>
        <w:rPr>
          <w:rStyle w:val="EndnoteReference"/>
        </w:rPr>
        <w:endnoteReference w:id="13"/>
      </w:r>
    </w:p>
    <w:p w14:paraId="53FC7199" w14:textId="635E8345" w:rsidR="00592606" w:rsidRDefault="00F76476" w:rsidP="005119E1">
      <w:pPr>
        <w:keepNext/>
      </w:pPr>
      <w:r>
        <w:t xml:space="preserve">Key components of the targeted support to the sector include additional funding for Australia’s national cultural institutions and the Creative Economy </w:t>
      </w:r>
      <w:r w:rsidR="00996DC9">
        <w:t>COVID</w:t>
      </w:r>
      <w:r w:rsidR="002B75A6">
        <w:t>-19</w:t>
      </w:r>
      <w:r w:rsidR="00996DC9">
        <w:t xml:space="preserve"> support</w:t>
      </w:r>
      <w:r>
        <w:t xml:space="preserve"> package which </w:t>
      </w:r>
      <w:r w:rsidR="002B75A6">
        <w:t>includes</w:t>
      </w:r>
      <w:r>
        <w:t>:</w:t>
      </w:r>
      <w:r>
        <w:rPr>
          <w:rStyle w:val="EndnoteReference"/>
        </w:rPr>
        <w:endnoteReference w:id="14"/>
      </w:r>
    </w:p>
    <w:p w14:paraId="6E0C0DE6" w14:textId="77777777" w:rsidR="0082136D" w:rsidRPr="009470DB" w:rsidRDefault="0082136D" w:rsidP="009470DB">
      <w:pPr>
        <w:pStyle w:val="Bullet1"/>
      </w:pPr>
      <w:r w:rsidRPr="009470DB">
        <w:rPr>
          <w:b/>
        </w:rPr>
        <w:lastRenderedPageBreak/>
        <w:t>$200 million Restart Investment to Sustain and Expand (RISE) Fund</w:t>
      </w:r>
      <w:r w:rsidRPr="009470DB">
        <w:t xml:space="preserve"> which continues to provide funds to arts and entertainment businesses to stage festivals, concerts, tours and events, including through innovative operating and digital delivery models, and provide increased employment opportunities, including retention of artists and skilled workers in the arts and entertainment sector and allied industries.</w:t>
      </w:r>
    </w:p>
    <w:p w14:paraId="5F7E2D29" w14:textId="77777777" w:rsidR="0082136D" w:rsidRPr="009470DB" w:rsidRDefault="0082136D" w:rsidP="009470DB">
      <w:pPr>
        <w:pStyle w:val="Bullet1"/>
      </w:pPr>
      <w:r w:rsidRPr="009470DB">
        <w:rPr>
          <w:b/>
        </w:rPr>
        <w:t>Up to $90 million in Government guaranteed loans under the Show Starter Loan Scheme</w:t>
      </w:r>
      <w:r w:rsidRPr="009470DB">
        <w:t xml:space="preserve"> which was delivered through participating banks and assisted eligible arts and entertainment businesses adversely affected by COVID-19 to access finance for new productions and events that stimulate job creation and economic activity. </w:t>
      </w:r>
    </w:p>
    <w:p w14:paraId="06975A6F" w14:textId="77777777" w:rsidR="0082136D" w:rsidRPr="009470DB" w:rsidRDefault="0082136D" w:rsidP="009470DB">
      <w:pPr>
        <w:pStyle w:val="Bullet1"/>
      </w:pPr>
      <w:r w:rsidRPr="009470DB">
        <w:rPr>
          <w:b/>
        </w:rPr>
        <w:t>$50 million Temporary Interruption Fund</w:t>
      </w:r>
      <w:r w:rsidRPr="009470DB">
        <w:t xml:space="preserve"> which continues to support local film and television producers to secure finance and keep filming, supporting thousands of jobs in the Australian screen sector. </w:t>
      </w:r>
    </w:p>
    <w:p w14:paraId="7775144F" w14:textId="77777777" w:rsidR="0082136D" w:rsidRPr="009470DB" w:rsidRDefault="0082136D" w:rsidP="009470DB">
      <w:pPr>
        <w:pStyle w:val="Bullet1"/>
      </w:pPr>
      <w:r w:rsidRPr="009470DB">
        <w:rPr>
          <w:b/>
        </w:rPr>
        <w:t>$50 million COVID</w:t>
      </w:r>
      <w:r w:rsidRPr="009470DB">
        <w:rPr>
          <w:b/>
        </w:rPr>
        <w:noBreakHyphen/>
        <w:t xml:space="preserve">19 Arts Sustainability Fund </w:t>
      </w:r>
      <w:r w:rsidRPr="009470DB">
        <w:t xml:space="preserve">which continues to provide direct financial assistance to support significant Commonwealth-funded arts and culture organisations facing threats to their viability due to COVID-19. </w:t>
      </w:r>
    </w:p>
    <w:p w14:paraId="61991F8C" w14:textId="77777777" w:rsidR="0082136D" w:rsidRPr="009470DB" w:rsidRDefault="0082136D" w:rsidP="009470DB">
      <w:pPr>
        <w:pStyle w:val="Bullet1"/>
      </w:pPr>
      <w:r w:rsidRPr="009470DB">
        <w:rPr>
          <w:b/>
        </w:rPr>
        <w:t>$40 million to the charity Support Act</w:t>
      </w:r>
      <w:r w:rsidRPr="009470DB">
        <w:t xml:space="preserve"> to continue to provide immediate crisis relief to artists, crew and music and live performance workers across the country, including extending the Wellbeing </w:t>
      </w:r>
      <w:r w:rsidRPr="009470DB">
        <w:lastRenderedPageBreak/>
        <w:t xml:space="preserve">Helpline to the entire creative industries sector and offering a dedicated helpline for Indigenous artists, crew and music workers. </w:t>
      </w:r>
    </w:p>
    <w:p w14:paraId="4A5C19A5" w14:textId="77777777" w:rsidR="0082136D" w:rsidRPr="009470DB" w:rsidRDefault="0082136D" w:rsidP="009470DB">
      <w:pPr>
        <w:pStyle w:val="Bullet1"/>
        <w:rPr>
          <w:rFonts w:cstheme="minorHAnsi"/>
        </w:rPr>
      </w:pPr>
      <w:r w:rsidRPr="009470DB">
        <w:rPr>
          <w:rFonts w:cstheme="minorHAnsi"/>
          <w:b/>
        </w:rPr>
        <w:t xml:space="preserve">$20 million SCREEN Fund </w:t>
      </w:r>
      <w:r w:rsidRPr="009470DB">
        <w:rPr>
          <w:rFonts w:cstheme="minorHAnsi"/>
        </w:rPr>
        <w:t xml:space="preserve">to provide business continuity support to independent cinemas. </w:t>
      </w:r>
      <w:r w:rsidRPr="0082136D">
        <w:t>The Fund is expected to support up to 390 cinemas across the country through the significant economic, health and social impacts they are experiencing as a result of COVID-19.</w:t>
      </w:r>
    </w:p>
    <w:p w14:paraId="4A50BC56" w14:textId="77777777" w:rsidR="0082136D" w:rsidRPr="009470DB" w:rsidRDefault="0082136D" w:rsidP="009470DB">
      <w:pPr>
        <w:pStyle w:val="Bullet1"/>
        <w:rPr>
          <w:b/>
        </w:rPr>
      </w:pPr>
      <w:r w:rsidRPr="009470DB">
        <w:rPr>
          <w:b/>
        </w:rPr>
        <w:t>$11.4 million Regional Arts Tourism package</w:t>
      </w:r>
      <w:r w:rsidRPr="009470DB">
        <w:t xml:space="preserve"> to promote and develop cultural events for tourists across regional Australia, grow audiences at festivals across regional Australia and promote creative and cultural experiences in regions that have been hard-hit by the pandemic.</w:t>
      </w:r>
    </w:p>
    <w:p w14:paraId="16561094" w14:textId="77777777" w:rsidR="0082136D" w:rsidRPr="009470DB" w:rsidRDefault="0082136D" w:rsidP="009470DB">
      <w:pPr>
        <w:pStyle w:val="Bullet1"/>
        <w:rPr>
          <w:rFonts w:cstheme="minorHAnsi"/>
        </w:rPr>
      </w:pPr>
      <w:r w:rsidRPr="009470DB">
        <w:rPr>
          <w:rFonts w:cstheme="minorHAnsi"/>
          <w:b/>
        </w:rPr>
        <w:t>$10 million for the Regional Arts Fund</w:t>
      </w:r>
      <w:r w:rsidRPr="009470DB">
        <w:rPr>
          <w:rFonts w:cstheme="minorHAnsi"/>
        </w:rPr>
        <w:t xml:space="preserve"> which has provided artists and arts organisations in regional Australia with access to additional funding to develop new work. </w:t>
      </w:r>
    </w:p>
    <w:p w14:paraId="7EC6AF5D" w14:textId="77777777" w:rsidR="0082136D" w:rsidRPr="009470DB" w:rsidRDefault="0082136D" w:rsidP="009470DB">
      <w:pPr>
        <w:pStyle w:val="Bullet1"/>
        <w:rPr>
          <w:rFonts w:cstheme="minorHAnsi"/>
        </w:rPr>
      </w:pPr>
      <w:r w:rsidRPr="009470DB">
        <w:rPr>
          <w:rFonts w:cstheme="minorHAnsi"/>
          <w:b/>
        </w:rPr>
        <w:t>$5 million for Playing Australia Regional Recovery Investment</w:t>
      </w:r>
      <w:r w:rsidRPr="009470DB">
        <w:rPr>
          <w:rFonts w:cstheme="minorHAnsi"/>
        </w:rPr>
        <w:t xml:space="preserve"> to support performing arts touring in regional and remote Australian communities as they rebound from the effects of the COVID-19 pandemic.</w:t>
      </w:r>
    </w:p>
    <w:p w14:paraId="3CD15B3E" w14:textId="01E15076" w:rsidR="00592606" w:rsidRDefault="00F76476" w:rsidP="001613CD">
      <w:pPr>
        <w:keepNext/>
        <w:keepLines/>
      </w:pPr>
      <w:r w:rsidRPr="001B42FC">
        <w:lastRenderedPageBreak/>
        <w:t>The 2020</w:t>
      </w:r>
      <w:r>
        <w:t>–</w:t>
      </w:r>
      <w:r w:rsidRPr="001B42FC">
        <w:t>21 Federal Budget also contain</w:t>
      </w:r>
      <w:r>
        <w:t>ed additional whole</w:t>
      </w:r>
      <w:r>
        <w:noBreakHyphen/>
        <w:t>of</w:t>
      </w:r>
      <w:r>
        <w:noBreakHyphen/>
      </w:r>
      <w:r w:rsidRPr="001B42FC">
        <w:t xml:space="preserve">economy support for individuals and businesses that contribute to the Government’s Economic Recovery Plan for Australia. A key component of the Budget was the </w:t>
      </w:r>
      <w:proofErr w:type="spellStart"/>
      <w:r w:rsidRPr="001B42FC">
        <w:t>JobMaker</w:t>
      </w:r>
      <w:proofErr w:type="spellEnd"/>
      <w:r w:rsidRPr="001B42FC">
        <w:t xml:space="preserve"> Plan</w:t>
      </w:r>
      <w:r>
        <w:t>.</w:t>
      </w:r>
      <w:r w:rsidRPr="001B42FC">
        <w:t xml:space="preserve"> </w:t>
      </w:r>
      <w:r>
        <w:t>It</w:t>
      </w:r>
      <w:r w:rsidRPr="001B42FC">
        <w:t xml:space="preserve"> include</w:t>
      </w:r>
      <w:r>
        <w:t>d</w:t>
      </w:r>
      <w:r w:rsidRPr="001B42FC">
        <w:t xml:space="preserve"> the following </w:t>
      </w:r>
      <w:r>
        <w:t>measures</w:t>
      </w:r>
      <w:r w:rsidRPr="001B42FC">
        <w:t xml:space="preserve"> </w:t>
      </w:r>
      <w:r>
        <w:t>relevant to</w:t>
      </w:r>
      <w:r w:rsidRPr="001B42FC">
        <w:t xml:space="preserve"> businesses in the cultural and creative industries</w:t>
      </w:r>
      <w:r>
        <w:t>:</w:t>
      </w:r>
      <w:r>
        <w:rPr>
          <w:rStyle w:val="EndnoteReference"/>
        </w:rPr>
        <w:endnoteReference w:id="15"/>
      </w:r>
    </w:p>
    <w:p w14:paraId="46A63BC1" w14:textId="77091250" w:rsidR="00592606" w:rsidRPr="00103523" w:rsidRDefault="00F76476" w:rsidP="00592606">
      <w:pPr>
        <w:pStyle w:val="Bullet1"/>
      </w:pPr>
      <w:r w:rsidRPr="00274612">
        <w:t>Establishing</w:t>
      </w:r>
      <w:r w:rsidRPr="00361EDD">
        <w:t xml:space="preserve"> a </w:t>
      </w:r>
      <w:proofErr w:type="spellStart"/>
      <w:r w:rsidRPr="00103523">
        <w:t>JobMaker</w:t>
      </w:r>
      <w:proofErr w:type="spellEnd"/>
      <w:r w:rsidRPr="00103523">
        <w:t xml:space="preserve"> Hiring Credit to provide an incentive for businesses to take on additional employees aged 16 to 35</w:t>
      </w:r>
      <w:r w:rsidRPr="00274612">
        <w:t>.</w:t>
      </w:r>
    </w:p>
    <w:p w14:paraId="724F39F8" w14:textId="0038A9C8" w:rsidR="00592606" w:rsidRPr="00103523" w:rsidRDefault="00F76476" w:rsidP="00592606">
      <w:pPr>
        <w:pStyle w:val="Bullet1"/>
      </w:pPr>
      <w:r w:rsidRPr="00274612">
        <w:t>Providing</w:t>
      </w:r>
      <w:r w:rsidRPr="00103523">
        <w:t xml:space="preserve"> an additional $1.2</w:t>
      </w:r>
      <w:r w:rsidRPr="00274612">
        <w:t> billion</w:t>
      </w:r>
      <w:r w:rsidRPr="00D3049F">
        <w:t xml:space="preserve"> through the Boosting Apprenticeships Wage Subsidy to support up to 100,000 new apprentices and trainees</w:t>
      </w:r>
      <w:r w:rsidRPr="00274612">
        <w:t>.</w:t>
      </w:r>
    </w:p>
    <w:p w14:paraId="646FDDA5" w14:textId="1F37EB7B" w:rsidR="00592606" w:rsidRPr="00103523" w:rsidRDefault="00F76476" w:rsidP="00592606">
      <w:pPr>
        <w:pStyle w:val="Bullet1"/>
      </w:pPr>
      <w:r w:rsidRPr="00274612">
        <w:t>Temporary</w:t>
      </w:r>
      <w:r w:rsidRPr="00103523">
        <w:t xml:space="preserve"> full expensing of eligible depreciable assets and temporary tax loss carry-back to support investment and jobs</w:t>
      </w:r>
      <w:r w:rsidRPr="00274612">
        <w:t>.</w:t>
      </w:r>
    </w:p>
    <w:p w14:paraId="5F171D36" w14:textId="544BF0E1" w:rsidR="00274612" w:rsidRPr="00274612" w:rsidRDefault="00274612" w:rsidP="00274612">
      <w:pPr>
        <w:pStyle w:val="Bullet1"/>
      </w:pPr>
      <w:r w:rsidRPr="00274612">
        <w:t>R</w:t>
      </w:r>
      <w:r w:rsidR="00592606" w:rsidRPr="00274612">
        <w:t>eforms to insolvency and the provision of credit, giving Australian small businesses the best chance to succeed and keep people in work</w:t>
      </w:r>
      <w:r w:rsidRPr="00274612">
        <w:t>.</w:t>
      </w:r>
    </w:p>
    <w:p w14:paraId="68FBDEF1" w14:textId="6D0E53B5" w:rsidR="00592606" w:rsidRDefault="00274612" w:rsidP="00274612">
      <w:pPr>
        <w:pStyle w:val="Bullet1"/>
      </w:pPr>
      <w:r w:rsidRPr="00274612">
        <w:t>I</w:t>
      </w:r>
      <w:r w:rsidR="00592606" w:rsidRPr="00274612">
        <w:t>nvesting</w:t>
      </w:r>
      <w:r w:rsidR="00592606" w:rsidRPr="00103523">
        <w:t xml:space="preserve"> almost $800 million in a Digital Business Plan to improve productivity, jobs and income growth by enabling businesses to take advantage of digital technologies.</w:t>
      </w:r>
    </w:p>
    <w:p w14:paraId="7FC96037" w14:textId="53979484" w:rsidR="0083071E" w:rsidRDefault="0083071E" w:rsidP="00285D97">
      <w:pPr>
        <w:pStyle w:val="AppendixHeading1"/>
        <w:pageBreakBefore/>
      </w:pPr>
      <w:bookmarkStart w:id="42" w:name="_Toc45109596"/>
      <w:bookmarkStart w:id="43" w:name="_Toc45531368"/>
      <w:bookmarkStart w:id="44" w:name="_Ref65062760"/>
      <w:bookmarkStart w:id="45" w:name="_Ref65063380"/>
      <w:bookmarkStart w:id="46" w:name="_Ref65246897"/>
      <w:bookmarkStart w:id="47" w:name="_Ref65246919"/>
      <w:r>
        <w:lastRenderedPageBreak/>
        <w:t>ANZSIC industry classes</w:t>
      </w:r>
      <w:bookmarkEnd w:id="42"/>
      <w:bookmarkEnd w:id="43"/>
      <w:bookmarkEnd w:id="44"/>
      <w:bookmarkEnd w:id="45"/>
      <w:bookmarkEnd w:id="46"/>
      <w:bookmarkEnd w:id="47"/>
    </w:p>
    <w:p w14:paraId="5F344100" w14:textId="49AFF258" w:rsidR="0083071E" w:rsidRDefault="00F76476" w:rsidP="0083071E">
      <w:r>
        <w:rPr>
          <w:color w:val="000000"/>
        </w:rPr>
        <w:t xml:space="preserve">The concept of </w:t>
      </w:r>
      <w:r w:rsidRPr="00361EDD">
        <w:rPr>
          <w:color w:val="000000"/>
        </w:rPr>
        <w:t>cultural and creative sectors</w:t>
      </w:r>
      <w:r>
        <w:rPr>
          <w:color w:val="000000"/>
        </w:rPr>
        <w:t xml:space="preserve"> used in this fact sheet is that established by the Australian Bureau of Statistics in the publication </w:t>
      </w:r>
      <w:r>
        <w:rPr>
          <w:i/>
          <w:iCs/>
          <w:color w:val="000000"/>
        </w:rPr>
        <w:t>Cultural and Creative Activity Satellite Accounts, Experimental, 2008–09</w:t>
      </w:r>
      <w:r w:rsidRPr="00C2714D">
        <w:rPr>
          <w:iCs/>
          <w:color w:val="000000"/>
        </w:rPr>
        <w:t>.</w:t>
      </w:r>
      <w:r>
        <w:rPr>
          <w:rStyle w:val="EndnoteReference"/>
          <w:color w:val="000000"/>
        </w:rPr>
        <w:endnoteReference w:id="16"/>
      </w:r>
      <w:r>
        <w:rPr>
          <w:color w:val="000000"/>
        </w:rPr>
        <w:t xml:space="preserve"> In this definition, 43 Australian and New Zealand Standard Industrial Classification (ANZSIC) industry classes are classified as cultural and/or creative.</w:t>
      </w:r>
    </w:p>
    <w:p w14:paraId="72AE86F2" w14:textId="0D4B3BDE" w:rsidR="0083071E" w:rsidRDefault="000E3EBB" w:rsidP="0083071E">
      <w:r>
        <w:fldChar w:fldCharType="begin"/>
      </w:r>
      <w:r>
        <w:instrText xml:space="preserve"> REF _Ref73021612 \h </w:instrText>
      </w:r>
      <w:r>
        <w:fldChar w:fldCharType="separate"/>
      </w:r>
      <w:r>
        <w:t xml:space="preserve">Table A.1 </w:t>
      </w:r>
      <w:r>
        <w:fldChar w:fldCharType="end"/>
      </w:r>
      <w:r w:rsidR="0083071E">
        <w:t>shows the industry classes included in the cultural and creative sectors.</w:t>
      </w:r>
    </w:p>
    <w:p w14:paraId="0DFE16C8" w14:textId="319DB47E" w:rsidR="006C59CB" w:rsidRDefault="006C59CB" w:rsidP="009049F6">
      <w:pPr>
        <w:pStyle w:val="Caption"/>
        <w:spacing w:after="0"/>
      </w:pPr>
      <w:bookmarkStart w:id="48" w:name="_Ref73021612"/>
      <w:r>
        <w:t>Table A</w:t>
      </w:r>
      <w:r w:rsidR="00A56274">
        <w:t>.1: Industry classes</w:t>
      </w:r>
      <w:bookmarkEnd w:id="48"/>
    </w:p>
    <w:tbl>
      <w:tblPr>
        <w:tblStyle w:val="DefaultTable1"/>
        <w:tblW w:w="0" w:type="auto"/>
        <w:tblLayout w:type="fixed"/>
        <w:tblLook w:val="04A0" w:firstRow="1" w:lastRow="0" w:firstColumn="1" w:lastColumn="0" w:noHBand="0" w:noVBand="1"/>
        <w:tblCaption w:val="Table A.1: Industry classes"/>
        <w:tblDescription w:val="Table A.1: Industry classes used to estimate employment in the cultural and creative sectors"/>
      </w:tblPr>
      <w:tblGrid>
        <w:gridCol w:w="2694"/>
        <w:gridCol w:w="7087"/>
      </w:tblGrid>
      <w:tr w:rsidR="0083071E" w:rsidRPr="00B54D18" w14:paraId="604F1F73" w14:textId="77777777" w:rsidTr="00285D9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tcPr>
          <w:p w14:paraId="29188540" w14:textId="77777777" w:rsidR="0083071E" w:rsidRPr="00CA522C" w:rsidRDefault="0083071E" w:rsidP="00285D97">
            <w:pPr>
              <w:jc w:val="center"/>
              <w:rPr>
                <w:b w:val="0"/>
              </w:rPr>
            </w:pPr>
            <w:r w:rsidRPr="006647C7">
              <w:rPr>
                <w:rFonts w:ascii="Calibri" w:hAnsi="Calibri" w:cs="Calibri"/>
              </w:rPr>
              <w:t>ANZSIC</w:t>
            </w:r>
            <w:r w:rsidRPr="00C2714D">
              <w:t xml:space="preserve"> Code</w:t>
            </w:r>
          </w:p>
        </w:tc>
        <w:tc>
          <w:tcPr>
            <w:tcW w:w="7087" w:type="dxa"/>
          </w:tcPr>
          <w:p w14:paraId="2CBCC144" w14:textId="77777777" w:rsidR="0083071E" w:rsidRPr="00CA522C" w:rsidRDefault="0083071E" w:rsidP="00AC04E0">
            <w:pPr>
              <w:cnfStyle w:val="100000000000" w:firstRow="1" w:lastRow="0" w:firstColumn="0" w:lastColumn="0" w:oddVBand="0" w:evenVBand="0" w:oddHBand="0" w:evenHBand="0" w:firstRowFirstColumn="0" w:firstRowLastColumn="0" w:lastRowFirstColumn="0" w:lastRowLastColumn="0"/>
              <w:rPr>
                <w:b w:val="0"/>
              </w:rPr>
            </w:pPr>
            <w:r w:rsidRPr="006647C7">
              <w:rPr>
                <w:rFonts w:ascii="Calibri" w:hAnsi="Calibri" w:cs="Calibri"/>
              </w:rPr>
              <w:t>ANZSIC class name</w:t>
            </w:r>
          </w:p>
        </w:tc>
      </w:tr>
      <w:tr w:rsidR="0083071E" w:rsidRPr="00F3116F" w14:paraId="45FCC36B" w14:textId="77777777" w:rsidTr="00285D97">
        <w:trPr>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56765F22" w14:textId="77777777" w:rsidR="0083071E" w:rsidRPr="00DB39A9" w:rsidRDefault="0083071E" w:rsidP="00040DF7">
            <w:pPr>
              <w:jc w:val="center"/>
              <w:rPr>
                <w:rFonts w:cstheme="minorHAnsi"/>
                <w:b w:val="0"/>
              </w:rPr>
            </w:pPr>
            <w:r w:rsidRPr="00040DF7">
              <w:rPr>
                <w:b w:val="0"/>
              </w:rPr>
              <w:t>1351</w:t>
            </w:r>
          </w:p>
        </w:tc>
        <w:tc>
          <w:tcPr>
            <w:tcW w:w="7087" w:type="dxa"/>
            <w:noWrap/>
            <w:hideMark/>
          </w:tcPr>
          <w:p w14:paraId="162C8BD2" w14:textId="77777777" w:rsidR="0083071E" w:rsidRPr="00F3116F" w:rsidRDefault="0083071E" w:rsidP="00AC04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Clothing Manufacturing</w:t>
            </w:r>
          </w:p>
        </w:tc>
      </w:tr>
      <w:tr w:rsidR="0083071E" w:rsidRPr="00F3116F" w14:paraId="4624C423" w14:textId="77777777" w:rsidTr="00285D9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0CE1A855" w14:textId="77777777" w:rsidR="0083071E" w:rsidRPr="00DB39A9" w:rsidRDefault="0083071E" w:rsidP="00040DF7">
            <w:pPr>
              <w:jc w:val="center"/>
              <w:rPr>
                <w:rFonts w:cstheme="minorHAnsi"/>
                <w:b w:val="0"/>
              </w:rPr>
            </w:pPr>
            <w:r w:rsidRPr="00040DF7">
              <w:rPr>
                <w:rFonts w:ascii="Calibri" w:hAnsi="Calibri" w:cs="Calibri"/>
                <w:b w:val="0"/>
              </w:rPr>
              <w:t>1352</w:t>
            </w:r>
          </w:p>
        </w:tc>
        <w:tc>
          <w:tcPr>
            <w:tcW w:w="7087" w:type="dxa"/>
            <w:noWrap/>
            <w:hideMark/>
          </w:tcPr>
          <w:p w14:paraId="48036ACB" w14:textId="77777777" w:rsidR="0083071E" w:rsidRPr="00F3116F" w:rsidRDefault="0083071E" w:rsidP="00AC04E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Footwear Manufacturing</w:t>
            </w:r>
          </w:p>
        </w:tc>
      </w:tr>
      <w:tr w:rsidR="0083071E" w:rsidRPr="00F3116F" w14:paraId="61BDE833" w14:textId="77777777" w:rsidTr="00285D97">
        <w:trPr>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0B855D1E" w14:textId="77777777" w:rsidR="0083071E" w:rsidRPr="00DB39A9" w:rsidRDefault="0083071E" w:rsidP="00040DF7">
            <w:pPr>
              <w:jc w:val="center"/>
              <w:rPr>
                <w:rFonts w:cstheme="minorHAnsi"/>
                <w:b w:val="0"/>
              </w:rPr>
            </w:pPr>
            <w:r w:rsidRPr="00040DF7">
              <w:rPr>
                <w:rFonts w:ascii="Calibri" w:hAnsi="Calibri" w:cs="Calibri"/>
                <w:b w:val="0"/>
              </w:rPr>
              <w:t>1611</w:t>
            </w:r>
          </w:p>
        </w:tc>
        <w:tc>
          <w:tcPr>
            <w:tcW w:w="7087" w:type="dxa"/>
            <w:noWrap/>
            <w:hideMark/>
          </w:tcPr>
          <w:p w14:paraId="1651F8AE" w14:textId="77777777" w:rsidR="0083071E" w:rsidRPr="00F3116F" w:rsidRDefault="0083071E" w:rsidP="00AC04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Printing</w:t>
            </w:r>
          </w:p>
        </w:tc>
      </w:tr>
      <w:tr w:rsidR="0083071E" w:rsidRPr="00F3116F" w14:paraId="02C7DECB" w14:textId="77777777" w:rsidTr="00285D9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4D81E72F" w14:textId="77777777" w:rsidR="0083071E" w:rsidRPr="00DB39A9" w:rsidRDefault="0083071E" w:rsidP="00040DF7">
            <w:pPr>
              <w:jc w:val="center"/>
              <w:rPr>
                <w:rFonts w:cstheme="minorHAnsi"/>
                <w:b w:val="0"/>
              </w:rPr>
            </w:pPr>
            <w:r w:rsidRPr="00040DF7">
              <w:rPr>
                <w:rFonts w:ascii="Calibri" w:hAnsi="Calibri" w:cs="Calibri"/>
                <w:b w:val="0"/>
              </w:rPr>
              <w:t>1612</w:t>
            </w:r>
          </w:p>
        </w:tc>
        <w:tc>
          <w:tcPr>
            <w:tcW w:w="7087" w:type="dxa"/>
            <w:noWrap/>
            <w:hideMark/>
          </w:tcPr>
          <w:p w14:paraId="0B8EDD2E" w14:textId="77777777" w:rsidR="0083071E" w:rsidRPr="00F3116F" w:rsidRDefault="0083071E" w:rsidP="00AC04E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Printing Support Services</w:t>
            </w:r>
          </w:p>
        </w:tc>
      </w:tr>
      <w:tr w:rsidR="0083071E" w:rsidRPr="00F3116F" w14:paraId="7D08320C" w14:textId="77777777" w:rsidTr="00285D97">
        <w:trPr>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48BAC43F" w14:textId="77777777" w:rsidR="0083071E" w:rsidRPr="00DB39A9" w:rsidRDefault="0083071E" w:rsidP="00040DF7">
            <w:pPr>
              <w:jc w:val="center"/>
              <w:rPr>
                <w:rFonts w:cstheme="minorHAnsi"/>
                <w:b w:val="0"/>
              </w:rPr>
            </w:pPr>
            <w:r w:rsidRPr="00040DF7">
              <w:rPr>
                <w:rFonts w:ascii="Calibri" w:hAnsi="Calibri" w:cs="Calibri"/>
                <w:b w:val="0"/>
              </w:rPr>
              <w:t>1620</w:t>
            </w:r>
          </w:p>
        </w:tc>
        <w:tc>
          <w:tcPr>
            <w:tcW w:w="7087" w:type="dxa"/>
            <w:noWrap/>
            <w:hideMark/>
          </w:tcPr>
          <w:p w14:paraId="40078F10" w14:textId="77777777" w:rsidR="0083071E" w:rsidRPr="00F3116F" w:rsidRDefault="0083071E" w:rsidP="00AC04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Reproduction of Recorded Media</w:t>
            </w:r>
          </w:p>
        </w:tc>
      </w:tr>
      <w:tr w:rsidR="0083071E" w:rsidRPr="00F3116F" w14:paraId="2830EEFC" w14:textId="77777777" w:rsidTr="00285D9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3E750360" w14:textId="77777777" w:rsidR="0083071E" w:rsidRPr="00DB39A9" w:rsidRDefault="0083071E" w:rsidP="00040DF7">
            <w:pPr>
              <w:jc w:val="center"/>
              <w:rPr>
                <w:rFonts w:cstheme="minorHAnsi"/>
                <w:b w:val="0"/>
              </w:rPr>
            </w:pPr>
            <w:r w:rsidRPr="00040DF7">
              <w:rPr>
                <w:rFonts w:ascii="Calibri" w:hAnsi="Calibri" w:cs="Calibri"/>
                <w:b w:val="0"/>
              </w:rPr>
              <w:t>2591</w:t>
            </w:r>
          </w:p>
        </w:tc>
        <w:tc>
          <w:tcPr>
            <w:tcW w:w="7087" w:type="dxa"/>
            <w:noWrap/>
            <w:hideMark/>
          </w:tcPr>
          <w:p w14:paraId="2A0F4E05" w14:textId="77777777" w:rsidR="0083071E" w:rsidRPr="00F3116F" w:rsidRDefault="0083071E" w:rsidP="00AC04E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Jewellery and Silverware Manufacturing</w:t>
            </w:r>
          </w:p>
        </w:tc>
      </w:tr>
      <w:tr w:rsidR="0083071E" w:rsidRPr="00F3116F" w14:paraId="2426580F" w14:textId="77777777" w:rsidTr="00285D97">
        <w:trPr>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784CF2DD" w14:textId="77777777" w:rsidR="0083071E" w:rsidRPr="00DB39A9" w:rsidRDefault="0083071E" w:rsidP="00040DF7">
            <w:pPr>
              <w:jc w:val="center"/>
              <w:rPr>
                <w:rFonts w:cstheme="minorHAnsi"/>
                <w:b w:val="0"/>
              </w:rPr>
            </w:pPr>
            <w:r w:rsidRPr="00040DF7">
              <w:rPr>
                <w:rFonts w:ascii="Calibri" w:hAnsi="Calibri" w:cs="Calibri"/>
                <w:b w:val="0"/>
              </w:rPr>
              <w:t>3712</w:t>
            </w:r>
          </w:p>
        </w:tc>
        <w:tc>
          <w:tcPr>
            <w:tcW w:w="7087" w:type="dxa"/>
            <w:noWrap/>
            <w:hideMark/>
          </w:tcPr>
          <w:p w14:paraId="3B0E06C4" w14:textId="77777777" w:rsidR="0083071E" w:rsidRPr="00F3116F" w:rsidRDefault="0083071E" w:rsidP="00AC04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Clothing and Footwear Wholesaling</w:t>
            </w:r>
          </w:p>
        </w:tc>
      </w:tr>
      <w:tr w:rsidR="0083071E" w:rsidRPr="00F3116F" w14:paraId="69E02E56" w14:textId="77777777" w:rsidTr="00285D9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6E0CFC88" w14:textId="77777777" w:rsidR="0083071E" w:rsidRPr="00DB39A9" w:rsidRDefault="0083071E" w:rsidP="00040DF7">
            <w:pPr>
              <w:jc w:val="center"/>
              <w:rPr>
                <w:rFonts w:cstheme="minorHAnsi"/>
                <w:b w:val="0"/>
              </w:rPr>
            </w:pPr>
            <w:r w:rsidRPr="00040DF7">
              <w:rPr>
                <w:rFonts w:ascii="Calibri" w:hAnsi="Calibri" w:cs="Calibri"/>
                <w:b w:val="0"/>
              </w:rPr>
              <w:t>3732</w:t>
            </w:r>
          </w:p>
        </w:tc>
        <w:tc>
          <w:tcPr>
            <w:tcW w:w="7087" w:type="dxa"/>
            <w:noWrap/>
            <w:hideMark/>
          </w:tcPr>
          <w:p w14:paraId="0340D962" w14:textId="77777777" w:rsidR="0083071E" w:rsidRPr="00F3116F" w:rsidRDefault="0083071E" w:rsidP="00AC04E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Jewellery and Watch Wholesaling</w:t>
            </w:r>
          </w:p>
        </w:tc>
      </w:tr>
      <w:tr w:rsidR="0083071E" w:rsidRPr="00F3116F" w14:paraId="128BB1EE" w14:textId="77777777" w:rsidTr="00285D97">
        <w:trPr>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585E79C0" w14:textId="77777777" w:rsidR="0083071E" w:rsidRPr="00DB39A9" w:rsidRDefault="0083071E" w:rsidP="00040DF7">
            <w:pPr>
              <w:jc w:val="center"/>
              <w:rPr>
                <w:rFonts w:cstheme="minorHAnsi"/>
                <w:b w:val="0"/>
              </w:rPr>
            </w:pPr>
            <w:r w:rsidRPr="00040DF7">
              <w:rPr>
                <w:rFonts w:ascii="Calibri" w:hAnsi="Calibri" w:cs="Calibri"/>
                <w:b w:val="0"/>
              </w:rPr>
              <w:t>3735</w:t>
            </w:r>
          </w:p>
        </w:tc>
        <w:tc>
          <w:tcPr>
            <w:tcW w:w="7087" w:type="dxa"/>
            <w:noWrap/>
            <w:hideMark/>
          </w:tcPr>
          <w:p w14:paraId="3B71A9CB" w14:textId="77777777" w:rsidR="0083071E" w:rsidRPr="00F3116F" w:rsidRDefault="0083071E" w:rsidP="00AC04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Book and Magazine Wholesaling</w:t>
            </w:r>
          </w:p>
        </w:tc>
      </w:tr>
      <w:tr w:rsidR="0083071E" w:rsidRPr="00F3116F" w14:paraId="35057467" w14:textId="77777777" w:rsidTr="00285D9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1435C17E" w14:textId="77777777" w:rsidR="0083071E" w:rsidRPr="00040DF7" w:rsidRDefault="0083071E" w:rsidP="00040DF7">
            <w:pPr>
              <w:jc w:val="center"/>
              <w:rPr>
                <w:rFonts w:ascii="Calibri" w:hAnsi="Calibri" w:cs="Calibri"/>
                <w:b w:val="0"/>
              </w:rPr>
            </w:pPr>
            <w:r w:rsidRPr="00040DF7">
              <w:rPr>
                <w:rFonts w:ascii="Calibri" w:hAnsi="Calibri" w:cs="Calibri"/>
                <w:b w:val="0"/>
              </w:rPr>
              <w:lastRenderedPageBreak/>
              <w:t>4242</w:t>
            </w:r>
          </w:p>
        </w:tc>
        <w:tc>
          <w:tcPr>
            <w:tcW w:w="7087" w:type="dxa"/>
            <w:noWrap/>
            <w:hideMark/>
          </w:tcPr>
          <w:p w14:paraId="6D4CC3EE" w14:textId="77777777" w:rsidR="0083071E" w:rsidRPr="00F3116F" w:rsidRDefault="0083071E" w:rsidP="00AC04E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Entertainment Media Retailing</w:t>
            </w:r>
          </w:p>
        </w:tc>
      </w:tr>
      <w:tr w:rsidR="0083071E" w:rsidRPr="00F3116F" w14:paraId="187CF3D1" w14:textId="77777777" w:rsidTr="00285D97">
        <w:trPr>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2D4F5F79" w14:textId="77777777" w:rsidR="0083071E" w:rsidRPr="00040DF7" w:rsidRDefault="0083071E" w:rsidP="00040DF7">
            <w:pPr>
              <w:jc w:val="center"/>
              <w:rPr>
                <w:rFonts w:ascii="Calibri" w:hAnsi="Calibri" w:cs="Calibri"/>
                <w:b w:val="0"/>
              </w:rPr>
            </w:pPr>
            <w:r w:rsidRPr="00040DF7">
              <w:rPr>
                <w:rFonts w:ascii="Calibri" w:hAnsi="Calibri" w:cs="Calibri"/>
                <w:b w:val="0"/>
              </w:rPr>
              <w:t>4244</w:t>
            </w:r>
          </w:p>
        </w:tc>
        <w:tc>
          <w:tcPr>
            <w:tcW w:w="7087" w:type="dxa"/>
            <w:noWrap/>
            <w:hideMark/>
          </w:tcPr>
          <w:p w14:paraId="590E6671" w14:textId="77777777" w:rsidR="0083071E" w:rsidRPr="00F3116F" w:rsidRDefault="0083071E" w:rsidP="00AC04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Newspaper and Book Retailing</w:t>
            </w:r>
          </w:p>
        </w:tc>
      </w:tr>
      <w:tr w:rsidR="0083071E" w:rsidRPr="00F3116F" w14:paraId="1F7C7C53" w14:textId="77777777" w:rsidTr="00285D9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0CA24895" w14:textId="77777777" w:rsidR="0083071E" w:rsidRPr="00040DF7" w:rsidRDefault="0083071E" w:rsidP="00040DF7">
            <w:pPr>
              <w:jc w:val="center"/>
              <w:rPr>
                <w:rFonts w:ascii="Calibri" w:hAnsi="Calibri" w:cs="Calibri"/>
                <w:b w:val="0"/>
              </w:rPr>
            </w:pPr>
            <w:r w:rsidRPr="00040DF7">
              <w:rPr>
                <w:rFonts w:ascii="Calibri" w:hAnsi="Calibri" w:cs="Calibri"/>
                <w:b w:val="0"/>
              </w:rPr>
              <w:t>4251</w:t>
            </w:r>
          </w:p>
        </w:tc>
        <w:tc>
          <w:tcPr>
            <w:tcW w:w="7087" w:type="dxa"/>
            <w:noWrap/>
            <w:hideMark/>
          </w:tcPr>
          <w:p w14:paraId="48C743AF" w14:textId="77777777" w:rsidR="0083071E" w:rsidRPr="00F3116F" w:rsidRDefault="0083071E" w:rsidP="00AC04E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Clothing Retailing</w:t>
            </w:r>
          </w:p>
        </w:tc>
      </w:tr>
      <w:tr w:rsidR="0083071E" w:rsidRPr="00F3116F" w14:paraId="685B0021" w14:textId="77777777" w:rsidTr="00285D97">
        <w:trPr>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05BA3746" w14:textId="77777777" w:rsidR="0083071E" w:rsidRPr="00040DF7" w:rsidRDefault="0083071E" w:rsidP="00040DF7">
            <w:pPr>
              <w:jc w:val="center"/>
              <w:rPr>
                <w:rFonts w:ascii="Calibri" w:hAnsi="Calibri" w:cs="Calibri"/>
                <w:b w:val="0"/>
              </w:rPr>
            </w:pPr>
            <w:r w:rsidRPr="00040DF7">
              <w:rPr>
                <w:rFonts w:ascii="Calibri" w:hAnsi="Calibri" w:cs="Calibri"/>
                <w:b w:val="0"/>
              </w:rPr>
              <w:t>4252</w:t>
            </w:r>
          </w:p>
        </w:tc>
        <w:tc>
          <w:tcPr>
            <w:tcW w:w="7087" w:type="dxa"/>
            <w:noWrap/>
            <w:hideMark/>
          </w:tcPr>
          <w:p w14:paraId="53E737F8" w14:textId="77777777" w:rsidR="0083071E" w:rsidRPr="00F3116F" w:rsidRDefault="0083071E" w:rsidP="00AC04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Footwear Retailing</w:t>
            </w:r>
          </w:p>
        </w:tc>
      </w:tr>
      <w:tr w:rsidR="0083071E" w:rsidRPr="00F3116F" w14:paraId="7EE0F182" w14:textId="77777777" w:rsidTr="00285D9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0620E66E" w14:textId="77777777" w:rsidR="0083071E" w:rsidRPr="00040DF7" w:rsidRDefault="0083071E" w:rsidP="00040DF7">
            <w:pPr>
              <w:jc w:val="center"/>
              <w:rPr>
                <w:rFonts w:ascii="Calibri" w:hAnsi="Calibri" w:cs="Calibri"/>
                <w:b w:val="0"/>
              </w:rPr>
            </w:pPr>
            <w:r w:rsidRPr="00040DF7">
              <w:rPr>
                <w:rFonts w:ascii="Calibri" w:hAnsi="Calibri" w:cs="Calibri"/>
                <w:b w:val="0"/>
              </w:rPr>
              <w:t>4253</w:t>
            </w:r>
          </w:p>
        </w:tc>
        <w:tc>
          <w:tcPr>
            <w:tcW w:w="7087" w:type="dxa"/>
            <w:noWrap/>
            <w:hideMark/>
          </w:tcPr>
          <w:p w14:paraId="3734C7C7" w14:textId="77777777" w:rsidR="0083071E" w:rsidRPr="00F3116F" w:rsidRDefault="0083071E" w:rsidP="00AC04E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Watch and Jewellery Retailing</w:t>
            </w:r>
          </w:p>
        </w:tc>
      </w:tr>
      <w:tr w:rsidR="0083071E" w:rsidRPr="00F3116F" w14:paraId="6351FFED" w14:textId="77777777" w:rsidTr="00285D97">
        <w:trPr>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169E0EBA" w14:textId="77777777" w:rsidR="0083071E" w:rsidRPr="00040DF7" w:rsidRDefault="0083071E" w:rsidP="00040DF7">
            <w:pPr>
              <w:jc w:val="center"/>
              <w:rPr>
                <w:rFonts w:ascii="Calibri" w:hAnsi="Calibri" w:cs="Calibri"/>
                <w:b w:val="0"/>
              </w:rPr>
            </w:pPr>
            <w:r w:rsidRPr="00040DF7">
              <w:rPr>
                <w:rFonts w:ascii="Calibri" w:hAnsi="Calibri" w:cs="Calibri"/>
                <w:b w:val="0"/>
              </w:rPr>
              <w:t>5411</w:t>
            </w:r>
          </w:p>
        </w:tc>
        <w:tc>
          <w:tcPr>
            <w:tcW w:w="7087" w:type="dxa"/>
            <w:noWrap/>
            <w:hideMark/>
          </w:tcPr>
          <w:p w14:paraId="48A7AAD8" w14:textId="77777777" w:rsidR="0083071E" w:rsidRPr="00F3116F" w:rsidRDefault="0083071E" w:rsidP="00AC04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Newspaper Publishing</w:t>
            </w:r>
          </w:p>
        </w:tc>
      </w:tr>
      <w:tr w:rsidR="0083071E" w:rsidRPr="00F3116F" w14:paraId="4CCD565A" w14:textId="77777777" w:rsidTr="00285D9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5BD410AC" w14:textId="77777777" w:rsidR="0083071E" w:rsidRPr="00040DF7" w:rsidRDefault="0083071E" w:rsidP="00040DF7">
            <w:pPr>
              <w:jc w:val="center"/>
              <w:rPr>
                <w:rFonts w:ascii="Calibri" w:hAnsi="Calibri" w:cs="Calibri"/>
                <w:b w:val="0"/>
              </w:rPr>
            </w:pPr>
            <w:r w:rsidRPr="00040DF7">
              <w:rPr>
                <w:rFonts w:ascii="Calibri" w:hAnsi="Calibri" w:cs="Calibri"/>
                <w:b w:val="0"/>
              </w:rPr>
              <w:t>5412</w:t>
            </w:r>
          </w:p>
        </w:tc>
        <w:tc>
          <w:tcPr>
            <w:tcW w:w="7087" w:type="dxa"/>
            <w:noWrap/>
            <w:hideMark/>
          </w:tcPr>
          <w:p w14:paraId="71906DB3" w14:textId="77777777" w:rsidR="0083071E" w:rsidRPr="00F3116F" w:rsidRDefault="0083071E" w:rsidP="00AC04E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Magazine and Other Periodical Publishing</w:t>
            </w:r>
          </w:p>
        </w:tc>
      </w:tr>
      <w:tr w:rsidR="0083071E" w:rsidRPr="00F3116F" w14:paraId="769A5F95" w14:textId="77777777" w:rsidTr="00285D97">
        <w:trPr>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7C768AF1" w14:textId="77777777" w:rsidR="0083071E" w:rsidRPr="00040DF7" w:rsidRDefault="0083071E" w:rsidP="00040DF7">
            <w:pPr>
              <w:jc w:val="center"/>
              <w:rPr>
                <w:rFonts w:ascii="Calibri" w:hAnsi="Calibri" w:cs="Calibri"/>
                <w:b w:val="0"/>
              </w:rPr>
            </w:pPr>
            <w:r w:rsidRPr="00040DF7">
              <w:rPr>
                <w:rFonts w:ascii="Calibri" w:hAnsi="Calibri" w:cs="Calibri"/>
                <w:b w:val="0"/>
              </w:rPr>
              <w:t>5413</w:t>
            </w:r>
          </w:p>
        </w:tc>
        <w:tc>
          <w:tcPr>
            <w:tcW w:w="7087" w:type="dxa"/>
            <w:noWrap/>
            <w:hideMark/>
          </w:tcPr>
          <w:p w14:paraId="6ABD2DFE" w14:textId="77777777" w:rsidR="0083071E" w:rsidRPr="00F3116F" w:rsidRDefault="0083071E" w:rsidP="00AC04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Book Publishing</w:t>
            </w:r>
          </w:p>
        </w:tc>
      </w:tr>
      <w:tr w:rsidR="0083071E" w:rsidRPr="00F3116F" w14:paraId="3DD2FFF6" w14:textId="77777777" w:rsidTr="00285D9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1B51D011" w14:textId="77777777" w:rsidR="0083071E" w:rsidRPr="00040DF7" w:rsidRDefault="0083071E" w:rsidP="00040DF7">
            <w:pPr>
              <w:jc w:val="center"/>
              <w:rPr>
                <w:rFonts w:ascii="Calibri" w:hAnsi="Calibri" w:cs="Calibri"/>
                <w:b w:val="0"/>
              </w:rPr>
            </w:pPr>
            <w:r w:rsidRPr="00040DF7">
              <w:rPr>
                <w:rFonts w:ascii="Calibri" w:hAnsi="Calibri" w:cs="Calibri"/>
                <w:b w:val="0"/>
              </w:rPr>
              <w:t>5419</w:t>
            </w:r>
          </w:p>
        </w:tc>
        <w:tc>
          <w:tcPr>
            <w:tcW w:w="7087" w:type="dxa"/>
            <w:noWrap/>
            <w:hideMark/>
          </w:tcPr>
          <w:p w14:paraId="2CA7D63F" w14:textId="77777777" w:rsidR="0083071E" w:rsidRPr="00F3116F" w:rsidRDefault="0083071E" w:rsidP="00AC04E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Other Publishing (except Software, Music and Internet)</w:t>
            </w:r>
          </w:p>
        </w:tc>
      </w:tr>
      <w:tr w:rsidR="0083071E" w:rsidRPr="00F3116F" w14:paraId="518B0F82" w14:textId="77777777" w:rsidTr="00285D97">
        <w:trPr>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62B2485F" w14:textId="77777777" w:rsidR="0083071E" w:rsidRPr="00040DF7" w:rsidRDefault="0083071E" w:rsidP="00040DF7">
            <w:pPr>
              <w:jc w:val="center"/>
              <w:rPr>
                <w:rFonts w:ascii="Calibri" w:hAnsi="Calibri" w:cs="Calibri"/>
                <w:b w:val="0"/>
              </w:rPr>
            </w:pPr>
            <w:r w:rsidRPr="00040DF7">
              <w:rPr>
                <w:rFonts w:ascii="Calibri" w:hAnsi="Calibri" w:cs="Calibri"/>
                <w:b w:val="0"/>
              </w:rPr>
              <w:t>5420</w:t>
            </w:r>
          </w:p>
        </w:tc>
        <w:tc>
          <w:tcPr>
            <w:tcW w:w="7087" w:type="dxa"/>
            <w:noWrap/>
            <w:hideMark/>
          </w:tcPr>
          <w:p w14:paraId="6C8F53B4" w14:textId="77777777" w:rsidR="0083071E" w:rsidRPr="00F3116F" w:rsidRDefault="0083071E" w:rsidP="00AC04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Software Publishing</w:t>
            </w:r>
          </w:p>
        </w:tc>
      </w:tr>
      <w:tr w:rsidR="0083071E" w:rsidRPr="00F3116F" w14:paraId="1AF29A3B" w14:textId="77777777" w:rsidTr="00285D9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5EDED673" w14:textId="77777777" w:rsidR="0083071E" w:rsidRPr="00040DF7" w:rsidRDefault="0083071E" w:rsidP="00040DF7">
            <w:pPr>
              <w:jc w:val="center"/>
              <w:rPr>
                <w:rFonts w:ascii="Calibri" w:hAnsi="Calibri" w:cs="Calibri"/>
                <w:b w:val="0"/>
              </w:rPr>
            </w:pPr>
            <w:r w:rsidRPr="00040DF7">
              <w:rPr>
                <w:rFonts w:ascii="Calibri" w:hAnsi="Calibri" w:cs="Calibri"/>
                <w:b w:val="0"/>
              </w:rPr>
              <w:t>5511</w:t>
            </w:r>
          </w:p>
        </w:tc>
        <w:tc>
          <w:tcPr>
            <w:tcW w:w="7087" w:type="dxa"/>
            <w:noWrap/>
            <w:hideMark/>
          </w:tcPr>
          <w:p w14:paraId="25D5ED05" w14:textId="77777777" w:rsidR="0083071E" w:rsidRPr="00F3116F" w:rsidRDefault="0083071E" w:rsidP="00AC04E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Motion Picture and Video Production</w:t>
            </w:r>
          </w:p>
        </w:tc>
      </w:tr>
      <w:tr w:rsidR="0083071E" w:rsidRPr="00F3116F" w14:paraId="65C7D6C7" w14:textId="77777777" w:rsidTr="00285D97">
        <w:trPr>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681392DC" w14:textId="77777777" w:rsidR="0083071E" w:rsidRPr="00040DF7" w:rsidRDefault="0083071E" w:rsidP="00040DF7">
            <w:pPr>
              <w:jc w:val="center"/>
              <w:rPr>
                <w:rFonts w:ascii="Calibri" w:hAnsi="Calibri" w:cs="Calibri"/>
                <w:b w:val="0"/>
              </w:rPr>
            </w:pPr>
            <w:r w:rsidRPr="00040DF7">
              <w:rPr>
                <w:rFonts w:ascii="Calibri" w:hAnsi="Calibri" w:cs="Calibri"/>
                <w:b w:val="0"/>
              </w:rPr>
              <w:t>5512</w:t>
            </w:r>
          </w:p>
        </w:tc>
        <w:tc>
          <w:tcPr>
            <w:tcW w:w="7087" w:type="dxa"/>
            <w:noWrap/>
            <w:hideMark/>
          </w:tcPr>
          <w:p w14:paraId="51F6026C" w14:textId="77777777" w:rsidR="0083071E" w:rsidRPr="00F3116F" w:rsidRDefault="0083071E" w:rsidP="00AC04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Motion Picture and Video Distribution</w:t>
            </w:r>
          </w:p>
        </w:tc>
      </w:tr>
      <w:tr w:rsidR="0083071E" w:rsidRPr="00F3116F" w14:paraId="738A484C" w14:textId="77777777" w:rsidTr="00285D9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3E877F90" w14:textId="77777777" w:rsidR="0083071E" w:rsidRPr="00040DF7" w:rsidRDefault="0083071E" w:rsidP="00040DF7">
            <w:pPr>
              <w:jc w:val="center"/>
              <w:rPr>
                <w:rFonts w:ascii="Calibri" w:hAnsi="Calibri" w:cs="Calibri"/>
                <w:b w:val="0"/>
              </w:rPr>
            </w:pPr>
            <w:r w:rsidRPr="00040DF7">
              <w:rPr>
                <w:rFonts w:ascii="Calibri" w:hAnsi="Calibri" w:cs="Calibri"/>
                <w:b w:val="0"/>
              </w:rPr>
              <w:t>5513</w:t>
            </w:r>
          </w:p>
        </w:tc>
        <w:tc>
          <w:tcPr>
            <w:tcW w:w="7087" w:type="dxa"/>
            <w:noWrap/>
            <w:hideMark/>
          </w:tcPr>
          <w:p w14:paraId="6F358709" w14:textId="77777777" w:rsidR="0083071E" w:rsidRPr="00F3116F" w:rsidRDefault="0083071E" w:rsidP="00AC04E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Motion Picture Exhibition</w:t>
            </w:r>
          </w:p>
        </w:tc>
      </w:tr>
      <w:tr w:rsidR="0083071E" w:rsidRPr="00F3116F" w14:paraId="484E377C" w14:textId="77777777" w:rsidTr="00285D97">
        <w:trPr>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1B047855" w14:textId="77777777" w:rsidR="0083071E" w:rsidRPr="00040DF7" w:rsidRDefault="0083071E" w:rsidP="00040DF7">
            <w:pPr>
              <w:jc w:val="center"/>
              <w:rPr>
                <w:rFonts w:ascii="Calibri" w:hAnsi="Calibri" w:cs="Calibri"/>
                <w:b w:val="0"/>
              </w:rPr>
            </w:pPr>
            <w:r w:rsidRPr="00040DF7">
              <w:rPr>
                <w:rFonts w:ascii="Calibri" w:hAnsi="Calibri" w:cs="Calibri"/>
                <w:b w:val="0"/>
              </w:rPr>
              <w:t>5514</w:t>
            </w:r>
          </w:p>
        </w:tc>
        <w:tc>
          <w:tcPr>
            <w:tcW w:w="7087" w:type="dxa"/>
            <w:noWrap/>
            <w:hideMark/>
          </w:tcPr>
          <w:p w14:paraId="15891DF0" w14:textId="77777777" w:rsidR="0083071E" w:rsidRPr="00F3116F" w:rsidRDefault="0083071E" w:rsidP="00AC04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Post-production Services and Other Motion Picture and Video Activities</w:t>
            </w:r>
          </w:p>
        </w:tc>
      </w:tr>
      <w:tr w:rsidR="0083071E" w:rsidRPr="00F3116F" w14:paraId="0D630844" w14:textId="77777777" w:rsidTr="00285D9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7BB36BD5" w14:textId="77777777" w:rsidR="0083071E" w:rsidRPr="00040DF7" w:rsidRDefault="0083071E" w:rsidP="00040DF7">
            <w:pPr>
              <w:jc w:val="center"/>
              <w:rPr>
                <w:rFonts w:ascii="Calibri" w:hAnsi="Calibri" w:cs="Calibri"/>
                <w:b w:val="0"/>
              </w:rPr>
            </w:pPr>
            <w:r w:rsidRPr="00040DF7">
              <w:rPr>
                <w:rFonts w:ascii="Calibri" w:hAnsi="Calibri" w:cs="Calibri"/>
                <w:b w:val="0"/>
              </w:rPr>
              <w:t>5521</w:t>
            </w:r>
          </w:p>
        </w:tc>
        <w:tc>
          <w:tcPr>
            <w:tcW w:w="7087" w:type="dxa"/>
            <w:noWrap/>
            <w:hideMark/>
          </w:tcPr>
          <w:p w14:paraId="2D3CB7C7" w14:textId="77777777" w:rsidR="0083071E" w:rsidRPr="00F3116F" w:rsidRDefault="0083071E" w:rsidP="00AC04E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Music Publishing</w:t>
            </w:r>
          </w:p>
        </w:tc>
      </w:tr>
      <w:tr w:rsidR="0083071E" w:rsidRPr="00F3116F" w14:paraId="19E47BBA" w14:textId="77777777" w:rsidTr="00285D97">
        <w:trPr>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2B40CA4F" w14:textId="77777777" w:rsidR="0083071E" w:rsidRPr="00040DF7" w:rsidRDefault="0083071E" w:rsidP="00040DF7">
            <w:pPr>
              <w:jc w:val="center"/>
              <w:rPr>
                <w:rFonts w:ascii="Calibri" w:hAnsi="Calibri" w:cs="Calibri"/>
                <w:b w:val="0"/>
              </w:rPr>
            </w:pPr>
            <w:r w:rsidRPr="00040DF7">
              <w:rPr>
                <w:rFonts w:ascii="Calibri" w:hAnsi="Calibri" w:cs="Calibri"/>
                <w:b w:val="0"/>
              </w:rPr>
              <w:t>5522</w:t>
            </w:r>
          </w:p>
        </w:tc>
        <w:tc>
          <w:tcPr>
            <w:tcW w:w="7087" w:type="dxa"/>
            <w:noWrap/>
            <w:hideMark/>
          </w:tcPr>
          <w:p w14:paraId="6F9DF59D" w14:textId="77777777" w:rsidR="0083071E" w:rsidRPr="00F3116F" w:rsidRDefault="0083071E" w:rsidP="00AC04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Music and Other Sound Recording Activities</w:t>
            </w:r>
          </w:p>
        </w:tc>
      </w:tr>
      <w:tr w:rsidR="0083071E" w:rsidRPr="00F3116F" w14:paraId="61923B14" w14:textId="77777777" w:rsidTr="00285D9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6D6B536D" w14:textId="77777777" w:rsidR="0083071E" w:rsidRPr="00040DF7" w:rsidRDefault="0083071E" w:rsidP="00040DF7">
            <w:pPr>
              <w:jc w:val="center"/>
              <w:rPr>
                <w:rFonts w:ascii="Calibri" w:hAnsi="Calibri" w:cs="Calibri"/>
                <w:b w:val="0"/>
              </w:rPr>
            </w:pPr>
            <w:r w:rsidRPr="00040DF7">
              <w:rPr>
                <w:rFonts w:ascii="Calibri" w:hAnsi="Calibri" w:cs="Calibri"/>
                <w:b w:val="0"/>
              </w:rPr>
              <w:t>5610</w:t>
            </w:r>
          </w:p>
        </w:tc>
        <w:tc>
          <w:tcPr>
            <w:tcW w:w="7087" w:type="dxa"/>
            <w:noWrap/>
            <w:hideMark/>
          </w:tcPr>
          <w:p w14:paraId="496C7A07" w14:textId="77777777" w:rsidR="0083071E" w:rsidRPr="00F3116F" w:rsidRDefault="0083071E" w:rsidP="00AC04E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Radio Broadcasting</w:t>
            </w:r>
          </w:p>
        </w:tc>
      </w:tr>
      <w:tr w:rsidR="0083071E" w:rsidRPr="00F3116F" w14:paraId="01962CD1" w14:textId="77777777" w:rsidTr="00285D97">
        <w:trPr>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41F1549E" w14:textId="77777777" w:rsidR="0083071E" w:rsidRPr="00040DF7" w:rsidRDefault="0083071E" w:rsidP="00040DF7">
            <w:pPr>
              <w:jc w:val="center"/>
              <w:rPr>
                <w:rFonts w:ascii="Calibri" w:hAnsi="Calibri" w:cs="Calibri"/>
                <w:b w:val="0"/>
              </w:rPr>
            </w:pPr>
            <w:r w:rsidRPr="00040DF7">
              <w:rPr>
                <w:rFonts w:ascii="Calibri" w:hAnsi="Calibri" w:cs="Calibri"/>
                <w:b w:val="0"/>
              </w:rPr>
              <w:t>5621</w:t>
            </w:r>
          </w:p>
        </w:tc>
        <w:tc>
          <w:tcPr>
            <w:tcW w:w="7087" w:type="dxa"/>
            <w:noWrap/>
            <w:hideMark/>
          </w:tcPr>
          <w:p w14:paraId="62480FE2" w14:textId="77777777" w:rsidR="0083071E" w:rsidRPr="00F3116F" w:rsidRDefault="0083071E" w:rsidP="00AC04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Free-to-Air Television Broadcasting</w:t>
            </w:r>
          </w:p>
        </w:tc>
      </w:tr>
      <w:tr w:rsidR="0083071E" w:rsidRPr="00F3116F" w14:paraId="32BF3AEB" w14:textId="77777777" w:rsidTr="00285D9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79420DFC" w14:textId="77777777" w:rsidR="0083071E" w:rsidRPr="00040DF7" w:rsidRDefault="0083071E" w:rsidP="00040DF7">
            <w:pPr>
              <w:jc w:val="center"/>
              <w:rPr>
                <w:rFonts w:ascii="Calibri" w:hAnsi="Calibri" w:cs="Calibri"/>
                <w:b w:val="0"/>
              </w:rPr>
            </w:pPr>
            <w:r w:rsidRPr="00040DF7">
              <w:rPr>
                <w:rFonts w:ascii="Calibri" w:hAnsi="Calibri" w:cs="Calibri"/>
                <w:b w:val="0"/>
              </w:rPr>
              <w:t>5622</w:t>
            </w:r>
          </w:p>
        </w:tc>
        <w:tc>
          <w:tcPr>
            <w:tcW w:w="7087" w:type="dxa"/>
            <w:noWrap/>
            <w:hideMark/>
          </w:tcPr>
          <w:p w14:paraId="761F885C" w14:textId="77777777" w:rsidR="0083071E" w:rsidRPr="00F3116F" w:rsidRDefault="0083071E" w:rsidP="00AC04E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Cable and Other Subscription Broadcasting</w:t>
            </w:r>
          </w:p>
        </w:tc>
      </w:tr>
      <w:tr w:rsidR="0083071E" w:rsidRPr="00F3116F" w14:paraId="20CB76E9" w14:textId="77777777" w:rsidTr="00285D97">
        <w:trPr>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6D4408D5" w14:textId="77777777" w:rsidR="0083071E" w:rsidRPr="00040DF7" w:rsidRDefault="0083071E" w:rsidP="00040DF7">
            <w:pPr>
              <w:jc w:val="center"/>
              <w:rPr>
                <w:rFonts w:ascii="Calibri" w:hAnsi="Calibri" w:cs="Calibri"/>
                <w:b w:val="0"/>
              </w:rPr>
            </w:pPr>
            <w:r w:rsidRPr="00040DF7">
              <w:rPr>
                <w:rFonts w:ascii="Calibri" w:hAnsi="Calibri" w:cs="Calibri"/>
                <w:b w:val="0"/>
              </w:rPr>
              <w:t>5700</w:t>
            </w:r>
          </w:p>
        </w:tc>
        <w:tc>
          <w:tcPr>
            <w:tcW w:w="7087" w:type="dxa"/>
            <w:noWrap/>
            <w:hideMark/>
          </w:tcPr>
          <w:p w14:paraId="6613CDCF" w14:textId="77777777" w:rsidR="0083071E" w:rsidRPr="00F3116F" w:rsidRDefault="0083071E" w:rsidP="00AC04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Internet Publishing and Broadcasting</w:t>
            </w:r>
          </w:p>
        </w:tc>
      </w:tr>
      <w:tr w:rsidR="0083071E" w:rsidRPr="00F3116F" w14:paraId="2DFCD756" w14:textId="77777777" w:rsidTr="00285D9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389D9406" w14:textId="77777777" w:rsidR="0083071E" w:rsidRPr="00040DF7" w:rsidRDefault="0083071E" w:rsidP="00040DF7">
            <w:pPr>
              <w:jc w:val="center"/>
              <w:rPr>
                <w:rFonts w:ascii="Calibri" w:hAnsi="Calibri" w:cs="Calibri"/>
                <w:b w:val="0"/>
              </w:rPr>
            </w:pPr>
            <w:r w:rsidRPr="00040DF7">
              <w:rPr>
                <w:rFonts w:ascii="Calibri" w:hAnsi="Calibri" w:cs="Calibri"/>
                <w:b w:val="0"/>
              </w:rPr>
              <w:t>6010</w:t>
            </w:r>
          </w:p>
        </w:tc>
        <w:tc>
          <w:tcPr>
            <w:tcW w:w="7087" w:type="dxa"/>
            <w:noWrap/>
            <w:hideMark/>
          </w:tcPr>
          <w:p w14:paraId="104479AF" w14:textId="77777777" w:rsidR="0083071E" w:rsidRPr="00F3116F" w:rsidRDefault="0083071E" w:rsidP="00AC04E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Libraries and Archives</w:t>
            </w:r>
          </w:p>
        </w:tc>
      </w:tr>
      <w:tr w:rsidR="0083071E" w:rsidRPr="00F3116F" w14:paraId="61CE00DB" w14:textId="77777777" w:rsidTr="00285D97">
        <w:trPr>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57DDD0E3" w14:textId="77777777" w:rsidR="0083071E" w:rsidRPr="00040DF7" w:rsidRDefault="0083071E" w:rsidP="00040DF7">
            <w:pPr>
              <w:jc w:val="center"/>
              <w:rPr>
                <w:rFonts w:ascii="Calibri" w:hAnsi="Calibri" w:cs="Calibri"/>
                <w:b w:val="0"/>
              </w:rPr>
            </w:pPr>
            <w:r w:rsidRPr="00040DF7">
              <w:rPr>
                <w:rFonts w:ascii="Calibri" w:hAnsi="Calibri" w:cs="Calibri"/>
                <w:b w:val="0"/>
              </w:rPr>
              <w:t>6632</w:t>
            </w:r>
          </w:p>
        </w:tc>
        <w:tc>
          <w:tcPr>
            <w:tcW w:w="7087" w:type="dxa"/>
            <w:noWrap/>
            <w:hideMark/>
          </w:tcPr>
          <w:p w14:paraId="73A37BB7" w14:textId="77777777" w:rsidR="0083071E" w:rsidRPr="00F3116F" w:rsidRDefault="0083071E" w:rsidP="00AC04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Video and Other Electronic Media Rental and Hiring</w:t>
            </w:r>
          </w:p>
        </w:tc>
      </w:tr>
      <w:tr w:rsidR="0083071E" w:rsidRPr="00F3116F" w14:paraId="1B9FBF52" w14:textId="77777777" w:rsidTr="00285D9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3703C89F" w14:textId="77777777" w:rsidR="0083071E" w:rsidRPr="00040DF7" w:rsidRDefault="0083071E" w:rsidP="00040DF7">
            <w:pPr>
              <w:jc w:val="center"/>
              <w:rPr>
                <w:rFonts w:ascii="Calibri" w:hAnsi="Calibri" w:cs="Calibri"/>
                <w:b w:val="0"/>
              </w:rPr>
            </w:pPr>
            <w:r w:rsidRPr="00040DF7">
              <w:rPr>
                <w:rFonts w:ascii="Calibri" w:hAnsi="Calibri" w:cs="Calibri"/>
                <w:b w:val="0"/>
              </w:rPr>
              <w:t>6921</w:t>
            </w:r>
          </w:p>
        </w:tc>
        <w:tc>
          <w:tcPr>
            <w:tcW w:w="7087" w:type="dxa"/>
            <w:noWrap/>
            <w:hideMark/>
          </w:tcPr>
          <w:p w14:paraId="2734474B" w14:textId="77777777" w:rsidR="0083071E" w:rsidRPr="00F3116F" w:rsidRDefault="0083071E" w:rsidP="00AC04E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Architectural Services</w:t>
            </w:r>
          </w:p>
        </w:tc>
      </w:tr>
      <w:tr w:rsidR="0083071E" w:rsidRPr="00F3116F" w14:paraId="2EBE77F3" w14:textId="77777777" w:rsidTr="00285D97">
        <w:trPr>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5A7B73AC" w14:textId="77777777" w:rsidR="0083071E" w:rsidRPr="00040DF7" w:rsidRDefault="0083071E" w:rsidP="00040DF7">
            <w:pPr>
              <w:jc w:val="center"/>
              <w:rPr>
                <w:rFonts w:ascii="Calibri" w:hAnsi="Calibri" w:cs="Calibri"/>
                <w:b w:val="0"/>
              </w:rPr>
            </w:pPr>
            <w:r w:rsidRPr="00040DF7">
              <w:rPr>
                <w:rFonts w:ascii="Calibri" w:hAnsi="Calibri" w:cs="Calibri"/>
                <w:b w:val="0"/>
              </w:rPr>
              <w:t>6924</w:t>
            </w:r>
          </w:p>
        </w:tc>
        <w:tc>
          <w:tcPr>
            <w:tcW w:w="7087" w:type="dxa"/>
            <w:noWrap/>
            <w:hideMark/>
          </w:tcPr>
          <w:p w14:paraId="4D1160E1" w14:textId="77777777" w:rsidR="0083071E" w:rsidRPr="00F3116F" w:rsidRDefault="0083071E" w:rsidP="00AC04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Other Specialised Design Services</w:t>
            </w:r>
          </w:p>
        </w:tc>
      </w:tr>
      <w:tr w:rsidR="0083071E" w:rsidRPr="00F3116F" w14:paraId="2DF3B4BA" w14:textId="77777777" w:rsidTr="00285D9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5C0C6172" w14:textId="77777777" w:rsidR="0083071E" w:rsidRPr="00040DF7" w:rsidRDefault="0083071E" w:rsidP="00040DF7">
            <w:pPr>
              <w:jc w:val="center"/>
              <w:rPr>
                <w:rFonts w:ascii="Calibri" w:hAnsi="Calibri" w:cs="Calibri"/>
                <w:b w:val="0"/>
              </w:rPr>
            </w:pPr>
            <w:r w:rsidRPr="00040DF7">
              <w:rPr>
                <w:rFonts w:ascii="Calibri" w:hAnsi="Calibri" w:cs="Calibri"/>
                <w:b w:val="0"/>
              </w:rPr>
              <w:t>6940</w:t>
            </w:r>
          </w:p>
        </w:tc>
        <w:tc>
          <w:tcPr>
            <w:tcW w:w="7087" w:type="dxa"/>
            <w:noWrap/>
            <w:hideMark/>
          </w:tcPr>
          <w:p w14:paraId="620326C8" w14:textId="77777777" w:rsidR="0083071E" w:rsidRPr="00F3116F" w:rsidRDefault="0083071E" w:rsidP="00AC04E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Advertising Services</w:t>
            </w:r>
          </w:p>
        </w:tc>
      </w:tr>
      <w:tr w:rsidR="0083071E" w:rsidRPr="00F3116F" w14:paraId="487C2CE7" w14:textId="77777777" w:rsidTr="00285D97">
        <w:trPr>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796916E3" w14:textId="77777777" w:rsidR="0083071E" w:rsidRPr="00040DF7" w:rsidRDefault="0083071E" w:rsidP="00040DF7">
            <w:pPr>
              <w:jc w:val="center"/>
              <w:rPr>
                <w:rFonts w:ascii="Calibri" w:hAnsi="Calibri" w:cs="Calibri"/>
                <w:b w:val="0"/>
              </w:rPr>
            </w:pPr>
            <w:r w:rsidRPr="00040DF7">
              <w:rPr>
                <w:rFonts w:ascii="Calibri" w:hAnsi="Calibri" w:cs="Calibri"/>
                <w:b w:val="0"/>
              </w:rPr>
              <w:t>6991</w:t>
            </w:r>
          </w:p>
        </w:tc>
        <w:tc>
          <w:tcPr>
            <w:tcW w:w="7087" w:type="dxa"/>
            <w:noWrap/>
            <w:hideMark/>
          </w:tcPr>
          <w:p w14:paraId="4FA00211" w14:textId="77777777" w:rsidR="0083071E" w:rsidRPr="00F3116F" w:rsidRDefault="0083071E" w:rsidP="00AC04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Professional Photographic Services</w:t>
            </w:r>
          </w:p>
        </w:tc>
      </w:tr>
      <w:tr w:rsidR="0083071E" w:rsidRPr="00F3116F" w14:paraId="042EDE8F" w14:textId="77777777" w:rsidTr="00285D9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5ED374E1" w14:textId="77777777" w:rsidR="0083071E" w:rsidRPr="00040DF7" w:rsidRDefault="0083071E" w:rsidP="00040DF7">
            <w:pPr>
              <w:jc w:val="center"/>
              <w:rPr>
                <w:rFonts w:ascii="Calibri" w:hAnsi="Calibri" w:cs="Calibri"/>
                <w:b w:val="0"/>
              </w:rPr>
            </w:pPr>
            <w:r w:rsidRPr="00040DF7">
              <w:rPr>
                <w:rFonts w:ascii="Calibri" w:hAnsi="Calibri" w:cs="Calibri"/>
                <w:b w:val="0"/>
              </w:rPr>
              <w:t>7000</w:t>
            </w:r>
          </w:p>
        </w:tc>
        <w:tc>
          <w:tcPr>
            <w:tcW w:w="7087" w:type="dxa"/>
            <w:noWrap/>
            <w:hideMark/>
          </w:tcPr>
          <w:p w14:paraId="7137C935" w14:textId="77777777" w:rsidR="0083071E" w:rsidRPr="00F3116F" w:rsidRDefault="0083071E" w:rsidP="00AC04E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Computer System Design and Related Services</w:t>
            </w:r>
          </w:p>
        </w:tc>
      </w:tr>
      <w:tr w:rsidR="0083071E" w:rsidRPr="00F3116F" w14:paraId="1DFA8335" w14:textId="77777777" w:rsidTr="00285D97">
        <w:trPr>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151CC16F" w14:textId="77777777" w:rsidR="0083071E" w:rsidRPr="00040DF7" w:rsidRDefault="0083071E" w:rsidP="00040DF7">
            <w:pPr>
              <w:jc w:val="center"/>
              <w:rPr>
                <w:rFonts w:ascii="Calibri" w:hAnsi="Calibri" w:cs="Calibri"/>
                <w:b w:val="0"/>
              </w:rPr>
            </w:pPr>
            <w:r w:rsidRPr="00040DF7">
              <w:rPr>
                <w:rFonts w:ascii="Calibri" w:hAnsi="Calibri" w:cs="Calibri"/>
                <w:b w:val="0"/>
              </w:rPr>
              <w:lastRenderedPageBreak/>
              <w:t>8212</w:t>
            </w:r>
          </w:p>
        </w:tc>
        <w:tc>
          <w:tcPr>
            <w:tcW w:w="7087" w:type="dxa"/>
            <w:noWrap/>
            <w:hideMark/>
          </w:tcPr>
          <w:p w14:paraId="0B357C9E" w14:textId="77777777" w:rsidR="0083071E" w:rsidRPr="00F3116F" w:rsidRDefault="0083071E" w:rsidP="00AC04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Arts Education</w:t>
            </w:r>
          </w:p>
        </w:tc>
      </w:tr>
      <w:tr w:rsidR="0083071E" w:rsidRPr="00F3116F" w14:paraId="2495B867" w14:textId="77777777" w:rsidTr="00285D9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2E883882" w14:textId="77777777" w:rsidR="0083071E" w:rsidRPr="00040DF7" w:rsidRDefault="0083071E" w:rsidP="00040DF7">
            <w:pPr>
              <w:jc w:val="center"/>
              <w:rPr>
                <w:rFonts w:ascii="Calibri" w:hAnsi="Calibri" w:cs="Calibri"/>
                <w:b w:val="0"/>
              </w:rPr>
            </w:pPr>
            <w:r w:rsidRPr="00040DF7">
              <w:rPr>
                <w:rFonts w:ascii="Calibri" w:hAnsi="Calibri" w:cs="Calibri"/>
                <w:b w:val="0"/>
              </w:rPr>
              <w:t>8910</w:t>
            </w:r>
          </w:p>
        </w:tc>
        <w:tc>
          <w:tcPr>
            <w:tcW w:w="7087" w:type="dxa"/>
            <w:noWrap/>
            <w:hideMark/>
          </w:tcPr>
          <w:p w14:paraId="3AECAC2B" w14:textId="77777777" w:rsidR="0083071E" w:rsidRPr="00F3116F" w:rsidRDefault="0083071E" w:rsidP="00AC04E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Museum Operation</w:t>
            </w:r>
          </w:p>
        </w:tc>
      </w:tr>
      <w:tr w:rsidR="0083071E" w:rsidRPr="00F3116F" w14:paraId="68455826" w14:textId="77777777" w:rsidTr="00285D97">
        <w:trPr>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1ED00589" w14:textId="77777777" w:rsidR="0083071E" w:rsidRPr="00040DF7" w:rsidRDefault="0083071E" w:rsidP="00040DF7">
            <w:pPr>
              <w:jc w:val="center"/>
              <w:rPr>
                <w:rFonts w:ascii="Calibri" w:hAnsi="Calibri" w:cs="Calibri"/>
                <w:b w:val="0"/>
              </w:rPr>
            </w:pPr>
            <w:r w:rsidRPr="00040DF7">
              <w:rPr>
                <w:rFonts w:ascii="Calibri" w:hAnsi="Calibri" w:cs="Calibri"/>
                <w:b w:val="0"/>
              </w:rPr>
              <w:t>8921</w:t>
            </w:r>
          </w:p>
        </w:tc>
        <w:tc>
          <w:tcPr>
            <w:tcW w:w="7087" w:type="dxa"/>
            <w:noWrap/>
            <w:hideMark/>
          </w:tcPr>
          <w:p w14:paraId="2D712280" w14:textId="77777777" w:rsidR="0083071E" w:rsidRPr="00F3116F" w:rsidRDefault="0083071E" w:rsidP="00AC04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Zoological and Botanical Gardens Operation</w:t>
            </w:r>
          </w:p>
        </w:tc>
      </w:tr>
      <w:tr w:rsidR="0083071E" w:rsidRPr="00F3116F" w14:paraId="758683B8" w14:textId="77777777" w:rsidTr="00285D9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475386DE" w14:textId="77777777" w:rsidR="0083071E" w:rsidRPr="00040DF7" w:rsidRDefault="0083071E" w:rsidP="00040DF7">
            <w:pPr>
              <w:jc w:val="center"/>
              <w:rPr>
                <w:rFonts w:ascii="Calibri" w:hAnsi="Calibri" w:cs="Calibri"/>
                <w:b w:val="0"/>
              </w:rPr>
            </w:pPr>
            <w:r w:rsidRPr="00040DF7">
              <w:rPr>
                <w:rFonts w:ascii="Calibri" w:hAnsi="Calibri" w:cs="Calibri"/>
                <w:b w:val="0"/>
              </w:rPr>
              <w:t>8922</w:t>
            </w:r>
          </w:p>
        </w:tc>
        <w:tc>
          <w:tcPr>
            <w:tcW w:w="7087" w:type="dxa"/>
            <w:noWrap/>
            <w:hideMark/>
          </w:tcPr>
          <w:p w14:paraId="6A69BD0D" w14:textId="77777777" w:rsidR="0083071E" w:rsidRPr="00F3116F" w:rsidRDefault="0083071E" w:rsidP="00AC04E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Nature Reserves and Conservation Parks Operation</w:t>
            </w:r>
          </w:p>
        </w:tc>
      </w:tr>
      <w:tr w:rsidR="0083071E" w:rsidRPr="00F3116F" w14:paraId="42B01D9B" w14:textId="77777777" w:rsidTr="00285D97">
        <w:trPr>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44782E8B" w14:textId="77777777" w:rsidR="0083071E" w:rsidRPr="00040DF7" w:rsidRDefault="0083071E" w:rsidP="00040DF7">
            <w:pPr>
              <w:jc w:val="center"/>
              <w:rPr>
                <w:rFonts w:ascii="Calibri" w:hAnsi="Calibri" w:cs="Calibri"/>
                <w:b w:val="0"/>
              </w:rPr>
            </w:pPr>
            <w:r w:rsidRPr="00040DF7">
              <w:rPr>
                <w:rFonts w:ascii="Calibri" w:hAnsi="Calibri" w:cs="Calibri"/>
                <w:b w:val="0"/>
              </w:rPr>
              <w:t>9001</w:t>
            </w:r>
          </w:p>
        </w:tc>
        <w:tc>
          <w:tcPr>
            <w:tcW w:w="7087" w:type="dxa"/>
            <w:noWrap/>
            <w:hideMark/>
          </w:tcPr>
          <w:p w14:paraId="519E5859" w14:textId="77777777" w:rsidR="0083071E" w:rsidRPr="00F3116F" w:rsidRDefault="0083071E" w:rsidP="00AC04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Performing Arts Operation</w:t>
            </w:r>
          </w:p>
        </w:tc>
      </w:tr>
      <w:tr w:rsidR="0083071E" w:rsidRPr="00F3116F" w14:paraId="1E3C37DF" w14:textId="77777777" w:rsidTr="00285D9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796CA3E3" w14:textId="77777777" w:rsidR="0083071E" w:rsidRPr="00040DF7" w:rsidRDefault="0083071E" w:rsidP="00040DF7">
            <w:pPr>
              <w:jc w:val="center"/>
              <w:rPr>
                <w:rFonts w:ascii="Calibri" w:hAnsi="Calibri" w:cs="Calibri"/>
                <w:b w:val="0"/>
              </w:rPr>
            </w:pPr>
            <w:r w:rsidRPr="00040DF7">
              <w:rPr>
                <w:rFonts w:ascii="Calibri" w:hAnsi="Calibri" w:cs="Calibri"/>
                <w:b w:val="0"/>
              </w:rPr>
              <w:t>9002</w:t>
            </w:r>
          </w:p>
        </w:tc>
        <w:tc>
          <w:tcPr>
            <w:tcW w:w="7087" w:type="dxa"/>
            <w:noWrap/>
            <w:hideMark/>
          </w:tcPr>
          <w:p w14:paraId="57D840D6" w14:textId="77777777" w:rsidR="0083071E" w:rsidRPr="00F3116F" w:rsidRDefault="0083071E" w:rsidP="00AC04E0">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Creative Artists, Musicians, Writers and Performers</w:t>
            </w:r>
          </w:p>
        </w:tc>
      </w:tr>
      <w:tr w:rsidR="0083071E" w:rsidRPr="00F3116F" w14:paraId="7418DEC3" w14:textId="77777777" w:rsidTr="00285D97">
        <w:trPr>
          <w:cantSplit/>
        </w:trPr>
        <w:tc>
          <w:tcPr>
            <w:cnfStyle w:val="001000000000" w:firstRow="0" w:lastRow="0" w:firstColumn="1" w:lastColumn="0" w:oddVBand="0" w:evenVBand="0" w:oddHBand="0" w:evenHBand="0" w:firstRowFirstColumn="0" w:firstRowLastColumn="0" w:lastRowFirstColumn="0" w:lastRowLastColumn="0"/>
            <w:tcW w:w="2694" w:type="dxa"/>
            <w:noWrap/>
            <w:hideMark/>
          </w:tcPr>
          <w:p w14:paraId="07382F98" w14:textId="77777777" w:rsidR="0083071E" w:rsidRPr="00040DF7" w:rsidRDefault="0083071E" w:rsidP="00040DF7">
            <w:pPr>
              <w:jc w:val="center"/>
              <w:rPr>
                <w:rFonts w:ascii="Calibri" w:hAnsi="Calibri" w:cs="Calibri"/>
                <w:b w:val="0"/>
              </w:rPr>
            </w:pPr>
            <w:r w:rsidRPr="00040DF7">
              <w:rPr>
                <w:rFonts w:ascii="Calibri" w:hAnsi="Calibri" w:cs="Calibri"/>
                <w:b w:val="0"/>
              </w:rPr>
              <w:t>9003</w:t>
            </w:r>
          </w:p>
        </w:tc>
        <w:tc>
          <w:tcPr>
            <w:tcW w:w="7087" w:type="dxa"/>
            <w:noWrap/>
            <w:hideMark/>
          </w:tcPr>
          <w:p w14:paraId="11869BEF" w14:textId="77777777" w:rsidR="0083071E" w:rsidRPr="00F3116F" w:rsidRDefault="0083071E" w:rsidP="00AC04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3116F">
              <w:rPr>
                <w:rFonts w:ascii="Calibri" w:eastAsia="Times New Roman" w:hAnsi="Calibri" w:cs="Calibri"/>
                <w:color w:val="000000"/>
                <w:lang w:eastAsia="en-AU"/>
              </w:rPr>
              <w:t>Performing Arts Venue Operation</w:t>
            </w:r>
          </w:p>
        </w:tc>
      </w:tr>
    </w:tbl>
    <w:p w14:paraId="183905D1" w14:textId="7C1C7373" w:rsidR="0083071E" w:rsidRDefault="0083071E" w:rsidP="0083071E">
      <w:pPr>
        <w:pStyle w:val="Sourcenotes"/>
      </w:pPr>
      <w:r w:rsidRPr="00217C11">
        <w:t xml:space="preserve">Source: </w:t>
      </w:r>
      <w:r>
        <w:t>BCAR 2018</w:t>
      </w:r>
      <w:r>
        <w:rPr>
          <w:lang w:val="en-AU"/>
        </w:rPr>
        <w:t>,</w:t>
      </w:r>
      <w:r>
        <w:t xml:space="preserve"> </w:t>
      </w:r>
      <w:hyperlink r:id="rId27" w:history="1">
        <w:r w:rsidRPr="0070727D">
          <w:rPr>
            <w:rStyle w:val="Hyperlink"/>
            <w:i/>
          </w:rPr>
          <w:t xml:space="preserve">Cultural and creative activity in Australia </w:t>
        </w:r>
        <w:r w:rsidR="00604A3C">
          <w:rPr>
            <w:rStyle w:val="Hyperlink"/>
            <w:i/>
          </w:rPr>
          <w:t>2008–09</w:t>
        </w:r>
        <w:r w:rsidRPr="0070727D">
          <w:rPr>
            <w:rStyle w:val="Hyperlink"/>
            <w:i/>
          </w:rPr>
          <w:t xml:space="preserve"> to </w:t>
        </w:r>
        <w:r>
          <w:rPr>
            <w:rStyle w:val="Hyperlink"/>
            <w:i/>
          </w:rPr>
          <w:t>2016–17</w:t>
        </w:r>
      </w:hyperlink>
      <w:r w:rsidRPr="0083071E">
        <w:t xml:space="preserve"> </w:t>
      </w:r>
      <w:r w:rsidRPr="00424149">
        <w:t>and</w:t>
      </w:r>
      <w:r>
        <w:t xml:space="preserve"> Australian Bureau </w:t>
      </w:r>
      <w:r w:rsidRPr="0083071E">
        <w:t>o</w:t>
      </w:r>
      <w:r>
        <w:t>f Statistics 2014</w:t>
      </w:r>
      <w:r w:rsidRPr="0083071E">
        <w:t>,</w:t>
      </w:r>
      <w:r>
        <w:t xml:space="preserve"> </w:t>
      </w:r>
      <w:hyperlink r:id="rId28" w:history="1">
        <w:r w:rsidRPr="00424149">
          <w:rPr>
            <w:rStyle w:val="Hyperlink"/>
            <w:i/>
          </w:rPr>
          <w:t xml:space="preserve">Cultural and Creative Activity Satellite Accounts, Experimental, </w:t>
        </w:r>
        <w:r w:rsidR="00604A3C">
          <w:rPr>
            <w:rStyle w:val="Hyperlink"/>
            <w:i/>
          </w:rPr>
          <w:t>2008–09</w:t>
        </w:r>
      </w:hyperlink>
      <w:r>
        <w:t>.</w:t>
      </w:r>
      <w:r>
        <w:br w:type="page"/>
      </w:r>
    </w:p>
    <w:p w14:paraId="7B71752E" w14:textId="41E99182" w:rsidR="00592606" w:rsidRDefault="0083071E" w:rsidP="00E0561D">
      <w:pPr>
        <w:pStyle w:val="AppendixHeading1"/>
      </w:pPr>
      <w:bookmarkStart w:id="49" w:name="_Ref65500717"/>
      <w:r>
        <w:lastRenderedPageBreak/>
        <w:t>Caveats to the analysis</w:t>
      </w:r>
      <w:bookmarkEnd w:id="49"/>
    </w:p>
    <w:p w14:paraId="65DFB804" w14:textId="578C6627" w:rsidR="0083071E" w:rsidRDefault="00F76476" w:rsidP="0083071E">
      <w:pPr>
        <w:suppressAutoHyphens w:val="0"/>
        <w:spacing w:before="0" w:after="0"/>
      </w:pPr>
      <w:r>
        <w:t>The payments data in this fact sheet remains subject to revisions as there will be organisations that complete late applications, amend or adjust their applications for subsequent periods, and applications processed may be subject to compliance activities as well as retrospective adjustments to overall figures. The information presented on business entities and employees and EBP are defined as:</w:t>
      </w:r>
    </w:p>
    <w:p w14:paraId="52A369A3" w14:textId="0EA32968" w:rsidR="0083071E" w:rsidRDefault="0083071E" w:rsidP="00830664">
      <w:pPr>
        <w:pStyle w:val="Bullet1"/>
      </w:pPr>
      <w:r>
        <w:rPr>
          <w:lang w:val="en-AU"/>
        </w:rPr>
        <w:t>Accurate</w:t>
      </w:r>
      <w:r>
        <w:t xml:space="preserve"> as </w:t>
      </w:r>
      <w:r w:rsidR="00143E99">
        <w:rPr>
          <w:lang w:val="en-AU"/>
        </w:rPr>
        <w:t>at</w:t>
      </w:r>
      <w:r>
        <w:t xml:space="preserve"> 10 February 2021</w:t>
      </w:r>
      <w:r>
        <w:rPr>
          <w:lang w:val="en-AU"/>
        </w:rPr>
        <w:t>.</w:t>
      </w:r>
    </w:p>
    <w:p w14:paraId="6218798A" w14:textId="797FED0F" w:rsidR="0083071E" w:rsidRDefault="0083071E" w:rsidP="00830664">
      <w:pPr>
        <w:pStyle w:val="Bullet1"/>
      </w:pPr>
      <w:r>
        <w:t xml:space="preserve">Entity counts </w:t>
      </w:r>
      <w:proofErr w:type="spellStart"/>
      <w:r w:rsidR="005C14D5">
        <w:rPr>
          <w:lang w:val="en-AU"/>
        </w:rPr>
        <w:t>we</w:t>
      </w:r>
      <w:r>
        <w:t>re</w:t>
      </w:r>
      <w:proofErr w:type="spellEnd"/>
      <w:r>
        <w:t xml:space="preserve"> based on the total number of processed applications</w:t>
      </w:r>
      <w:r>
        <w:rPr>
          <w:lang w:val="en-AU"/>
        </w:rPr>
        <w:t>.</w:t>
      </w:r>
    </w:p>
    <w:p w14:paraId="5FFB8F7A" w14:textId="77777777" w:rsidR="0083071E" w:rsidRPr="00830664" w:rsidRDefault="0083071E" w:rsidP="00830664">
      <w:pPr>
        <w:pStyle w:val="Bullet2"/>
      </w:pPr>
      <w:r w:rsidRPr="00830664">
        <w:t>Entities with processed applications are those that have completed enrolment, verification and declaration steps.</w:t>
      </w:r>
    </w:p>
    <w:p w14:paraId="50BC2E2F" w14:textId="77777777" w:rsidR="0083071E" w:rsidRPr="00830664" w:rsidRDefault="0083071E" w:rsidP="00830664">
      <w:pPr>
        <w:pStyle w:val="Bullet2"/>
      </w:pPr>
      <w:r w:rsidRPr="00830664">
        <w:t>Entities can include sole traders, partnerships, trusts, companies and not-for-profit organisations.</w:t>
      </w:r>
    </w:p>
    <w:p w14:paraId="5E44AC5F" w14:textId="7D0943F9" w:rsidR="0083071E" w:rsidRDefault="00F76476" w:rsidP="0083071E">
      <w:pPr>
        <w:suppressAutoHyphens w:val="0"/>
        <w:spacing w:before="0" w:after="0"/>
      </w:pPr>
      <w:r>
        <w:t>The analysis relies on the ANZSIC codes that form the cultural and creative sectors as set out in Appendix A. However, the categorisation of entities into ANZSIC codes is based on self-assessments and can be unrelia</w:t>
      </w:r>
      <w:r>
        <w:lastRenderedPageBreak/>
        <w:t>ble. Further, w</w:t>
      </w:r>
      <w:r w:rsidRPr="00857D6A">
        <w:t xml:space="preserve">here the entity count </w:t>
      </w:r>
      <w:r>
        <w:t>was</w:t>
      </w:r>
      <w:r w:rsidRPr="00857D6A">
        <w:t xml:space="preserve"> below 5 for an industry in a particular category, entities </w:t>
      </w:r>
      <w:r>
        <w:t>were</w:t>
      </w:r>
      <w:r w:rsidRPr="00857D6A">
        <w:t xml:space="preserve"> grouped together and listed under ‘No industry code/categorisation available (out of ANZSIC scope)’. This is done in line with Australian privacy laws so that specific entities cannot be identified. This does not impact the total amount paid but may present an underrepresentation in a particular </w:t>
      </w:r>
      <w:r>
        <w:t xml:space="preserve">ANZSIC </w:t>
      </w:r>
      <w:r w:rsidRPr="00857D6A">
        <w:t>category.</w:t>
      </w:r>
    </w:p>
    <w:p w14:paraId="769914D7" w14:textId="6532F810" w:rsidR="0083071E" w:rsidRPr="006A26C7" w:rsidRDefault="0083071E" w:rsidP="005119E1">
      <w:pPr>
        <w:pStyle w:val="Heading3"/>
      </w:pPr>
      <w:bookmarkStart w:id="50" w:name="_Toc73021023"/>
      <w:bookmarkStart w:id="51" w:name="_Toc73021830"/>
      <w:bookmarkStart w:id="52" w:name="_Toc73021951"/>
      <w:bookmarkStart w:id="53" w:name="_Toc73022114"/>
      <w:r>
        <w:t>Limitations to assessing the uptake of Government measures</w:t>
      </w:r>
      <w:bookmarkEnd w:id="50"/>
      <w:bookmarkEnd w:id="51"/>
      <w:bookmarkEnd w:id="52"/>
      <w:bookmarkEnd w:id="53"/>
    </w:p>
    <w:p w14:paraId="69C17D21" w14:textId="3BB63EBA" w:rsidR="0083071E" w:rsidRPr="002B7245" w:rsidRDefault="00F76476" w:rsidP="0083071E">
      <w:pPr>
        <w:spacing w:after="0"/>
        <w:rPr>
          <w:rFonts w:ascii="Times New Roman" w:hAnsi="Times New Roman" w:cs="Times New Roman"/>
          <w:sz w:val="24"/>
          <w:szCs w:val="24"/>
        </w:rPr>
      </w:pPr>
      <w:r>
        <w:t xml:space="preserve">The total number of workers employed in the cultural and creative sectors was approximately 645,000 based on Australian Bureau of Statistics 2016 </w:t>
      </w:r>
      <w:r w:rsidRPr="00CB66AE">
        <w:rPr>
          <w:rFonts w:ascii="Calibri" w:hAnsi="Calibri" w:cs="Calibri"/>
        </w:rPr>
        <w:t xml:space="preserve">Census of Population and Housing </w:t>
      </w:r>
      <w:r>
        <w:t xml:space="preserve">data. </w:t>
      </w:r>
      <w:r w:rsidRPr="006C6AA2">
        <w:rPr>
          <w:rFonts w:cstheme="minorHAnsi"/>
        </w:rPr>
        <w:t xml:space="preserve">While employment in cultural and creative industries </w:t>
      </w:r>
      <w:r>
        <w:rPr>
          <w:rFonts w:cstheme="minorHAnsi"/>
        </w:rPr>
        <w:t>may</w:t>
      </w:r>
      <w:r w:rsidRPr="006C6AA2">
        <w:rPr>
          <w:rFonts w:cstheme="minorHAnsi"/>
        </w:rPr>
        <w:t xml:space="preserve"> have increased since 2016 in level terms, Census data </w:t>
      </w:r>
      <w:r>
        <w:rPr>
          <w:rFonts w:cstheme="minorHAnsi"/>
        </w:rPr>
        <w:t>provides</w:t>
      </w:r>
      <w:r w:rsidRPr="006C6AA2">
        <w:rPr>
          <w:rFonts w:cstheme="minorHAnsi"/>
        </w:rPr>
        <w:t xml:space="preserve"> the most accurate data source for the size of the cultural and creative workforce.</w:t>
      </w:r>
      <w:r>
        <w:rPr>
          <w:rFonts w:cstheme="minorHAnsi"/>
        </w:rPr>
        <w:t xml:space="preserve"> By comparison, data on employees </w:t>
      </w:r>
      <w:r w:rsidR="00836048">
        <w:rPr>
          <w:rFonts w:cstheme="minorHAnsi"/>
        </w:rPr>
        <w:t xml:space="preserve">that received </w:t>
      </w:r>
      <w:proofErr w:type="spellStart"/>
      <w:r>
        <w:rPr>
          <w:rFonts w:cstheme="minorHAnsi"/>
        </w:rPr>
        <w:t>JobKeeper</w:t>
      </w:r>
      <w:proofErr w:type="spellEnd"/>
      <w:r>
        <w:rPr>
          <w:rFonts w:cstheme="minorHAnsi"/>
        </w:rPr>
        <w:t xml:space="preserve"> is for April – December 2020. Additionally, </w:t>
      </w:r>
      <w:proofErr w:type="spellStart"/>
      <w:r>
        <w:rPr>
          <w:rFonts w:cstheme="minorHAnsi"/>
        </w:rPr>
        <w:t>JobKeeper</w:t>
      </w:r>
      <w:proofErr w:type="spellEnd"/>
      <w:r>
        <w:rPr>
          <w:rFonts w:cstheme="minorHAnsi"/>
        </w:rPr>
        <w:t xml:space="preserve"> data included both employees and EBP while employment in cultural and creative sectors using Census data may not include EBP.</w:t>
      </w:r>
    </w:p>
    <w:p w14:paraId="3EEA5319" w14:textId="63331559" w:rsidR="0083071E" w:rsidRPr="00025E5F" w:rsidRDefault="00F76476" w:rsidP="0083071E">
      <w:pPr>
        <w:spacing w:after="0"/>
        <w:rPr>
          <w:rFonts w:cstheme="minorHAnsi"/>
        </w:rPr>
      </w:pPr>
      <w:r w:rsidRPr="005D6F2A">
        <w:rPr>
          <w:rFonts w:cstheme="minorHAnsi"/>
        </w:rPr>
        <w:t>The</w:t>
      </w:r>
      <w:r>
        <w:rPr>
          <w:rFonts w:cstheme="minorHAnsi"/>
        </w:rPr>
        <w:t xml:space="preserve"> total</w:t>
      </w:r>
      <w:r w:rsidRPr="005D6F2A">
        <w:rPr>
          <w:rFonts w:cstheme="minorHAnsi"/>
        </w:rPr>
        <w:t xml:space="preserve"> </w:t>
      </w:r>
      <w:r>
        <w:rPr>
          <w:rFonts w:cstheme="minorHAnsi"/>
        </w:rPr>
        <w:t xml:space="preserve">number of businesses in the cultural and creative sectors was approximately 170,000 in June 2019 and 173,000 in June 2020, sourced </w:t>
      </w:r>
      <w:r>
        <w:rPr>
          <w:rFonts w:cstheme="minorHAnsi"/>
        </w:rPr>
        <w:lastRenderedPageBreak/>
        <w:t>from Australian Bureau of Statistics data.</w:t>
      </w:r>
      <w:r>
        <w:rPr>
          <w:rStyle w:val="EndnoteReference"/>
          <w:rFonts w:cstheme="minorHAnsi"/>
        </w:rPr>
        <w:endnoteReference w:id="17"/>
      </w:r>
      <w:r>
        <w:rPr>
          <w:rFonts w:cstheme="minorHAnsi"/>
        </w:rPr>
        <w:t xml:space="preserve"> However, data on the number of entities </w:t>
      </w:r>
      <w:r w:rsidR="001C7BF8">
        <w:rPr>
          <w:rFonts w:cstheme="minorHAnsi"/>
        </w:rPr>
        <w:t xml:space="preserve">that </w:t>
      </w:r>
      <w:r>
        <w:rPr>
          <w:rFonts w:cstheme="minorHAnsi"/>
        </w:rPr>
        <w:t>receiv</w:t>
      </w:r>
      <w:r w:rsidR="001C7BF8">
        <w:rPr>
          <w:rFonts w:cstheme="minorHAnsi"/>
        </w:rPr>
        <w:t>ed</w:t>
      </w:r>
      <w:r>
        <w:rPr>
          <w:rFonts w:cstheme="minorHAnsi"/>
        </w:rPr>
        <w:t xml:space="preserve"> </w:t>
      </w:r>
      <w:proofErr w:type="spellStart"/>
      <w:r>
        <w:rPr>
          <w:rFonts w:cstheme="minorHAnsi"/>
        </w:rPr>
        <w:t>JobKeeper</w:t>
      </w:r>
      <w:proofErr w:type="spellEnd"/>
      <w:r>
        <w:rPr>
          <w:rFonts w:cstheme="minorHAnsi"/>
        </w:rPr>
        <w:t xml:space="preserve"> and Boosting Cash Flow for Employers payments </w:t>
      </w:r>
      <w:r w:rsidR="005C14D5">
        <w:rPr>
          <w:rFonts w:cstheme="minorHAnsi"/>
        </w:rPr>
        <w:t>we</w:t>
      </w:r>
      <w:r>
        <w:rPr>
          <w:rFonts w:cstheme="minorHAnsi"/>
        </w:rPr>
        <w:t>re</w:t>
      </w:r>
      <w:r w:rsidRPr="00025E5F">
        <w:rPr>
          <w:rFonts w:cstheme="minorHAnsi"/>
        </w:rPr>
        <w:t xml:space="preserve"> </w:t>
      </w:r>
      <w:r w:rsidRPr="006A26C7">
        <w:rPr>
          <w:rFonts w:cstheme="minorHAnsi"/>
        </w:rPr>
        <w:t>f</w:t>
      </w:r>
      <w:r>
        <w:rPr>
          <w:rFonts w:cstheme="minorHAnsi"/>
        </w:rPr>
        <w:t>o</w:t>
      </w:r>
      <w:r w:rsidRPr="006A26C7">
        <w:rPr>
          <w:rFonts w:cstheme="minorHAnsi"/>
        </w:rPr>
        <w:t>r different period</w:t>
      </w:r>
      <w:r>
        <w:rPr>
          <w:rFonts w:cstheme="minorHAnsi"/>
        </w:rPr>
        <w:t>s</w:t>
      </w:r>
      <w:r w:rsidRPr="006A26C7">
        <w:rPr>
          <w:rFonts w:cstheme="minorHAnsi"/>
        </w:rPr>
        <w:t xml:space="preserve">. </w:t>
      </w:r>
      <w:r>
        <w:rPr>
          <w:rFonts w:cstheme="minorHAnsi"/>
        </w:rPr>
        <w:t xml:space="preserve"> </w:t>
      </w:r>
      <w:r>
        <w:t xml:space="preserve">Additionally, the scope of entities </w:t>
      </w:r>
      <w:r w:rsidR="00836048">
        <w:t xml:space="preserve">that received </w:t>
      </w:r>
      <w:r>
        <w:t xml:space="preserve">payments differs from businesses captured by the Australian Bureau of Statistics data. For example, the Australian Bureau of Statistics data includes only actively trading businesses in the market sector, while entities </w:t>
      </w:r>
      <w:r w:rsidR="00836048">
        <w:t>that</w:t>
      </w:r>
      <w:r>
        <w:t xml:space="preserve"> </w:t>
      </w:r>
      <w:r w:rsidR="00836048">
        <w:t>received</w:t>
      </w:r>
      <w:r>
        <w:t xml:space="preserve"> payments could include not-for-profit organisations.</w:t>
      </w:r>
    </w:p>
    <w:p w14:paraId="3E82C671" w14:textId="0894E188" w:rsidR="0083071E" w:rsidRPr="007D1B1B" w:rsidRDefault="0083071E" w:rsidP="005119E1">
      <w:pPr>
        <w:pStyle w:val="Heading4"/>
      </w:pPr>
      <w:bookmarkStart w:id="54" w:name="_Toc73021024"/>
      <w:bookmarkStart w:id="55" w:name="_Toc73021831"/>
      <w:bookmarkStart w:id="56" w:name="_Toc73021952"/>
      <w:bookmarkStart w:id="57" w:name="_Toc73022115"/>
      <w:r>
        <w:t xml:space="preserve">Caveats to </w:t>
      </w:r>
      <w:proofErr w:type="spellStart"/>
      <w:r>
        <w:t>JobKeeper</w:t>
      </w:r>
      <w:proofErr w:type="spellEnd"/>
      <w:r>
        <w:t xml:space="preserve"> payments data</w:t>
      </w:r>
      <w:bookmarkEnd w:id="54"/>
      <w:bookmarkEnd w:id="55"/>
      <w:bookmarkEnd w:id="56"/>
      <w:bookmarkEnd w:id="57"/>
    </w:p>
    <w:p w14:paraId="3A03A728" w14:textId="530D29B8" w:rsidR="0083071E" w:rsidRPr="003B38C9" w:rsidRDefault="00F76476" w:rsidP="0083071E">
      <w:pPr>
        <w:pStyle w:val="Bullet1"/>
        <w:rPr>
          <w:rFonts w:cstheme="minorHAnsi"/>
        </w:rPr>
      </w:pPr>
      <w:r w:rsidRPr="006951FA">
        <w:rPr>
          <w:rFonts w:cstheme="minorHAnsi"/>
        </w:rPr>
        <w:t xml:space="preserve">For </w:t>
      </w:r>
      <w:proofErr w:type="spellStart"/>
      <w:r w:rsidRPr="006951FA">
        <w:rPr>
          <w:rFonts w:cstheme="minorHAnsi"/>
        </w:rPr>
        <w:t>JobKeeper</w:t>
      </w:r>
      <w:proofErr w:type="spellEnd"/>
      <w:r w:rsidRPr="006951FA">
        <w:rPr>
          <w:rFonts w:cstheme="minorHAnsi"/>
        </w:rPr>
        <w:t xml:space="preserve"> months April to September, monthly employees/EBP is calculated by dividing the net cash payments by the maximum value of </w:t>
      </w:r>
      <w:proofErr w:type="spellStart"/>
      <w:r w:rsidRPr="006951FA">
        <w:rPr>
          <w:rFonts w:cstheme="minorHAnsi"/>
        </w:rPr>
        <w:t>JobKeeper</w:t>
      </w:r>
      <w:proofErr w:type="spellEnd"/>
      <w:r w:rsidRPr="006951FA">
        <w:rPr>
          <w:rFonts w:cstheme="minorHAnsi"/>
        </w:rPr>
        <w:t xml:space="preserve"> payments that a single employee/EBP would receive in a given month. F</w:t>
      </w:r>
      <w:r>
        <w:rPr>
          <w:rFonts w:cstheme="minorHAnsi"/>
        </w:rPr>
        <w:t xml:space="preserve">rom </w:t>
      </w:r>
      <w:r w:rsidRPr="006951FA">
        <w:rPr>
          <w:rFonts w:cstheme="minorHAnsi"/>
        </w:rPr>
        <w:t>October onwards, the count of employees/EBP is based on employees/EBP listed in the employer</w:t>
      </w:r>
      <w:r>
        <w:rPr>
          <w:rFonts w:cstheme="minorHAnsi"/>
        </w:rPr>
        <w:t>’</w:t>
      </w:r>
      <w:r w:rsidRPr="006951FA">
        <w:rPr>
          <w:rFonts w:cstheme="minorHAnsi"/>
        </w:rPr>
        <w:t xml:space="preserve">s application for whom a payment has been made in relation to the </w:t>
      </w:r>
      <w:proofErr w:type="spellStart"/>
      <w:r w:rsidRPr="006951FA">
        <w:rPr>
          <w:rFonts w:cstheme="minorHAnsi"/>
        </w:rPr>
        <w:t>JobKeeper</w:t>
      </w:r>
      <w:proofErr w:type="spellEnd"/>
      <w:r w:rsidRPr="006951FA">
        <w:rPr>
          <w:rFonts w:cstheme="minorHAnsi"/>
        </w:rPr>
        <w:t xml:space="preserve"> period.</w:t>
      </w:r>
    </w:p>
    <w:p w14:paraId="393075A9" w14:textId="26504671" w:rsidR="0083071E" w:rsidRPr="00C4241A" w:rsidRDefault="00F76476" w:rsidP="0083071E">
      <w:pPr>
        <w:pStyle w:val="Bullet1"/>
        <w:rPr>
          <w:rFonts w:eastAsia="Times New Roman"/>
        </w:rPr>
      </w:pPr>
      <w:r w:rsidRPr="0049060B">
        <w:rPr>
          <w:rFonts w:eastAsia="Times New Roman"/>
        </w:rPr>
        <w:t>Data</w:t>
      </w:r>
      <w:r>
        <w:rPr>
          <w:rFonts w:eastAsia="Times New Roman"/>
        </w:rPr>
        <w:t xml:space="preserve"> provided</w:t>
      </w:r>
      <w:r w:rsidRPr="0049060B">
        <w:rPr>
          <w:rFonts w:eastAsia="Times New Roman"/>
        </w:rPr>
        <w:t xml:space="preserve"> is for the first phase of </w:t>
      </w:r>
      <w:proofErr w:type="spellStart"/>
      <w:r w:rsidRPr="0049060B">
        <w:rPr>
          <w:rFonts w:eastAsia="Times New Roman"/>
        </w:rPr>
        <w:t>JobKeeper</w:t>
      </w:r>
      <w:proofErr w:type="spellEnd"/>
      <w:r w:rsidRPr="0049060B">
        <w:rPr>
          <w:rFonts w:eastAsia="Times New Roman"/>
        </w:rPr>
        <w:t xml:space="preserve"> (</w:t>
      </w:r>
      <w:proofErr w:type="spellStart"/>
      <w:r w:rsidRPr="0049060B">
        <w:rPr>
          <w:rFonts w:eastAsia="Times New Roman"/>
        </w:rPr>
        <w:t>JobKeeper</w:t>
      </w:r>
      <w:proofErr w:type="spellEnd"/>
      <w:r w:rsidRPr="0049060B">
        <w:rPr>
          <w:rFonts w:eastAsia="Times New Roman"/>
        </w:rPr>
        <w:t xml:space="preserve"> fortnights in April, May, June, July, August and September 2020) and the first quarter of the </w:t>
      </w:r>
      <w:proofErr w:type="spellStart"/>
      <w:r w:rsidRPr="0049060B">
        <w:rPr>
          <w:rFonts w:eastAsia="Times New Roman"/>
        </w:rPr>
        <w:t>JobKeeper</w:t>
      </w:r>
      <w:proofErr w:type="spellEnd"/>
      <w:r w:rsidRPr="0049060B">
        <w:rPr>
          <w:rFonts w:eastAsia="Times New Roman"/>
        </w:rPr>
        <w:t xml:space="preserve"> extension phase (</w:t>
      </w:r>
      <w:proofErr w:type="spellStart"/>
      <w:r w:rsidRPr="0049060B">
        <w:rPr>
          <w:rFonts w:eastAsia="Times New Roman"/>
        </w:rPr>
        <w:t>JobKeeper</w:t>
      </w:r>
      <w:proofErr w:type="spellEnd"/>
      <w:r w:rsidRPr="0049060B">
        <w:rPr>
          <w:rFonts w:eastAsia="Times New Roman"/>
        </w:rPr>
        <w:t xml:space="preserve"> fortnights in Octobe</w:t>
      </w:r>
      <w:r>
        <w:rPr>
          <w:rFonts w:eastAsia="Times New Roman"/>
        </w:rPr>
        <w:t>r, November and December 2020</w:t>
      </w:r>
      <w:r>
        <w:rPr>
          <w:rFonts w:eastAsia="Times New Roman"/>
          <w:lang w:val="en-AU"/>
        </w:rPr>
        <w:t xml:space="preserve"> as well as the fortnight ending 3 January 2021</w:t>
      </w:r>
      <w:r>
        <w:rPr>
          <w:rFonts w:eastAsia="Times New Roman"/>
        </w:rPr>
        <w:t>).</w:t>
      </w:r>
    </w:p>
    <w:p w14:paraId="131E9CDA" w14:textId="77777777" w:rsidR="0083071E" w:rsidRPr="0049060B" w:rsidRDefault="0083071E" w:rsidP="00E508D0">
      <w:pPr>
        <w:pStyle w:val="Bullet1"/>
        <w:keepNext/>
        <w:rPr>
          <w:rFonts w:eastAsia="Times New Roman"/>
        </w:rPr>
      </w:pPr>
      <w:proofErr w:type="spellStart"/>
      <w:r>
        <w:rPr>
          <w:rFonts w:eastAsia="Times New Roman"/>
        </w:rPr>
        <w:lastRenderedPageBreak/>
        <w:t>JobKeeper</w:t>
      </w:r>
      <w:proofErr w:type="spellEnd"/>
      <w:r>
        <w:rPr>
          <w:rFonts w:eastAsia="Times New Roman"/>
        </w:rPr>
        <w:t xml:space="preserve"> eligibility:</w:t>
      </w:r>
    </w:p>
    <w:p w14:paraId="1874237A" w14:textId="09DE2315" w:rsidR="0083071E" w:rsidRPr="0049060B" w:rsidRDefault="00F76476" w:rsidP="00E508D0">
      <w:pPr>
        <w:pStyle w:val="Bullet2"/>
        <w:keepLines/>
      </w:pPr>
      <w:r w:rsidRPr="0049060B">
        <w:t xml:space="preserve">The first phase of the </w:t>
      </w:r>
      <w:proofErr w:type="spellStart"/>
      <w:r w:rsidRPr="0049060B">
        <w:t>JobKeeper</w:t>
      </w:r>
      <w:proofErr w:type="spellEnd"/>
      <w:r w:rsidRPr="0049060B">
        <w:t xml:space="preserve"> </w:t>
      </w:r>
      <w:r>
        <w:t>P</w:t>
      </w:r>
      <w:r w:rsidRPr="0049060B">
        <w:t>ayment consisted of a flat payment of $1</w:t>
      </w:r>
      <w:r>
        <w:t>,</w:t>
      </w:r>
      <w:r w:rsidRPr="0049060B">
        <w:t>500 per fortnight</w:t>
      </w:r>
      <w:r>
        <w:t xml:space="preserve"> for each eligible employee and EBP within an eligible business</w:t>
      </w:r>
      <w:r w:rsidRPr="0049060B">
        <w:t>, available for the fortnightly periods between 30 March 2020 and 27</w:t>
      </w:r>
      <w:r>
        <w:t> </w:t>
      </w:r>
      <w:r w:rsidRPr="0049060B">
        <w:t>September 2020.</w:t>
      </w:r>
    </w:p>
    <w:p w14:paraId="3A81AF5A" w14:textId="55B10726" w:rsidR="0083071E" w:rsidRPr="0049060B" w:rsidRDefault="00F76476" w:rsidP="00E508D0">
      <w:pPr>
        <w:pStyle w:val="Bullet2"/>
      </w:pPr>
      <w:r w:rsidRPr="0049060B">
        <w:t xml:space="preserve">The </w:t>
      </w:r>
      <w:proofErr w:type="spellStart"/>
      <w:r w:rsidRPr="0049060B">
        <w:t>JobKeeper</w:t>
      </w:r>
      <w:proofErr w:type="spellEnd"/>
      <w:r w:rsidRPr="0049060B">
        <w:t xml:space="preserve"> </w:t>
      </w:r>
      <w:r>
        <w:t>P</w:t>
      </w:r>
      <w:r w:rsidRPr="0049060B">
        <w:t>ayment was extended for 6 months (from 28 September 2020 to 28 March 2021) with a few</w:t>
      </w:r>
      <w:r>
        <w:t xml:space="preserve"> policy</w:t>
      </w:r>
      <w:r w:rsidRPr="0049060B">
        <w:t xml:space="preserve"> changes: employer</w:t>
      </w:r>
      <w:r>
        <w:t xml:space="preserve">s </w:t>
      </w:r>
      <w:r w:rsidRPr="00A221A9">
        <w:t>had to demonstrate an actual decline in turnover</w:t>
      </w:r>
      <w:r w:rsidRPr="0049060B">
        <w:t>, payment rates</w:t>
      </w:r>
      <w:r>
        <w:t xml:space="preserve"> for employees and EBP</w:t>
      </w:r>
      <w:r w:rsidRPr="0049060B">
        <w:t xml:space="preserve"> were stepped-down and two tiers of payments were introduced</w:t>
      </w:r>
      <w:r>
        <w:t>.</w:t>
      </w:r>
      <w:r w:rsidRPr="00361EDD">
        <w:rPr>
          <w:vertAlign w:val="superscript"/>
        </w:rPr>
        <w:endnoteReference w:id="18"/>
      </w:r>
      <w:r w:rsidRPr="0049060B">
        <w:t xml:space="preserve"> Employees who were employed for 20</w:t>
      </w:r>
      <w:r>
        <w:t> </w:t>
      </w:r>
      <w:r w:rsidRPr="0049060B">
        <w:t xml:space="preserve">hours or more </w:t>
      </w:r>
      <w:r>
        <w:t>per</w:t>
      </w:r>
      <w:r w:rsidRPr="0049060B">
        <w:t xml:space="preserve"> week on average in the four weekly pay periods prior to the employee reference date (1</w:t>
      </w:r>
      <w:r>
        <w:t> </w:t>
      </w:r>
      <w:r w:rsidRPr="0049060B">
        <w:t xml:space="preserve">March or 1 July 2020) </w:t>
      </w:r>
      <w:r>
        <w:t xml:space="preserve">were eligible to </w:t>
      </w:r>
      <w:r w:rsidRPr="0049060B">
        <w:t xml:space="preserve">receive the tier 1 payment while employees who were employed for less than 20 hours </w:t>
      </w:r>
      <w:r>
        <w:t>were eligible for</w:t>
      </w:r>
      <w:r w:rsidRPr="0049060B">
        <w:t xml:space="preserve"> the tier 2 payment.</w:t>
      </w:r>
    </w:p>
    <w:p w14:paraId="04457976" w14:textId="39C6EE05" w:rsidR="0083071E" w:rsidRPr="0049060B" w:rsidRDefault="00F76476" w:rsidP="00E508D0">
      <w:pPr>
        <w:pStyle w:val="Bullet2"/>
      </w:pPr>
      <w:r w:rsidRPr="0049060B">
        <w:t xml:space="preserve">To be eligible for the </w:t>
      </w:r>
      <w:proofErr w:type="spellStart"/>
      <w:r w:rsidRPr="0049060B">
        <w:t>JobKeeper</w:t>
      </w:r>
      <w:proofErr w:type="spellEnd"/>
      <w:r w:rsidRPr="0049060B">
        <w:t xml:space="preserve"> extension phase employers </w:t>
      </w:r>
      <w:proofErr w:type="spellStart"/>
      <w:r w:rsidR="00836048">
        <w:rPr>
          <w:lang w:val="en-AU"/>
        </w:rPr>
        <w:t>we</w:t>
      </w:r>
      <w:r w:rsidR="00836048" w:rsidRPr="0049060B">
        <w:t>re</w:t>
      </w:r>
      <w:proofErr w:type="spellEnd"/>
      <w:r w:rsidR="00836048" w:rsidRPr="0049060B">
        <w:t xml:space="preserve"> </w:t>
      </w:r>
      <w:r w:rsidRPr="0049060B">
        <w:t>required to demonstrate an actual decline in turnover. This test must</w:t>
      </w:r>
      <w:r>
        <w:rPr>
          <w:lang w:val="en-AU"/>
        </w:rPr>
        <w:t xml:space="preserve"> </w:t>
      </w:r>
      <w:r w:rsidR="00836048">
        <w:rPr>
          <w:lang w:val="en-AU"/>
        </w:rPr>
        <w:t>have</w:t>
      </w:r>
      <w:r w:rsidRPr="0049060B">
        <w:t xml:space="preserve"> be</w:t>
      </w:r>
      <w:r w:rsidR="00836048">
        <w:rPr>
          <w:lang w:val="en-AU"/>
        </w:rPr>
        <w:t>en</w:t>
      </w:r>
      <w:r w:rsidRPr="0049060B">
        <w:t xml:space="preserve"> satisfied to be eligible for both </w:t>
      </w:r>
      <w:proofErr w:type="spellStart"/>
      <w:r w:rsidRPr="0049060B">
        <w:t>JobKeeper</w:t>
      </w:r>
      <w:proofErr w:type="spellEnd"/>
      <w:r w:rsidRPr="0049060B">
        <w:t xml:space="preserve"> extension periods (December 2020 and March 2021 quarters). This is a shift from the previous one-off test for the first phase of </w:t>
      </w:r>
      <w:proofErr w:type="spellStart"/>
      <w:r w:rsidRPr="0049060B">
        <w:t>JobKeeper</w:t>
      </w:r>
      <w:proofErr w:type="spellEnd"/>
      <w:r w:rsidRPr="0049060B">
        <w:t xml:space="preserve"> that required employers to project a decline in turnover.</w:t>
      </w:r>
    </w:p>
    <w:p w14:paraId="785161AE" w14:textId="37824F87" w:rsidR="0083071E" w:rsidRPr="00C4241A" w:rsidRDefault="00F76476" w:rsidP="00E508D0">
      <w:pPr>
        <w:pStyle w:val="Bullet2"/>
      </w:pPr>
      <w:r w:rsidRPr="0049060B">
        <w:rPr>
          <w:rFonts w:eastAsia="Times New Roman"/>
        </w:rPr>
        <w:lastRenderedPageBreak/>
        <w:t xml:space="preserve">Entities </w:t>
      </w:r>
      <w:r w:rsidR="00836048">
        <w:rPr>
          <w:rFonts w:eastAsia="Times New Roman"/>
          <w:lang w:val="en-AU"/>
        </w:rPr>
        <w:t>were</w:t>
      </w:r>
      <w:r>
        <w:rPr>
          <w:rFonts w:eastAsia="Times New Roman"/>
          <w:lang w:val="en-AU"/>
        </w:rPr>
        <w:t xml:space="preserve"> </w:t>
      </w:r>
      <w:r w:rsidRPr="0049060B">
        <w:rPr>
          <w:rFonts w:eastAsia="Times New Roman"/>
        </w:rPr>
        <w:t xml:space="preserve">required to submit applications each month for </w:t>
      </w:r>
      <w:proofErr w:type="spellStart"/>
      <w:r w:rsidRPr="0049060B">
        <w:rPr>
          <w:rFonts w:eastAsia="Times New Roman"/>
        </w:rPr>
        <w:t>JobKeeper</w:t>
      </w:r>
      <w:proofErr w:type="spellEnd"/>
      <w:r w:rsidRPr="0049060B">
        <w:rPr>
          <w:rFonts w:eastAsia="Times New Roman"/>
        </w:rPr>
        <w:t xml:space="preserve"> and nominate their eligible employees each month, therefore it is possible that some employers and/or employees </w:t>
      </w:r>
      <w:r>
        <w:rPr>
          <w:rFonts w:eastAsia="Times New Roman"/>
        </w:rPr>
        <w:t xml:space="preserve">or EBP </w:t>
      </w:r>
      <w:r w:rsidR="00836048" w:rsidRPr="0049060B">
        <w:rPr>
          <w:rFonts w:eastAsia="Times New Roman"/>
        </w:rPr>
        <w:t>w</w:t>
      </w:r>
      <w:r w:rsidR="00836048">
        <w:rPr>
          <w:rFonts w:eastAsia="Times New Roman"/>
          <w:lang w:val="en-AU"/>
        </w:rPr>
        <w:t>ould</w:t>
      </w:r>
      <w:r w:rsidR="00836048" w:rsidRPr="0049060B">
        <w:rPr>
          <w:rFonts w:eastAsia="Times New Roman"/>
        </w:rPr>
        <w:t xml:space="preserve"> </w:t>
      </w:r>
      <w:r w:rsidRPr="0049060B">
        <w:rPr>
          <w:rFonts w:eastAsia="Times New Roman"/>
        </w:rPr>
        <w:t xml:space="preserve">not have been participating in </w:t>
      </w:r>
      <w:proofErr w:type="spellStart"/>
      <w:r w:rsidRPr="0049060B">
        <w:rPr>
          <w:rFonts w:eastAsia="Times New Roman"/>
        </w:rPr>
        <w:t>JobKeeper</w:t>
      </w:r>
      <w:proofErr w:type="spellEnd"/>
      <w:r w:rsidRPr="0049060B">
        <w:rPr>
          <w:rFonts w:eastAsia="Times New Roman"/>
        </w:rPr>
        <w:t xml:space="preserve"> for the entire period.</w:t>
      </w:r>
    </w:p>
    <w:p w14:paraId="2F5A4C8D" w14:textId="53945F22" w:rsidR="0083071E" w:rsidRPr="0083071E" w:rsidRDefault="0083071E" w:rsidP="00830664">
      <w:pPr>
        <w:pStyle w:val="Bullet1"/>
      </w:pPr>
      <w:r>
        <w:br w:type="page"/>
      </w:r>
    </w:p>
    <w:bookmarkEnd w:id="12"/>
    <w:p w14:paraId="11EDA9BB" w14:textId="64044938" w:rsidR="00180B5B" w:rsidRPr="00B94E36" w:rsidRDefault="00A2414F" w:rsidP="005119E1">
      <w:pPr>
        <w:pStyle w:val="Heading2"/>
      </w:pPr>
      <w:r>
        <w:lastRenderedPageBreak/>
        <w:t>References</w:t>
      </w:r>
    </w:p>
    <w:sectPr w:rsidR="00180B5B" w:rsidRPr="00B94E36" w:rsidSect="008051DB">
      <w:headerReference w:type="even" r:id="rId29"/>
      <w:headerReference w:type="default" r:id="rId30"/>
      <w:footerReference w:type="even" r:id="rId31"/>
      <w:footerReference w:type="default" r:id="rId32"/>
      <w:headerReference w:type="first" r:id="rId33"/>
      <w:footerReference w:type="first" r:id="rId34"/>
      <w:footnotePr>
        <w:numFmt w:val="lowerRoman"/>
      </w:footnotePr>
      <w:endnotePr>
        <w:numFmt w:val="decimal"/>
      </w:endnotePr>
      <w:type w:val="continuous"/>
      <w:pgSz w:w="11906" w:h="16838" w:code="9"/>
      <w:pgMar w:top="1021" w:right="1021" w:bottom="1021" w:left="1021" w:header="510" w:footer="0"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4252E" w14:textId="77777777" w:rsidR="005C14D5" w:rsidRDefault="005C14D5" w:rsidP="008456D5">
      <w:pPr>
        <w:spacing w:before="0" w:after="0"/>
      </w:pPr>
      <w:r>
        <w:separator/>
      </w:r>
    </w:p>
  </w:endnote>
  <w:endnote w:type="continuationSeparator" w:id="0">
    <w:p w14:paraId="758AA36F" w14:textId="77777777" w:rsidR="005C14D5" w:rsidRDefault="005C14D5" w:rsidP="008456D5">
      <w:pPr>
        <w:spacing w:before="0" w:after="0"/>
      </w:pPr>
      <w:r>
        <w:continuationSeparator/>
      </w:r>
    </w:p>
  </w:endnote>
  <w:endnote w:type="continuationNotice" w:id="1">
    <w:p w14:paraId="1BD44536" w14:textId="77777777" w:rsidR="005C14D5" w:rsidRDefault="005C14D5">
      <w:pPr>
        <w:spacing w:before="0" w:after="0"/>
      </w:pPr>
    </w:p>
  </w:endnote>
  <w:endnote w:id="2">
    <w:p w14:paraId="634D1D68" w14:textId="375CFEF6" w:rsidR="005C14D5" w:rsidRPr="00CB66AE" w:rsidRDefault="005C14D5" w:rsidP="00F76476">
      <w:pPr>
        <w:pStyle w:val="EndnoteText"/>
        <w:rPr>
          <w:rFonts w:ascii="Calibri" w:hAnsi="Calibri" w:cs="Calibri"/>
        </w:rPr>
      </w:pPr>
      <w:r w:rsidRPr="00CB66AE">
        <w:rPr>
          <w:rStyle w:val="EndnoteReference"/>
          <w:rFonts w:ascii="Calibri" w:hAnsi="Calibri" w:cs="Calibri"/>
        </w:rPr>
        <w:endnoteRef/>
      </w:r>
      <w:r w:rsidRPr="00CB66AE">
        <w:rPr>
          <w:rFonts w:ascii="Calibri" w:hAnsi="Calibri" w:cs="Calibri"/>
        </w:rPr>
        <w:t xml:space="preserve"> Bureau of Communications, Arts and Regional Research 202</w:t>
      </w:r>
      <w:r>
        <w:rPr>
          <w:rFonts w:ascii="Calibri" w:hAnsi="Calibri" w:cs="Calibri"/>
        </w:rPr>
        <w:t>1</w:t>
      </w:r>
      <w:r w:rsidRPr="00CB66AE">
        <w:rPr>
          <w:rFonts w:ascii="Calibri" w:hAnsi="Calibri" w:cs="Calibri"/>
        </w:rPr>
        <w:t xml:space="preserve">, </w:t>
      </w:r>
      <w:hyperlink r:id="rId1" w:history="1">
        <w:r w:rsidRPr="005644CF">
          <w:rPr>
            <w:rStyle w:val="Hyperlink"/>
            <w:rFonts w:ascii="Calibri" w:hAnsi="Calibri" w:cs="Calibri"/>
          </w:rPr>
          <w:t>Cultural and creative activity in Australia 2009–10 to 2018–19</w:t>
        </w:r>
      </w:hyperlink>
    </w:p>
  </w:endnote>
  <w:endnote w:id="3">
    <w:p w14:paraId="206E0DE7" w14:textId="4D658B4B" w:rsidR="005C14D5" w:rsidRPr="00CB66AE" w:rsidRDefault="005C14D5" w:rsidP="00F76476">
      <w:pPr>
        <w:pStyle w:val="EndnoteText"/>
        <w:rPr>
          <w:rFonts w:ascii="Calibri" w:hAnsi="Calibri" w:cs="Calibri"/>
        </w:rPr>
      </w:pPr>
      <w:r w:rsidRPr="00CB66AE">
        <w:rPr>
          <w:rStyle w:val="EndnoteReference"/>
          <w:rFonts w:ascii="Calibri" w:hAnsi="Calibri" w:cs="Calibri"/>
        </w:rPr>
        <w:endnoteRef/>
      </w:r>
      <w:r w:rsidRPr="00CB66AE">
        <w:rPr>
          <w:rFonts w:ascii="Calibri" w:hAnsi="Calibri" w:cs="Calibri"/>
        </w:rPr>
        <w:t xml:space="preserve"> Bureau of Communications, Arts and Regional Research analysis of </w:t>
      </w:r>
      <w:r>
        <w:rPr>
          <w:rFonts w:ascii="Calibri" w:hAnsi="Calibri" w:cs="Calibri"/>
        </w:rPr>
        <w:t>Australian Bureau of Statistics</w:t>
      </w:r>
      <w:r w:rsidRPr="00CB66AE">
        <w:rPr>
          <w:rFonts w:ascii="Calibri" w:hAnsi="Calibri" w:cs="Calibri"/>
        </w:rPr>
        <w:t xml:space="preserve"> Census of Population and Housing 2016</w:t>
      </w:r>
      <w:r>
        <w:rPr>
          <w:rFonts w:ascii="Calibri" w:hAnsi="Calibri" w:cs="Calibri"/>
        </w:rPr>
        <w:t>; Office for the Arts,</w:t>
      </w:r>
      <w:r w:rsidRPr="00CB66AE">
        <w:rPr>
          <w:rFonts w:ascii="Calibri" w:hAnsi="Calibri" w:cs="Calibri"/>
        </w:rPr>
        <w:t xml:space="preserve"> </w:t>
      </w:r>
      <w:hyperlink r:id="rId2" w:history="1">
        <w:r w:rsidRPr="00CB66AE">
          <w:rPr>
            <w:rStyle w:val="Hyperlink"/>
            <w:rFonts w:ascii="Calibri" w:hAnsi="Calibri" w:cs="Calibri"/>
          </w:rPr>
          <w:t>Meeting of Cultural Ministers</w:t>
        </w:r>
      </w:hyperlink>
      <w:r w:rsidRPr="00CB66AE">
        <w:rPr>
          <w:rFonts w:ascii="Calibri" w:hAnsi="Calibri" w:cs="Calibri"/>
        </w:rPr>
        <w:t>, 2019</w:t>
      </w:r>
    </w:p>
  </w:endnote>
  <w:endnote w:id="4">
    <w:p w14:paraId="0752F621" w14:textId="39456B3E" w:rsidR="005C14D5" w:rsidRDefault="005C14D5">
      <w:pPr>
        <w:pStyle w:val="EndnoteText"/>
      </w:pPr>
      <w:r>
        <w:rPr>
          <w:rStyle w:val="EndnoteReference"/>
        </w:rPr>
        <w:endnoteRef/>
      </w:r>
      <w:r>
        <w:t xml:space="preserve"> </w:t>
      </w:r>
      <w:r w:rsidRPr="009470DB">
        <w:rPr>
          <w:rFonts w:asciiTheme="minorHAnsi" w:hAnsiTheme="minorHAnsi" w:cstheme="minorHAnsi"/>
        </w:rPr>
        <w:t xml:space="preserve">Hon Minister Fletcher 2021, </w:t>
      </w:r>
      <w:hyperlink r:id="rId3" w:history="1">
        <w:r w:rsidRPr="009470DB">
          <w:rPr>
            <w:rStyle w:val="Hyperlink"/>
            <w:rFonts w:asciiTheme="minorHAnsi" w:hAnsiTheme="minorHAnsi" w:cstheme="minorHAnsi"/>
          </w:rPr>
          <w:t>$35 million additional support for arts workers and companies</w:t>
        </w:r>
      </w:hyperlink>
    </w:p>
  </w:endnote>
  <w:endnote w:id="5">
    <w:p w14:paraId="569F7A4C" w14:textId="7BAA3086" w:rsidR="005C14D5" w:rsidRPr="00CB66AE" w:rsidRDefault="005C14D5" w:rsidP="00F76476">
      <w:pPr>
        <w:pStyle w:val="EndnoteText"/>
        <w:rPr>
          <w:rFonts w:ascii="Calibri" w:hAnsi="Calibri" w:cs="Calibri"/>
        </w:rPr>
      </w:pPr>
      <w:r w:rsidRPr="00CB66AE">
        <w:rPr>
          <w:rStyle w:val="EndnoteReference"/>
          <w:rFonts w:ascii="Calibri" w:hAnsi="Calibri" w:cs="Calibri"/>
        </w:rPr>
        <w:endnoteRef/>
      </w:r>
      <w:r w:rsidRPr="00CB66AE">
        <w:rPr>
          <w:rFonts w:ascii="Calibri" w:hAnsi="Calibri" w:cs="Calibri"/>
        </w:rPr>
        <w:t xml:space="preserve"> Bureau of Communications</w:t>
      </w:r>
      <w:r>
        <w:rPr>
          <w:rFonts w:ascii="Calibri" w:hAnsi="Calibri" w:cs="Calibri"/>
        </w:rPr>
        <w:t>,</w:t>
      </w:r>
      <w:r w:rsidRPr="00CB66AE">
        <w:rPr>
          <w:rFonts w:ascii="Calibri" w:hAnsi="Calibri" w:cs="Calibri"/>
        </w:rPr>
        <w:t xml:space="preserve"> Arts </w:t>
      </w:r>
      <w:r>
        <w:rPr>
          <w:rFonts w:ascii="Calibri" w:hAnsi="Calibri" w:cs="Calibri"/>
        </w:rPr>
        <w:t xml:space="preserve">and Regional </w:t>
      </w:r>
      <w:r w:rsidRPr="00CB66AE">
        <w:rPr>
          <w:rFonts w:ascii="Calibri" w:hAnsi="Calibri" w:cs="Calibri"/>
        </w:rPr>
        <w:t xml:space="preserve">Research 2020, </w:t>
      </w:r>
      <w:hyperlink r:id="rId4" w:history="1">
        <w:r w:rsidRPr="00CB66AE">
          <w:rPr>
            <w:rStyle w:val="Hyperlink"/>
            <w:rFonts w:ascii="Calibri" w:hAnsi="Calibri" w:cs="Calibri"/>
          </w:rPr>
          <w:t>Characteristics of employment and business activity in</w:t>
        </w:r>
        <w:r>
          <w:rPr>
            <w:rStyle w:val="Hyperlink"/>
            <w:rFonts w:ascii="Calibri" w:hAnsi="Calibri" w:cs="Calibri"/>
          </w:rPr>
          <w:t xml:space="preserve"> </w:t>
        </w:r>
        <w:r w:rsidRPr="00CB66AE">
          <w:rPr>
            <w:rStyle w:val="Hyperlink"/>
            <w:rFonts w:ascii="Calibri" w:hAnsi="Calibri" w:cs="Calibri"/>
          </w:rPr>
          <w:t>cultural and creative sectors</w:t>
        </w:r>
      </w:hyperlink>
    </w:p>
  </w:endnote>
  <w:endnote w:id="6">
    <w:p w14:paraId="537F3239" w14:textId="69B6EC66" w:rsidR="005C14D5" w:rsidRPr="00CB66AE" w:rsidRDefault="005C14D5" w:rsidP="00F76476">
      <w:pPr>
        <w:pStyle w:val="EndnoteText"/>
        <w:rPr>
          <w:rFonts w:ascii="Calibri" w:hAnsi="Calibri" w:cs="Calibri"/>
        </w:rPr>
      </w:pPr>
      <w:r w:rsidRPr="00CB66AE">
        <w:rPr>
          <w:rStyle w:val="EndnoteReference"/>
          <w:rFonts w:ascii="Calibri" w:hAnsi="Calibri" w:cs="Calibri"/>
        </w:rPr>
        <w:endnoteRef/>
      </w:r>
      <w:r w:rsidRPr="00CB66AE">
        <w:rPr>
          <w:rFonts w:ascii="Calibri" w:hAnsi="Calibri" w:cs="Calibri"/>
        </w:rPr>
        <w:t xml:space="preserve"> Bureau of Communications</w:t>
      </w:r>
      <w:r>
        <w:rPr>
          <w:rFonts w:ascii="Calibri" w:hAnsi="Calibri" w:cs="Calibri"/>
        </w:rPr>
        <w:t>,</w:t>
      </w:r>
      <w:r w:rsidRPr="00CB66AE">
        <w:rPr>
          <w:rFonts w:ascii="Calibri" w:hAnsi="Calibri" w:cs="Calibri"/>
        </w:rPr>
        <w:t xml:space="preserve"> Arts </w:t>
      </w:r>
      <w:r>
        <w:rPr>
          <w:rFonts w:ascii="Calibri" w:hAnsi="Calibri" w:cs="Calibri"/>
        </w:rPr>
        <w:t xml:space="preserve">and Regional </w:t>
      </w:r>
      <w:r w:rsidRPr="00CB66AE">
        <w:rPr>
          <w:rFonts w:ascii="Calibri" w:hAnsi="Calibri" w:cs="Calibri"/>
        </w:rPr>
        <w:t xml:space="preserve">Research 2020, </w:t>
      </w:r>
      <w:hyperlink r:id="rId5" w:history="1">
        <w:r w:rsidRPr="00CB66AE">
          <w:rPr>
            <w:rStyle w:val="Hyperlink"/>
            <w:rFonts w:ascii="Calibri" w:hAnsi="Calibri" w:cs="Calibri"/>
          </w:rPr>
          <w:t>Characteristics of employment and business activity in</w:t>
        </w:r>
        <w:r>
          <w:rPr>
            <w:rStyle w:val="Hyperlink"/>
            <w:rFonts w:ascii="Calibri" w:hAnsi="Calibri" w:cs="Calibri"/>
          </w:rPr>
          <w:t xml:space="preserve"> </w:t>
        </w:r>
        <w:r w:rsidRPr="00CB66AE">
          <w:rPr>
            <w:rStyle w:val="Hyperlink"/>
            <w:rFonts w:ascii="Calibri" w:hAnsi="Calibri" w:cs="Calibri"/>
          </w:rPr>
          <w:t>cultural and creative sectors</w:t>
        </w:r>
      </w:hyperlink>
    </w:p>
  </w:endnote>
  <w:endnote w:id="7">
    <w:p w14:paraId="77C47DEC" w14:textId="77777777" w:rsidR="005C14D5" w:rsidRPr="00CB66AE" w:rsidRDefault="005C14D5" w:rsidP="00F76476">
      <w:pPr>
        <w:pStyle w:val="EndnoteText"/>
        <w:rPr>
          <w:rFonts w:ascii="Calibri" w:hAnsi="Calibri" w:cs="Calibri"/>
        </w:rPr>
      </w:pPr>
      <w:r w:rsidRPr="00CB66AE">
        <w:rPr>
          <w:rStyle w:val="EndnoteReference"/>
          <w:rFonts w:ascii="Calibri" w:hAnsi="Calibri" w:cs="Calibri"/>
        </w:rPr>
        <w:endnoteRef/>
      </w:r>
      <w:r w:rsidRPr="00CB66AE">
        <w:rPr>
          <w:rFonts w:ascii="Calibri" w:hAnsi="Calibri" w:cs="Calibri"/>
        </w:rPr>
        <w:t xml:space="preserve"> Department of the Treasury 2020, </w:t>
      </w:r>
      <w:hyperlink r:id="rId6" w:history="1">
        <w:r w:rsidRPr="00CB66AE">
          <w:rPr>
            <w:rStyle w:val="Hyperlink"/>
            <w:rFonts w:ascii="Calibri" w:hAnsi="Calibri" w:cs="Calibri"/>
          </w:rPr>
          <w:t xml:space="preserve">Extension of the </w:t>
        </w:r>
        <w:proofErr w:type="spellStart"/>
        <w:r w:rsidRPr="00CB66AE">
          <w:rPr>
            <w:rStyle w:val="Hyperlink"/>
            <w:rFonts w:ascii="Calibri" w:hAnsi="Calibri" w:cs="Calibri"/>
          </w:rPr>
          <w:t>JobKeeper</w:t>
        </w:r>
        <w:proofErr w:type="spellEnd"/>
        <w:r w:rsidRPr="00CB66AE">
          <w:rPr>
            <w:rStyle w:val="Hyperlink"/>
            <w:rFonts w:ascii="Calibri" w:hAnsi="Calibri" w:cs="Calibri"/>
          </w:rPr>
          <w:t xml:space="preserve"> Payment</w:t>
        </w:r>
      </w:hyperlink>
    </w:p>
  </w:endnote>
  <w:endnote w:id="8">
    <w:p w14:paraId="481FC331" w14:textId="47E92854" w:rsidR="005C14D5" w:rsidRPr="00CB66AE" w:rsidRDefault="005C14D5" w:rsidP="00F76476">
      <w:pPr>
        <w:pStyle w:val="EndnoteText"/>
        <w:rPr>
          <w:rFonts w:ascii="Calibri" w:hAnsi="Calibri" w:cs="Calibri"/>
        </w:rPr>
      </w:pPr>
      <w:r w:rsidRPr="00CB66AE">
        <w:rPr>
          <w:rStyle w:val="EndnoteReference"/>
          <w:rFonts w:ascii="Calibri" w:hAnsi="Calibri" w:cs="Calibri"/>
        </w:rPr>
        <w:endnoteRef/>
      </w:r>
      <w:r w:rsidRPr="00CB66AE">
        <w:rPr>
          <w:rFonts w:ascii="Calibri" w:hAnsi="Calibri" w:cs="Calibri"/>
        </w:rPr>
        <w:t xml:space="preserve"> Australian Taxation Office 2020, </w:t>
      </w:r>
      <w:hyperlink r:id="rId7" w:history="1">
        <w:r>
          <w:rPr>
            <w:rStyle w:val="Hyperlink"/>
            <w:rFonts w:asciiTheme="minorHAnsi" w:hAnsiTheme="minorHAnsi" w:cstheme="minorHAnsi"/>
          </w:rPr>
          <w:t>COVID-19 Boosting Cash Flow for Employers interim report</w:t>
        </w:r>
      </w:hyperlink>
    </w:p>
  </w:endnote>
  <w:endnote w:id="9">
    <w:p w14:paraId="4DED2941" w14:textId="77777777" w:rsidR="005C14D5" w:rsidRDefault="005C14D5" w:rsidP="00F76476">
      <w:pPr>
        <w:pStyle w:val="EndnoteText"/>
      </w:pPr>
      <w:r w:rsidRPr="00361EDD">
        <w:rPr>
          <w:rStyle w:val="EndnoteReference"/>
          <w:rFonts w:asciiTheme="minorHAnsi" w:hAnsiTheme="minorHAnsi" w:cstheme="minorHAnsi"/>
        </w:rPr>
        <w:endnoteRef/>
      </w:r>
      <w:r>
        <w:rPr>
          <w:rFonts w:asciiTheme="minorHAnsi" w:hAnsiTheme="minorHAnsi" w:cstheme="minorHAnsi"/>
        </w:rPr>
        <w:t xml:space="preserve"> Office for the Arts,</w:t>
      </w:r>
      <w:r w:rsidRPr="00361EDD">
        <w:rPr>
          <w:rFonts w:asciiTheme="minorHAnsi" w:hAnsiTheme="minorHAnsi" w:cstheme="minorHAnsi"/>
        </w:rPr>
        <w:t xml:space="preserve"> </w:t>
      </w:r>
      <w:hyperlink r:id="rId8" w:history="1">
        <w:r w:rsidRPr="00CB66AE">
          <w:rPr>
            <w:rStyle w:val="Hyperlink"/>
            <w:rFonts w:ascii="Calibri" w:hAnsi="Calibri" w:cs="Calibri"/>
          </w:rPr>
          <w:t>Meeting of Cultural Ministers</w:t>
        </w:r>
      </w:hyperlink>
      <w:r w:rsidRPr="00CB66AE">
        <w:rPr>
          <w:rFonts w:ascii="Calibri" w:hAnsi="Calibri" w:cs="Calibri"/>
        </w:rPr>
        <w:t>, 2019</w:t>
      </w:r>
    </w:p>
  </w:endnote>
  <w:endnote w:id="10">
    <w:p w14:paraId="1BF4FFFC" w14:textId="7F3F2F4A" w:rsidR="005C14D5" w:rsidRPr="00CB66AE" w:rsidRDefault="005C14D5" w:rsidP="00F76476">
      <w:pPr>
        <w:pStyle w:val="EndnoteText"/>
        <w:rPr>
          <w:rFonts w:ascii="Calibri" w:hAnsi="Calibri" w:cs="Calibri"/>
        </w:rPr>
      </w:pPr>
      <w:r w:rsidRPr="00CB66AE">
        <w:rPr>
          <w:rStyle w:val="EndnoteReference"/>
          <w:rFonts w:ascii="Calibri" w:hAnsi="Calibri" w:cs="Calibri"/>
        </w:rPr>
        <w:endnoteRef/>
      </w:r>
      <w:r w:rsidRPr="00CB66AE">
        <w:rPr>
          <w:rFonts w:ascii="Calibri" w:hAnsi="Calibri" w:cs="Calibri"/>
        </w:rPr>
        <w:t xml:space="preserve"> Bureau of Communications, Arts and Regional Research</w:t>
      </w:r>
      <w:r>
        <w:rPr>
          <w:rFonts w:ascii="Calibri" w:hAnsi="Calibri" w:cs="Calibri"/>
        </w:rPr>
        <w:t xml:space="preserve"> analysis of</w:t>
      </w:r>
      <w:r w:rsidRPr="00CB66AE">
        <w:rPr>
          <w:rFonts w:ascii="Calibri" w:hAnsi="Calibri" w:cs="Calibri"/>
        </w:rPr>
        <w:t xml:space="preserve"> Australian Bureau of Statistics 202</w:t>
      </w:r>
      <w:r>
        <w:rPr>
          <w:rFonts w:ascii="Calibri" w:hAnsi="Calibri" w:cs="Calibri"/>
        </w:rPr>
        <w:t xml:space="preserve">1, </w:t>
      </w:r>
      <w:hyperlink r:id="rId9" w:history="1">
        <w:r w:rsidRPr="00FF1083">
          <w:rPr>
            <w:rStyle w:val="Hyperlink"/>
            <w:rFonts w:ascii="Calibri" w:hAnsi="Calibri" w:cs="Calibri"/>
          </w:rPr>
          <w:t>Counts of Australian Businesses, including Entries and Exits</w:t>
        </w:r>
      </w:hyperlink>
    </w:p>
  </w:endnote>
  <w:endnote w:id="11">
    <w:p w14:paraId="7D865043" w14:textId="56BD071D" w:rsidR="005C14D5" w:rsidRDefault="005C14D5" w:rsidP="00F76476">
      <w:pPr>
        <w:pStyle w:val="EndnoteText"/>
      </w:pPr>
      <w:r>
        <w:rPr>
          <w:rStyle w:val="EndnoteReference"/>
        </w:rPr>
        <w:endnoteRef/>
      </w:r>
      <w:r>
        <w:t xml:space="preserve"> </w:t>
      </w:r>
      <w:r w:rsidRPr="00825A47">
        <w:rPr>
          <w:rFonts w:asciiTheme="minorHAnsi" w:hAnsiTheme="minorHAnsi" w:cstheme="minorHAnsi"/>
        </w:rPr>
        <w:t xml:space="preserve">Australian Taxation Office 2020, </w:t>
      </w:r>
      <w:hyperlink r:id="rId10" w:history="1">
        <w:r>
          <w:rPr>
            <w:rStyle w:val="Hyperlink"/>
            <w:rFonts w:asciiTheme="minorHAnsi" w:hAnsiTheme="minorHAnsi" w:cstheme="minorHAnsi"/>
          </w:rPr>
          <w:t>COVID-19 Boosting Cash Flow for Employers interim report</w:t>
        </w:r>
      </w:hyperlink>
    </w:p>
  </w:endnote>
  <w:endnote w:id="12">
    <w:p w14:paraId="00FB157C" w14:textId="174BEBF6" w:rsidR="005C14D5" w:rsidRDefault="005C14D5">
      <w:pPr>
        <w:pStyle w:val="EndnoteText"/>
      </w:pPr>
      <w:r>
        <w:rPr>
          <w:rStyle w:val="EndnoteReference"/>
        </w:rPr>
        <w:endnoteRef/>
      </w:r>
      <w:r>
        <w:t xml:space="preserve"> </w:t>
      </w:r>
      <w:r w:rsidRPr="00C42EE4">
        <w:rPr>
          <w:rFonts w:asciiTheme="minorHAnsi" w:hAnsiTheme="minorHAnsi" w:cstheme="minorHAnsi"/>
        </w:rPr>
        <w:t xml:space="preserve">Hon Minister Fletcher 2021, </w:t>
      </w:r>
      <w:hyperlink r:id="rId11" w:history="1">
        <w:r w:rsidRPr="00C42EE4">
          <w:rPr>
            <w:rStyle w:val="Hyperlink"/>
            <w:rFonts w:asciiTheme="minorHAnsi" w:hAnsiTheme="minorHAnsi" w:cstheme="minorHAnsi"/>
          </w:rPr>
          <w:t>$35 million additional support for arts workers and companies</w:t>
        </w:r>
      </w:hyperlink>
    </w:p>
  </w:endnote>
  <w:endnote w:id="13">
    <w:p w14:paraId="29D66BBC" w14:textId="77777777" w:rsidR="005C14D5" w:rsidRPr="00CB66AE" w:rsidRDefault="005C14D5" w:rsidP="00F76476">
      <w:pPr>
        <w:pStyle w:val="EndnoteText"/>
        <w:rPr>
          <w:rFonts w:ascii="Calibri" w:hAnsi="Calibri" w:cs="Calibri"/>
        </w:rPr>
      </w:pPr>
      <w:r w:rsidRPr="00CB66AE">
        <w:rPr>
          <w:rStyle w:val="EndnoteReference"/>
          <w:rFonts w:ascii="Calibri" w:hAnsi="Calibri" w:cs="Calibri"/>
        </w:rPr>
        <w:endnoteRef/>
      </w:r>
      <w:r w:rsidRPr="00CB66AE">
        <w:rPr>
          <w:rFonts w:ascii="Calibri" w:hAnsi="Calibri" w:cs="Calibri"/>
        </w:rPr>
        <w:t xml:space="preserve"> Department of Infrastructure, Transport, Regional Development and Communications, Office for the Arts, </w:t>
      </w:r>
      <w:hyperlink r:id="rId12" w:history="1">
        <w:r>
          <w:rPr>
            <w:rStyle w:val="Hyperlink"/>
            <w:rFonts w:ascii="Calibri" w:hAnsi="Calibri" w:cs="Calibri"/>
          </w:rPr>
          <w:t>COVID-19 update</w:t>
        </w:r>
      </w:hyperlink>
    </w:p>
  </w:endnote>
  <w:endnote w:id="14">
    <w:p w14:paraId="63544791" w14:textId="77777777" w:rsidR="005C14D5" w:rsidRDefault="005C14D5" w:rsidP="00F76476">
      <w:pPr>
        <w:pStyle w:val="EndnoteText"/>
      </w:pPr>
      <w:r>
        <w:rPr>
          <w:rStyle w:val="EndnoteReference"/>
        </w:rPr>
        <w:endnoteRef/>
      </w:r>
      <w:r>
        <w:t xml:space="preserve"> </w:t>
      </w:r>
      <w:r w:rsidRPr="00CB66AE">
        <w:rPr>
          <w:rFonts w:ascii="Calibri" w:hAnsi="Calibri" w:cs="Calibri"/>
        </w:rPr>
        <w:t xml:space="preserve">Department of Infrastructure, Transport, Regional Development and Communications, Office for the Arts, </w:t>
      </w:r>
      <w:hyperlink r:id="rId13" w:history="1">
        <w:r>
          <w:rPr>
            <w:rStyle w:val="Hyperlink"/>
            <w:rFonts w:ascii="Calibri" w:hAnsi="Calibri" w:cs="Calibri"/>
          </w:rPr>
          <w:t>COVID-19 update</w:t>
        </w:r>
      </w:hyperlink>
    </w:p>
  </w:endnote>
  <w:endnote w:id="15">
    <w:p w14:paraId="3BD864B5" w14:textId="77777777" w:rsidR="005C14D5" w:rsidRPr="00CB66AE" w:rsidRDefault="005C14D5" w:rsidP="00F76476">
      <w:pPr>
        <w:pStyle w:val="EndnoteText"/>
        <w:rPr>
          <w:rFonts w:ascii="Calibri" w:hAnsi="Calibri" w:cs="Calibri"/>
        </w:rPr>
      </w:pPr>
      <w:r w:rsidRPr="00CB66AE">
        <w:rPr>
          <w:rStyle w:val="EndnoteReference"/>
          <w:rFonts w:ascii="Calibri" w:hAnsi="Calibri" w:cs="Calibri"/>
        </w:rPr>
        <w:endnoteRef/>
      </w:r>
      <w:r w:rsidRPr="00CB66AE">
        <w:rPr>
          <w:rFonts w:ascii="Calibri" w:hAnsi="Calibri" w:cs="Calibri"/>
        </w:rPr>
        <w:t xml:space="preserve"> Department of Infrastructure, Transport, Regional Development and Communications, Office for the Arts, </w:t>
      </w:r>
      <w:hyperlink r:id="rId14" w:history="1">
        <w:r>
          <w:rPr>
            <w:rStyle w:val="Hyperlink"/>
            <w:rFonts w:ascii="Calibri" w:hAnsi="Calibri" w:cs="Calibri"/>
          </w:rPr>
          <w:t>COVID-19 update</w:t>
        </w:r>
      </w:hyperlink>
    </w:p>
  </w:endnote>
  <w:endnote w:id="16">
    <w:p w14:paraId="7DF0FDD8" w14:textId="77777777" w:rsidR="005C14D5" w:rsidRPr="00357789" w:rsidRDefault="005C14D5" w:rsidP="00F76476">
      <w:pPr>
        <w:pStyle w:val="EndnoteText"/>
        <w:rPr>
          <w:rFonts w:ascii="Calibri" w:hAnsi="Calibri" w:cs="Calibri"/>
        </w:rPr>
      </w:pPr>
      <w:r w:rsidRPr="00357789">
        <w:rPr>
          <w:rStyle w:val="EndnoteReference"/>
          <w:rFonts w:ascii="Calibri" w:hAnsi="Calibri" w:cs="Calibri"/>
        </w:rPr>
        <w:endnoteRef/>
      </w:r>
      <w:r w:rsidRPr="00357789">
        <w:rPr>
          <w:rFonts w:ascii="Calibri" w:hAnsi="Calibri" w:cs="Calibri"/>
        </w:rPr>
        <w:t xml:space="preserve"> Australian Bureau of Statistics 2014, </w:t>
      </w:r>
      <w:hyperlink r:id="rId15" w:history="1">
        <w:r w:rsidRPr="00361EDD">
          <w:rPr>
            <w:rStyle w:val="Hyperlink"/>
            <w:rFonts w:ascii="Calibri" w:hAnsi="Calibri" w:cs="Calibri"/>
          </w:rPr>
          <w:t>Cultural and Creative Activity Satellite Accounts, Experimental, 2008–09</w:t>
        </w:r>
      </w:hyperlink>
    </w:p>
  </w:endnote>
  <w:endnote w:id="17">
    <w:p w14:paraId="6DBC0C5F" w14:textId="62A337C8" w:rsidR="005C14D5" w:rsidRDefault="005C14D5" w:rsidP="00F76476">
      <w:pPr>
        <w:pStyle w:val="EndnoteText"/>
      </w:pPr>
      <w:r w:rsidRPr="00361EDD">
        <w:rPr>
          <w:rStyle w:val="EndnoteReference"/>
          <w:rFonts w:ascii="Calibri" w:hAnsi="Calibri" w:cs="Calibri"/>
        </w:rPr>
        <w:endnoteRef/>
      </w:r>
      <w:r w:rsidRPr="00361EDD">
        <w:rPr>
          <w:rFonts w:ascii="Calibri" w:hAnsi="Calibri" w:cs="Calibri"/>
        </w:rPr>
        <w:t xml:space="preserve"> BCARR analysis of </w:t>
      </w:r>
      <w:r w:rsidRPr="00CB66AE">
        <w:rPr>
          <w:rFonts w:ascii="Calibri" w:hAnsi="Calibri" w:cs="Calibri"/>
        </w:rPr>
        <w:t>Australian Bureau of Statistics 202</w:t>
      </w:r>
      <w:r>
        <w:rPr>
          <w:rFonts w:ascii="Calibri" w:hAnsi="Calibri" w:cs="Calibri"/>
        </w:rPr>
        <w:t xml:space="preserve">1, </w:t>
      </w:r>
      <w:hyperlink r:id="rId16" w:history="1">
        <w:r w:rsidRPr="00FF1083">
          <w:rPr>
            <w:rStyle w:val="Hyperlink"/>
            <w:rFonts w:ascii="Calibri" w:hAnsi="Calibri" w:cs="Calibri"/>
          </w:rPr>
          <w:t>Counts of Australian Businesses, including Entries and Exits</w:t>
        </w:r>
      </w:hyperlink>
    </w:p>
  </w:endnote>
  <w:endnote w:id="18">
    <w:p w14:paraId="036C3093" w14:textId="77777777" w:rsidR="005C14D5" w:rsidRDefault="005C14D5" w:rsidP="00F76476">
      <w:pPr>
        <w:pStyle w:val="EndnoteText"/>
      </w:pPr>
      <w:r>
        <w:rPr>
          <w:rStyle w:val="EndnoteReference"/>
        </w:rPr>
        <w:endnoteRef/>
      </w:r>
      <w:r>
        <w:t xml:space="preserve"> </w:t>
      </w:r>
      <w:r w:rsidRPr="000E02A2">
        <w:rPr>
          <w:rFonts w:asciiTheme="minorHAnsi" w:hAnsiTheme="minorHAnsi" w:cstheme="minorHAnsi"/>
        </w:rPr>
        <w:t>Australian Taxation Office</w:t>
      </w:r>
      <w:r>
        <w:rPr>
          <w:rFonts w:asciiTheme="minorHAnsi" w:hAnsiTheme="minorHAnsi" w:cstheme="minorHAnsi"/>
        </w:rPr>
        <w:t xml:space="preserve"> 2020, </w:t>
      </w:r>
      <w:hyperlink r:id="rId17" w:history="1">
        <w:proofErr w:type="spellStart"/>
        <w:r>
          <w:rPr>
            <w:rStyle w:val="Hyperlink"/>
            <w:rFonts w:asciiTheme="minorHAnsi" w:hAnsiTheme="minorHAnsi" w:cstheme="minorHAnsi"/>
          </w:rPr>
          <w:t>JobKeeper</w:t>
        </w:r>
        <w:proofErr w:type="spellEnd"/>
        <w:r>
          <w:rPr>
            <w:rStyle w:val="Hyperlink"/>
            <w:rFonts w:asciiTheme="minorHAnsi" w:hAnsiTheme="minorHAnsi" w:cstheme="minorHAnsi"/>
          </w:rPr>
          <w:t xml:space="preserve"> Payment rates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5B568" w14:textId="4FF3FFD2" w:rsidR="005C14D5" w:rsidRDefault="005C14D5"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6D73F" w14:textId="1EE4634D" w:rsidR="005C14D5" w:rsidRDefault="005C14D5" w:rsidP="00546218">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C03DE" w14:textId="77777777" w:rsidR="005C14D5" w:rsidRDefault="005C14D5" w:rsidP="00DF7EA3">
    <w:pPr>
      <w:pStyle w:val="Footer"/>
      <w:spacing w:before="720"/>
      <w:ind w:left="-993"/>
    </w:pPr>
    <w:r>
      <w:rPr>
        <w:noProof/>
        <w:lang w:eastAsia="en-AU"/>
      </w:rPr>
      <mc:AlternateContent>
        <mc:Choice Requires="wps">
          <w:drawing>
            <wp:anchor distT="0" distB="0" distL="114300" distR="114300" simplePos="0" relativeHeight="251658242" behindDoc="1" locked="1" layoutInCell="1" allowOverlap="1" wp14:anchorId="6A8199EF" wp14:editId="08FB4D87">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280CCE00" w14:textId="58BCFA95" w:rsidR="005C14D5" w:rsidRPr="007A05BE" w:rsidRDefault="005C14D5"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C2611">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199EF" id="_x0000_t202" coordsize="21600,21600" o:spt="202" path="m,l,21600r21600,l21600,xe">
              <v:stroke joinstyle="miter"/>
              <v:path gradientshapeok="t" o:connecttype="rect"/>
            </v:shapetype>
            <v:shape id="Text Box 6" o:spid="_x0000_s1026" type="#_x0000_t202" alt="Title: background - Description: background" style="position:absolute;left:0;text-align:left;margin-left:28.15pt;margin-top:0;width:79.35pt;height:42.5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" filled="f" stroked="f" strokeweight=".5pt">
              <v:textbox inset="0,0,18mm,10mm">
                <w:txbxContent>
                  <w:p w14:paraId="280CCE00" w14:textId="58BCFA95" w:rsidR="005C14D5" w:rsidRPr="007A05BE" w:rsidRDefault="005C14D5"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C2611">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1" behindDoc="1" locked="1" layoutInCell="1" allowOverlap="1" wp14:anchorId="2BD9F682" wp14:editId="6400D768">
              <wp:simplePos x="0" y="0"/>
              <wp:positionH relativeFrom="page">
                <wp:posOffset>2343150</wp:posOffset>
              </wp:positionH>
              <wp:positionV relativeFrom="page">
                <wp:posOffset>10153650</wp:posOffset>
              </wp:positionV>
              <wp:extent cx="5215255" cy="539115"/>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5215255" cy="539115"/>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6D0F7559" w14:textId="5B1BAE18" w:rsidR="005C14D5" w:rsidRDefault="00DC2611" w:rsidP="00D02062">
                              <w:pPr>
                                <w:pStyle w:val="Footer"/>
                                <w:jc w:val="right"/>
                              </w:pPr>
                              <w:r>
                                <w:t>Government payments to the cultural and creative sectors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9F682" id="Text Box 7" o:spid="_x0000_s1027" type="#_x0000_t202" alt="Title: background - Description: background" style="position:absolute;left:0;text-align:left;margin-left:184.5pt;margin-top:799.5pt;width:410.65pt;height:42.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6D0F7559" w14:textId="5B1BAE18" w:rsidR="005C14D5" w:rsidRDefault="00DC2611" w:rsidP="00D02062">
                        <w:pPr>
                          <w:pStyle w:val="Footer"/>
                          <w:jc w:val="right"/>
                        </w:pPr>
                        <w:r>
                          <w:t>Government payments to the cultural and creative sectors</w:t>
                        </w:r>
                      </w:p>
                    </w:sdtContent>
                  </w:sdt>
                </w:txbxContent>
              </v:textbox>
              <w10:wrap anchorx="page" anchory="page"/>
              <w10:anchorlock/>
            </v:shape>
          </w:pict>
        </mc:Fallback>
      </mc:AlternateContent>
    </w:r>
    <w:r>
      <w:rPr>
        <w:noProof/>
        <w:lang w:eastAsia="en-AU"/>
      </w:rPr>
      <w:drawing>
        <wp:inline distT="0" distB="0" distL="0" distR="0" wp14:anchorId="735BDB99" wp14:editId="2895912C">
          <wp:extent cx="7540041" cy="181610"/>
          <wp:effectExtent l="0" t="0" r="3810" b="8890"/>
          <wp:docPr id="22" name="Picture 2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13436" cy="19782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A46EF" w14:textId="7389E499" w:rsidR="005C14D5" w:rsidRDefault="005C14D5" w:rsidP="00180B5B">
    <w:pPr>
      <w:pStyle w:val="Footer"/>
      <w:spacing w:before="720"/>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20ED0" w14:textId="5CDDDEFA" w:rsidR="005C14D5" w:rsidRDefault="005C14D5" w:rsidP="00DF7EA3">
    <w:pPr>
      <w:pStyle w:val="Footer"/>
      <w:spacing w:before="720"/>
      <w:ind w:left="-993"/>
    </w:pPr>
    <w:r>
      <w:rPr>
        <w:noProof/>
        <w:lang w:eastAsia="en-AU"/>
      </w:rPr>
      <mc:AlternateContent>
        <mc:Choice Requires="wps">
          <w:drawing>
            <wp:anchor distT="0" distB="0" distL="114300" distR="114300" simplePos="0" relativeHeight="251658244" behindDoc="1" locked="1" layoutInCell="1" allowOverlap="1" wp14:anchorId="1F3031FB" wp14:editId="16FA32F1">
              <wp:simplePos x="0" y="0"/>
              <wp:positionH relativeFrom="page">
                <wp:posOffset>6552565</wp:posOffset>
              </wp:positionH>
              <wp:positionV relativeFrom="page">
                <wp:posOffset>10153015</wp:posOffset>
              </wp:positionV>
              <wp:extent cx="1007110" cy="539115"/>
              <wp:effectExtent l="0" t="0" r="0" b="0"/>
              <wp:wrapNone/>
              <wp:docPr id="25" name="Text Box 25" descr="background" title="background"/>
              <wp:cNvGraphicFramePr/>
              <a:graphic xmlns:a="http://schemas.openxmlformats.org/drawingml/2006/main">
                <a:graphicData uri="http://schemas.microsoft.com/office/word/2010/wordprocessingShape">
                  <wps:wsp>
                    <wps:cNvSpPr txBox="1"/>
                    <wps:spPr>
                      <a:xfrm>
                        <a:off x="0" y="0"/>
                        <a:ext cx="1007110" cy="539115"/>
                      </a:xfrm>
                      <a:prstGeom prst="rect">
                        <a:avLst/>
                      </a:prstGeom>
                      <a:noFill/>
                      <a:ln w="6350">
                        <a:noFill/>
                      </a:ln>
                    </wps:spPr>
                    <wps:txbx>
                      <w:txbxContent>
                        <w:p w14:paraId="1A5A5065" w14:textId="7B2BD0AB" w:rsidR="005C14D5" w:rsidRPr="007A05BE" w:rsidRDefault="005C14D5"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C2611">
                            <w:rPr>
                              <w:rStyle w:val="PageNumber"/>
                              <w:noProof/>
                            </w:rPr>
                            <w:t>12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031FB" id="_x0000_t202" coordsize="21600,21600" o:spt="202" path="m,l,21600r21600,l21600,xe">
              <v:stroke joinstyle="miter"/>
              <v:path gradientshapeok="t" o:connecttype="rect"/>
            </v:shapetype>
            <v:shape id="Text Box 25" o:spid="_x0000_s1028" type="#_x0000_t202" alt="Title: background - Description: background" style="position:absolute;left:0;text-align:left;margin-left:515.95pt;margin-top:799.45pt;width:79.3pt;height:42.4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" filled="f" stroked="f" strokeweight=".5pt">
              <v:textbox inset="0,0,18mm,10mm">
                <w:txbxContent>
                  <w:p w14:paraId="1A5A5065" w14:textId="7B2BD0AB" w:rsidR="005C14D5" w:rsidRPr="007A05BE" w:rsidRDefault="005C14D5"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C2611">
                      <w:rPr>
                        <w:rStyle w:val="PageNumber"/>
                        <w:noProof/>
                      </w:rPr>
                      <w:t>12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3" behindDoc="1" locked="1" layoutInCell="1" allowOverlap="1" wp14:anchorId="17810957" wp14:editId="17663A34">
              <wp:simplePos x="0" y="0"/>
              <wp:positionH relativeFrom="page">
                <wp:posOffset>2266950</wp:posOffset>
              </wp:positionH>
              <wp:positionV relativeFrom="page">
                <wp:posOffset>9963150</wp:posOffset>
              </wp:positionV>
              <wp:extent cx="5291455" cy="728980"/>
              <wp:effectExtent l="0" t="0" r="0" b="0"/>
              <wp:wrapNone/>
              <wp:docPr id="26" name="Text Box 26" descr="background" title="background"/>
              <wp:cNvGraphicFramePr/>
              <a:graphic xmlns:a="http://schemas.openxmlformats.org/drawingml/2006/main">
                <a:graphicData uri="http://schemas.microsoft.com/office/word/2010/wordprocessingShape">
                  <wps:wsp>
                    <wps:cNvSpPr txBox="1"/>
                    <wps:spPr>
                      <a:xfrm>
                        <a:off x="0" y="0"/>
                        <a:ext cx="5291455" cy="728980"/>
                      </a:xfrm>
                      <a:prstGeom prst="rect">
                        <a:avLst/>
                      </a:prstGeom>
                      <a:noFill/>
                      <a:ln w="6350">
                        <a:noFill/>
                      </a:ln>
                    </wps:spPr>
                    <wps:txbx>
                      <w:txbxContent>
                        <w:sdt>
                          <w:sdtPr>
                            <w:alias w:val="Title"/>
                            <w:tag w:val=""/>
                            <w:id w:val="1335800993"/>
                            <w:dataBinding w:prefixMappings="xmlns:ns0='http://purl.org/dc/elements/1.1/' xmlns:ns1='http://schemas.openxmlformats.org/package/2006/metadata/core-properties' " w:xpath="/ns1:coreProperties[1]/ns0:title[1]" w:storeItemID="{6C3C8BC8-F283-45AE-878A-BAB7291924A1}"/>
                            <w:text/>
                          </w:sdtPr>
                          <w:sdtEndPr/>
                          <w:sdtContent>
                            <w:p w14:paraId="758AB898" w14:textId="37170E5E" w:rsidR="005C14D5" w:rsidRDefault="00DC2611" w:rsidP="007A05BE">
                              <w:pPr>
                                <w:pStyle w:val="Footer"/>
                                <w:jc w:val="right"/>
                              </w:pPr>
                              <w:r>
                                <w:t>Government payments to the cultural and creative sectors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10957" id="Text Box 26" o:spid="_x0000_s1029" type="#_x0000_t202" alt="Title: background - Description: background" style="position:absolute;left:0;text-align:left;margin-left:178.5pt;margin-top:784.5pt;width:416.65pt;height:57.4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" filled="f" stroked="f" strokeweight=".5pt">
              <v:textbox inset="0,0,28mm,10mm">
                <w:txbxContent>
                  <w:sdt>
                    <w:sdtPr>
                      <w:alias w:val="Title"/>
                      <w:tag w:val=""/>
                      <w:id w:val="1335800993"/>
                      <w:dataBinding w:prefixMappings="xmlns:ns0='http://purl.org/dc/elements/1.1/' xmlns:ns1='http://schemas.openxmlformats.org/package/2006/metadata/core-properties' " w:xpath="/ns1:coreProperties[1]/ns0:title[1]" w:storeItemID="{6C3C8BC8-F283-45AE-878A-BAB7291924A1}"/>
                      <w:text/>
                    </w:sdtPr>
                    <w:sdtEndPr/>
                    <w:sdtContent>
                      <w:p w14:paraId="758AB898" w14:textId="37170E5E" w:rsidR="005C14D5" w:rsidRDefault="00DC2611" w:rsidP="007A05BE">
                        <w:pPr>
                          <w:pStyle w:val="Footer"/>
                          <w:jc w:val="right"/>
                        </w:pPr>
                        <w:r>
                          <w:t>Government payments to the cultural and creative sectors</w:t>
                        </w:r>
                      </w:p>
                    </w:sdtContent>
                  </w:sdt>
                </w:txbxContent>
              </v:textbox>
              <w10:wrap anchorx="page" anchory="page"/>
              <w10:anchorlock/>
            </v:shape>
          </w:pict>
        </mc:Fallback>
      </mc:AlternateContent>
    </w:r>
    <w:r>
      <w:rPr>
        <w:noProof/>
        <w:lang w:eastAsia="en-AU"/>
      </w:rPr>
      <w:drawing>
        <wp:inline distT="0" distB="0" distL="0" distR="0" wp14:anchorId="46BFF430" wp14:editId="06F9F7E5">
          <wp:extent cx="7556500" cy="150495"/>
          <wp:effectExtent l="0" t="0" r="635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5230" cy="150868"/>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4A2A0" w14:textId="237B6480" w:rsidR="005C14D5" w:rsidRDefault="005C14D5" w:rsidP="00D02062">
    <w:pPr>
      <w:pStyle w:val="Footer"/>
      <w:spacing w:befor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2E207" w14:textId="77777777" w:rsidR="005C14D5" w:rsidRPr="005912BE" w:rsidRDefault="005C14D5" w:rsidP="005912BE">
      <w:pPr>
        <w:spacing w:before="300"/>
        <w:rPr>
          <w:color w:val="4BB3B5" w:themeColor="accent2"/>
        </w:rPr>
      </w:pPr>
      <w:r>
        <w:rPr>
          <w:color w:val="4BB3B5" w:themeColor="accent2"/>
        </w:rPr>
        <w:t>----------</w:t>
      </w:r>
    </w:p>
  </w:footnote>
  <w:footnote w:type="continuationSeparator" w:id="0">
    <w:p w14:paraId="777359F5" w14:textId="77777777" w:rsidR="005C14D5" w:rsidRDefault="005C14D5" w:rsidP="008456D5">
      <w:pPr>
        <w:spacing w:before="0" w:after="0"/>
      </w:pPr>
      <w:r>
        <w:continuationSeparator/>
      </w:r>
    </w:p>
  </w:footnote>
  <w:footnote w:type="continuationNotice" w:id="1">
    <w:p w14:paraId="32BD0B3B" w14:textId="77777777" w:rsidR="005C14D5" w:rsidRDefault="005C14D5">
      <w:pPr>
        <w:spacing w:before="0" w:after="0"/>
      </w:pPr>
    </w:p>
  </w:footnote>
  <w:footnote w:id="2">
    <w:p w14:paraId="05B83E8E" w14:textId="51CE5100" w:rsidR="005C14D5" w:rsidRDefault="005C14D5" w:rsidP="00F76476">
      <w:pPr>
        <w:pStyle w:val="FootnoteText"/>
      </w:pPr>
      <w:r>
        <w:rPr>
          <w:rStyle w:val="FootnoteReference"/>
        </w:rPr>
        <w:footnoteRef/>
      </w:r>
      <w:r>
        <w:t xml:space="preserve"> </w:t>
      </w:r>
      <w:r>
        <w:tab/>
        <w:t>Based on using the 10</w:t>
      </w:r>
      <w:r>
        <w:noBreakHyphen/>
        <w:t>year annual average growth rate for 2009–10 to 2018–19 (2.7 per cent) which yields an estimate of $119.0 billion for 2019–20 and $122.2 billion for 2020–21.</w:t>
      </w:r>
    </w:p>
  </w:footnote>
  <w:footnote w:id="3">
    <w:p w14:paraId="7417BE51" w14:textId="2E19F361" w:rsidR="005C14D5" w:rsidRDefault="005C14D5" w:rsidP="00F76476">
      <w:pPr>
        <w:pStyle w:val="FootnoteText"/>
      </w:pPr>
      <w:r>
        <w:rPr>
          <w:rStyle w:val="FootnoteReference"/>
        </w:rPr>
        <w:footnoteRef/>
      </w:r>
      <w:r>
        <w:t xml:space="preserve"> </w:t>
      </w:r>
      <w:r>
        <w:tab/>
      </w:r>
      <w:r w:rsidRPr="00366A9A">
        <w:t>An eligible business participant is an individual who</w:t>
      </w:r>
      <w:r>
        <w:t xml:space="preserve"> i</w:t>
      </w:r>
      <w:r w:rsidRPr="00366A9A">
        <w:t xml:space="preserve">s not an employee of </w:t>
      </w:r>
      <w:r>
        <w:t xml:space="preserve">the payment receiving </w:t>
      </w:r>
      <w:r w:rsidRPr="00366A9A">
        <w:t>business but is actively engaged in its operation</w:t>
      </w:r>
      <w:r>
        <w:t xml:space="preserve"> such as a sole trader or director.</w:t>
      </w:r>
    </w:p>
  </w:footnote>
  <w:footnote w:id="4">
    <w:p w14:paraId="4E6F3946" w14:textId="15BA89B9" w:rsidR="005C14D5" w:rsidRDefault="005C14D5" w:rsidP="00E006CE">
      <w:pPr>
        <w:pStyle w:val="FootnoteText"/>
      </w:pPr>
      <w:r>
        <w:rPr>
          <w:rStyle w:val="FootnoteReference"/>
        </w:rPr>
        <w:footnoteRef/>
      </w:r>
      <w:r>
        <w:t xml:space="preserve"> </w:t>
      </w:r>
      <w:r>
        <w:tab/>
        <w:t xml:space="preserve">The number of entities that could have received </w:t>
      </w:r>
      <w:proofErr w:type="spellStart"/>
      <w:r>
        <w:t>JobKeeper</w:t>
      </w:r>
      <w:proofErr w:type="spellEnd"/>
      <w:r>
        <w:t xml:space="preserve"> payments is greater than the number of businesses that are included on the Australian Business Register that was used to estimate the total number of cultural and creative businesses in Australia. </w:t>
      </w:r>
      <w:proofErr w:type="spellStart"/>
      <w:r>
        <w:t>JobKeeper</w:t>
      </w:r>
      <w:proofErr w:type="spellEnd"/>
      <w:r>
        <w:t xml:space="preserve"> is available to eligible businesses as well as not-for-profits, not all of which may be on the Australian Business Register.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98942" w14:textId="33583A8A" w:rsidR="005C14D5" w:rsidRDefault="00F40E9F" w:rsidP="00180B5B">
    <w:pPr>
      <w:pStyle w:val="Header"/>
      <w:spacing w:after="1320"/>
      <w:jc w:val="left"/>
    </w:pPr>
    <w:fldSimple w:instr=" STYLEREF  &quot;Heading 1&quot; \l  \* MERGEFORMAT ">
      <w:r w:rsidR="005C14D5">
        <w:rPr>
          <w:noProof/>
        </w:rPr>
        <w:t>References</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E7267" w14:textId="60EFD624" w:rsidR="005C14D5" w:rsidRDefault="00F40E9F" w:rsidP="00546218">
    <w:pPr>
      <w:pStyle w:val="Header"/>
      <w:spacing w:after="1320"/>
    </w:pPr>
    <w:fldSimple w:instr=" STYLEREF  &quot;Heading 1&quot; \l  \* MERGEFORMAT ">
      <w:r w:rsidR="005C14D5">
        <w:rPr>
          <w:noProof/>
        </w:rPr>
        <w:t>References</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2E4A" w14:textId="305D66BC" w:rsidR="005C14D5" w:rsidRDefault="005C14D5" w:rsidP="002A22BD">
    <w:pPr>
      <w:pStyle w:val="Header"/>
      <w:ind w:right="-1021"/>
    </w:pPr>
    <w:r>
      <w:rPr>
        <w:noProof/>
        <w:lang w:eastAsia="en-AU"/>
      </w:rPr>
      <w:drawing>
        <wp:inline distT="0" distB="0" distL="0" distR="0" wp14:anchorId="0B42BD3D" wp14:editId="4DD4B1EF">
          <wp:extent cx="3183529" cy="1645920"/>
          <wp:effectExtent l="0" t="0" r="0" b="0"/>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pic:nvPicPr>
                <pic:blipFill rotWithShape="1">
                  <a:blip r:embed="rId1">
                    <a:extLst>
                      <a:ext uri="{28A0092B-C50C-407E-A947-70E740481C1C}">
                        <a14:useLocalDpi xmlns:a14="http://schemas.microsoft.com/office/drawing/2010/main" val="0"/>
                      </a:ext>
                    </a:extLst>
                  </a:blip>
                  <a:srcRect b="13715"/>
                  <a:stretch/>
                </pic:blipFill>
                <pic:spPr bwMode="auto">
                  <a:xfrm>
                    <a:off x="0" y="0"/>
                    <a:ext cx="3184297" cy="164631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4A05E" w14:textId="7305CE4A" w:rsidR="005C14D5" w:rsidRDefault="00F40E9F" w:rsidP="00180B5B">
    <w:pPr>
      <w:pStyle w:val="Header"/>
      <w:spacing w:after="1320"/>
      <w:jc w:val="left"/>
    </w:pPr>
    <w:fldSimple w:instr=" STYLEREF  &quot;Heading 1&quot; \l  \* MERGEFORMAT ">
      <w:r w:rsidR="005C14D5">
        <w:rPr>
          <w:noProof/>
        </w:rPr>
        <w:t>References</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ECB08" w14:textId="2C233C3F" w:rsidR="005C14D5" w:rsidRDefault="005C14D5" w:rsidP="00546218">
    <w:pPr>
      <w:pStyle w:val="Header"/>
      <w:spacing w:after="132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4F514" w14:textId="1E1A6B95" w:rsidR="005C14D5" w:rsidRDefault="005C1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3761"/>
        </w:tabs>
        <w:ind w:left="3761"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16557AF3"/>
    <w:multiLevelType w:val="hybridMultilevel"/>
    <w:tmpl w:val="FAA42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CF462E"/>
    <w:multiLevelType w:val="multilevel"/>
    <w:tmpl w:val="B44090FE"/>
    <w:lvl w:ilvl="0">
      <w:start w:val="1"/>
      <w:numFmt w:val="decimal"/>
      <w:lvlText w:val="%1."/>
      <w:lvlJc w:val="left"/>
      <w:pPr>
        <w:ind w:left="458" w:hanging="360"/>
      </w:pPr>
      <w:rPr>
        <w:rFonts w:hint="default"/>
      </w:rPr>
    </w:lvl>
    <w:lvl w:ilvl="1">
      <w:start w:val="3"/>
      <w:numFmt w:val="decimal"/>
      <w:isLgl/>
      <w:lvlText w:val="%1.%2"/>
      <w:lvlJc w:val="left"/>
      <w:pPr>
        <w:ind w:left="818" w:hanging="36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1898" w:hanging="720"/>
      </w:pPr>
      <w:rPr>
        <w:rFonts w:hint="default"/>
      </w:rPr>
    </w:lvl>
    <w:lvl w:ilvl="4">
      <w:start w:val="1"/>
      <w:numFmt w:val="decimal"/>
      <w:isLgl/>
      <w:lvlText w:val="%1.%2.%3.%4.%5"/>
      <w:lvlJc w:val="left"/>
      <w:pPr>
        <w:ind w:left="2618" w:hanging="1080"/>
      </w:pPr>
      <w:rPr>
        <w:rFonts w:hint="default"/>
      </w:rPr>
    </w:lvl>
    <w:lvl w:ilvl="5">
      <w:start w:val="1"/>
      <w:numFmt w:val="decimal"/>
      <w:isLgl/>
      <w:lvlText w:val="%1.%2.%3.%4.%5.%6"/>
      <w:lvlJc w:val="left"/>
      <w:pPr>
        <w:ind w:left="2978" w:hanging="1080"/>
      </w:pPr>
      <w:rPr>
        <w:rFonts w:hint="default"/>
      </w:rPr>
    </w:lvl>
    <w:lvl w:ilvl="6">
      <w:start w:val="1"/>
      <w:numFmt w:val="decimal"/>
      <w:isLgl/>
      <w:lvlText w:val="%1.%2.%3.%4.%5.%6.%7"/>
      <w:lvlJc w:val="left"/>
      <w:pPr>
        <w:ind w:left="3698" w:hanging="1440"/>
      </w:pPr>
      <w:rPr>
        <w:rFonts w:hint="default"/>
      </w:rPr>
    </w:lvl>
    <w:lvl w:ilvl="7">
      <w:start w:val="1"/>
      <w:numFmt w:val="decimal"/>
      <w:isLgl/>
      <w:lvlText w:val="%1.%2.%3.%4.%5.%6.%7.%8"/>
      <w:lvlJc w:val="left"/>
      <w:pPr>
        <w:ind w:left="4058" w:hanging="1440"/>
      </w:pPr>
      <w:rPr>
        <w:rFonts w:hint="default"/>
      </w:rPr>
    </w:lvl>
    <w:lvl w:ilvl="8">
      <w:start w:val="1"/>
      <w:numFmt w:val="decimal"/>
      <w:isLgl/>
      <w:lvlText w:val="%1.%2.%3.%4.%5.%6.%7.%8.%9"/>
      <w:lvlJc w:val="left"/>
      <w:pPr>
        <w:ind w:left="4778" w:hanging="1800"/>
      </w:pPr>
      <w:rPr>
        <w:rFonts w:hint="default"/>
      </w:rPr>
    </w:lvl>
  </w:abstractNum>
  <w:abstractNum w:abstractNumId="14" w15:restartNumberingAfterBreak="0">
    <w:nsid w:val="24E92756"/>
    <w:multiLevelType w:val="hybridMultilevel"/>
    <w:tmpl w:val="ED3CDCCE"/>
    <w:lvl w:ilvl="0" w:tplc="5DC016A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CF7201F"/>
    <w:multiLevelType w:val="hybridMultilevel"/>
    <w:tmpl w:val="37EA82C4"/>
    <w:lvl w:ilvl="0" w:tplc="0C090001">
      <w:start w:val="1"/>
      <w:numFmt w:val="bullet"/>
      <w:lvlText w:val=""/>
      <w:lvlJc w:val="left"/>
      <w:pPr>
        <w:ind w:left="720" w:hanging="360"/>
      </w:pPr>
      <w:rPr>
        <w:rFonts w:ascii="Symbol" w:hAnsi="Symbol" w:hint="default"/>
      </w:rPr>
    </w:lvl>
    <w:lvl w:ilvl="1" w:tplc="C3763B50">
      <w:start w:val="2019"/>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00B280D"/>
    <w:multiLevelType w:val="hybridMultilevel"/>
    <w:tmpl w:val="79982DFA"/>
    <w:lvl w:ilvl="0" w:tplc="1332E890">
      <w:start w:val="1"/>
      <w:numFmt w:val="bullet"/>
      <w:lvlText w:val=""/>
      <w:lvlJc w:val="left"/>
      <w:pPr>
        <w:ind w:left="1791" w:hanging="360"/>
      </w:pPr>
      <w:rPr>
        <w:rFonts w:ascii="Symbol" w:hAnsi="Symbol" w:hint="default"/>
        <w:sz w:val="24"/>
        <w:szCs w:val="36"/>
      </w:rPr>
    </w:lvl>
    <w:lvl w:ilvl="1" w:tplc="0C090001">
      <w:start w:val="1"/>
      <w:numFmt w:val="bullet"/>
      <w:lvlText w:val=""/>
      <w:lvlJc w:val="left"/>
      <w:pPr>
        <w:ind w:left="927" w:hanging="360"/>
      </w:pPr>
      <w:rPr>
        <w:rFonts w:ascii="Symbol" w:hAnsi="Symbol" w:hint="default"/>
        <w:sz w:val="24"/>
      </w:rPr>
    </w:lvl>
    <w:lvl w:ilvl="2" w:tplc="770C85F8">
      <w:start w:val="6"/>
      <w:numFmt w:val="bullet"/>
      <w:lvlText w:val="-"/>
      <w:lvlJc w:val="left"/>
      <w:pPr>
        <w:ind w:left="3231" w:hanging="180"/>
      </w:pPr>
      <w:rPr>
        <w:rFonts w:ascii="Calibri" w:eastAsiaTheme="minorHAnsi" w:hAnsi="Calibri" w:cs="Calibri" w:hint="default"/>
      </w:rPr>
    </w:lvl>
    <w:lvl w:ilvl="3" w:tplc="0B4E286E">
      <w:start w:val="1"/>
      <w:numFmt w:val="decimal"/>
      <w:lvlText w:val="%4."/>
      <w:lvlJc w:val="left"/>
      <w:pPr>
        <w:ind w:left="3951" w:hanging="360"/>
      </w:pPr>
      <w:rPr>
        <w:rFonts w:asciiTheme="minorHAnsi" w:hAnsiTheme="minorHAnsi" w:cstheme="minorHAnsi" w:hint="default"/>
        <w:b w:val="0"/>
        <w:i w:val="0"/>
        <w:sz w:val="24"/>
        <w:szCs w:val="24"/>
      </w:rPr>
    </w:lvl>
    <w:lvl w:ilvl="4" w:tplc="54FA5EC2">
      <w:start w:val="1"/>
      <w:numFmt w:val="lowerLetter"/>
      <w:lvlText w:val="%5."/>
      <w:lvlJc w:val="left"/>
      <w:pPr>
        <w:ind w:left="4671" w:hanging="360"/>
      </w:pPr>
    </w:lvl>
    <w:lvl w:ilvl="5" w:tplc="C704641C">
      <w:start w:val="1"/>
      <w:numFmt w:val="lowerRoman"/>
      <w:lvlText w:val="%6."/>
      <w:lvlJc w:val="right"/>
      <w:pPr>
        <w:ind w:left="5391" w:hanging="180"/>
      </w:pPr>
    </w:lvl>
    <w:lvl w:ilvl="6" w:tplc="0E1000B4">
      <w:start w:val="1"/>
      <w:numFmt w:val="decimal"/>
      <w:lvlText w:val="%7."/>
      <w:lvlJc w:val="left"/>
      <w:pPr>
        <w:ind w:left="6111" w:hanging="360"/>
      </w:pPr>
    </w:lvl>
    <w:lvl w:ilvl="7" w:tplc="576A177E">
      <w:start w:val="1"/>
      <w:numFmt w:val="lowerLetter"/>
      <w:lvlText w:val="%8."/>
      <w:lvlJc w:val="left"/>
      <w:pPr>
        <w:ind w:left="6831" w:hanging="360"/>
      </w:pPr>
    </w:lvl>
    <w:lvl w:ilvl="8" w:tplc="91EEE380">
      <w:start w:val="1"/>
      <w:numFmt w:val="lowerRoman"/>
      <w:lvlText w:val="%9."/>
      <w:lvlJc w:val="right"/>
      <w:pPr>
        <w:ind w:left="7551" w:hanging="180"/>
      </w:pPr>
    </w:lvl>
  </w:abstractNum>
  <w:abstractNum w:abstractNumId="20"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8150077"/>
    <w:multiLevelType w:val="hybridMultilevel"/>
    <w:tmpl w:val="EC02A9D4"/>
    <w:lvl w:ilvl="0" w:tplc="D95E9146">
      <w:start w:val="1"/>
      <w:numFmt w:val="bullet"/>
      <w:lvlText w:val=""/>
      <w:lvlJc w:val="left"/>
      <w:pPr>
        <w:ind w:left="128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7"/>
  </w:num>
  <w:num w:numId="2">
    <w:abstractNumId w:val="4"/>
  </w:num>
  <w:num w:numId="3">
    <w:abstractNumId w:val="8"/>
  </w:num>
  <w:num w:numId="4">
    <w:abstractNumId w:val="2"/>
  </w:num>
  <w:num w:numId="5">
    <w:abstractNumId w:val="1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4"/>
  </w:num>
  <w:num w:numId="9">
    <w:abstractNumId w:val="20"/>
  </w:num>
  <w:num w:numId="10">
    <w:abstractNumId w:val="23"/>
  </w:num>
  <w:num w:numId="11">
    <w:abstractNumId w:val="10"/>
  </w:num>
  <w:num w:numId="12">
    <w:abstractNumId w:val="19"/>
  </w:num>
  <w:num w:numId="13">
    <w:abstractNumId w:val="15"/>
  </w:num>
  <w:num w:numId="14">
    <w:abstractNumId w:val="9"/>
  </w:num>
  <w:num w:numId="15">
    <w:abstractNumId w:val="6"/>
  </w:num>
  <w:num w:numId="16">
    <w:abstractNumId w:val="5"/>
  </w:num>
  <w:num w:numId="17">
    <w:abstractNumId w:val="3"/>
  </w:num>
  <w:num w:numId="18">
    <w:abstractNumId w:val="1"/>
  </w:num>
  <w:num w:numId="19">
    <w:abstractNumId w:val="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6"/>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2"/>
  </w:num>
  <w:num w:numId="28">
    <w:abstractNumId w:val="17"/>
  </w:num>
  <w:num w:numId="29">
    <w:abstractNumId w:val="21"/>
  </w:num>
  <w:num w:numId="30">
    <w:abstractNumId w:val="16"/>
  </w:num>
  <w:num w:numId="31">
    <w:abstractNumId w:val="16"/>
  </w:num>
  <w:num w:numId="32">
    <w:abstractNumId w:val="15"/>
  </w:num>
  <w:num w:numId="33">
    <w:abstractNumId w:val="22"/>
  </w:num>
  <w:num w:numId="34">
    <w:abstractNumId w:val="22"/>
  </w:num>
  <w:num w:numId="35">
    <w:abstractNumId w:val="22"/>
  </w:num>
  <w:num w:numId="36">
    <w:abstractNumId w:val="20"/>
  </w:num>
  <w:num w:numId="37">
    <w:abstractNumId w:val="20"/>
  </w:num>
  <w:num w:numId="38">
    <w:abstractNumId w:val="20"/>
  </w:num>
  <w:num w:numId="39">
    <w:abstractNumId w:val="20"/>
  </w:num>
  <w:num w:numId="40">
    <w:abstractNumId w:val="11"/>
  </w:num>
  <w:num w:numId="41">
    <w:abstractNumId w:val="11"/>
  </w:num>
  <w:num w:numId="42">
    <w:abstractNumId w:val="11"/>
  </w:num>
  <w:num w:numId="43">
    <w:abstractNumId w:val="11"/>
  </w:num>
  <w:num w:numId="44">
    <w:abstractNumId w:val="11"/>
  </w:num>
  <w:num w:numId="45">
    <w:abstractNumId w:val="23"/>
  </w:num>
  <w:num w:numId="46">
    <w:abstractNumId w:val="23"/>
  </w:num>
  <w:num w:numId="47">
    <w:abstractNumId w:val="23"/>
  </w:num>
  <w:num w:numId="48">
    <w:abstractNumId w:val="23"/>
  </w:num>
  <w:num w:numId="49">
    <w:abstractNumId w:val="10"/>
  </w:num>
  <w:num w:numId="50">
    <w:abstractNumId w:val="10"/>
  </w:num>
  <w:num w:numId="51">
    <w:abstractNumId w:val="10"/>
  </w:num>
  <w:num w:numId="52">
    <w:abstractNumId w:val="10"/>
  </w:num>
  <w:num w:numId="53">
    <w:abstractNumId w:val="18"/>
  </w:num>
  <w:num w:numId="54">
    <w:abstractNumId w:val="20"/>
  </w:num>
  <w:num w:numId="55">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8274F4F-63AC-491F-8039-23B5CF1B11CC}"/>
    <w:docVar w:name="dgnword-eventsink" w:val="603820408"/>
    <w:docVar w:name="dgnword-lastRevisionsView" w:val="0"/>
  </w:docVars>
  <w:rsids>
    <w:rsidRoot w:val="00A972F6"/>
    <w:rsid w:val="00000AD5"/>
    <w:rsid w:val="0001430B"/>
    <w:rsid w:val="0001631B"/>
    <w:rsid w:val="0002552E"/>
    <w:rsid w:val="00031184"/>
    <w:rsid w:val="000404EC"/>
    <w:rsid w:val="00040DF7"/>
    <w:rsid w:val="000556EC"/>
    <w:rsid w:val="000567B9"/>
    <w:rsid w:val="00057685"/>
    <w:rsid w:val="00063392"/>
    <w:rsid w:val="0007696B"/>
    <w:rsid w:val="00077FB1"/>
    <w:rsid w:val="0008258A"/>
    <w:rsid w:val="00092097"/>
    <w:rsid w:val="00095728"/>
    <w:rsid w:val="00096848"/>
    <w:rsid w:val="000A0A0E"/>
    <w:rsid w:val="000B53F1"/>
    <w:rsid w:val="000C231A"/>
    <w:rsid w:val="000C3559"/>
    <w:rsid w:val="000C4637"/>
    <w:rsid w:val="000C6B32"/>
    <w:rsid w:val="000D3215"/>
    <w:rsid w:val="000D771B"/>
    <w:rsid w:val="000D796C"/>
    <w:rsid w:val="000E24BA"/>
    <w:rsid w:val="000E3EBB"/>
    <w:rsid w:val="000E4879"/>
    <w:rsid w:val="000E5674"/>
    <w:rsid w:val="000E75D5"/>
    <w:rsid w:val="000F5496"/>
    <w:rsid w:val="000F6C4A"/>
    <w:rsid w:val="0011081C"/>
    <w:rsid w:val="00113A0E"/>
    <w:rsid w:val="0011469B"/>
    <w:rsid w:val="00114D12"/>
    <w:rsid w:val="001162AD"/>
    <w:rsid w:val="001179FA"/>
    <w:rsid w:val="001236CC"/>
    <w:rsid w:val="00123A11"/>
    <w:rsid w:val="00127365"/>
    <w:rsid w:val="001349C6"/>
    <w:rsid w:val="00140094"/>
    <w:rsid w:val="00143D62"/>
    <w:rsid w:val="00143E99"/>
    <w:rsid w:val="001458F9"/>
    <w:rsid w:val="001501FF"/>
    <w:rsid w:val="001613CD"/>
    <w:rsid w:val="00161B94"/>
    <w:rsid w:val="00162AE9"/>
    <w:rsid w:val="00163194"/>
    <w:rsid w:val="00163B6B"/>
    <w:rsid w:val="0016677E"/>
    <w:rsid w:val="00166AFD"/>
    <w:rsid w:val="00166C96"/>
    <w:rsid w:val="00170D3C"/>
    <w:rsid w:val="001735D3"/>
    <w:rsid w:val="00180B5B"/>
    <w:rsid w:val="00183C30"/>
    <w:rsid w:val="001871BA"/>
    <w:rsid w:val="00194210"/>
    <w:rsid w:val="001948C7"/>
    <w:rsid w:val="00194E59"/>
    <w:rsid w:val="00196F8D"/>
    <w:rsid w:val="00197F46"/>
    <w:rsid w:val="001A2028"/>
    <w:rsid w:val="001B21F4"/>
    <w:rsid w:val="001B3790"/>
    <w:rsid w:val="001B4CD9"/>
    <w:rsid w:val="001B554E"/>
    <w:rsid w:val="001B6974"/>
    <w:rsid w:val="001C09A5"/>
    <w:rsid w:val="001C7BF8"/>
    <w:rsid w:val="001D5340"/>
    <w:rsid w:val="001D5664"/>
    <w:rsid w:val="001D5831"/>
    <w:rsid w:val="001F6414"/>
    <w:rsid w:val="0020190A"/>
    <w:rsid w:val="00203DCC"/>
    <w:rsid w:val="00215947"/>
    <w:rsid w:val="0021678A"/>
    <w:rsid w:val="00217BAD"/>
    <w:rsid w:val="00222776"/>
    <w:rsid w:val="002254D5"/>
    <w:rsid w:val="0022611D"/>
    <w:rsid w:val="00230CE4"/>
    <w:rsid w:val="00230F69"/>
    <w:rsid w:val="00235E19"/>
    <w:rsid w:val="00252BFC"/>
    <w:rsid w:val="00260D2D"/>
    <w:rsid w:val="00260DD1"/>
    <w:rsid w:val="0026422D"/>
    <w:rsid w:val="00264F26"/>
    <w:rsid w:val="00271ACF"/>
    <w:rsid w:val="00272A39"/>
    <w:rsid w:val="00273C68"/>
    <w:rsid w:val="00274612"/>
    <w:rsid w:val="00280388"/>
    <w:rsid w:val="002806AC"/>
    <w:rsid w:val="00281A59"/>
    <w:rsid w:val="00284164"/>
    <w:rsid w:val="00285D97"/>
    <w:rsid w:val="00290370"/>
    <w:rsid w:val="002918C6"/>
    <w:rsid w:val="00296262"/>
    <w:rsid w:val="002A01F2"/>
    <w:rsid w:val="002A20AC"/>
    <w:rsid w:val="002A22BD"/>
    <w:rsid w:val="002A2DE3"/>
    <w:rsid w:val="002A3AF2"/>
    <w:rsid w:val="002A3FD6"/>
    <w:rsid w:val="002B2B8E"/>
    <w:rsid w:val="002B3569"/>
    <w:rsid w:val="002B395B"/>
    <w:rsid w:val="002B500C"/>
    <w:rsid w:val="002B65D5"/>
    <w:rsid w:val="002B7197"/>
    <w:rsid w:val="002B75A6"/>
    <w:rsid w:val="002C2CFE"/>
    <w:rsid w:val="002C3D7E"/>
    <w:rsid w:val="002C526C"/>
    <w:rsid w:val="002C5F67"/>
    <w:rsid w:val="002C7E15"/>
    <w:rsid w:val="002D7465"/>
    <w:rsid w:val="002E1ADA"/>
    <w:rsid w:val="002F0312"/>
    <w:rsid w:val="002F4341"/>
    <w:rsid w:val="002F5DEC"/>
    <w:rsid w:val="00302A97"/>
    <w:rsid w:val="00304F0F"/>
    <w:rsid w:val="00314A50"/>
    <w:rsid w:val="00323A22"/>
    <w:rsid w:val="00326927"/>
    <w:rsid w:val="0033263F"/>
    <w:rsid w:val="003431A1"/>
    <w:rsid w:val="00346B7D"/>
    <w:rsid w:val="0035099F"/>
    <w:rsid w:val="00355978"/>
    <w:rsid w:val="00355DFD"/>
    <w:rsid w:val="00357107"/>
    <w:rsid w:val="00362BAC"/>
    <w:rsid w:val="003633F6"/>
    <w:rsid w:val="00363D12"/>
    <w:rsid w:val="003708AC"/>
    <w:rsid w:val="003720E9"/>
    <w:rsid w:val="0037431F"/>
    <w:rsid w:val="0038211B"/>
    <w:rsid w:val="00384A39"/>
    <w:rsid w:val="003854D8"/>
    <w:rsid w:val="003873DB"/>
    <w:rsid w:val="00387C1C"/>
    <w:rsid w:val="0039196C"/>
    <w:rsid w:val="00393593"/>
    <w:rsid w:val="00396E2B"/>
    <w:rsid w:val="00397A05"/>
    <w:rsid w:val="00397B68"/>
    <w:rsid w:val="003A1D35"/>
    <w:rsid w:val="003B1DB8"/>
    <w:rsid w:val="003B77CB"/>
    <w:rsid w:val="003C2766"/>
    <w:rsid w:val="003C5A70"/>
    <w:rsid w:val="003C5D8A"/>
    <w:rsid w:val="003C625A"/>
    <w:rsid w:val="003D0A4D"/>
    <w:rsid w:val="003D145B"/>
    <w:rsid w:val="003D6F3A"/>
    <w:rsid w:val="003F775D"/>
    <w:rsid w:val="003F7B95"/>
    <w:rsid w:val="004113A4"/>
    <w:rsid w:val="00411914"/>
    <w:rsid w:val="0041278C"/>
    <w:rsid w:val="00413C2E"/>
    <w:rsid w:val="00414A07"/>
    <w:rsid w:val="004160F5"/>
    <w:rsid w:val="00416C28"/>
    <w:rsid w:val="00420279"/>
    <w:rsid w:val="00420F04"/>
    <w:rsid w:val="004324A1"/>
    <w:rsid w:val="00435093"/>
    <w:rsid w:val="0044461A"/>
    <w:rsid w:val="00446A22"/>
    <w:rsid w:val="00450D0E"/>
    <w:rsid w:val="004529D8"/>
    <w:rsid w:val="004551E1"/>
    <w:rsid w:val="00455ABE"/>
    <w:rsid w:val="00461576"/>
    <w:rsid w:val="004729F5"/>
    <w:rsid w:val="00475E33"/>
    <w:rsid w:val="004770D2"/>
    <w:rsid w:val="00477545"/>
    <w:rsid w:val="00477E77"/>
    <w:rsid w:val="0048050A"/>
    <w:rsid w:val="004827E5"/>
    <w:rsid w:val="00483B1C"/>
    <w:rsid w:val="0048401E"/>
    <w:rsid w:val="00496361"/>
    <w:rsid w:val="004B1EC0"/>
    <w:rsid w:val="004B5F55"/>
    <w:rsid w:val="004C0526"/>
    <w:rsid w:val="004C0828"/>
    <w:rsid w:val="004C3707"/>
    <w:rsid w:val="004C4D0E"/>
    <w:rsid w:val="004D61E5"/>
    <w:rsid w:val="004E457E"/>
    <w:rsid w:val="004E703D"/>
    <w:rsid w:val="004F77AA"/>
    <w:rsid w:val="004F7974"/>
    <w:rsid w:val="00507C96"/>
    <w:rsid w:val="00507CB4"/>
    <w:rsid w:val="005119E1"/>
    <w:rsid w:val="0051706E"/>
    <w:rsid w:val="00517C3F"/>
    <w:rsid w:val="0052564B"/>
    <w:rsid w:val="005257FC"/>
    <w:rsid w:val="00541213"/>
    <w:rsid w:val="00546218"/>
    <w:rsid w:val="00550B11"/>
    <w:rsid w:val="00550BA6"/>
    <w:rsid w:val="0055331D"/>
    <w:rsid w:val="00553B09"/>
    <w:rsid w:val="00554A28"/>
    <w:rsid w:val="00556030"/>
    <w:rsid w:val="005644B8"/>
    <w:rsid w:val="005644CF"/>
    <w:rsid w:val="005653A9"/>
    <w:rsid w:val="00565E80"/>
    <w:rsid w:val="005662CA"/>
    <w:rsid w:val="005672E4"/>
    <w:rsid w:val="0058205E"/>
    <w:rsid w:val="005912BE"/>
    <w:rsid w:val="00592606"/>
    <w:rsid w:val="00592917"/>
    <w:rsid w:val="00593B63"/>
    <w:rsid w:val="005A190A"/>
    <w:rsid w:val="005A494F"/>
    <w:rsid w:val="005A55F6"/>
    <w:rsid w:val="005A5ACB"/>
    <w:rsid w:val="005A61D1"/>
    <w:rsid w:val="005B4919"/>
    <w:rsid w:val="005C072E"/>
    <w:rsid w:val="005C14D5"/>
    <w:rsid w:val="005C6D6F"/>
    <w:rsid w:val="005C7798"/>
    <w:rsid w:val="005C7A30"/>
    <w:rsid w:val="005D17E9"/>
    <w:rsid w:val="005D62AF"/>
    <w:rsid w:val="005E2DFE"/>
    <w:rsid w:val="005F74E4"/>
    <w:rsid w:val="005F794B"/>
    <w:rsid w:val="00600459"/>
    <w:rsid w:val="00603D25"/>
    <w:rsid w:val="006049D4"/>
    <w:rsid w:val="00604A3C"/>
    <w:rsid w:val="00606240"/>
    <w:rsid w:val="00611A19"/>
    <w:rsid w:val="00611CC1"/>
    <w:rsid w:val="0061627C"/>
    <w:rsid w:val="00624EC7"/>
    <w:rsid w:val="00625FD8"/>
    <w:rsid w:val="006323CA"/>
    <w:rsid w:val="00633B26"/>
    <w:rsid w:val="00633E38"/>
    <w:rsid w:val="006343E0"/>
    <w:rsid w:val="00642F07"/>
    <w:rsid w:val="0064460A"/>
    <w:rsid w:val="0064676C"/>
    <w:rsid w:val="00663525"/>
    <w:rsid w:val="00666D56"/>
    <w:rsid w:val="00670BCD"/>
    <w:rsid w:val="006713DD"/>
    <w:rsid w:val="00672971"/>
    <w:rsid w:val="006745FA"/>
    <w:rsid w:val="00677E68"/>
    <w:rsid w:val="00683DE7"/>
    <w:rsid w:val="0068420A"/>
    <w:rsid w:val="0068436B"/>
    <w:rsid w:val="00686A7B"/>
    <w:rsid w:val="00693D04"/>
    <w:rsid w:val="006A266A"/>
    <w:rsid w:val="006A4600"/>
    <w:rsid w:val="006A4C94"/>
    <w:rsid w:val="006A7A5C"/>
    <w:rsid w:val="006B540B"/>
    <w:rsid w:val="006B6A4F"/>
    <w:rsid w:val="006C245D"/>
    <w:rsid w:val="006C59CB"/>
    <w:rsid w:val="006E15F1"/>
    <w:rsid w:val="006E18A8"/>
    <w:rsid w:val="006E1ECA"/>
    <w:rsid w:val="006E2834"/>
    <w:rsid w:val="006F2406"/>
    <w:rsid w:val="006F4924"/>
    <w:rsid w:val="006F6424"/>
    <w:rsid w:val="007041F4"/>
    <w:rsid w:val="0070421F"/>
    <w:rsid w:val="00706BE9"/>
    <w:rsid w:val="00706D43"/>
    <w:rsid w:val="0071438C"/>
    <w:rsid w:val="00724DF1"/>
    <w:rsid w:val="00725323"/>
    <w:rsid w:val="00725742"/>
    <w:rsid w:val="00725838"/>
    <w:rsid w:val="00730BD4"/>
    <w:rsid w:val="0073499E"/>
    <w:rsid w:val="00735230"/>
    <w:rsid w:val="00736582"/>
    <w:rsid w:val="00736EA2"/>
    <w:rsid w:val="007406BE"/>
    <w:rsid w:val="00740F98"/>
    <w:rsid w:val="00747F62"/>
    <w:rsid w:val="00761E10"/>
    <w:rsid w:val="007624EB"/>
    <w:rsid w:val="00763BAF"/>
    <w:rsid w:val="007704DF"/>
    <w:rsid w:val="00771994"/>
    <w:rsid w:val="00776B76"/>
    <w:rsid w:val="007836B0"/>
    <w:rsid w:val="00786305"/>
    <w:rsid w:val="00795826"/>
    <w:rsid w:val="007A05BE"/>
    <w:rsid w:val="007A5356"/>
    <w:rsid w:val="007A5880"/>
    <w:rsid w:val="007A71CE"/>
    <w:rsid w:val="007B0CDD"/>
    <w:rsid w:val="007C136E"/>
    <w:rsid w:val="007C37B6"/>
    <w:rsid w:val="007C44A6"/>
    <w:rsid w:val="007C54CA"/>
    <w:rsid w:val="007D0F23"/>
    <w:rsid w:val="007D2CFF"/>
    <w:rsid w:val="007D4B59"/>
    <w:rsid w:val="007D60DD"/>
    <w:rsid w:val="007D7D19"/>
    <w:rsid w:val="007E1F68"/>
    <w:rsid w:val="007F4DDA"/>
    <w:rsid w:val="008003D8"/>
    <w:rsid w:val="008051DB"/>
    <w:rsid w:val="008067A1"/>
    <w:rsid w:val="008102E9"/>
    <w:rsid w:val="00813D20"/>
    <w:rsid w:val="00814372"/>
    <w:rsid w:val="00815113"/>
    <w:rsid w:val="0081522F"/>
    <w:rsid w:val="0082136D"/>
    <w:rsid w:val="0082299F"/>
    <w:rsid w:val="00823183"/>
    <w:rsid w:val="00827B6C"/>
    <w:rsid w:val="00830664"/>
    <w:rsid w:val="0083071E"/>
    <w:rsid w:val="00833CCA"/>
    <w:rsid w:val="00834CAE"/>
    <w:rsid w:val="00836048"/>
    <w:rsid w:val="00837B43"/>
    <w:rsid w:val="00843FF0"/>
    <w:rsid w:val="008456D5"/>
    <w:rsid w:val="00845AFB"/>
    <w:rsid w:val="0084634B"/>
    <w:rsid w:val="008527D1"/>
    <w:rsid w:val="00855D84"/>
    <w:rsid w:val="00863454"/>
    <w:rsid w:val="0086350D"/>
    <w:rsid w:val="008656C5"/>
    <w:rsid w:val="00867F55"/>
    <w:rsid w:val="00883A35"/>
    <w:rsid w:val="008914CB"/>
    <w:rsid w:val="00891830"/>
    <w:rsid w:val="00892E84"/>
    <w:rsid w:val="008936D7"/>
    <w:rsid w:val="00897446"/>
    <w:rsid w:val="008A0422"/>
    <w:rsid w:val="008A1887"/>
    <w:rsid w:val="008A1A83"/>
    <w:rsid w:val="008A73BD"/>
    <w:rsid w:val="008A7DC8"/>
    <w:rsid w:val="008B1147"/>
    <w:rsid w:val="008B13BC"/>
    <w:rsid w:val="008B6A81"/>
    <w:rsid w:val="008C5FE8"/>
    <w:rsid w:val="008E08FF"/>
    <w:rsid w:val="008E2A0D"/>
    <w:rsid w:val="008F1F73"/>
    <w:rsid w:val="008F250F"/>
    <w:rsid w:val="008F2CFB"/>
    <w:rsid w:val="009022E3"/>
    <w:rsid w:val="00903B0A"/>
    <w:rsid w:val="009049F6"/>
    <w:rsid w:val="00905788"/>
    <w:rsid w:val="0090626C"/>
    <w:rsid w:val="00906F21"/>
    <w:rsid w:val="00910297"/>
    <w:rsid w:val="00917ED8"/>
    <w:rsid w:val="00920E1F"/>
    <w:rsid w:val="00926664"/>
    <w:rsid w:val="00927293"/>
    <w:rsid w:val="00927F16"/>
    <w:rsid w:val="009325FB"/>
    <w:rsid w:val="00937755"/>
    <w:rsid w:val="00945278"/>
    <w:rsid w:val="009470DB"/>
    <w:rsid w:val="00947379"/>
    <w:rsid w:val="00954819"/>
    <w:rsid w:val="0096472E"/>
    <w:rsid w:val="00964810"/>
    <w:rsid w:val="00965CB3"/>
    <w:rsid w:val="00970625"/>
    <w:rsid w:val="00972742"/>
    <w:rsid w:val="00983E64"/>
    <w:rsid w:val="009846D5"/>
    <w:rsid w:val="00987C1E"/>
    <w:rsid w:val="00987DD1"/>
    <w:rsid w:val="009909EC"/>
    <w:rsid w:val="009943B6"/>
    <w:rsid w:val="00995FB8"/>
    <w:rsid w:val="00996B8C"/>
    <w:rsid w:val="00996DC9"/>
    <w:rsid w:val="00996DFE"/>
    <w:rsid w:val="009A09FB"/>
    <w:rsid w:val="009A238F"/>
    <w:rsid w:val="009A27C7"/>
    <w:rsid w:val="009A64B1"/>
    <w:rsid w:val="009A6E62"/>
    <w:rsid w:val="009B00F2"/>
    <w:rsid w:val="009B4B74"/>
    <w:rsid w:val="009B5AD2"/>
    <w:rsid w:val="009B67AF"/>
    <w:rsid w:val="009B79D5"/>
    <w:rsid w:val="009C0A4B"/>
    <w:rsid w:val="009C2CA8"/>
    <w:rsid w:val="009C414D"/>
    <w:rsid w:val="009C7886"/>
    <w:rsid w:val="009C7B67"/>
    <w:rsid w:val="009D3605"/>
    <w:rsid w:val="009F149F"/>
    <w:rsid w:val="009F1742"/>
    <w:rsid w:val="00A0076F"/>
    <w:rsid w:val="00A00CF2"/>
    <w:rsid w:val="00A04564"/>
    <w:rsid w:val="00A070A2"/>
    <w:rsid w:val="00A07A7D"/>
    <w:rsid w:val="00A1209F"/>
    <w:rsid w:val="00A146EE"/>
    <w:rsid w:val="00A172C9"/>
    <w:rsid w:val="00A17465"/>
    <w:rsid w:val="00A21819"/>
    <w:rsid w:val="00A218D1"/>
    <w:rsid w:val="00A225A1"/>
    <w:rsid w:val="00A229A7"/>
    <w:rsid w:val="00A2414F"/>
    <w:rsid w:val="00A30B58"/>
    <w:rsid w:val="00A33CBE"/>
    <w:rsid w:val="00A364F8"/>
    <w:rsid w:val="00A40446"/>
    <w:rsid w:val="00A40D1D"/>
    <w:rsid w:val="00A4502A"/>
    <w:rsid w:val="00A4612C"/>
    <w:rsid w:val="00A467B1"/>
    <w:rsid w:val="00A544AF"/>
    <w:rsid w:val="00A55479"/>
    <w:rsid w:val="00A56274"/>
    <w:rsid w:val="00A677B5"/>
    <w:rsid w:val="00A67CCF"/>
    <w:rsid w:val="00A734C9"/>
    <w:rsid w:val="00A74A36"/>
    <w:rsid w:val="00A754CE"/>
    <w:rsid w:val="00A75FCE"/>
    <w:rsid w:val="00A91D6D"/>
    <w:rsid w:val="00A9540D"/>
    <w:rsid w:val="00A95970"/>
    <w:rsid w:val="00A972F6"/>
    <w:rsid w:val="00AA10EA"/>
    <w:rsid w:val="00AB32EC"/>
    <w:rsid w:val="00AB3402"/>
    <w:rsid w:val="00AB5E45"/>
    <w:rsid w:val="00AB71BA"/>
    <w:rsid w:val="00AC04E0"/>
    <w:rsid w:val="00AC1C0A"/>
    <w:rsid w:val="00AC2CFB"/>
    <w:rsid w:val="00AC31C2"/>
    <w:rsid w:val="00AC349B"/>
    <w:rsid w:val="00AC4D09"/>
    <w:rsid w:val="00AC5B02"/>
    <w:rsid w:val="00AC74B5"/>
    <w:rsid w:val="00AC7944"/>
    <w:rsid w:val="00AC7A78"/>
    <w:rsid w:val="00AD1F5B"/>
    <w:rsid w:val="00AD2069"/>
    <w:rsid w:val="00AD7703"/>
    <w:rsid w:val="00AE2766"/>
    <w:rsid w:val="00AF5AFF"/>
    <w:rsid w:val="00AF66CF"/>
    <w:rsid w:val="00B02684"/>
    <w:rsid w:val="00B02E8D"/>
    <w:rsid w:val="00B0484D"/>
    <w:rsid w:val="00B06389"/>
    <w:rsid w:val="00B063AD"/>
    <w:rsid w:val="00B06E20"/>
    <w:rsid w:val="00B13CFD"/>
    <w:rsid w:val="00B14645"/>
    <w:rsid w:val="00B20E1D"/>
    <w:rsid w:val="00B25086"/>
    <w:rsid w:val="00B30D6B"/>
    <w:rsid w:val="00B31EAE"/>
    <w:rsid w:val="00B31F65"/>
    <w:rsid w:val="00B3538C"/>
    <w:rsid w:val="00B35E3B"/>
    <w:rsid w:val="00B36AE1"/>
    <w:rsid w:val="00B40D3F"/>
    <w:rsid w:val="00B429C9"/>
    <w:rsid w:val="00B42AC2"/>
    <w:rsid w:val="00B54D81"/>
    <w:rsid w:val="00B6178B"/>
    <w:rsid w:val="00B61D41"/>
    <w:rsid w:val="00B62386"/>
    <w:rsid w:val="00B66883"/>
    <w:rsid w:val="00B70A59"/>
    <w:rsid w:val="00B7657C"/>
    <w:rsid w:val="00B81513"/>
    <w:rsid w:val="00B84ECF"/>
    <w:rsid w:val="00B8689B"/>
    <w:rsid w:val="00B869B6"/>
    <w:rsid w:val="00B93861"/>
    <w:rsid w:val="00B93D82"/>
    <w:rsid w:val="00B94E36"/>
    <w:rsid w:val="00B96E48"/>
    <w:rsid w:val="00B97ED6"/>
    <w:rsid w:val="00BA0658"/>
    <w:rsid w:val="00BA1F0A"/>
    <w:rsid w:val="00BA379F"/>
    <w:rsid w:val="00BA56D9"/>
    <w:rsid w:val="00BA7899"/>
    <w:rsid w:val="00BB3AAC"/>
    <w:rsid w:val="00BB4972"/>
    <w:rsid w:val="00BC0AE0"/>
    <w:rsid w:val="00BC43BC"/>
    <w:rsid w:val="00BC46BF"/>
    <w:rsid w:val="00BD0BF7"/>
    <w:rsid w:val="00BD1D40"/>
    <w:rsid w:val="00BE3AD8"/>
    <w:rsid w:val="00BE7DB4"/>
    <w:rsid w:val="00BF1ED2"/>
    <w:rsid w:val="00BF302E"/>
    <w:rsid w:val="00BF402F"/>
    <w:rsid w:val="00BF5B58"/>
    <w:rsid w:val="00C02E4E"/>
    <w:rsid w:val="00C12E09"/>
    <w:rsid w:val="00C23CA3"/>
    <w:rsid w:val="00C26732"/>
    <w:rsid w:val="00C2714D"/>
    <w:rsid w:val="00C31B99"/>
    <w:rsid w:val="00C40BD2"/>
    <w:rsid w:val="00C40C1E"/>
    <w:rsid w:val="00C4182D"/>
    <w:rsid w:val="00C442C7"/>
    <w:rsid w:val="00C50319"/>
    <w:rsid w:val="00C50D52"/>
    <w:rsid w:val="00C52E16"/>
    <w:rsid w:val="00C540DE"/>
    <w:rsid w:val="00C54E16"/>
    <w:rsid w:val="00C63B5A"/>
    <w:rsid w:val="00C64DAB"/>
    <w:rsid w:val="00C65DF2"/>
    <w:rsid w:val="00C67607"/>
    <w:rsid w:val="00C67963"/>
    <w:rsid w:val="00C75B96"/>
    <w:rsid w:val="00C93AE2"/>
    <w:rsid w:val="00C952E9"/>
    <w:rsid w:val="00CA60FC"/>
    <w:rsid w:val="00CA649C"/>
    <w:rsid w:val="00CA67A7"/>
    <w:rsid w:val="00CB1E5B"/>
    <w:rsid w:val="00CB432D"/>
    <w:rsid w:val="00CB588C"/>
    <w:rsid w:val="00CD233E"/>
    <w:rsid w:val="00CD26AB"/>
    <w:rsid w:val="00CD7F29"/>
    <w:rsid w:val="00CE18BD"/>
    <w:rsid w:val="00CE4A46"/>
    <w:rsid w:val="00CE6ADC"/>
    <w:rsid w:val="00CF51D3"/>
    <w:rsid w:val="00CF6CFD"/>
    <w:rsid w:val="00D02062"/>
    <w:rsid w:val="00D04707"/>
    <w:rsid w:val="00D06CA4"/>
    <w:rsid w:val="00D10F8B"/>
    <w:rsid w:val="00D135CB"/>
    <w:rsid w:val="00D20FA6"/>
    <w:rsid w:val="00D26150"/>
    <w:rsid w:val="00D30311"/>
    <w:rsid w:val="00D306A4"/>
    <w:rsid w:val="00D306CD"/>
    <w:rsid w:val="00D35C45"/>
    <w:rsid w:val="00D3651B"/>
    <w:rsid w:val="00D40616"/>
    <w:rsid w:val="00D40C26"/>
    <w:rsid w:val="00D44FDA"/>
    <w:rsid w:val="00D47FBA"/>
    <w:rsid w:val="00D52DDA"/>
    <w:rsid w:val="00D560FD"/>
    <w:rsid w:val="00D5655E"/>
    <w:rsid w:val="00D61478"/>
    <w:rsid w:val="00D66461"/>
    <w:rsid w:val="00D66927"/>
    <w:rsid w:val="00D6742D"/>
    <w:rsid w:val="00D726B7"/>
    <w:rsid w:val="00D73F66"/>
    <w:rsid w:val="00D748A1"/>
    <w:rsid w:val="00D81041"/>
    <w:rsid w:val="00D90C8E"/>
    <w:rsid w:val="00DA0E1D"/>
    <w:rsid w:val="00DA1614"/>
    <w:rsid w:val="00DA392A"/>
    <w:rsid w:val="00DA4A12"/>
    <w:rsid w:val="00DB053B"/>
    <w:rsid w:val="00DB631F"/>
    <w:rsid w:val="00DC2611"/>
    <w:rsid w:val="00DC45EB"/>
    <w:rsid w:val="00DC75D6"/>
    <w:rsid w:val="00DC7AB9"/>
    <w:rsid w:val="00DD2906"/>
    <w:rsid w:val="00DD406B"/>
    <w:rsid w:val="00DE4362"/>
    <w:rsid w:val="00DE4FE2"/>
    <w:rsid w:val="00DE575C"/>
    <w:rsid w:val="00DF37DC"/>
    <w:rsid w:val="00DF694A"/>
    <w:rsid w:val="00DF7EA3"/>
    <w:rsid w:val="00E006CE"/>
    <w:rsid w:val="00E00C7C"/>
    <w:rsid w:val="00E04908"/>
    <w:rsid w:val="00E0561D"/>
    <w:rsid w:val="00E06F50"/>
    <w:rsid w:val="00E20D09"/>
    <w:rsid w:val="00E20D92"/>
    <w:rsid w:val="00E2218A"/>
    <w:rsid w:val="00E3044B"/>
    <w:rsid w:val="00E34872"/>
    <w:rsid w:val="00E364BA"/>
    <w:rsid w:val="00E44BBB"/>
    <w:rsid w:val="00E508D0"/>
    <w:rsid w:val="00E50E20"/>
    <w:rsid w:val="00E519E2"/>
    <w:rsid w:val="00E54237"/>
    <w:rsid w:val="00E65A70"/>
    <w:rsid w:val="00E701CE"/>
    <w:rsid w:val="00E74E56"/>
    <w:rsid w:val="00E86ED8"/>
    <w:rsid w:val="00E924D9"/>
    <w:rsid w:val="00E94877"/>
    <w:rsid w:val="00E94FDD"/>
    <w:rsid w:val="00E95BA5"/>
    <w:rsid w:val="00EA2E38"/>
    <w:rsid w:val="00EA3937"/>
    <w:rsid w:val="00EB140D"/>
    <w:rsid w:val="00EC5D16"/>
    <w:rsid w:val="00ED1B5C"/>
    <w:rsid w:val="00ED400C"/>
    <w:rsid w:val="00ED4149"/>
    <w:rsid w:val="00ED4AF4"/>
    <w:rsid w:val="00EE2D80"/>
    <w:rsid w:val="00EF10CE"/>
    <w:rsid w:val="00EF126E"/>
    <w:rsid w:val="00EF1782"/>
    <w:rsid w:val="00EF726E"/>
    <w:rsid w:val="00EF7E63"/>
    <w:rsid w:val="00EF7FF8"/>
    <w:rsid w:val="00F022FB"/>
    <w:rsid w:val="00F048A4"/>
    <w:rsid w:val="00F07463"/>
    <w:rsid w:val="00F11869"/>
    <w:rsid w:val="00F13ADA"/>
    <w:rsid w:val="00F1428D"/>
    <w:rsid w:val="00F22BFF"/>
    <w:rsid w:val="00F24398"/>
    <w:rsid w:val="00F3355B"/>
    <w:rsid w:val="00F40E9F"/>
    <w:rsid w:val="00F47B89"/>
    <w:rsid w:val="00F52C04"/>
    <w:rsid w:val="00F55939"/>
    <w:rsid w:val="00F60B91"/>
    <w:rsid w:val="00F63FCB"/>
    <w:rsid w:val="00F67CDB"/>
    <w:rsid w:val="00F74C03"/>
    <w:rsid w:val="00F76476"/>
    <w:rsid w:val="00F81E71"/>
    <w:rsid w:val="00F82868"/>
    <w:rsid w:val="00F835ED"/>
    <w:rsid w:val="00F853DD"/>
    <w:rsid w:val="00F85762"/>
    <w:rsid w:val="00F867F6"/>
    <w:rsid w:val="00F91426"/>
    <w:rsid w:val="00F97D65"/>
    <w:rsid w:val="00FA271E"/>
    <w:rsid w:val="00FA291D"/>
    <w:rsid w:val="00FA7445"/>
    <w:rsid w:val="00FB040A"/>
    <w:rsid w:val="00FB5867"/>
    <w:rsid w:val="00FC32B2"/>
    <w:rsid w:val="00FC34AF"/>
    <w:rsid w:val="00FC3826"/>
    <w:rsid w:val="00FC4E42"/>
    <w:rsid w:val="00FC5018"/>
    <w:rsid w:val="00FC63E2"/>
    <w:rsid w:val="00FC71A3"/>
    <w:rsid w:val="00FD776C"/>
    <w:rsid w:val="00FE0A8E"/>
    <w:rsid w:val="00FE3FE7"/>
    <w:rsid w:val="00FE6D99"/>
    <w:rsid w:val="00FE7AAF"/>
    <w:rsid w:val="00FF69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85E64B8"/>
  <w15:chartTrackingRefBased/>
  <w15:docId w15:val="{662E5B2A-48E1-4AC7-A73B-668D72A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DEC"/>
    <w:pPr>
      <w:suppressAutoHyphens/>
    </w:pPr>
    <w:rPr>
      <w:kern w:val="12"/>
    </w:rPr>
  </w:style>
  <w:style w:type="paragraph" w:styleId="Heading1">
    <w:name w:val="heading 1"/>
    <w:basedOn w:val="Normal"/>
    <w:next w:val="Normal"/>
    <w:link w:val="Heading1Char"/>
    <w:uiPriority w:val="9"/>
    <w:qFormat/>
    <w:rsid w:val="002F5DEC"/>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2F5DEC"/>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F5DE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2F5DE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2F5DEC"/>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2F5DEC"/>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DEC"/>
    <w:rPr>
      <w:color w:val="808080"/>
    </w:rPr>
  </w:style>
  <w:style w:type="paragraph" w:styleId="Title">
    <w:name w:val="Title"/>
    <w:basedOn w:val="Normal"/>
    <w:next w:val="Normal"/>
    <w:link w:val="TitleChar"/>
    <w:uiPriority w:val="17"/>
    <w:qFormat/>
    <w:rsid w:val="005119E1"/>
    <w:pPr>
      <w:spacing w:before="1680" w:after="480"/>
      <w:outlineLvl w:val="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5119E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F5DEC"/>
    <w:pPr>
      <w:numPr>
        <w:ilvl w:val="1"/>
      </w:numPr>
      <w:spacing w:before="48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2F5DE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2F5DEC"/>
    <w:rPr>
      <w:b/>
    </w:rPr>
  </w:style>
  <w:style w:type="paragraph" w:styleId="Header">
    <w:name w:val="header"/>
    <w:basedOn w:val="Normal"/>
    <w:link w:val="HeaderChar"/>
    <w:uiPriority w:val="99"/>
    <w:unhideWhenUsed/>
    <w:rsid w:val="002F5DEC"/>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2F5DEC"/>
    <w:rPr>
      <w:kern w:val="12"/>
      <w:sz w:val="16"/>
    </w:rPr>
  </w:style>
  <w:style w:type="paragraph" w:styleId="Footer">
    <w:name w:val="footer"/>
    <w:basedOn w:val="Normal"/>
    <w:link w:val="FooterChar"/>
    <w:uiPriority w:val="99"/>
    <w:unhideWhenUsed/>
    <w:rsid w:val="002F5DEC"/>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2F5DEC"/>
    <w:rPr>
      <w:kern w:val="12"/>
      <w:sz w:val="16"/>
    </w:rPr>
  </w:style>
  <w:style w:type="character" w:styleId="PageNumber">
    <w:name w:val="page number"/>
    <w:basedOn w:val="DefaultParagraphFont"/>
    <w:uiPriority w:val="99"/>
    <w:semiHidden/>
    <w:rsid w:val="002F5DEC"/>
    <w:rPr>
      <w:b/>
      <w:sz w:val="20"/>
    </w:rPr>
  </w:style>
  <w:style w:type="paragraph" w:customStyle="1" w:styleId="CoverPhoto">
    <w:name w:val="Cover Photo"/>
    <w:basedOn w:val="Normal"/>
    <w:uiPriority w:val="19"/>
    <w:qFormat/>
    <w:rsid w:val="002F5DEC"/>
    <w:pPr>
      <w:spacing w:before="1240" w:after="160"/>
    </w:pPr>
  </w:style>
  <w:style w:type="paragraph" w:styleId="NoSpacing">
    <w:name w:val="No Spacing"/>
    <w:uiPriority w:val="1"/>
    <w:qFormat/>
    <w:rsid w:val="002F5DEC"/>
    <w:pPr>
      <w:suppressAutoHyphens/>
      <w:contextualSpacing/>
    </w:pPr>
    <w:rPr>
      <w:kern w:val="12"/>
    </w:rPr>
  </w:style>
  <w:style w:type="paragraph" w:customStyle="1" w:styleId="ImprintHeading">
    <w:name w:val="Imprint Heading"/>
    <w:basedOn w:val="Normal"/>
    <w:uiPriority w:val="12"/>
    <w:rsid w:val="002F5DEC"/>
    <w:pPr>
      <w:spacing w:before="240" w:after="160"/>
      <w:outlineLvl w:val="1"/>
    </w:pPr>
    <w:rPr>
      <w:b/>
      <w:sz w:val="22"/>
      <w:szCs w:val="22"/>
      <w:lang w:val="x-none"/>
    </w:rPr>
  </w:style>
  <w:style w:type="character" w:styleId="Hyperlink">
    <w:name w:val="Hyperlink"/>
    <w:basedOn w:val="DefaultParagraphFont"/>
    <w:uiPriority w:val="99"/>
    <w:unhideWhenUsed/>
    <w:rsid w:val="002F5DEC"/>
    <w:rPr>
      <w:color w:val="0046FF" w:themeColor="hyperlink"/>
      <w:u w:val="single"/>
    </w:rPr>
  </w:style>
  <w:style w:type="table" w:styleId="TableGrid">
    <w:name w:val="Table Grid"/>
    <w:basedOn w:val="TableNormal"/>
    <w:uiPriority w:val="39"/>
    <w:rsid w:val="002F5DE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2F5DEC"/>
    <w:pPr>
      <w:spacing w:before="0" w:after="0"/>
      <w:ind w:left="284" w:hanging="284"/>
    </w:pPr>
    <w:rPr>
      <w:sz w:val="18"/>
    </w:rPr>
  </w:style>
  <w:style w:type="character" w:customStyle="1" w:styleId="FootnoteTextChar">
    <w:name w:val="Footnote Text Char"/>
    <w:basedOn w:val="DefaultParagraphFont"/>
    <w:link w:val="FootnoteText"/>
    <w:uiPriority w:val="99"/>
    <w:rsid w:val="002F5DEC"/>
    <w:rPr>
      <w:kern w:val="12"/>
      <w:sz w:val="18"/>
    </w:rPr>
  </w:style>
  <w:style w:type="character" w:styleId="FootnoteReference">
    <w:name w:val="footnote reference"/>
    <w:basedOn w:val="DefaultParagraphFont"/>
    <w:uiPriority w:val="99"/>
    <w:unhideWhenUsed/>
    <w:rsid w:val="002F5DEC"/>
    <w:rPr>
      <w:vertAlign w:val="superscript"/>
    </w:rPr>
  </w:style>
  <w:style w:type="character" w:customStyle="1" w:styleId="Heading1Char">
    <w:name w:val="Heading 1 Char"/>
    <w:basedOn w:val="DefaultParagraphFont"/>
    <w:link w:val="Heading1"/>
    <w:uiPriority w:val="9"/>
    <w:rsid w:val="002F5DEC"/>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2F5DEC"/>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F5DEC"/>
    <w:pPr>
      <w:spacing w:before="240" w:after="240"/>
    </w:pPr>
    <w:rPr>
      <w:color w:val="377B88"/>
      <w:sz w:val="26"/>
      <w:lang w:val="x-none"/>
    </w:rPr>
  </w:style>
  <w:style w:type="character" w:customStyle="1" w:styleId="Heading3Char">
    <w:name w:val="Heading 3 Char"/>
    <w:basedOn w:val="DefaultParagraphFont"/>
    <w:link w:val="Heading3"/>
    <w:uiPriority w:val="9"/>
    <w:rsid w:val="002F5DE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2F5DE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2F5DEC"/>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2F5DEC"/>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2F5DEC"/>
    <w:pPr>
      <w:spacing w:before="240" w:after="160"/>
    </w:pPr>
    <w:rPr>
      <w:b/>
      <w:iCs/>
      <w:szCs w:val="18"/>
    </w:rPr>
  </w:style>
  <w:style w:type="table" w:customStyle="1" w:styleId="DefaultTable1">
    <w:name w:val="Default Table 1"/>
    <w:basedOn w:val="TableNormal"/>
    <w:uiPriority w:val="99"/>
    <w:rsid w:val="002F5DEC"/>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2F5DEC"/>
    <w:pPr>
      <w:spacing w:before="120"/>
    </w:pPr>
    <w:rPr>
      <w:sz w:val="16"/>
      <w:lang w:val="x-none"/>
    </w:rPr>
  </w:style>
  <w:style w:type="paragraph" w:customStyle="1" w:styleId="Sourcenotesnumbered">
    <w:name w:val="Source notes numbered"/>
    <w:basedOn w:val="Sourcenotes"/>
    <w:uiPriority w:val="15"/>
    <w:qFormat/>
    <w:rsid w:val="002F5DEC"/>
    <w:pPr>
      <w:spacing w:before="80"/>
    </w:pPr>
  </w:style>
  <w:style w:type="paragraph" w:customStyle="1" w:styleId="ListLegal1">
    <w:name w:val="List Legal 1"/>
    <w:basedOn w:val="Normal"/>
    <w:uiPriority w:val="3"/>
    <w:qFormat/>
    <w:rsid w:val="002F5DEC"/>
    <w:pPr>
      <w:numPr>
        <w:numId w:val="48"/>
      </w:numPr>
      <w:spacing w:before="80"/>
    </w:pPr>
    <w:rPr>
      <w:lang w:val="x-none"/>
    </w:rPr>
  </w:style>
  <w:style w:type="paragraph" w:customStyle="1" w:styleId="ListLegal2">
    <w:name w:val="List Legal 2"/>
    <w:basedOn w:val="ListLegal1"/>
    <w:uiPriority w:val="3"/>
    <w:rsid w:val="002F5DEC"/>
    <w:pPr>
      <w:numPr>
        <w:ilvl w:val="1"/>
      </w:numPr>
    </w:pPr>
  </w:style>
  <w:style w:type="paragraph" w:customStyle="1" w:styleId="ListLegal3">
    <w:name w:val="List Legal 3"/>
    <w:basedOn w:val="ListLegal2"/>
    <w:uiPriority w:val="3"/>
    <w:rsid w:val="002F5DEC"/>
    <w:pPr>
      <w:numPr>
        <w:ilvl w:val="2"/>
      </w:numPr>
    </w:pPr>
  </w:style>
  <w:style w:type="paragraph" w:customStyle="1" w:styleId="ListNumbered1">
    <w:name w:val="List Numbered 1"/>
    <w:basedOn w:val="Normal"/>
    <w:uiPriority w:val="3"/>
    <w:qFormat/>
    <w:rsid w:val="002F5DEC"/>
    <w:pPr>
      <w:numPr>
        <w:numId w:val="52"/>
      </w:numPr>
      <w:spacing w:before="80"/>
    </w:pPr>
    <w:rPr>
      <w:lang w:val="x-none"/>
    </w:rPr>
  </w:style>
  <w:style w:type="paragraph" w:customStyle="1" w:styleId="ListNumbered21">
    <w:name w:val="List Numbered 2.1"/>
    <w:basedOn w:val="ListNumbered1"/>
    <w:uiPriority w:val="3"/>
    <w:rsid w:val="002F5DEC"/>
    <w:pPr>
      <w:numPr>
        <w:ilvl w:val="1"/>
      </w:numPr>
    </w:pPr>
  </w:style>
  <w:style w:type="paragraph" w:customStyle="1" w:styleId="ListNumbered311">
    <w:name w:val="List Numbered 3.1.1"/>
    <w:basedOn w:val="ListNumbered21"/>
    <w:uiPriority w:val="3"/>
    <w:rsid w:val="002F5DEC"/>
    <w:pPr>
      <w:numPr>
        <w:ilvl w:val="2"/>
      </w:numPr>
    </w:pPr>
  </w:style>
  <w:style w:type="paragraph" w:customStyle="1" w:styleId="Bullet1">
    <w:name w:val="Bullet 1"/>
    <w:basedOn w:val="Normal"/>
    <w:uiPriority w:val="3"/>
    <w:qFormat/>
    <w:rsid w:val="002F5DEC"/>
    <w:pPr>
      <w:numPr>
        <w:numId w:val="39"/>
      </w:numPr>
      <w:spacing w:before="80"/>
    </w:pPr>
    <w:rPr>
      <w:lang w:val="x-none"/>
    </w:rPr>
  </w:style>
  <w:style w:type="paragraph" w:customStyle="1" w:styleId="Bullet2">
    <w:name w:val="Bullet 2"/>
    <w:basedOn w:val="Bullet1"/>
    <w:uiPriority w:val="3"/>
    <w:rsid w:val="002F5DEC"/>
    <w:pPr>
      <w:numPr>
        <w:ilvl w:val="1"/>
      </w:numPr>
    </w:pPr>
  </w:style>
  <w:style w:type="paragraph" w:customStyle="1" w:styleId="Bullet3">
    <w:name w:val="Bullet 3"/>
    <w:basedOn w:val="Bullet2"/>
    <w:uiPriority w:val="3"/>
    <w:rsid w:val="002F5DEC"/>
    <w:pPr>
      <w:numPr>
        <w:ilvl w:val="2"/>
      </w:numPr>
    </w:pPr>
  </w:style>
  <w:style w:type="paragraph" w:styleId="TOCHeading">
    <w:name w:val="TOC Heading"/>
    <w:basedOn w:val="Heading1"/>
    <w:next w:val="Normal"/>
    <w:uiPriority w:val="38"/>
    <w:rsid w:val="002F5DEC"/>
    <w:pPr>
      <w:spacing w:before="0"/>
    </w:pPr>
  </w:style>
  <w:style w:type="paragraph" w:customStyle="1" w:styleId="Box1Text">
    <w:name w:val="Box 1 Text"/>
    <w:basedOn w:val="Normal"/>
    <w:uiPriority w:val="23"/>
    <w:qFormat/>
    <w:rsid w:val="002F5DEC"/>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5119E1"/>
    <w:pPr>
      <w:outlineLvl w:val="2"/>
    </w:pPr>
    <w:rPr>
      <w:b/>
      <w:sz w:val="22"/>
      <w:szCs w:val="22"/>
    </w:rPr>
  </w:style>
  <w:style w:type="paragraph" w:customStyle="1" w:styleId="Box1Bullet1">
    <w:name w:val="Box 1 Bullet 1"/>
    <w:basedOn w:val="Box1Text"/>
    <w:uiPriority w:val="24"/>
    <w:qFormat/>
    <w:rsid w:val="002F5DEC"/>
    <w:pPr>
      <w:spacing w:before="80"/>
    </w:pPr>
  </w:style>
  <w:style w:type="paragraph" w:customStyle="1" w:styleId="Box2Text">
    <w:name w:val="Box 2 Text"/>
    <w:basedOn w:val="Normal"/>
    <w:uiPriority w:val="24"/>
    <w:qFormat/>
    <w:rsid w:val="002F5DEC"/>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2F5DEC"/>
    <w:rPr>
      <w:b/>
      <w:sz w:val="22"/>
    </w:rPr>
  </w:style>
  <w:style w:type="paragraph" w:customStyle="1" w:styleId="Box2Bullet1">
    <w:name w:val="Box 2 Bullet 1"/>
    <w:basedOn w:val="Box2Text"/>
    <w:uiPriority w:val="25"/>
    <w:qFormat/>
    <w:rsid w:val="002F5DEC"/>
    <w:pPr>
      <w:spacing w:before="80"/>
    </w:pPr>
  </w:style>
  <w:style w:type="table" w:customStyle="1" w:styleId="IconBoxTable">
    <w:name w:val="Icon Box Table"/>
    <w:basedOn w:val="TableNormal"/>
    <w:uiPriority w:val="99"/>
    <w:rsid w:val="002F5DEC"/>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2F5DEC"/>
    <w:pPr>
      <w:numPr>
        <w:numId w:val="9"/>
      </w:numPr>
    </w:pPr>
  </w:style>
  <w:style w:type="numbering" w:customStyle="1" w:styleId="ListLegal">
    <w:name w:val="List Legal"/>
    <w:uiPriority w:val="99"/>
    <w:rsid w:val="002F5DEC"/>
    <w:pPr>
      <w:numPr>
        <w:numId w:val="10"/>
      </w:numPr>
    </w:pPr>
  </w:style>
  <w:style w:type="numbering" w:customStyle="1" w:styleId="ListNumbered">
    <w:name w:val="List Numbered"/>
    <w:uiPriority w:val="99"/>
    <w:rsid w:val="002F5DEC"/>
    <w:pPr>
      <w:numPr>
        <w:numId w:val="11"/>
      </w:numPr>
    </w:pPr>
  </w:style>
  <w:style w:type="paragraph" w:customStyle="1" w:styleId="Heading1Numbered">
    <w:name w:val="Heading 1 Numbered"/>
    <w:basedOn w:val="Heading1"/>
    <w:uiPriority w:val="10"/>
    <w:rsid w:val="002F5DEC"/>
    <w:pPr>
      <w:numPr>
        <w:numId w:val="53"/>
      </w:numPr>
    </w:pPr>
  </w:style>
  <w:style w:type="paragraph" w:customStyle="1" w:styleId="Heading2Numbered">
    <w:name w:val="Heading 2 Numbered"/>
    <w:basedOn w:val="Heading2"/>
    <w:uiPriority w:val="10"/>
    <w:rsid w:val="002F5DEC"/>
    <w:pPr>
      <w:numPr>
        <w:ilvl w:val="1"/>
        <w:numId w:val="53"/>
      </w:numPr>
    </w:pPr>
  </w:style>
  <w:style w:type="paragraph" w:customStyle="1" w:styleId="Heading3Numbered">
    <w:name w:val="Heading 3 Numbered"/>
    <w:basedOn w:val="Heading3"/>
    <w:uiPriority w:val="10"/>
    <w:rsid w:val="002F5DEC"/>
    <w:pPr>
      <w:numPr>
        <w:ilvl w:val="2"/>
        <w:numId w:val="53"/>
      </w:numPr>
    </w:pPr>
  </w:style>
  <w:style w:type="paragraph" w:customStyle="1" w:styleId="Heading4Numbered">
    <w:name w:val="Heading 4 Numbered"/>
    <w:basedOn w:val="Heading4"/>
    <w:uiPriority w:val="10"/>
    <w:rsid w:val="002F5DEC"/>
    <w:pPr>
      <w:numPr>
        <w:ilvl w:val="3"/>
        <w:numId w:val="53"/>
      </w:numPr>
    </w:pPr>
  </w:style>
  <w:style w:type="paragraph" w:customStyle="1" w:styleId="Heading5Numbered">
    <w:name w:val="Heading 5 Numbered"/>
    <w:basedOn w:val="Heading5"/>
    <w:uiPriority w:val="10"/>
    <w:rsid w:val="002F5DEC"/>
    <w:pPr>
      <w:numPr>
        <w:ilvl w:val="4"/>
        <w:numId w:val="53"/>
      </w:numPr>
    </w:pPr>
  </w:style>
  <w:style w:type="numbering" w:customStyle="1" w:styleId="NumberedHeadings">
    <w:name w:val="Numbered Headings"/>
    <w:uiPriority w:val="99"/>
    <w:rsid w:val="002F5DEC"/>
    <w:pPr>
      <w:numPr>
        <w:numId w:val="5"/>
      </w:numPr>
    </w:pPr>
  </w:style>
  <w:style w:type="paragraph" w:customStyle="1" w:styleId="AppendixHeading1">
    <w:name w:val="Appendix Heading 1"/>
    <w:basedOn w:val="Heading1"/>
    <w:uiPriority w:val="11"/>
    <w:qFormat/>
    <w:rsid w:val="005119E1"/>
    <w:pPr>
      <w:numPr>
        <w:numId w:val="32"/>
      </w:numPr>
      <w:outlineLvl w:val="1"/>
    </w:pPr>
  </w:style>
  <w:style w:type="paragraph" w:customStyle="1" w:styleId="AppendixHeading2">
    <w:name w:val="Appendix Heading 2"/>
    <w:basedOn w:val="Heading2"/>
    <w:uiPriority w:val="11"/>
    <w:rsid w:val="002F5DEC"/>
    <w:pPr>
      <w:numPr>
        <w:ilvl w:val="1"/>
        <w:numId w:val="32"/>
      </w:numPr>
    </w:pPr>
  </w:style>
  <w:style w:type="paragraph" w:customStyle="1" w:styleId="AttachmentHeading1">
    <w:name w:val="Attachment Heading 1"/>
    <w:basedOn w:val="Heading1"/>
    <w:uiPriority w:val="11"/>
    <w:qFormat/>
    <w:rsid w:val="002F5DEC"/>
    <w:pPr>
      <w:numPr>
        <w:numId w:val="35"/>
      </w:numPr>
    </w:pPr>
  </w:style>
  <w:style w:type="paragraph" w:customStyle="1" w:styleId="AttachmentHeading2">
    <w:name w:val="Attachment Heading 2"/>
    <w:basedOn w:val="Heading2"/>
    <w:uiPriority w:val="11"/>
    <w:rsid w:val="002F5DEC"/>
    <w:pPr>
      <w:numPr>
        <w:ilvl w:val="1"/>
        <w:numId w:val="35"/>
      </w:numPr>
    </w:pPr>
  </w:style>
  <w:style w:type="numbering" w:customStyle="1" w:styleId="AppendixNumbers">
    <w:name w:val="Appendix Numbers"/>
    <w:uiPriority w:val="99"/>
    <w:rsid w:val="002F5DEC"/>
    <w:pPr>
      <w:numPr>
        <w:numId w:val="13"/>
      </w:numPr>
    </w:pPr>
  </w:style>
  <w:style w:type="numbering" w:customStyle="1" w:styleId="AttachmentNumbers">
    <w:name w:val="Attachment Numbers"/>
    <w:uiPriority w:val="99"/>
    <w:rsid w:val="002F5DEC"/>
    <w:pPr>
      <w:numPr>
        <w:numId w:val="7"/>
      </w:numPr>
    </w:pPr>
  </w:style>
  <w:style w:type="paragraph" w:styleId="Quote">
    <w:name w:val="Quote"/>
    <w:basedOn w:val="Normal"/>
    <w:next w:val="Normal"/>
    <w:link w:val="QuoteChar"/>
    <w:uiPriority w:val="29"/>
    <w:qFormat/>
    <w:rsid w:val="002F5DEC"/>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2F5DEC"/>
    <w:rPr>
      <w:b/>
      <w:iCs/>
      <w:color w:val="404040" w:themeColor="text1" w:themeTint="BF"/>
      <w:kern w:val="12"/>
    </w:rPr>
  </w:style>
  <w:style w:type="paragraph" w:styleId="TOC1">
    <w:name w:val="toc 1"/>
    <w:basedOn w:val="Normal"/>
    <w:next w:val="Normal"/>
    <w:autoRedefine/>
    <w:uiPriority w:val="39"/>
    <w:rsid w:val="002F5DEC"/>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2F5DEC"/>
    <w:pPr>
      <w:keepLines/>
      <w:spacing w:before="80"/>
      <w:ind w:left="567" w:hanging="567"/>
    </w:pPr>
  </w:style>
  <w:style w:type="paragraph" w:styleId="TOC3">
    <w:name w:val="toc 3"/>
    <w:basedOn w:val="Normal"/>
    <w:next w:val="Normal"/>
    <w:autoRedefine/>
    <w:uiPriority w:val="39"/>
    <w:rsid w:val="002F5DEC"/>
    <w:pPr>
      <w:spacing w:before="80"/>
      <w:ind w:left="1134" w:hanging="567"/>
    </w:pPr>
  </w:style>
  <w:style w:type="paragraph" w:styleId="TableofFigures">
    <w:name w:val="table of figures"/>
    <w:basedOn w:val="Normal"/>
    <w:next w:val="Normal"/>
    <w:uiPriority w:val="40"/>
    <w:unhideWhenUsed/>
    <w:rsid w:val="002F5DEC"/>
    <w:pPr>
      <w:spacing w:before="80"/>
    </w:pPr>
  </w:style>
  <w:style w:type="paragraph" w:customStyle="1" w:styleId="AreaHeading">
    <w:name w:val="Area Heading"/>
    <w:basedOn w:val="Normal"/>
    <w:qFormat/>
    <w:rsid w:val="002F5DEC"/>
    <w:pPr>
      <w:spacing w:before="0"/>
      <w:ind w:left="-1020" w:firstLine="1020"/>
    </w:pPr>
    <w:rPr>
      <w:rFonts w:cs="Times New Roman (Body CS)"/>
      <w:caps/>
      <w:color w:val="6D7989" w:themeColor="accent4" w:themeShade="BF"/>
      <w:sz w:val="21"/>
    </w:rPr>
  </w:style>
  <w:style w:type="paragraph" w:customStyle="1" w:styleId="Listparagraphbullets">
    <w:name w:val="List paragraph—bullets"/>
    <w:basedOn w:val="ListParagraph"/>
    <w:qFormat/>
    <w:rsid w:val="007D60DD"/>
    <w:pPr>
      <w:tabs>
        <w:tab w:val="num" w:pos="926"/>
      </w:tabs>
      <w:suppressAutoHyphens w:val="0"/>
      <w:spacing w:before="0" w:after="200"/>
      <w:ind w:left="567"/>
    </w:pPr>
    <w:rPr>
      <w:rFonts w:ascii="Segoe UI" w:hAnsi="Segoe UI"/>
      <w:color w:val="auto"/>
      <w:kern w:val="0"/>
      <w:szCs w:val="22"/>
      <w:lang w:eastAsia="zh-TW"/>
    </w:rPr>
  </w:style>
  <w:style w:type="paragraph" w:customStyle="1" w:styleId="Heading3-notshowing">
    <w:name w:val="Heading 3 - not showing"/>
    <w:basedOn w:val="Heading3"/>
    <w:qFormat/>
    <w:rsid w:val="007D60DD"/>
    <w:pPr>
      <w:keepLines w:val="0"/>
      <w:suppressAutoHyphens w:val="0"/>
      <w:spacing w:before="0" w:after="120"/>
    </w:pPr>
    <w:rPr>
      <w:rFonts w:ascii="Segoe UI Semibold" w:hAnsi="Segoe UI Semibold"/>
      <w:b w:val="0"/>
      <w:color w:val="002D72"/>
      <w:kern w:val="0"/>
      <w:sz w:val="28"/>
    </w:rPr>
  </w:style>
  <w:style w:type="paragraph" w:customStyle="1" w:styleId="Heading2notshowing">
    <w:name w:val="Heading 2—not showing"/>
    <w:basedOn w:val="Heading2"/>
    <w:qFormat/>
    <w:rsid w:val="007D60DD"/>
    <w:pPr>
      <w:keepLines w:val="0"/>
      <w:suppressAutoHyphens w:val="0"/>
      <w:spacing w:before="0" w:after="120"/>
    </w:pPr>
    <w:rPr>
      <w:rFonts w:ascii="Segoe UI Semibold" w:eastAsia="MingLiU" w:hAnsi="Segoe UI Semibold" w:cs="Mangal"/>
      <w:color w:val="002D72"/>
      <w:kern w:val="0"/>
      <w:sz w:val="32"/>
    </w:rPr>
  </w:style>
  <w:style w:type="paragraph" w:customStyle="1" w:styleId="Normaldisclaimerpage">
    <w:name w:val="Normal—disclaimer page"/>
    <w:basedOn w:val="Normal"/>
    <w:qFormat/>
    <w:rsid w:val="007D60DD"/>
    <w:pPr>
      <w:suppressAutoHyphens w:val="0"/>
      <w:spacing w:before="0" w:after="120"/>
    </w:pPr>
    <w:rPr>
      <w:rFonts w:ascii="Segoe UI" w:hAnsi="Segoe UI"/>
      <w:color w:val="auto"/>
      <w:kern w:val="0"/>
    </w:rPr>
  </w:style>
  <w:style w:type="paragraph" w:styleId="ListParagraph">
    <w:name w:val="List Paragraph"/>
    <w:aliases w:val="List Paragraph1,Recommendation,bullet point list,List Paragraph11,L,F5 List Paragraph,Dot pt,CV text,List Paragraph111,Medium Grid 1 - Accent 21,Numbered Paragraph,List Paragraph2,Bulleted Para,NFP GP Bulleted List,FooterText,numbered"/>
    <w:basedOn w:val="Bullet1"/>
    <w:next w:val="Normal"/>
    <w:link w:val="ListParagraphChar"/>
    <w:uiPriority w:val="34"/>
    <w:unhideWhenUsed/>
    <w:qFormat/>
    <w:rsid w:val="00830664"/>
    <w:pPr>
      <w:numPr>
        <w:numId w:val="0"/>
      </w:numPr>
      <w:ind w:left="1134" w:hanging="567"/>
      <w:contextualSpacing/>
    </w:pPr>
  </w:style>
  <w:style w:type="paragraph" w:styleId="EndnoteText">
    <w:name w:val="endnote text"/>
    <w:basedOn w:val="Normal"/>
    <w:link w:val="EndnoteTextChar"/>
    <w:uiPriority w:val="99"/>
    <w:unhideWhenUsed/>
    <w:rsid w:val="00592606"/>
    <w:pPr>
      <w:suppressAutoHyphens w:val="0"/>
      <w:spacing w:before="0" w:after="0"/>
    </w:pPr>
    <w:rPr>
      <w:rFonts w:ascii="Segoe UI" w:eastAsiaTheme="minorEastAsia" w:hAnsi="Segoe UI"/>
      <w:color w:val="auto"/>
      <w:kern w:val="0"/>
      <w:lang w:eastAsia="zh-TW"/>
    </w:rPr>
  </w:style>
  <w:style w:type="character" w:customStyle="1" w:styleId="EndnoteTextChar">
    <w:name w:val="Endnote Text Char"/>
    <w:basedOn w:val="DefaultParagraphFont"/>
    <w:link w:val="EndnoteText"/>
    <w:uiPriority w:val="99"/>
    <w:rsid w:val="00592606"/>
    <w:rPr>
      <w:rFonts w:ascii="Segoe UI" w:eastAsiaTheme="minorEastAsia" w:hAnsi="Segoe UI"/>
      <w:color w:val="auto"/>
      <w:lang w:eastAsia="zh-TW"/>
    </w:rPr>
  </w:style>
  <w:style w:type="character" w:styleId="EndnoteReference">
    <w:name w:val="endnote reference"/>
    <w:basedOn w:val="DefaultParagraphFont"/>
    <w:uiPriority w:val="99"/>
    <w:semiHidden/>
    <w:unhideWhenUsed/>
    <w:rsid w:val="00592606"/>
    <w:rPr>
      <w:vertAlign w:val="superscript"/>
    </w:rPr>
  </w:style>
  <w:style w:type="character" w:styleId="CommentReference">
    <w:name w:val="annotation reference"/>
    <w:basedOn w:val="DefaultParagraphFont"/>
    <w:uiPriority w:val="99"/>
    <w:semiHidden/>
    <w:unhideWhenUsed/>
    <w:rsid w:val="00592606"/>
    <w:rPr>
      <w:sz w:val="16"/>
      <w:szCs w:val="16"/>
    </w:rPr>
  </w:style>
  <w:style w:type="paragraph" w:styleId="CommentText">
    <w:name w:val="annotation text"/>
    <w:basedOn w:val="Normal"/>
    <w:link w:val="CommentTextChar"/>
    <w:uiPriority w:val="99"/>
    <w:semiHidden/>
    <w:unhideWhenUsed/>
    <w:rsid w:val="00592606"/>
  </w:style>
  <w:style w:type="character" w:customStyle="1" w:styleId="CommentTextChar">
    <w:name w:val="Comment Text Char"/>
    <w:basedOn w:val="DefaultParagraphFont"/>
    <w:link w:val="CommentText"/>
    <w:uiPriority w:val="99"/>
    <w:semiHidden/>
    <w:rsid w:val="00592606"/>
    <w:rPr>
      <w:kern w:val="12"/>
    </w:rPr>
  </w:style>
  <w:style w:type="paragraph" w:styleId="BalloonText">
    <w:name w:val="Balloon Text"/>
    <w:basedOn w:val="Normal"/>
    <w:link w:val="BalloonTextChar"/>
    <w:uiPriority w:val="99"/>
    <w:semiHidden/>
    <w:unhideWhenUsed/>
    <w:rsid w:val="0059260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606"/>
    <w:rPr>
      <w:rFonts w:ascii="Segoe UI" w:hAnsi="Segoe UI" w:cs="Segoe UI"/>
      <w:kern w:val="12"/>
      <w:sz w:val="18"/>
      <w:szCs w:val="18"/>
    </w:rPr>
  </w:style>
  <w:style w:type="paragraph" w:customStyle="1" w:styleId="Tablefigureheading">
    <w:name w:val="Table/figure heading"/>
    <w:basedOn w:val="Caption"/>
    <w:next w:val="Normal"/>
    <w:rsid w:val="00BB4972"/>
    <w:pPr>
      <w:keepNext/>
      <w:spacing w:after="0"/>
    </w:pPr>
    <w:rPr>
      <w:noProof/>
    </w:rPr>
  </w:style>
  <w:style w:type="paragraph" w:customStyle="1" w:styleId="Tabletextcentred">
    <w:name w:val="Table text centred"/>
    <w:basedOn w:val="Normal"/>
    <w:next w:val="NoSpacing"/>
    <w:rsid w:val="0083071E"/>
    <w:pPr>
      <w:suppressAutoHyphens w:val="0"/>
      <w:spacing w:before="0" w:after="0"/>
      <w:jc w:val="center"/>
    </w:pPr>
    <w:rPr>
      <w:rFonts w:ascii="Segoe UI" w:eastAsia="Times New Roman" w:hAnsi="Segoe UI" w:cs="Times New Roman"/>
      <w:color w:val="auto"/>
      <w:kern w:val="0"/>
      <w:sz w:val="21"/>
    </w:rPr>
  </w:style>
  <w:style w:type="character" w:customStyle="1" w:styleId="ListParagraphChar">
    <w:name w:val="List Paragraph Char"/>
    <w:aliases w:val="List Paragraph1 Char,Recommendation Char,bullet point list Char,List Paragraph11 Char,L Char,F5 List Paragraph Char,Dot pt Char,CV text Char,List Paragraph111 Char,Medium Grid 1 - Accent 21 Char,Numbered Paragraph Char,numbered Char"/>
    <w:link w:val="ListParagraph"/>
    <w:uiPriority w:val="34"/>
    <w:qFormat/>
    <w:rsid w:val="00830664"/>
    <w:rPr>
      <w:kern w:val="12"/>
      <w:lang w:val="x-none"/>
    </w:rPr>
  </w:style>
  <w:style w:type="paragraph" w:styleId="CommentSubject">
    <w:name w:val="annotation subject"/>
    <w:basedOn w:val="CommentText"/>
    <w:next w:val="CommentText"/>
    <w:link w:val="CommentSubjectChar"/>
    <w:uiPriority w:val="99"/>
    <w:semiHidden/>
    <w:unhideWhenUsed/>
    <w:rsid w:val="00972742"/>
    <w:rPr>
      <w:b/>
      <w:bCs/>
    </w:rPr>
  </w:style>
  <w:style w:type="character" w:customStyle="1" w:styleId="CommentSubjectChar">
    <w:name w:val="Comment Subject Char"/>
    <w:basedOn w:val="CommentTextChar"/>
    <w:link w:val="CommentSubject"/>
    <w:uiPriority w:val="99"/>
    <w:semiHidden/>
    <w:rsid w:val="00972742"/>
    <w:rPr>
      <w:b/>
      <w:bCs/>
      <w:kern w:val="12"/>
    </w:rPr>
  </w:style>
  <w:style w:type="character" w:styleId="FollowedHyperlink">
    <w:name w:val="FollowedHyperlink"/>
    <w:basedOn w:val="DefaultParagraphFont"/>
    <w:uiPriority w:val="99"/>
    <w:semiHidden/>
    <w:unhideWhenUsed/>
    <w:rsid w:val="00FE6D99"/>
    <w:rPr>
      <w:color w:val="0046FF" w:themeColor="followedHyperlink"/>
      <w:u w:val="single"/>
    </w:rPr>
  </w:style>
  <w:style w:type="paragraph" w:styleId="TOC4">
    <w:name w:val="toc 4"/>
    <w:basedOn w:val="Normal"/>
    <w:next w:val="Normal"/>
    <w:autoRedefine/>
    <w:uiPriority w:val="39"/>
    <w:unhideWhenUsed/>
    <w:rsid w:val="009A6E62"/>
    <w:pPr>
      <w:spacing w:after="100"/>
      <w:ind w:left="660"/>
    </w:pPr>
  </w:style>
  <w:style w:type="paragraph" w:styleId="Revision">
    <w:name w:val="Revision"/>
    <w:hidden/>
    <w:uiPriority w:val="99"/>
    <w:semiHidden/>
    <w:rsid w:val="00AD2069"/>
    <w:pPr>
      <w:spacing w:before="0" w:after="0"/>
    </w:pPr>
    <w:rPr>
      <w:kern w:val="12"/>
      <w:sz w:val="22"/>
    </w:rPr>
  </w:style>
  <w:style w:type="character" w:customStyle="1" w:styleId="BulletChar">
    <w:name w:val="Bullet Char"/>
    <w:basedOn w:val="DefaultParagraphFont"/>
    <w:link w:val="Bullet"/>
    <w:locked/>
    <w:rsid w:val="00273C68"/>
  </w:style>
  <w:style w:type="paragraph" w:customStyle="1" w:styleId="Bullet">
    <w:name w:val="Bullet"/>
    <w:basedOn w:val="Normal"/>
    <w:link w:val="BulletChar"/>
    <w:qFormat/>
    <w:rsid w:val="00273C68"/>
    <w:pPr>
      <w:tabs>
        <w:tab w:val="num" w:pos="567"/>
      </w:tabs>
      <w:suppressAutoHyphens w:val="0"/>
      <w:spacing w:before="0" w:after="240"/>
      <w:ind w:left="567" w:hanging="567"/>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33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yperlink" Target="http://www.infrastructure.gov.au/" TargetMode="External"/><Relationship Id="rId3" Type="http://schemas.openxmlformats.org/officeDocument/2006/relationships/customXml" Target="../customXml/item3.xml"/><Relationship Id="rId21" Type="http://schemas.openxmlformats.org/officeDocument/2006/relationships/hyperlink" Target="http://www.pmc.gov.au/" TargetMode="External"/><Relationship Id="rId34"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mailto:webservices@infrastructure.gov.au"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creativecommons.org/licenses/by/4.0/"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ublishing@communications.gov.au"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infrastructure.gov.au/" TargetMode="External"/><Relationship Id="rId28" Type="http://schemas.openxmlformats.org/officeDocument/2006/relationships/hyperlink" Target="https://www.abs.gov.au/AUSSTATS/abs@.nsf/Lookup/5271.0Main+Features12008-09?OpenDocument"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webservices@infrastructure.gov.au" TargetMode="External"/><Relationship Id="rId27" Type="http://schemas.openxmlformats.org/officeDocument/2006/relationships/hyperlink" Target="https://www.infrastructure.gov.au/media-centre/publications/cultural-and-creative-activity-australia-2008-09-2016-17" TargetMode="External"/><Relationship Id="rId30" Type="http://schemas.openxmlformats.org/officeDocument/2006/relationships/header" Target="header5.xml"/><Relationship Id="rId35"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arts.gov.au/sites/default/files/cultural-funding-australia2019.xlsx" TargetMode="External"/><Relationship Id="rId13" Type="http://schemas.openxmlformats.org/officeDocument/2006/relationships/hyperlink" Target="https://www.arts.gov.au/covid-19-update" TargetMode="External"/><Relationship Id="rId3" Type="http://schemas.openxmlformats.org/officeDocument/2006/relationships/hyperlink" Target="https://www.paulfletcher.com.au/media-releases/35-million-additional-support-for-arts-workers-and-companies" TargetMode="External"/><Relationship Id="rId7" Type="http://schemas.openxmlformats.org/officeDocument/2006/relationships/hyperlink" Target="https://www.ato.gov.au/uploadedFiles/Content/SPR/downloads/covid_19_boosting_cash_flow_infographic.pdf" TargetMode="External"/><Relationship Id="rId12" Type="http://schemas.openxmlformats.org/officeDocument/2006/relationships/hyperlink" Target="https://www.arts.gov.au/covid-19-update" TargetMode="External"/><Relationship Id="rId17" Type="http://schemas.openxmlformats.org/officeDocument/2006/relationships/hyperlink" Target="https://www.ato.gov.au/General/JobKeeper-Payment/Payment-rates/" TargetMode="External"/><Relationship Id="rId2" Type="http://schemas.openxmlformats.org/officeDocument/2006/relationships/hyperlink" Target="https://www.arts.gov.au/sites/default/files/cultural-funding-australia2019.xlsx" TargetMode="External"/><Relationship Id="rId16" Type="http://schemas.openxmlformats.org/officeDocument/2006/relationships/hyperlink" Target="https://www.abs.gov.au/statistics/economy/business-indicators/counts-australian-businesses-including-entries-and-exits/jul2016-jun2020" TargetMode="External"/><Relationship Id="rId1" Type="http://schemas.openxmlformats.org/officeDocument/2006/relationships/hyperlink" Target="https://www.infrastructure.gov.au/department/media/publications/visual-summary-cultural-and-creative-activity-australia-2009-10-2018-19" TargetMode="External"/><Relationship Id="rId6" Type="http://schemas.openxmlformats.org/officeDocument/2006/relationships/hyperlink" Target="https://treasury.gov.au/sites/default/files/2020-08/Fact_sheet-JobKeeper_Payment_extension_1.pdf" TargetMode="External"/><Relationship Id="rId11" Type="http://schemas.openxmlformats.org/officeDocument/2006/relationships/hyperlink" Target="https://www.paulfletcher.com.au/media-releases/35-million-additional-support-for-arts-workers-and-companies" TargetMode="External"/><Relationship Id="rId5" Type="http://schemas.openxmlformats.org/officeDocument/2006/relationships/hyperlink" Target="https://www.infrastructure.gov.au/media-centre/publications/characteristics-employment-and-business-activity-cultural-and-creative-sectors-fact-sheet" TargetMode="External"/><Relationship Id="rId15" Type="http://schemas.openxmlformats.org/officeDocument/2006/relationships/hyperlink" Target="https://www.abs.gov.au/AUSSTATS/abs@.nsf/Lookup/5271.0Main+Features12008-09?OpenDocument" TargetMode="External"/><Relationship Id="rId10" Type="http://schemas.openxmlformats.org/officeDocument/2006/relationships/hyperlink" Target="https://www.ato.gov.au/uploadedFiles/Content/SPR/downloads/covid_19_boosting_cash_flow_infographic.pdf" TargetMode="External"/><Relationship Id="rId4" Type="http://schemas.openxmlformats.org/officeDocument/2006/relationships/hyperlink" Target="https://www.infrastructure.gov.au/media-centre/publications/characteristics-employment-and-business-activity-cultural-and-creative-sectors-fact-sheet" TargetMode="External"/><Relationship Id="rId9" Type="http://schemas.openxmlformats.org/officeDocument/2006/relationships/hyperlink" Target="https://www.abs.gov.au/statistics/economy/business-indicators/counts-australian-businesses-including-entries-and-exits/latest-release" TargetMode="External"/><Relationship Id="rId14" Type="http://schemas.openxmlformats.org/officeDocument/2006/relationships/hyperlink" Target="https://www.arts.gov.au/covid-19-updat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71757B960341A3B8037B8720B80E37"/>
        <w:category>
          <w:name w:val="General"/>
          <w:gallery w:val="placeholder"/>
        </w:category>
        <w:types>
          <w:type w:val="bbPlcHdr"/>
        </w:types>
        <w:behaviors>
          <w:behavior w:val="content"/>
        </w:behaviors>
        <w:guid w:val="{6242FC37-5C5B-490D-A494-FF6255B835A9}"/>
      </w:docPartPr>
      <w:docPartBody>
        <w:p w:rsidR="0066648A" w:rsidRDefault="00142B7F" w:rsidP="00142B7F">
          <w:pPr>
            <w:pStyle w:val="F471757B960341A3B8037B8720B80E37"/>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2F"/>
    <w:rsid w:val="0005786A"/>
    <w:rsid w:val="000F6976"/>
    <w:rsid w:val="00142B7F"/>
    <w:rsid w:val="0033542F"/>
    <w:rsid w:val="003456B3"/>
    <w:rsid w:val="003871BC"/>
    <w:rsid w:val="004C6C05"/>
    <w:rsid w:val="004F5677"/>
    <w:rsid w:val="00611C7E"/>
    <w:rsid w:val="0066648A"/>
    <w:rsid w:val="00672109"/>
    <w:rsid w:val="006732BE"/>
    <w:rsid w:val="007118C3"/>
    <w:rsid w:val="00747D33"/>
    <w:rsid w:val="009D7A8C"/>
    <w:rsid w:val="00AA246A"/>
    <w:rsid w:val="00B67FD8"/>
    <w:rsid w:val="00B90820"/>
    <w:rsid w:val="00C16298"/>
    <w:rsid w:val="00DD79DF"/>
    <w:rsid w:val="00F174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976"/>
    <w:rPr>
      <w:color w:val="808080"/>
    </w:rPr>
  </w:style>
  <w:style w:type="paragraph" w:customStyle="1" w:styleId="A6C76CBE662A4251A3BCDF4E2017F355">
    <w:name w:val="A6C76CBE662A4251A3BCDF4E2017F355"/>
  </w:style>
  <w:style w:type="paragraph" w:customStyle="1" w:styleId="CD872040F96E455998C69F6F03FAAAC9">
    <w:name w:val="CD872040F96E455998C69F6F03FAAAC9"/>
  </w:style>
  <w:style w:type="paragraph" w:customStyle="1" w:styleId="F471757B960341A3B8037B8720B80E37">
    <w:name w:val="F471757B960341A3B8037B8720B80E37"/>
    <w:rsid w:val="00142B7F"/>
  </w:style>
  <w:style w:type="paragraph" w:customStyle="1" w:styleId="29E199785C704517BB9716DC10F0DB23">
    <w:name w:val="29E199785C704517BB9716DC10F0DB23"/>
    <w:rsid w:val="000F6976"/>
  </w:style>
  <w:style w:type="paragraph" w:customStyle="1" w:styleId="E7E26828491648C3803E4C02D7A7DE9B">
    <w:name w:val="E7E26828491648C3803E4C02D7A7DE9B"/>
    <w:rsid w:val="000F69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89AF551DB5764D9EF09DA2A099DBC1" ma:contentTypeVersion="0" ma:contentTypeDescription="Create a new document." ma:contentTypeScope="" ma:versionID="4b8142f2b262a8b847e97fdcf26921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B95F80-AD51-4849-9FC9-A8C3AA3B0343}">
  <ds:schemaRefs>
    <ds:schemaRef ds:uri="http://schemas.microsoft.com/sharepoint/v3/contenttype/forms"/>
  </ds:schemaRefs>
</ds:datastoreItem>
</file>

<file path=customXml/itemProps3.xml><?xml version="1.0" encoding="utf-8"?>
<ds:datastoreItem xmlns:ds="http://schemas.openxmlformats.org/officeDocument/2006/customXml" ds:itemID="{ACF88A75-1DFD-4369-B29A-E329B6893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F39B0E-D18C-4873-9B0D-E8BB7C3D68D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EF33C2D4-00A2-49B5-A7E6-E1692F90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Document.dotx</Template>
  <TotalTime>2</TotalTime>
  <Pages>12</Pages>
  <Words>3922</Words>
  <Characters>22360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Government payments to the cultural and creative sectors—September 2021</vt:lpstr>
    </vt:vector>
  </TitlesOfParts>
  <Company>Department of Infrastructure, Transport, Regional Development and Communications</Company>
  <LinksUpToDate>false</LinksUpToDate>
  <CharactersWithSpaces>26230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payments to the cultural and creative sectors</dc:title>
  <dc:subject/>
  <dc:creator>Department of Infrastructure, Transport, Regional Development and Communications</dc:creator>
  <cp:keywords/>
  <dc:description/>
  <cp:lastModifiedBy>Hall, Theresa</cp:lastModifiedBy>
  <cp:revision>3</cp:revision>
  <dcterms:created xsi:type="dcterms:W3CDTF">2021-09-24T00:21:00Z</dcterms:created>
  <dcterms:modified xsi:type="dcterms:W3CDTF">2021-09-24T00:22:00Z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0x010100B889AF551DB5764D9EF09DA2A099DBC1</vt:lpwstr>
  </property>
  <property fmtid="{D5CDD505-2E9C-101B-9397-08002B2CF9AE}" pid="3" name="TrimRevisionNumber">
    <vt:i4>17</vt:i4>
  </property>
</Properties>
</file>