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4AB2" w:rsidRPr="009922E5" w:rsidRDefault="008D4AB2" w:rsidP="004D4B0F">
      <w:pPr>
        <w:rPr>
          <w:lang w:val="en-AU"/>
        </w:rPr>
      </w:pPr>
      <w:r w:rsidRPr="009922E5">
        <w:rPr>
          <w:noProof/>
          <w:lang w:val="en-AU" w:eastAsia="en-AU"/>
        </w:rPr>
        <w:drawing>
          <wp:inline distT="0" distB="0" distL="0" distR="0" wp14:anchorId="4BFF9A06" wp14:editId="27C4B59E">
            <wp:extent cx="3147405" cy="669887"/>
            <wp:effectExtent l="0" t="0" r="2540" b="3810"/>
            <wp:docPr id="5" name="Picture 5" descr="Australian Government&#10;Department of Infrastructure, Transport, Regional Development and Commun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ustralian Government&#10;Department of Infrastructure, Transport, Regional Development and Communications"/>
                    <pic:cNvPicPr/>
                  </pic:nvPicPr>
                  <pic:blipFill>
                    <a:blip r:embed="rId11">
                      <a:extLst>
                        <a:ext uri="{28A0092B-C50C-407E-A947-70E740481C1C}">
                          <a14:useLocalDpi xmlns:a14="http://schemas.microsoft.com/office/drawing/2010/main" val="0"/>
                        </a:ext>
                      </a:extLst>
                    </a:blip>
                    <a:stretch>
                      <a:fillRect/>
                    </a:stretch>
                  </pic:blipFill>
                  <pic:spPr>
                    <a:xfrm>
                      <a:off x="0" y="0"/>
                      <a:ext cx="3147405" cy="669887"/>
                    </a:xfrm>
                    <a:prstGeom prst="rect">
                      <a:avLst/>
                    </a:prstGeom>
                  </pic:spPr>
                </pic:pic>
              </a:graphicData>
            </a:graphic>
          </wp:inline>
        </w:drawing>
      </w:r>
    </w:p>
    <w:p w:rsidR="008D4AB2" w:rsidRPr="009922E5" w:rsidRDefault="00104DF3" w:rsidP="006D7C61">
      <w:pPr>
        <w:pStyle w:val="Heading1"/>
        <w:spacing w:before="360"/>
        <w:rPr>
          <w:lang w:val="en-AU"/>
        </w:rPr>
      </w:pPr>
      <w:r w:rsidRPr="009922E5">
        <w:rPr>
          <w:lang w:val="en-AU"/>
        </w:rPr>
        <w:t>Funding of telecommunications consumer representation grants</w:t>
      </w:r>
    </w:p>
    <w:p w:rsidR="008D4AB2" w:rsidRPr="009922E5" w:rsidRDefault="00104DF3" w:rsidP="006D7C61">
      <w:pPr>
        <w:pStyle w:val="Subtitle"/>
        <w:spacing w:before="360"/>
        <w:rPr>
          <w:lang w:val="en-AU"/>
        </w:rPr>
      </w:pPr>
      <w:r w:rsidRPr="009922E5">
        <w:rPr>
          <w:lang w:val="en-AU"/>
        </w:rPr>
        <w:t>Annual Report 202</w:t>
      </w:r>
      <w:r w:rsidR="009922E5" w:rsidRPr="009922E5">
        <w:rPr>
          <w:lang w:val="en-AU"/>
        </w:rPr>
        <w:t>1</w:t>
      </w:r>
      <w:r w:rsidR="005612F6">
        <w:rPr>
          <w:lang w:val="en-AU"/>
        </w:rPr>
        <w:t>–</w:t>
      </w:r>
      <w:r w:rsidRPr="009922E5">
        <w:rPr>
          <w:lang w:val="en-AU"/>
        </w:rPr>
        <w:t>2</w:t>
      </w:r>
      <w:r w:rsidR="009922E5" w:rsidRPr="009922E5">
        <w:rPr>
          <w:lang w:val="en-AU"/>
        </w:rPr>
        <w:t>2</w:t>
      </w:r>
    </w:p>
    <w:p w:rsidR="008D4AB2" w:rsidRPr="009922E5" w:rsidRDefault="007449B8" w:rsidP="004D4B0F">
      <w:pPr>
        <w:rPr>
          <w:lang w:val="en-AU"/>
        </w:rPr>
      </w:pPr>
      <w:r w:rsidRPr="009922E5">
        <w:rPr>
          <w:lang w:val="en-AU"/>
        </w:rPr>
        <w:t>November</w:t>
      </w:r>
      <w:r w:rsidR="008D4AB2" w:rsidRPr="009922E5">
        <w:rPr>
          <w:lang w:val="en-AU"/>
        </w:rPr>
        <w:t xml:space="preserve"> 202</w:t>
      </w:r>
      <w:r w:rsidR="009922E5" w:rsidRPr="009922E5">
        <w:rPr>
          <w:lang w:val="en-AU"/>
        </w:rPr>
        <w:t>2</w:t>
      </w:r>
    </w:p>
    <w:p w:rsidR="008D4AB2" w:rsidRPr="009922E5" w:rsidRDefault="008D4AB2" w:rsidP="006D7C61">
      <w:pPr>
        <w:spacing w:after="0"/>
        <w:ind w:right="-1440"/>
        <w:jc w:val="right"/>
        <w:rPr>
          <w:lang w:val="en-AU"/>
        </w:rPr>
      </w:pPr>
    </w:p>
    <w:p w:rsidR="008D4AB2" w:rsidRPr="009922E5" w:rsidRDefault="008D4AB2" w:rsidP="004D4B0F">
      <w:pPr>
        <w:rPr>
          <w:lang w:val="en-AU"/>
        </w:rPr>
      </w:pPr>
    </w:p>
    <w:p w:rsidR="008D4AB2" w:rsidRPr="009922E5" w:rsidRDefault="008D4AB2" w:rsidP="004D4B0F">
      <w:pPr>
        <w:rPr>
          <w:lang w:val="en-AU"/>
        </w:rPr>
        <w:sectPr w:rsidR="008D4AB2" w:rsidRPr="009922E5" w:rsidSect="00F71E4C">
          <w:footerReference w:type="default" r:id="rId12"/>
          <w:footerReference w:type="first" r:id="rId13"/>
          <w:pgSz w:w="11906" w:h="16838"/>
          <w:pgMar w:top="709" w:right="1440" w:bottom="1440" w:left="2268" w:header="708" w:footer="0" w:gutter="0"/>
          <w:cols w:space="708"/>
          <w:titlePg/>
          <w:docGrid w:linePitch="360"/>
        </w:sectPr>
      </w:pPr>
    </w:p>
    <w:p w:rsidR="00F71E4C" w:rsidRPr="009922E5" w:rsidRDefault="00F71E4C" w:rsidP="004D4B0F">
      <w:pPr>
        <w:pStyle w:val="NoSpacing"/>
      </w:pPr>
      <w:r w:rsidRPr="009922E5">
        <w:lastRenderedPageBreak/>
        <w:t>© Commonwealth of Australia 202</w:t>
      </w:r>
      <w:r w:rsidR="009922E5" w:rsidRPr="009922E5">
        <w:t>2</w:t>
      </w:r>
    </w:p>
    <w:p w:rsidR="00104DF3" w:rsidRPr="009922E5" w:rsidRDefault="00104DF3" w:rsidP="004D4B0F">
      <w:pPr>
        <w:pStyle w:val="ImprintHeading"/>
        <w:rPr>
          <w:lang w:val="en-AU"/>
        </w:rPr>
      </w:pPr>
    </w:p>
    <w:p w:rsidR="00F71E4C" w:rsidRPr="009922E5" w:rsidRDefault="00F71E4C" w:rsidP="004D4B0F">
      <w:pPr>
        <w:pStyle w:val="ImprintHeading"/>
        <w:rPr>
          <w:lang w:val="en-AU"/>
        </w:rPr>
      </w:pPr>
      <w:r w:rsidRPr="009922E5">
        <w:rPr>
          <w:lang w:val="en-AU"/>
        </w:rPr>
        <w:t>Ownership of intellectual property rights in this publication</w:t>
      </w:r>
    </w:p>
    <w:p w:rsidR="00F71E4C" w:rsidRPr="009922E5" w:rsidRDefault="00F71E4C" w:rsidP="004D4B0F">
      <w:pPr>
        <w:rPr>
          <w:lang w:val="en-AU"/>
        </w:rPr>
      </w:pPr>
      <w:r w:rsidRPr="009922E5">
        <w:rPr>
          <w:lang w:val="en-AU"/>
        </w:rPr>
        <w:t>Unless otherwise noted, copyright (and any other intellectual property rights, if any) in this publication is owned by the Commonwealth of Australia (referred to below as the Commonwealth).</w:t>
      </w:r>
    </w:p>
    <w:p w:rsidR="00F71E4C" w:rsidRPr="009922E5" w:rsidRDefault="00F71E4C" w:rsidP="004D4B0F">
      <w:pPr>
        <w:pStyle w:val="ImprintHeading"/>
        <w:rPr>
          <w:lang w:val="en-AU"/>
        </w:rPr>
      </w:pPr>
      <w:r w:rsidRPr="009922E5">
        <w:rPr>
          <w:lang w:val="en-AU"/>
        </w:rPr>
        <w:t>Disclaimer</w:t>
      </w:r>
    </w:p>
    <w:p w:rsidR="00F71E4C" w:rsidRPr="009922E5" w:rsidRDefault="00F71E4C" w:rsidP="004D4B0F">
      <w:pPr>
        <w:rPr>
          <w:lang w:val="en-AU"/>
        </w:rPr>
      </w:pPr>
      <w:r w:rsidRPr="009922E5">
        <w:rPr>
          <w:lang w:val="en-AU"/>
        </w:rPr>
        <w:t>The material contained in this publication is made available on the understanding that the Commonwealth is not providing professional advice, and that users exercise their own skill and care with respect to its use, and seek independent advice if necessary.</w:t>
      </w:r>
    </w:p>
    <w:p w:rsidR="00F71E4C" w:rsidRPr="009922E5" w:rsidRDefault="00F71E4C" w:rsidP="004D4B0F">
      <w:pPr>
        <w:rPr>
          <w:lang w:val="en-AU"/>
        </w:rPr>
      </w:pPr>
      <w:r w:rsidRPr="009922E5">
        <w:rPr>
          <w:lang w:val="en-AU"/>
        </w:rPr>
        <w:t>The Commonwealth makes no representations or warranties as to the contents or accuracy of the information contained in this publication. To the extent permitted by law, the Commonwealth disclaims liability to any person or organisation in respect of anything done, or omitted to be done, in reliance upon information contained in this publication.</w:t>
      </w:r>
    </w:p>
    <w:p w:rsidR="00F71E4C" w:rsidRPr="009922E5" w:rsidRDefault="00F71E4C" w:rsidP="004D4B0F">
      <w:pPr>
        <w:pStyle w:val="ImprintHeading"/>
        <w:rPr>
          <w:lang w:val="en-AU"/>
        </w:rPr>
      </w:pPr>
      <w:r w:rsidRPr="009922E5">
        <w:rPr>
          <w:lang w:val="en-AU"/>
        </w:rPr>
        <w:t>Creative Commons licence</w:t>
      </w:r>
    </w:p>
    <w:p w:rsidR="00F71E4C" w:rsidRPr="009922E5" w:rsidRDefault="00F71E4C" w:rsidP="004D4B0F">
      <w:pPr>
        <w:rPr>
          <w:lang w:val="en-AU"/>
        </w:rPr>
      </w:pPr>
      <w:r w:rsidRPr="009922E5">
        <w:rPr>
          <w:lang w:val="en-AU"/>
        </w:rPr>
        <w:t>With the exception of (a) the Coat of Arms; (b) the Department of Infrastructure, Transport, Regional Development</w:t>
      </w:r>
      <w:r w:rsidR="009922E5">
        <w:rPr>
          <w:lang w:val="en-AU"/>
        </w:rPr>
        <w:t xml:space="preserve">, </w:t>
      </w:r>
      <w:r w:rsidRPr="009922E5">
        <w:rPr>
          <w:lang w:val="en-AU"/>
        </w:rPr>
        <w:t>Communications</w:t>
      </w:r>
      <w:r w:rsidR="009922E5">
        <w:rPr>
          <w:lang w:val="en-AU"/>
        </w:rPr>
        <w:t xml:space="preserve"> and the Arts</w:t>
      </w:r>
      <w:r w:rsidRPr="009922E5">
        <w:rPr>
          <w:lang w:val="en-AU"/>
        </w:rPr>
        <w:t xml:space="preserve"> photos and graphics; and (c) [OTHER], copyright in this publication is licensed under a Creative Commons Attribution 4.0 Australia Licence.</w:t>
      </w:r>
    </w:p>
    <w:p w:rsidR="00F71E4C" w:rsidRPr="009922E5" w:rsidRDefault="00F71E4C" w:rsidP="004D4B0F">
      <w:pPr>
        <w:rPr>
          <w:lang w:val="en-AU"/>
        </w:rPr>
      </w:pPr>
      <w:r w:rsidRPr="009922E5">
        <w:rPr>
          <w:lang w:val="en-AU"/>
        </w:rPr>
        <w:t>Creative Commons Attribution 4.0 Australia Licence is a standard form licence agreement that allows you to copy, communicate and adapt this publication provided that you attribute the work to the Commonwealth and abide by the other licence terms.</w:t>
      </w:r>
    </w:p>
    <w:p w:rsidR="00F71E4C" w:rsidRPr="009922E5" w:rsidRDefault="00F71E4C" w:rsidP="004D4B0F">
      <w:pPr>
        <w:rPr>
          <w:lang w:val="en-AU"/>
        </w:rPr>
      </w:pPr>
      <w:r w:rsidRPr="009922E5">
        <w:rPr>
          <w:lang w:val="en-AU"/>
        </w:rPr>
        <w:t xml:space="preserve">Further information on the licence terms is available from </w:t>
      </w:r>
      <w:hyperlink r:id="rId14" w:tooltip="Creative Commons website" w:history="1">
        <w:r w:rsidRPr="009922E5">
          <w:rPr>
            <w:rStyle w:val="Hyperlink"/>
            <w:lang w:val="en-AU"/>
          </w:rPr>
          <w:t>https://creativecommons.org/licenses/by/4.0/</w:t>
        </w:r>
      </w:hyperlink>
    </w:p>
    <w:p w:rsidR="00F71E4C" w:rsidRPr="009922E5" w:rsidRDefault="00F71E4C" w:rsidP="004D4B0F">
      <w:pPr>
        <w:rPr>
          <w:lang w:val="en-AU"/>
        </w:rPr>
      </w:pPr>
      <w:r w:rsidRPr="009922E5">
        <w:rPr>
          <w:lang w:val="en-AU"/>
        </w:rPr>
        <w:t>This publication should be attributed in the following way: © Commonwealth of Australia 202</w:t>
      </w:r>
      <w:r w:rsidR="009922E5" w:rsidRPr="009922E5">
        <w:rPr>
          <w:lang w:val="en-AU"/>
        </w:rPr>
        <w:t>2</w:t>
      </w:r>
      <w:r w:rsidRPr="009922E5">
        <w:rPr>
          <w:lang w:val="en-AU"/>
        </w:rPr>
        <w:t>.</w:t>
      </w:r>
    </w:p>
    <w:p w:rsidR="00F71E4C" w:rsidRPr="009922E5" w:rsidRDefault="00F71E4C" w:rsidP="004D4B0F">
      <w:pPr>
        <w:pStyle w:val="ImprintHeading"/>
        <w:rPr>
          <w:lang w:val="en-AU"/>
        </w:rPr>
      </w:pPr>
      <w:r w:rsidRPr="009922E5">
        <w:rPr>
          <w:lang w:val="en-AU"/>
        </w:rPr>
        <w:t>Use of the Coat of Arms</w:t>
      </w:r>
    </w:p>
    <w:p w:rsidR="00F71E4C" w:rsidRPr="00B95CB4" w:rsidRDefault="00F71E4C" w:rsidP="004D4B0F">
      <w:pPr>
        <w:rPr>
          <w:lang w:val="en-AU"/>
        </w:rPr>
      </w:pPr>
      <w:r w:rsidRPr="009922E5">
        <w:rPr>
          <w:lang w:val="en-AU"/>
        </w:rPr>
        <w:t xml:space="preserve">The Department of the Prime Minister and Cabinet sets the terms under which the Coat of Arms is used. Please refer to the Commonwealth Coat of Arms - Information and Guidelines publication available at </w:t>
      </w:r>
      <w:hyperlink r:id="rId15" w:tooltip="Department of Prime Minister and Cabinet website" w:history="1">
        <w:r w:rsidRPr="009922E5">
          <w:rPr>
            <w:rStyle w:val="Hyperlink"/>
            <w:lang w:val="en-AU"/>
          </w:rPr>
          <w:t>http://www.pmc.gov.au</w:t>
        </w:r>
      </w:hyperlink>
      <w:r w:rsidRPr="009922E5">
        <w:rPr>
          <w:lang w:val="en-AU"/>
        </w:rPr>
        <w:t>.</w:t>
      </w:r>
    </w:p>
    <w:p w:rsidR="00F71E4C" w:rsidRPr="009922E5" w:rsidRDefault="00F71E4C" w:rsidP="004D4B0F">
      <w:pPr>
        <w:pStyle w:val="ImprintHeading"/>
        <w:rPr>
          <w:lang w:val="en-AU"/>
        </w:rPr>
      </w:pPr>
      <w:r w:rsidRPr="009922E5">
        <w:rPr>
          <w:lang w:val="en-AU"/>
        </w:rPr>
        <w:t>Contact us</w:t>
      </w:r>
    </w:p>
    <w:p w:rsidR="00F71E4C" w:rsidRPr="009922E5" w:rsidRDefault="00F71E4C" w:rsidP="004D4B0F">
      <w:pPr>
        <w:rPr>
          <w:lang w:val="en-AU"/>
        </w:rPr>
      </w:pPr>
      <w:r w:rsidRPr="009922E5">
        <w:rPr>
          <w:lang w:val="en-AU"/>
        </w:rPr>
        <w:t xml:space="preserve">This publication is available in hard copy or PDF format. All other rights are reserved, including in relation to any departmental logos or </w:t>
      </w:r>
      <w:proofErr w:type="spellStart"/>
      <w:r w:rsidRPr="009922E5">
        <w:rPr>
          <w:lang w:val="en-AU"/>
        </w:rPr>
        <w:t>trade marks</w:t>
      </w:r>
      <w:proofErr w:type="spellEnd"/>
      <w:r w:rsidRPr="009922E5">
        <w:rPr>
          <w:lang w:val="en-AU"/>
        </w:rPr>
        <w:t xml:space="preserve"> which may exist. For enquiries regarding the licence and any use of this publication, please contact:</w:t>
      </w:r>
    </w:p>
    <w:p w:rsidR="00F71E4C" w:rsidRPr="009922E5" w:rsidRDefault="00F71E4C" w:rsidP="004D4B0F">
      <w:pPr>
        <w:pStyle w:val="NoSpacing"/>
      </w:pPr>
      <w:r w:rsidRPr="009922E5">
        <w:t>Director – Creative Services</w:t>
      </w:r>
    </w:p>
    <w:p w:rsidR="00F71E4C" w:rsidRPr="009922E5" w:rsidRDefault="00F71E4C" w:rsidP="004D4B0F">
      <w:pPr>
        <w:pStyle w:val="NoSpacing"/>
      </w:pPr>
      <w:r w:rsidRPr="009922E5">
        <w:t>Communication Branch</w:t>
      </w:r>
    </w:p>
    <w:p w:rsidR="00F71E4C" w:rsidRPr="009922E5" w:rsidRDefault="00F71E4C" w:rsidP="004D4B0F">
      <w:pPr>
        <w:pStyle w:val="NoSpacing"/>
      </w:pPr>
      <w:r w:rsidRPr="009922E5">
        <w:t>Department of Infrastructure, Transport, Regional Development</w:t>
      </w:r>
      <w:r w:rsidR="009922E5">
        <w:t xml:space="preserve">, </w:t>
      </w:r>
      <w:r w:rsidRPr="009922E5">
        <w:t>Communications</w:t>
      </w:r>
      <w:r w:rsidR="009922E5">
        <w:t xml:space="preserve"> and the Arts</w:t>
      </w:r>
    </w:p>
    <w:p w:rsidR="00F71E4C" w:rsidRPr="009922E5" w:rsidRDefault="00F71E4C" w:rsidP="004D4B0F">
      <w:pPr>
        <w:pStyle w:val="NoSpacing"/>
      </w:pPr>
      <w:r w:rsidRPr="009922E5">
        <w:t>GPO Box 594</w:t>
      </w:r>
    </w:p>
    <w:p w:rsidR="00F71E4C" w:rsidRPr="009922E5" w:rsidRDefault="00F71E4C" w:rsidP="004D4B0F">
      <w:pPr>
        <w:pStyle w:val="NoSpacing"/>
      </w:pPr>
      <w:r w:rsidRPr="009922E5">
        <w:t>Canberra ACT 2601</w:t>
      </w:r>
    </w:p>
    <w:p w:rsidR="00F71E4C" w:rsidRPr="009922E5" w:rsidRDefault="00F71E4C" w:rsidP="004D4B0F">
      <w:pPr>
        <w:rPr>
          <w:lang w:val="en-AU"/>
        </w:rPr>
      </w:pPr>
      <w:r w:rsidRPr="009922E5">
        <w:rPr>
          <w:lang w:val="en-AU"/>
        </w:rPr>
        <w:t>Australia</w:t>
      </w:r>
    </w:p>
    <w:p w:rsidR="00F71E4C" w:rsidRPr="009922E5" w:rsidRDefault="00F71E4C" w:rsidP="004D4B0F">
      <w:pPr>
        <w:pStyle w:val="NoSpacing"/>
      </w:pPr>
      <w:r w:rsidRPr="009922E5">
        <w:t xml:space="preserve">Email: </w:t>
      </w:r>
      <w:hyperlink r:id="rId16" w:tooltip="Email the Publishing team at the Department of Infrastructure, Transport, Regional Development and Communications" w:history="1">
        <w:r w:rsidRPr="009922E5">
          <w:rPr>
            <w:rStyle w:val="Hyperlink"/>
          </w:rPr>
          <w:t>publishing@infrastructure.gov.au</w:t>
        </w:r>
      </w:hyperlink>
    </w:p>
    <w:p w:rsidR="00F71E4C" w:rsidRPr="009922E5" w:rsidRDefault="00F71E4C" w:rsidP="004D4B0F">
      <w:pPr>
        <w:pStyle w:val="NoSpacing"/>
      </w:pPr>
      <w:r w:rsidRPr="009922E5">
        <w:t xml:space="preserve">Website: </w:t>
      </w:r>
      <w:hyperlink r:id="rId17" w:tooltip="Department of Infrastructure, Transport, Regional Development and Communications website" w:history="1">
        <w:r w:rsidRPr="009922E5">
          <w:rPr>
            <w:rStyle w:val="Hyperlink"/>
          </w:rPr>
          <w:t>www.infrastructure.gov.au</w:t>
        </w:r>
      </w:hyperlink>
    </w:p>
    <w:p w:rsidR="008D4AB2" w:rsidRPr="009922E5" w:rsidRDefault="008D4AB2" w:rsidP="004D4B0F">
      <w:pPr>
        <w:rPr>
          <w:lang w:val="en-AU"/>
        </w:rPr>
      </w:pPr>
      <w:r w:rsidRPr="009922E5">
        <w:rPr>
          <w:lang w:val="en-AU"/>
        </w:rPr>
        <w:br w:type="page"/>
      </w:r>
    </w:p>
    <w:p w:rsidR="008D4AB2" w:rsidRPr="00D91C77" w:rsidRDefault="004D4B0F" w:rsidP="004D4B0F">
      <w:pPr>
        <w:pStyle w:val="ImprintHeading"/>
        <w:rPr>
          <w:sz w:val="32"/>
          <w:szCs w:val="32"/>
          <w:lang w:val="en-AU"/>
        </w:rPr>
      </w:pPr>
      <w:r w:rsidRPr="00D91C77">
        <w:rPr>
          <w:sz w:val="32"/>
          <w:szCs w:val="32"/>
          <w:lang w:val="en-AU"/>
        </w:rPr>
        <w:lastRenderedPageBreak/>
        <w:t>Table of contents</w:t>
      </w:r>
    </w:p>
    <w:p w:rsidR="00D91C77" w:rsidRDefault="006D7C61">
      <w:pPr>
        <w:pStyle w:val="TOC1"/>
        <w:rPr>
          <w:rFonts w:eastAsiaTheme="minorEastAsia"/>
          <w:b w:val="0"/>
          <w:noProof/>
          <w:color w:val="auto"/>
          <w:kern w:val="0"/>
          <w:sz w:val="22"/>
          <w:szCs w:val="22"/>
          <w:lang w:eastAsia="zh-CN"/>
        </w:rPr>
      </w:pPr>
      <w:r w:rsidRPr="009922E5">
        <w:fldChar w:fldCharType="begin"/>
      </w:r>
      <w:r w:rsidRPr="009922E5">
        <w:instrText xml:space="preserve"> TOC \h \z \t "Heading 2,1,Heading 3,2,Heading 4,3" </w:instrText>
      </w:r>
      <w:r w:rsidRPr="009922E5">
        <w:fldChar w:fldCharType="separate"/>
      </w:r>
      <w:hyperlink w:anchor="_Toc120548653" w:history="1">
        <w:r w:rsidR="00D91C77" w:rsidRPr="00D0554D">
          <w:rPr>
            <w:rStyle w:val="Hyperlink"/>
            <w:noProof/>
          </w:rPr>
          <w:t>Purpose of Section 593 of the Telecommunications Act 1997</w:t>
        </w:r>
        <w:r w:rsidR="00D91C77">
          <w:rPr>
            <w:noProof/>
            <w:webHidden/>
          </w:rPr>
          <w:tab/>
        </w:r>
        <w:r w:rsidR="00D91C77">
          <w:rPr>
            <w:noProof/>
            <w:webHidden/>
          </w:rPr>
          <w:fldChar w:fldCharType="begin"/>
        </w:r>
        <w:r w:rsidR="00D91C77">
          <w:rPr>
            <w:noProof/>
            <w:webHidden/>
          </w:rPr>
          <w:instrText xml:space="preserve"> PAGEREF _Toc120548653 \h </w:instrText>
        </w:r>
        <w:r w:rsidR="00D91C77">
          <w:rPr>
            <w:noProof/>
            <w:webHidden/>
          </w:rPr>
        </w:r>
        <w:r w:rsidR="00D91C77">
          <w:rPr>
            <w:noProof/>
            <w:webHidden/>
          </w:rPr>
          <w:fldChar w:fldCharType="separate"/>
        </w:r>
        <w:r w:rsidR="00D91C77">
          <w:rPr>
            <w:noProof/>
            <w:webHidden/>
          </w:rPr>
          <w:t>4</w:t>
        </w:r>
        <w:r w:rsidR="00D91C77">
          <w:rPr>
            <w:noProof/>
            <w:webHidden/>
          </w:rPr>
          <w:fldChar w:fldCharType="end"/>
        </w:r>
      </w:hyperlink>
    </w:p>
    <w:p w:rsidR="00D91C77" w:rsidRDefault="00D91C77">
      <w:pPr>
        <w:pStyle w:val="TOC1"/>
        <w:rPr>
          <w:rFonts w:eastAsiaTheme="minorEastAsia"/>
          <w:b w:val="0"/>
          <w:noProof/>
          <w:color w:val="auto"/>
          <w:kern w:val="0"/>
          <w:sz w:val="22"/>
          <w:szCs w:val="22"/>
          <w:lang w:eastAsia="zh-CN"/>
        </w:rPr>
      </w:pPr>
      <w:hyperlink w:anchor="_Toc120548654" w:history="1">
        <w:r w:rsidRPr="00D0554D">
          <w:rPr>
            <w:rStyle w:val="Hyperlink"/>
            <w:noProof/>
          </w:rPr>
          <w:t>Funding provided 2021–22</w:t>
        </w:r>
        <w:r>
          <w:rPr>
            <w:noProof/>
            <w:webHidden/>
          </w:rPr>
          <w:tab/>
        </w:r>
        <w:r>
          <w:rPr>
            <w:noProof/>
            <w:webHidden/>
          </w:rPr>
          <w:fldChar w:fldCharType="begin"/>
        </w:r>
        <w:r>
          <w:rPr>
            <w:noProof/>
            <w:webHidden/>
          </w:rPr>
          <w:instrText xml:space="preserve"> PAGEREF _Toc120548654 \h </w:instrText>
        </w:r>
        <w:r>
          <w:rPr>
            <w:noProof/>
            <w:webHidden/>
          </w:rPr>
        </w:r>
        <w:r>
          <w:rPr>
            <w:noProof/>
            <w:webHidden/>
          </w:rPr>
          <w:fldChar w:fldCharType="separate"/>
        </w:r>
        <w:r>
          <w:rPr>
            <w:noProof/>
            <w:webHidden/>
          </w:rPr>
          <w:t>4</w:t>
        </w:r>
        <w:r>
          <w:rPr>
            <w:noProof/>
            <w:webHidden/>
          </w:rPr>
          <w:fldChar w:fldCharType="end"/>
        </w:r>
      </w:hyperlink>
    </w:p>
    <w:p w:rsidR="00D91C77" w:rsidRDefault="00D91C77">
      <w:pPr>
        <w:pStyle w:val="TOC1"/>
        <w:rPr>
          <w:rFonts w:eastAsiaTheme="minorEastAsia"/>
          <w:b w:val="0"/>
          <w:noProof/>
          <w:color w:val="auto"/>
          <w:kern w:val="0"/>
          <w:sz w:val="22"/>
          <w:szCs w:val="22"/>
          <w:lang w:eastAsia="zh-CN"/>
        </w:rPr>
      </w:pPr>
      <w:hyperlink w:anchor="_Toc120548655" w:history="1">
        <w:r w:rsidRPr="00D0554D">
          <w:rPr>
            <w:rStyle w:val="Hyperlink"/>
            <w:noProof/>
          </w:rPr>
          <w:t>Assessment of ACCAN’s general performance</w:t>
        </w:r>
        <w:r>
          <w:rPr>
            <w:noProof/>
            <w:webHidden/>
          </w:rPr>
          <w:tab/>
        </w:r>
        <w:r>
          <w:rPr>
            <w:noProof/>
            <w:webHidden/>
          </w:rPr>
          <w:fldChar w:fldCharType="begin"/>
        </w:r>
        <w:r>
          <w:rPr>
            <w:noProof/>
            <w:webHidden/>
          </w:rPr>
          <w:instrText xml:space="preserve"> PAGEREF _Toc120548655 \h </w:instrText>
        </w:r>
        <w:r>
          <w:rPr>
            <w:noProof/>
            <w:webHidden/>
          </w:rPr>
        </w:r>
        <w:r>
          <w:rPr>
            <w:noProof/>
            <w:webHidden/>
          </w:rPr>
          <w:fldChar w:fldCharType="separate"/>
        </w:r>
        <w:r>
          <w:rPr>
            <w:noProof/>
            <w:webHidden/>
          </w:rPr>
          <w:t>4</w:t>
        </w:r>
        <w:r>
          <w:rPr>
            <w:noProof/>
            <w:webHidden/>
          </w:rPr>
          <w:fldChar w:fldCharType="end"/>
        </w:r>
      </w:hyperlink>
    </w:p>
    <w:p w:rsidR="00D91C77" w:rsidRDefault="00D91C77">
      <w:pPr>
        <w:pStyle w:val="TOC1"/>
        <w:rPr>
          <w:rFonts w:eastAsiaTheme="minorEastAsia"/>
          <w:b w:val="0"/>
          <w:noProof/>
          <w:color w:val="auto"/>
          <w:kern w:val="0"/>
          <w:sz w:val="22"/>
          <w:szCs w:val="22"/>
          <w:lang w:eastAsia="zh-CN"/>
        </w:rPr>
      </w:pPr>
      <w:hyperlink w:anchor="_Toc120548656" w:history="1">
        <w:r w:rsidRPr="00D0554D">
          <w:rPr>
            <w:rStyle w:val="Hyperlink"/>
            <w:noProof/>
          </w:rPr>
          <w:t>Financial accounts</w:t>
        </w:r>
        <w:r>
          <w:rPr>
            <w:noProof/>
            <w:webHidden/>
          </w:rPr>
          <w:tab/>
        </w:r>
        <w:r>
          <w:rPr>
            <w:noProof/>
            <w:webHidden/>
          </w:rPr>
          <w:fldChar w:fldCharType="begin"/>
        </w:r>
        <w:r>
          <w:rPr>
            <w:noProof/>
            <w:webHidden/>
          </w:rPr>
          <w:instrText xml:space="preserve"> PAGEREF _Toc120548656 \h </w:instrText>
        </w:r>
        <w:r>
          <w:rPr>
            <w:noProof/>
            <w:webHidden/>
          </w:rPr>
        </w:r>
        <w:r>
          <w:rPr>
            <w:noProof/>
            <w:webHidden/>
          </w:rPr>
          <w:fldChar w:fldCharType="separate"/>
        </w:r>
        <w:r>
          <w:rPr>
            <w:noProof/>
            <w:webHidden/>
          </w:rPr>
          <w:t>5</w:t>
        </w:r>
        <w:r>
          <w:rPr>
            <w:noProof/>
            <w:webHidden/>
          </w:rPr>
          <w:fldChar w:fldCharType="end"/>
        </w:r>
      </w:hyperlink>
    </w:p>
    <w:p w:rsidR="00D91C77" w:rsidRDefault="00D91C77">
      <w:pPr>
        <w:pStyle w:val="TOC1"/>
        <w:rPr>
          <w:rFonts w:eastAsiaTheme="minorEastAsia"/>
          <w:b w:val="0"/>
          <w:noProof/>
          <w:color w:val="auto"/>
          <w:kern w:val="0"/>
          <w:sz w:val="22"/>
          <w:szCs w:val="22"/>
          <w:lang w:eastAsia="zh-CN"/>
        </w:rPr>
      </w:pPr>
      <w:hyperlink w:anchor="_Toc120548657" w:history="1">
        <w:r w:rsidRPr="00D0554D">
          <w:rPr>
            <w:rStyle w:val="Hyperlink"/>
            <w:noProof/>
          </w:rPr>
          <w:t>Independent Grants Program</w:t>
        </w:r>
        <w:r>
          <w:rPr>
            <w:noProof/>
            <w:webHidden/>
          </w:rPr>
          <w:tab/>
        </w:r>
        <w:r>
          <w:rPr>
            <w:noProof/>
            <w:webHidden/>
          </w:rPr>
          <w:fldChar w:fldCharType="begin"/>
        </w:r>
        <w:r>
          <w:rPr>
            <w:noProof/>
            <w:webHidden/>
          </w:rPr>
          <w:instrText xml:space="preserve"> PAGEREF _Toc120548657 \h </w:instrText>
        </w:r>
        <w:r>
          <w:rPr>
            <w:noProof/>
            <w:webHidden/>
          </w:rPr>
        </w:r>
        <w:r>
          <w:rPr>
            <w:noProof/>
            <w:webHidden/>
          </w:rPr>
          <w:fldChar w:fldCharType="separate"/>
        </w:r>
        <w:r>
          <w:rPr>
            <w:noProof/>
            <w:webHidden/>
          </w:rPr>
          <w:t>5</w:t>
        </w:r>
        <w:r>
          <w:rPr>
            <w:noProof/>
            <w:webHidden/>
          </w:rPr>
          <w:fldChar w:fldCharType="end"/>
        </w:r>
      </w:hyperlink>
    </w:p>
    <w:p w:rsidR="00D91C77" w:rsidRDefault="00D91C77">
      <w:pPr>
        <w:pStyle w:val="TOC2"/>
        <w:tabs>
          <w:tab w:val="right" w:pos="8896"/>
        </w:tabs>
        <w:rPr>
          <w:rFonts w:eastAsiaTheme="minorEastAsia"/>
          <w:noProof/>
          <w:color w:val="auto"/>
          <w:kern w:val="0"/>
          <w:sz w:val="22"/>
          <w:szCs w:val="22"/>
          <w:lang w:eastAsia="zh-CN"/>
        </w:rPr>
      </w:pPr>
      <w:hyperlink w:anchor="_Toc120548658" w:history="1">
        <w:r w:rsidRPr="00D0554D">
          <w:rPr>
            <w:rStyle w:val="Hyperlink"/>
            <w:noProof/>
          </w:rPr>
          <w:t>2020 grants round</w:t>
        </w:r>
        <w:r>
          <w:rPr>
            <w:noProof/>
            <w:webHidden/>
          </w:rPr>
          <w:tab/>
        </w:r>
        <w:r>
          <w:rPr>
            <w:noProof/>
            <w:webHidden/>
          </w:rPr>
          <w:fldChar w:fldCharType="begin"/>
        </w:r>
        <w:r>
          <w:rPr>
            <w:noProof/>
            <w:webHidden/>
          </w:rPr>
          <w:instrText xml:space="preserve"> PAGEREF _Toc120548658 \h </w:instrText>
        </w:r>
        <w:r>
          <w:rPr>
            <w:noProof/>
            <w:webHidden/>
          </w:rPr>
        </w:r>
        <w:r>
          <w:rPr>
            <w:noProof/>
            <w:webHidden/>
          </w:rPr>
          <w:fldChar w:fldCharType="separate"/>
        </w:r>
        <w:r>
          <w:rPr>
            <w:noProof/>
            <w:webHidden/>
          </w:rPr>
          <w:t>5</w:t>
        </w:r>
        <w:r>
          <w:rPr>
            <w:noProof/>
            <w:webHidden/>
          </w:rPr>
          <w:fldChar w:fldCharType="end"/>
        </w:r>
      </w:hyperlink>
    </w:p>
    <w:p w:rsidR="00D91C77" w:rsidRDefault="00D91C77">
      <w:pPr>
        <w:pStyle w:val="TOC2"/>
        <w:tabs>
          <w:tab w:val="right" w:pos="8896"/>
        </w:tabs>
        <w:rPr>
          <w:rFonts w:eastAsiaTheme="minorEastAsia"/>
          <w:noProof/>
          <w:color w:val="auto"/>
          <w:kern w:val="0"/>
          <w:sz w:val="22"/>
          <w:szCs w:val="22"/>
          <w:lang w:eastAsia="zh-CN"/>
        </w:rPr>
      </w:pPr>
      <w:hyperlink w:anchor="_Toc120548659" w:history="1">
        <w:r w:rsidRPr="00D0554D">
          <w:rPr>
            <w:rStyle w:val="Hyperlink"/>
            <w:noProof/>
          </w:rPr>
          <w:t>2021 grants round</w:t>
        </w:r>
        <w:r>
          <w:rPr>
            <w:noProof/>
            <w:webHidden/>
          </w:rPr>
          <w:tab/>
        </w:r>
        <w:r>
          <w:rPr>
            <w:noProof/>
            <w:webHidden/>
          </w:rPr>
          <w:fldChar w:fldCharType="begin"/>
        </w:r>
        <w:r>
          <w:rPr>
            <w:noProof/>
            <w:webHidden/>
          </w:rPr>
          <w:instrText xml:space="preserve"> PAGEREF _Toc120548659 \h </w:instrText>
        </w:r>
        <w:r>
          <w:rPr>
            <w:noProof/>
            <w:webHidden/>
          </w:rPr>
        </w:r>
        <w:r>
          <w:rPr>
            <w:noProof/>
            <w:webHidden/>
          </w:rPr>
          <w:fldChar w:fldCharType="separate"/>
        </w:r>
        <w:r>
          <w:rPr>
            <w:noProof/>
            <w:webHidden/>
          </w:rPr>
          <w:t>6</w:t>
        </w:r>
        <w:r>
          <w:rPr>
            <w:noProof/>
            <w:webHidden/>
          </w:rPr>
          <w:fldChar w:fldCharType="end"/>
        </w:r>
      </w:hyperlink>
    </w:p>
    <w:p w:rsidR="00D91C77" w:rsidRDefault="006D7C61" w:rsidP="006D7C61">
      <w:pPr>
        <w:pStyle w:val="ImprintHeading"/>
        <w:spacing w:before="480"/>
        <w:rPr>
          <w:noProof/>
        </w:rPr>
      </w:pPr>
      <w:r w:rsidRPr="009922E5">
        <w:rPr>
          <w:sz w:val="24"/>
          <w:szCs w:val="20"/>
          <w:u w:val="single" w:color="ED7D31" w:themeColor="accent2"/>
          <w:lang w:val="en-AU"/>
        </w:rPr>
        <w:fldChar w:fldCharType="end"/>
      </w:r>
      <w:r w:rsidRPr="00D91C77">
        <w:rPr>
          <w:sz w:val="32"/>
          <w:szCs w:val="32"/>
          <w:lang w:val="en-AU"/>
        </w:rPr>
        <w:t>List of figures and tables</w:t>
      </w:r>
      <w:r w:rsidRPr="00D91C77">
        <w:rPr>
          <w:sz w:val="32"/>
          <w:szCs w:val="32"/>
          <w:lang w:val="en-AU"/>
        </w:rPr>
        <w:fldChar w:fldCharType="begin"/>
      </w:r>
      <w:r w:rsidRPr="00D91C77">
        <w:rPr>
          <w:sz w:val="32"/>
          <w:szCs w:val="32"/>
          <w:lang w:val="en-AU"/>
        </w:rPr>
        <w:instrText xml:space="preserve"> TOC \h \z \t "Table/figure heading,4" </w:instrText>
      </w:r>
      <w:r w:rsidRPr="00D91C77">
        <w:rPr>
          <w:sz w:val="32"/>
          <w:szCs w:val="32"/>
          <w:lang w:val="en-AU"/>
        </w:rPr>
        <w:fldChar w:fldCharType="separate"/>
      </w:r>
    </w:p>
    <w:p w:rsidR="00D91C77" w:rsidRDefault="00D91C77">
      <w:pPr>
        <w:pStyle w:val="TOC4"/>
        <w:rPr>
          <w:rFonts w:eastAsiaTheme="minorEastAsia"/>
          <w:noProof/>
          <w:lang w:val="en-AU" w:eastAsia="zh-CN"/>
        </w:rPr>
      </w:pPr>
      <w:hyperlink w:anchor="_Toc120548677" w:history="1">
        <w:r w:rsidRPr="00CC56BE">
          <w:rPr>
            <w:rStyle w:val="Hyperlink"/>
            <w:noProof/>
          </w:rPr>
          <w:t>Table 1: 2020 grants round projects funded in 2021–22</w:t>
        </w:r>
        <w:r>
          <w:rPr>
            <w:noProof/>
            <w:webHidden/>
          </w:rPr>
          <w:tab/>
        </w:r>
        <w:r>
          <w:rPr>
            <w:noProof/>
            <w:webHidden/>
          </w:rPr>
          <w:fldChar w:fldCharType="begin"/>
        </w:r>
        <w:r>
          <w:rPr>
            <w:noProof/>
            <w:webHidden/>
          </w:rPr>
          <w:instrText xml:space="preserve"> PAGEREF _Toc120548677 \h </w:instrText>
        </w:r>
        <w:r>
          <w:rPr>
            <w:noProof/>
            <w:webHidden/>
          </w:rPr>
        </w:r>
        <w:r>
          <w:rPr>
            <w:noProof/>
            <w:webHidden/>
          </w:rPr>
          <w:fldChar w:fldCharType="separate"/>
        </w:r>
        <w:r>
          <w:rPr>
            <w:noProof/>
            <w:webHidden/>
          </w:rPr>
          <w:t>5</w:t>
        </w:r>
        <w:r>
          <w:rPr>
            <w:noProof/>
            <w:webHidden/>
          </w:rPr>
          <w:fldChar w:fldCharType="end"/>
        </w:r>
      </w:hyperlink>
    </w:p>
    <w:p w:rsidR="00D91C77" w:rsidRDefault="00D91C77">
      <w:pPr>
        <w:pStyle w:val="TOC4"/>
        <w:rPr>
          <w:rFonts w:eastAsiaTheme="minorEastAsia"/>
          <w:noProof/>
          <w:lang w:val="en-AU" w:eastAsia="zh-CN"/>
        </w:rPr>
      </w:pPr>
      <w:hyperlink w:anchor="_Toc120548678" w:history="1">
        <w:r w:rsidRPr="00CC56BE">
          <w:rPr>
            <w:rStyle w:val="Hyperlink"/>
            <w:noProof/>
          </w:rPr>
          <w:t>Table 2: 2021 grants round projects funded in 2021–22</w:t>
        </w:r>
        <w:r>
          <w:rPr>
            <w:noProof/>
            <w:webHidden/>
          </w:rPr>
          <w:tab/>
        </w:r>
        <w:r>
          <w:rPr>
            <w:noProof/>
            <w:webHidden/>
          </w:rPr>
          <w:fldChar w:fldCharType="begin"/>
        </w:r>
        <w:r>
          <w:rPr>
            <w:noProof/>
            <w:webHidden/>
          </w:rPr>
          <w:instrText xml:space="preserve"> PAGEREF _Toc120548678 \h </w:instrText>
        </w:r>
        <w:r>
          <w:rPr>
            <w:noProof/>
            <w:webHidden/>
          </w:rPr>
        </w:r>
        <w:r>
          <w:rPr>
            <w:noProof/>
            <w:webHidden/>
          </w:rPr>
          <w:fldChar w:fldCharType="separate"/>
        </w:r>
        <w:r>
          <w:rPr>
            <w:noProof/>
            <w:webHidden/>
          </w:rPr>
          <w:t>6</w:t>
        </w:r>
        <w:r>
          <w:rPr>
            <w:noProof/>
            <w:webHidden/>
          </w:rPr>
          <w:fldChar w:fldCharType="end"/>
        </w:r>
      </w:hyperlink>
    </w:p>
    <w:p w:rsidR="004D4B0F" w:rsidRPr="009922E5" w:rsidRDefault="006D7C61" w:rsidP="004D4B0F">
      <w:pPr>
        <w:spacing w:before="1080"/>
        <w:rPr>
          <w:highlight w:val="yellow"/>
          <w:lang w:val="en-AU"/>
        </w:rPr>
      </w:pPr>
      <w:r w:rsidRPr="009922E5">
        <w:rPr>
          <w:lang w:val="en-AU"/>
        </w:rPr>
        <w:fldChar w:fldCharType="end"/>
      </w:r>
    </w:p>
    <w:p w:rsidR="004D4B0F" w:rsidRPr="009922E5" w:rsidRDefault="004D4B0F">
      <w:pPr>
        <w:spacing w:line="259" w:lineRule="auto"/>
        <w:rPr>
          <w:lang w:val="en-AU"/>
        </w:rPr>
      </w:pPr>
      <w:r w:rsidRPr="009922E5">
        <w:rPr>
          <w:lang w:val="en-AU"/>
        </w:rPr>
        <w:br w:type="page"/>
      </w:r>
    </w:p>
    <w:p w:rsidR="00104DF3" w:rsidRPr="009922E5" w:rsidRDefault="00AF34C3" w:rsidP="00AF34C3">
      <w:pPr>
        <w:pStyle w:val="Heading2"/>
        <w:rPr>
          <w:lang w:val="en-AU"/>
        </w:rPr>
      </w:pPr>
      <w:bookmarkStart w:id="0" w:name="_Toc120548653"/>
      <w:r w:rsidRPr="009922E5">
        <w:rPr>
          <w:lang w:val="en-AU"/>
        </w:rPr>
        <w:lastRenderedPageBreak/>
        <w:t xml:space="preserve">Purpose of Section 593 of the </w:t>
      </w:r>
      <w:r w:rsidR="00104DF3" w:rsidRPr="009922E5">
        <w:rPr>
          <w:lang w:val="en-AU"/>
        </w:rPr>
        <w:t>Telecommunications Act 1997</w:t>
      </w:r>
      <w:bookmarkEnd w:id="0"/>
    </w:p>
    <w:p w:rsidR="00104DF3" w:rsidRPr="009922E5" w:rsidRDefault="00104DF3" w:rsidP="00AF34C3">
      <w:pPr>
        <w:rPr>
          <w:lang w:val="en-AU"/>
        </w:rPr>
      </w:pPr>
      <w:r w:rsidRPr="009922E5">
        <w:rPr>
          <w:lang w:val="en-AU"/>
        </w:rPr>
        <w:t>Section 593 of the Telecommunications Act 1997 (Telco Act) provides for the Minister for Communications (Minister) to make grants of financial assistance to:</w:t>
      </w:r>
    </w:p>
    <w:p w:rsidR="00104DF3" w:rsidRPr="009922E5" w:rsidRDefault="00104DF3" w:rsidP="00AF34C3">
      <w:pPr>
        <w:pStyle w:val="Listparagraphbullets"/>
      </w:pPr>
      <w:r w:rsidRPr="009922E5">
        <w:t>consumer bodies for purposes in connection with the representation of the interests of consumers in relation to telecommunications issues; and</w:t>
      </w:r>
    </w:p>
    <w:p w:rsidR="00104DF3" w:rsidRPr="009922E5" w:rsidRDefault="00104DF3" w:rsidP="00AF34C3">
      <w:pPr>
        <w:pStyle w:val="Listparagraphbullets"/>
      </w:pPr>
      <w:r w:rsidRPr="009922E5">
        <w:t>persons or bodies for purposes in connection with research into social, economic, environmental or technological implications of developments relating to telecommunications.</w:t>
      </w:r>
    </w:p>
    <w:p w:rsidR="004D4B0F" w:rsidRPr="009922E5" w:rsidRDefault="00104DF3" w:rsidP="00953FE0">
      <w:pPr>
        <w:pStyle w:val="Heading2"/>
        <w:rPr>
          <w:lang w:val="en-AU"/>
        </w:rPr>
      </w:pPr>
      <w:bookmarkStart w:id="1" w:name="_Toc120548654"/>
      <w:r w:rsidRPr="009922E5">
        <w:rPr>
          <w:lang w:val="en-AU"/>
        </w:rPr>
        <w:t>Funding provided 202</w:t>
      </w:r>
      <w:r w:rsidR="009922E5">
        <w:rPr>
          <w:lang w:val="en-AU"/>
        </w:rPr>
        <w:t>1</w:t>
      </w:r>
      <w:r w:rsidR="005612F6">
        <w:rPr>
          <w:lang w:val="en-AU"/>
        </w:rPr>
        <w:t>–</w:t>
      </w:r>
      <w:r w:rsidRPr="009922E5">
        <w:rPr>
          <w:lang w:val="en-AU"/>
        </w:rPr>
        <w:t>2</w:t>
      </w:r>
      <w:r w:rsidR="009922E5">
        <w:rPr>
          <w:lang w:val="en-AU"/>
        </w:rPr>
        <w:t>2</w:t>
      </w:r>
      <w:bookmarkEnd w:id="1"/>
    </w:p>
    <w:p w:rsidR="00B049D7" w:rsidRPr="009922E5" w:rsidRDefault="00B049D7" w:rsidP="00B049D7">
      <w:pPr>
        <w:rPr>
          <w:lang w:val="en-AU"/>
        </w:rPr>
      </w:pPr>
      <w:r w:rsidRPr="00B95CB4">
        <w:rPr>
          <w:lang w:val="en-AU"/>
        </w:rPr>
        <w:t>In 202</w:t>
      </w:r>
      <w:r w:rsidR="009922E5" w:rsidRPr="00B95CB4">
        <w:rPr>
          <w:lang w:val="en-AU"/>
        </w:rPr>
        <w:t>1</w:t>
      </w:r>
      <w:r w:rsidRPr="00B95CB4">
        <w:rPr>
          <w:lang w:val="en-AU"/>
        </w:rPr>
        <w:t>–2</w:t>
      </w:r>
      <w:r w:rsidR="009922E5" w:rsidRPr="00B95CB4">
        <w:rPr>
          <w:lang w:val="en-AU"/>
        </w:rPr>
        <w:t>2</w:t>
      </w:r>
      <w:r w:rsidRPr="00B95CB4">
        <w:rPr>
          <w:lang w:val="en-AU"/>
        </w:rPr>
        <w:t>, funding under section 593 of the Telco Act was provided only to the Australian Communications Consumer Action Network (ACCAN). This funding was provided under contract between ACCAN and the then</w:t>
      </w:r>
      <w:r w:rsidR="009922E5" w:rsidRPr="00B95CB4">
        <w:rPr>
          <w:lang w:val="en-AU"/>
        </w:rPr>
        <w:t xml:space="preserve"> </w:t>
      </w:r>
      <w:r w:rsidRPr="00B95CB4">
        <w:rPr>
          <w:lang w:val="en-AU"/>
        </w:rPr>
        <w:t>Department of</w:t>
      </w:r>
      <w:r w:rsidR="009922E5" w:rsidRPr="00B95CB4">
        <w:rPr>
          <w:lang w:val="en-AU"/>
        </w:rPr>
        <w:t xml:space="preserve"> Infrastructure, Transport, Regional Development and</w:t>
      </w:r>
      <w:r w:rsidRPr="00B95CB4">
        <w:rPr>
          <w:lang w:val="en-AU"/>
        </w:rPr>
        <w:t xml:space="preserve"> Communications (the Funding Agreement). ACCAN was provided </w:t>
      </w:r>
      <w:r w:rsidR="00FA6ABE" w:rsidRPr="00B95CB4">
        <w:rPr>
          <w:lang w:val="en-AU"/>
        </w:rPr>
        <w:t>with $2,3</w:t>
      </w:r>
      <w:r w:rsidR="00B95CB4" w:rsidRPr="0066527E">
        <w:rPr>
          <w:lang w:val="en-AU"/>
        </w:rPr>
        <w:t>81</w:t>
      </w:r>
      <w:r w:rsidRPr="00B95CB4">
        <w:rPr>
          <w:lang w:val="en-AU"/>
        </w:rPr>
        <w:t>,000 (GST-exclusive) for the 202</w:t>
      </w:r>
      <w:r w:rsidR="009922E5" w:rsidRPr="00B95CB4">
        <w:rPr>
          <w:lang w:val="en-AU"/>
        </w:rPr>
        <w:t>1</w:t>
      </w:r>
      <w:r w:rsidRPr="00B95CB4">
        <w:rPr>
          <w:lang w:val="en-AU"/>
        </w:rPr>
        <w:t>–2</w:t>
      </w:r>
      <w:r w:rsidR="009922E5" w:rsidRPr="00B95CB4">
        <w:rPr>
          <w:lang w:val="en-AU"/>
        </w:rPr>
        <w:t>2</w:t>
      </w:r>
      <w:r w:rsidRPr="00B95CB4">
        <w:rPr>
          <w:lang w:val="en-AU"/>
        </w:rPr>
        <w:t xml:space="preserve"> financial year. The Department of Infrastructure, Transport, Regional Development</w:t>
      </w:r>
      <w:r w:rsidR="009922E5" w:rsidRPr="00B95CB4">
        <w:rPr>
          <w:lang w:val="en-AU"/>
        </w:rPr>
        <w:t xml:space="preserve">, </w:t>
      </w:r>
      <w:r w:rsidRPr="00B95CB4">
        <w:rPr>
          <w:lang w:val="en-AU"/>
        </w:rPr>
        <w:t xml:space="preserve">Communications </w:t>
      </w:r>
      <w:r w:rsidR="009922E5" w:rsidRPr="00B95CB4">
        <w:rPr>
          <w:lang w:val="en-AU"/>
        </w:rPr>
        <w:t xml:space="preserve">and the Arts </w:t>
      </w:r>
      <w:r w:rsidRPr="00B95CB4">
        <w:rPr>
          <w:lang w:val="en-AU"/>
        </w:rPr>
        <w:t>administers the section 593 grants.</w:t>
      </w:r>
    </w:p>
    <w:p w:rsidR="00B049D7" w:rsidRPr="009922E5" w:rsidRDefault="00B049D7" w:rsidP="00B049D7">
      <w:pPr>
        <w:rPr>
          <w:lang w:val="en-AU"/>
        </w:rPr>
      </w:pPr>
      <w:r w:rsidRPr="009922E5">
        <w:rPr>
          <w:lang w:val="en-AU"/>
        </w:rPr>
        <w:t>Each quarterly payment to ACCAN under the Funding Agreement is subject to quarterly assessment of the six Key Performance Indicators (KPIs) and related activities, set out in the Funding Agreement.</w:t>
      </w:r>
    </w:p>
    <w:p w:rsidR="00B049D7" w:rsidRPr="009922E5" w:rsidRDefault="00B049D7" w:rsidP="00B049D7">
      <w:pPr>
        <w:rPr>
          <w:lang w:val="en-AU"/>
        </w:rPr>
      </w:pPr>
      <w:r w:rsidRPr="009922E5">
        <w:rPr>
          <w:lang w:val="en-AU"/>
        </w:rPr>
        <w:t>The funding provided to ACCAN under section 593 of the Telco Act is recovered from the annual carrier licence charge imposed on eligible carrier licences under the Telecommunications (Carrier Licence Charges) Act 1997.</w:t>
      </w:r>
      <w:bookmarkStart w:id="2" w:name="_Most_common_accessibility"/>
      <w:bookmarkEnd w:id="2"/>
    </w:p>
    <w:p w:rsidR="00104DF3" w:rsidRPr="009922E5" w:rsidRDefault="00104DF3" w:rsidP="00104DF3">
      <w:pPr>
        <w:pStyle w:val="Heading2"/>
        <w:rPr>
          <w:lang w:val="en-AU"/>
        </w:rPr>
      </w:pPr>
      <w:bookmarkStart w:id="3" w:name="_Toc57128451"/>
      <w:bookmarkStart w:id="4" w:name="_Toc83976986"/>
      <w:bookmarkStart w:id="5" w:name="_Toc120548655"/>
      <w:r w:rsidRPr="009922E5">
        <w:rPr>
          <w:lang w:val="en-AU"/>
        </w:rPr>
        <w:t>Assessment of ACCAN’s general performance</w:t>
      </w:r>
      <w:bookmarkEnd w:id="3"/>
      <w:bookmarkEnd w:id="4"/>
      <w:bookmarkEnd w:id="5"/>
    </w:p>
    <w:p w:rsidR="00662665" w:rsidRPr="009922E5" w:rsidRDefault="00662665" w:rsidP="00662665">
      <w:pPr>
        <w:keepNext/>
        <w:rPr>
          <w:lang w:val="en-AU"/>
        </w:rPr>
      </w:pPr>
      <w:r w:rsidRPr="009922E5">
        <w:rPr>
          <w:lang w:val="en-AU"/>
        </w:rPr>
        <w:t>Quarterly progress reports provided to the Department in 202</w:t>
      </w:r>
      <w:r w:rsidR="009922E5">
        <w:rPr>
          <w:lang w:val="en-AU"/>
        </w:rPr>
        <w:t>1</w:t>
      </w:r>
      <w:r w:rsidRPr="009922E5">
        <w:rPr>
          <w:lang w:val="en-AU"/>
        </w:rPr>
        <w:t>–2</w:t>
      </w:r>
      <w:r w:rsidR="009922E5">
        <w:rPr>
          <w:lang w:val="en-AU"/>
        </w:rPr>
        <w:t>2</w:t>
      </w:r>
      <w:r w:rsidRPr="009922E5">
        <w:rPr>
          <w:lang w:val="en-AU"/>
        </w:rPr>
        <w:t xml:space="preserve"> demonstrated that ACCAN satisfactorily met each of its KPIs and Funding Agreement milestones. ACCAN</w:t>
      </w:r>
      <w:r w:rsidR="00853BD3">
        <w:rPr>
          <w:lang w:val="en-AU"/>
        </w:rPr>
        <w:t>’s</w:t>
      </w:r>
      <w:r w:rsidRPr="009922E5">
        <w:rPr>
          <w:lang w:val="en-AU"/>
        </w:rPr>
        <w:t xml:space="preserve"> 202</w:t>
      </w:r>
      <w:r w:rsidR="009922E5">
        <w:rPr>
          <w:lang w:val="en-AU"/>
        </w:rPr>
        <w:t>1</w:t>
      </w:r>
      <w:r w:rsidRPr="009922E5">
        <w:rPr>
          <w:lang w:val="en-AU"/>
        </w:rPr>
        <w:t>–2</w:t>
      </w:r>
      <w:r w:rsidR="009922E5">
        <w:rPr>
          <w:lang w:val="en-AU"/>
        </w:rPr>
        <w:t>2</w:t>
      </w:r>
      <w:r w:rsidRPr="009922E5">
        <w:rPr>
          <w:lang w:val="en-AU"/>
        </w:rPr>
        <w:t xml:space="preserve"> </w:t>
      </w:r>
      <w:hyperlink r:id="rId18" w:history="1">
        <w:r w:rsidRPr="009922E5">
          <w:rPr>
            <w:lang w:val="en-AU"/>
          </w:rPr>
          <w:t>Annual Report</w:t>
        </w:r>
      </w:hyperlink>
      <w:r w:rsidRPr="009922E5">
        <w:rPr>
          <w:lang w:val="en-AU"/>
        </w:rPr>
        <w:t xml:space="preserve"> showed that over the financial year ACCAN:</w:t>
      </w:r>
    </w:p>
    <w:p w:rsidR="00662665" w:rsidRPr="009922E5" w:rsidRDefault="00662665" w:rsidP="00B0589E">
      <w:pPr>
        <w:pStyle w:val="Listparagraphbullets"/>
      </w:pPr>
      <w:r w:rsidRPr="009922E5">
        <w:t xml:space="preserve">represented consumer interests on </w:t>
      </w:r>
      <w:r w:rsidR="00D86145" w:rsidRPr="009922E5">
        <w:t>3</w:t>
      </w:r>
      <w:r w:rsidR="009922E5">
        <w:t>3</w:t>
      </w:r>
      <w:r w:rsidRPr="009922E5">
        <w:t xml:space="preserve"> government, industry and regulatory committees;</w:t>
      </w:r>
    </w:p>
    <w:p w:rsidR="00662665" w:rsidRPr="009922E5" w:rsidRDefault="00662665" w:rsidP="00B0589E">
      <w:pPr>
        <w:pStyle w:val="Listparagraphbullets"/>
      </w:pPr>
      <w:r w:rsidRPr="009922E5">
        <w:t xml:space="preserve">made </w:t>
      </w:r>
      <w:r w:rsidR="00D86145" w:rsidRPr="009922E5">
        <w:t>62</w:t>
      </w:r>
      <w:r w:rsidRPr="009922E5">
        <w:t xml:space="preserve"> submissions to government, regulatory and other inquiries, most of which are available at </w:t>
      </w:r>
      <w:hyperlink r:id="rId19" w:history="1">
        <w:r w:rsidRPr="00D91C77">
          <w:rPr>
            <w:rStyle w:val="Hyperlink"/>
          </w:rPr>
          <w:t>www.accan.org.au/submissions</w:t>
        </w:r>
      </w:hyperlink>
      <w:r w:rsidRPr="009922E5">
        <w:t>;</w:t>
      </w:r>
    </w:p>
    <w:p w:rsidR="00B0589E" w:rsidRPr="009922E5" w:rsidRDefault="00662665" w:rsidP="00B0589E">
      <w:pPr>
        <w:pStyle w:val="Listparagraphbullets"/>
      </w:pPr>
      <w:r w:rsidRPr="009922E5">
        <w:t>raised consumer awareness,</w:t>
      </w:r>
      <w:r w:rsidR="00B62E61" w:rsidRPr="009922E5">
        <w:t xml:space="preserve"> with regular blogs, and updated consumer resources</w:t>
      </w:r>
      <w:r w:rsidRPr="009922E5">
        <w:t xml:space="preserve">, achieving </w:t>
      </w:r>
      <w:r w:rsidR="0093489B">
        <w:t>516</w:t>
      </w:r>
      <w:r w:rsidR="00D86145" w:rsidRPr="009922E5">
        <w:t xml:space="preserve"> </w:t>
      </w:r>
      <w:r w:rsidRPr="009922E5">
        <w:t xml:space="preserve">media mentions, </w:t>
      </w:r>
      <w:r w:rsidR="00D86145" w:rsidRPr="009922E5">
        <w:t>and attracting 1</w:t>
      </w:r>
      <w:r w:rsidR="0093489B">
        <w:t>59,328</w:t>
      </w:r>
      <w:r w:rsidRPr="009922E5">
        <w:t xml:space="preserve"> website visits;</w:t>
      </w:r>
    </w:p>
    <w:p w:rsidR="00662665" w:rsidRPr="009922E5" w:rsidRDefault="00662665" w:rsidP="00B0589E">
      <w:pPr>
        <w:pStyle w:val="Listparagraphbullets"/>
      </w:pPr>
      <w:r w:rsidRPr="009922E5">
        <w:t xml:space="preserve">saw its social media audience grow to </w:t>
      </w:r>
      <w:r w:rsidR="0093489B">
        <w:t>over 6,000</w:t>
      </w:r>
      <w:r w:rsidRPr="009922E5">
        <w:t xml:space="preserve"> followers across Twitter</w:t>
      </w:r>
      <w:r w:rsidR="0093489B">
        <w:t xml:space="preserve">, </w:t>
      </w:r>
      <w:r w:rsidRPr="009922E5">
        <w:t>Facebook</w:t>
      </w:r>
      <w:r w:rsidR="0093489B">
        <w:t>, LinkedIn and Instagram</w:t>
      </w:r>
      <w:r w:rsidRPr="009922E5">
        <w:t>;</w:t>
      </w:r>
    </w:p>
    <w:p w:rsidR="00662665" w:rsidRPr="009922E5" w:rsidRDefault="0093489B" w:rsidP="00B0589E">
      <w:pPr>
        <w:pStyle w:val="Listparagraphbullets"/>
      </w:pPr>
      <w:r>
        <w:t>commissioned</w:t>
      </w:r>
      <w:r w:rsidRPr="009922E5">
        <w:t xml:space="preserve"> </w:t>
      </w:r>
      <w:r w:rsidR="00B0589E" w:rsidRPr="009922E5">
        <w:t>research covering</w:t>
      </w:r>
      <w:r>
        <w:t xml:space="preserve"> telecommunications affordability, consumer experience with digital platforms and </w:t>
      </w:r>
      <w:r w:rsidR="00A8202E">
        <w:t>automated decision making.</w:t>
      </w:r>
    </w:p>
    <w:p w:rsidR="00662665" w:rsidRPr="009922E5" w:rsidRDefault="00662665" w:rsidP="00B0589E">
      <w:pPr>
        <w:pStyle w:val="Listparagraphbullets"/>
      </w:pPr>
      <w:r w:rsidRPr="009922E5">
        <w:t xml:space="preserve">issued </w:t>
      </w:r>
      <w:r w:rsidR="0093489B">
        <w:t>15</w:t>
      </w:r>
      <w:r w:rsidRPr="009922E5">
        <w:t xml:space="preserve"> media releases on telecommunications consumer issues including </w:t>
      </w:r>
      <w:r w:rsidR="00A8202E">
        <w:t>the Regional Telecommunications Review, research findings about digital platforms complaints handling, the need to close the digital divide in First Nations communities and the extension of NBN Co. financial assistance packages.</w:t>
      </w:r>
    </w:p>
    <w:p w:rsidR="00662665" w:rsidRPr="009922E5" w:rsidRDefault="00662665" w:rsidP="00662665">
      <w:pPr>
        <w:keepNext/>
        <w:rPr>
          <w:lang w:val="en-AU"/>
        </w:rPr>
      </w:pPr>
      <w:r w:rsidRPr="009922E5">
        <w:rPr>
          <w:lang w:val="en-AU"/>
        </w:rPr>
        <w:lastRenderedPageBreak/>
        <w:t xml:space="preserve">ACCAN reported </w:t>
      </w:r>
      <w:r w:rsidR="00A8202E">
        <w:rPr>
          <w:lang w:val="en-AU"/>
        </w:rPr>
        <w:t>107 organisational members in 2021</w:t>
      </w:r>
      <w:r w:rsidR="00503704">
        <w:rPr>
          <w:lang w:val="en-AU"/>
        </w:rPr>
        <w:t>–</w:t>
      </w:r>
      <w:r w:rsidR="00A8202E">
        <w:rPr>
          <w:lang w:val="en-AU"/>
        </w:rPr>
        <w:t>2022.</w:t>
      </w:r>
      <w:r w:rsidRPr="009922E5">
        <w:rPr>
          <w:lang w:val="en-AU"/>
        </w:rPr>
        <w:t xml:space="preserve"> Organisational membership </w:t>
      </w:r>
      <w:r w:rsidR="00A8202E">
        <w:rPr>
          <w:lang w:val="en-AU"/>
        </w:rPr>
        <w:t xml:space="preserve">is </w:t>
      </w:r>
      <w:r w:rsidRPr="009922E5">
        <w:rPr>
          <w:lang w:val="en-AU"/>
        </w:rPr>
        <w:t>comprised of groups from disability advocacy, remote and rural consumers, indigenous organisations, culturally and linguistically diverse (CALD) groups, and others from across Australia.</w:t>
      </w:r>
    </w:p>
    <w:p w:rsidR="00B0589E" w:rsidRPr="009922E5" w:rsidRDefault="00A8202E" w:rsidP="009513FE">
      <w:pPr>
        <w:rPr>
          <w:lang w:val="en-AU"/>
        </w:rPr>
      </w:pPr>
      <w:bookmarkStart w:id="6" w:name="_Toc60758539"/>
      <w:r>
        <w:rPr>
          <w:lang w:val="en-AU"/>
        </w:rPr>
        <w:t>ACCAN’s advisory forums were once again held virtually, expanding ACCAN’s accessibility and engagement with adviso</w:t>
      </w:r>
      <w:bookmarkStart w:id="7" w:name="_GoBack"/>
      <w:bookmarkEnd w:id="7"/>
      <w:r>
        <w:rPr>
          <w:lang w:val="en-AU"/>
        </w:rPr>
        <w:t>ry forum participants. The four advisory forums include the Members’ Advisory Forum, Disability Advisory Forum, Small Business Advisory Forum, and Indigenous Advisory Forum. In 2021</w:t>
      </w:r>
      <w:r w:rsidR="005612F6">
        <w:rPr>
          <w:lang w:val="en-AU"/>
        </w:rPr>
        <w:t>–</w:t>
      </w:r>
      <w:r>
        <w:rPr>
          <w:lang w:val="en-AU"/>
        </w:rPr>
        <w:t>22 it was decided that the Indigenous Advisory Forum would become the Indigenous Steering Committee and will meet quarterly</w:t>
      </w:r>
      <w:r w:rsidR="0011366C">
        <w:rPr>
          <w:lang w:val="en-AU"/>
        </w:rPr>
        <w:t xml:space="preserve"> rather than annually.</w:t>
      </w:r>
    </w:p>
    <w:p w:rsidR="00B049D7" w:rsidRPr="009922E5" w:rsidRDefault="00B049D7" w:rsidP="00B049D7">
      <w:pPr>
        <w:pStyle w:val="Heading2"/>
        <w:rPr>
          <w:lang w:val="en-AU"/>
        </w:rPr>
      </w:pPr>
      <w:bookmarkStart w:id="8" w:name="_Toc120548656"/>
      <w:r w:rsidRPr="00BB60C6">
        <w:rPr>
          <w:lang w:val="en-AU"/>
        </w:rPr>
        <w:t>Financial accounts</w:t>
      </w:r>
      <w:bookmarkEnd w:id="8"/>
    </w:p>
    <w:p w:rsidR="00662665" w:rsidRPr="009922E5" w:rsidRDefault="00662665" w:rsidP="00662665">
      <w:pPr>
        <w:rPr>
          <w:lang w:val="en-AU"/>
        </w:rPr>
      </w:pPr>
      <w:r w:rsidRPr="009922E5">
        <w:rPr>
          <w:lang w:val="en-AU"/>
        </w:rPr>
        <w:t>There were no significant changes in the nature of ACCAN’s activities during the financial year. The independent auditor of ACCAN’s financial accounts found that the accounts were prepared in accordance with the Corporations Act 2001 and:</w:t>
      </w:r>
    </w:p>
    <w:p w:rsidR="00662665" w:rsidRPr="009922E5" w:rsidRDefault="00662665" w:rsidP="00662665">
      <w:pPr>
        <w:pStyle w:val="Listparagraphbullets"/>
        <w:contextualSpacing w:val="0"/>
      </w:pPr>
      <w:r w:rsidRPr="009922E5">
        <w:t>gave a true and fair vie</w:t>
      </w:r>
      <w:r w:rsidR="00AF1B6D" w:rsidRPr="009922E5">
        <w:t>w of ACCAN’s financial position</w:t>
      </w:r>
      <w:r w:rsidRPr="009922E5">
        <w:t xml:space="preserve"> at 30 June 202</w:t>
      </w:r>
      <w:r w:rsidR="00D259A1">
        <w:t>2</w:t>
      </w:r>
      <w:r w:rsidRPr="009922E5">
        <w:t xml:space="preserve"> and its performance for the year ended on that date; and</w:t>
      </w:r>
    </w:p>
    <w:p w:rsidR="00662665" w:rsidRPr="009922E5" w:rsidRDefault="00662665" w:rsidP="00662665">
      <w:pPr>
        <w:pStyle w:val="Listparagraphbullets"/>
        <w:contextualSpacing w:val="0"/>
      </w:pPr>
      <w:r w:rsidRPr="009922E5">
        <w:t>complied with Australian Accounting Standards—Reduced Disclosure Requirements, the Australian Charities and Not-for-profits Commission Act 2012, and Australian Charities and Not-for-profits Commission Regulation 2013, and the Corporations Regulations 2001.</w:t>
      </w:r>
    </w:p>
    <w:p w:rsidR="001B5326" w:rsidRPr="009922E5" w:rsidRDefault="00B049D7" w:rsidP="001B5326">
      <w:pPr>
        <w:pStyle w:val="Heading2"/>
        <w:rPr>
          <w:lang w:val="en-AU"/>
        </w:rPr>
      </w:pPr>
      <w:bookmarkStart w:id="9" w:name="_Toc120548657"/>
      <w:r w:rsidRPr="009922E5">
        <w:rPr>
          <w:lang w:val="en-AU"/>
        </w:rPr>
        <w:t>Independent Grants Program</w:t>
      </w:r>
      <w:bookmarkEnd w:id="9"/>
    </w:p>
    <w:p w:rsidR="00B049D7" w:rsidRPr="009922E5" w:rsidRDefault="00B049D7" w:rsidP="00B049D7">
      <w:pPr>
        <w:keepNext/>
        <w:rPr>
          <w:lang w:val="en-AU"/>
        </w:rPr>
      </w:pPr>
      <w:r w:rsidRPr="009922E5">
        <w:rPr>
          <w:lang w:val="en-AU"/>
        </w:rPr>
        <w:t>ACCAN administers a competitive Independent Grants Program (IGP) in accordance with its Funding Agreement.</w:t>
      </w:r>
    </w:p>
    <w:p w:rsidR="001B5326" w:rsidRPr="009922E5" w:rsidRDefault="00B049D7" w:rsidP="001B5326">
      <w:pPr>
        <w:pStyle w:val="Heading3"/>
        <w:rPr>
          <w:lang w:val="en-AU"/>
        </w:rPr>
      </w:pPr>
      <w:bookmarkStart w:id="10" w:name="_Toc120548658"/>
      <w:r w:rsidRPr="00B95CB4">
        <w:rPr>
          <w:lang w:val="en-AU"/>
        </w:rPr>
        <w:t>20</w:t>
      </w:r>
      <w:r w:rsidR="0011366C" w:rsidRPr="0066527E">
        <w:rPr>
          <w:lang w:val="en-AU"/>
        </w:rPr>
        <w:t>20</w:t>
      </w:r>
      <w:r w:rsidRPr="00B95CB4">
        <w:rPr>
          <w:lang w:val="en-AU"/>
        </w:rPr>
        <w:t xml:space="preserve"> grants round</w:t>
      </w:r>
      <w:bookmarkEnd w:id="10"/>
    </w:p>
    <w:p w:rsidR="00D57F0A" w:rsidRDefault="0011366C" w:rsidP="00D57F0A">
      <w:pPr>
        <w:rPr>
          <w:lang w:val="en-AU"/>
        </w:rPr>
      </w:pPr>
      <w:r>
        <w:rPr>
          <w:lang w:val="en-AU"/>
        </w:rPr>
        <w:t>One project</w:t>
      </w:r>
      <w:r w:rsidR="00D57F0A" w:rsidRPr="009922E5">
        <w:rPr>
          <w:lang w:val="en-AU"/>
        </w:rPr>
        <w:t xml:space="preserve"> fund</w:t>
      </w:r>
      <w:r w:rsidR="00853BD3">
        <w:rPr>
          <w:lang w:val="en-AU"/>
        </w:rPr>
        <w:t>ing recipient</w:t>
      </w:r>
      <w:r w:rsidR="00D57F0A" w:rsidRPr="009922E5">
        <w:rPr>
          <w:lang w:val="en-AU"/>
        </w:rPr>
        <w:t xml:space="preserve"> under the 20</w:t>
      </w:r>
      <w:r>
        <w:rPr>
          <w:lang w:val="en-AU"/>
        </w:rPr>
        <w:t>20</w:t>
      </w:r>
      <w:r w:rsidR="00D57F0A" w:rsidRPr="009922E5">
        <w:rPr>
          <w:lang w:val="en-AU"/>
        </w:rPr>
        <w:t xml:space="preserve"> grant</w:t>
      </w:r>
      <w:r>
        <w:rPr>
          <w:lang w:val="en-AU"/>
        </w:rPr>
        <w:t>s</w:t>
      </w:r>
      <w:r w:rsidR="00D57F0A" w:rsidRPr="009922E5">
        <w:rPr>
          <w:lang w:val="en-AU"/>
        </w:rPr>
        <w:t xml:space="preserve"> round required extra time to complete their project after 30 June 20</w:t>
      </w:r>
      <w:r>
        <w:rPr>
          <w:lang w:val="en-AU"/>
        </w:rPr>
        <w:t>22.</w:t>
      </w:r>
      <w:r w:rsidR="00B95CB4">
        <w:rPr>
          <w:lang w:val="en-AU"/>
        </w:rPr>
        <w:t xml:space="preserve"> The final milestone payment was paid in the 2022</w:t>
      </w:r>
      <w:r w:rsidR="005612F6">
        <w:rPr>
          <w:lang w:val="en-AU"/>
        </w:rPr>
        <w:t>–</w:t>
      </w:r>
      <w:r w:rsidR="00B95CB4">
        <w:rPr>
          <w:lang w:val="en-AU"/>
        </w:rPr>
        <w:t>23 financial year.</w:t>
      </w:r>
    </w:p>
    <w:p w:rsidR="00B95CB4" w:rsidRPr="009922E5" w:rsidRDefault="00B95CB4" w:rsidP="00D57F0A">
      <w:pPr>
        <w:rPr>
          <w:lang w:val="en-AU"/>
        </w:rPr>
      </w:pPr>
      <w:r>
        <w:rPr>
          <w:lang w:val="en-AU"/>
        </w:rPr>
        <w:t xml:space="preserve">The Wamboin Communications Action Group Inc. grant contract was acquitted </w:t>
      </w:r>
      <w:r w:rsidR="00853BD3">
        <w:rPr>
          <w:lang w:val="en-AU"/>
        </w:rPr>
        <w:t>and the u</w:t>
      </w:r>
      <w:r>
        <w:rPr>
          <w:lang w:val="en-AU"/>
        </w:rPr>
        <w:t xml:space="preserve">nspent funds ($35,095) were returned. </w:t>
      </w:r>
    </w:p>
    <w:p w:rsidR="00B049D7" w:rsidRDefault="00D57F0A" w:rsidP="00B0589E">
      <w:pPr>
        <w:pStyle w:val="Tablefigureheading"/>
      </w:pPr>
      <w:bookmarkStart w:id="11" w:name="_Toc31814124"/>
      <w:bookmarkStart w:id="12" w:name="_Toc32920867"/>
      <w:bookmarkStart w:id="13" w:name="_Toc58592910"/>
      <w:bookmarkStart w:id="14" w:name="_Toc120548677"/>
      <w:r w:rsidRPr="00B95CB4">
        <w:t>Table 1</w:t>
      </w:r>
      <w:r w:rsidR="00B049D7" w:rsidRPr="00B95CB4">
        <w:t>: 20</w:t>
      </w:r>
      <w:r w:rsidR="0011366C" w:rsidRPr="0066527E">
        <w:t>20</w:t>
      </w:r>
      <w:r w:rsidR="00B049D7" w:rsidRPr="00B95CB4">
        <w:t xml:space="preserve"> grants round projects funded in </w:t>
      </w:r>
      <w:bookmarkEnd w:id="11"/>
      <w:bookmarkEnd w:id="12"/>
      <w:bookmarkEnd w:id="13"/>
      <w:r w:rsidR="00F75461" w:rsidRPr="0066527E">
        <w:t>202</w:t>
      </w:r>
      <w:r w:rsidR="00672203" w:rsidRPr="0066527E">
        <w:t>1</w:t>
      </w:r>
      <w:r w:rsidR="005612F6">
        <w:t>–</w:t>
      </w:r>
      <w:r w:rsidR="00F75461" w:rsidRPr="00B95CB4">
        <w:t>2</w:t>
      </w:r>
      <w:r w:rsidR="00672203" w:rsidRPr="0066527E">
        <w:t>2</w:t>
      </w:r>
      <w:bookmarkEnd w:id="14"/>
    </w:p>
    <w:tbl>
      <w:tblPr>
        <w:tblStyle w:val="DefaultTable1"/>
        <w:tblW w:w="5093" w:type="pct"/>
        <w:tblBorders>
          <w:top w:val="none" w:sz="0" w:space="0" w:color="auto"/>
          <w:bottom w:val="single" w:sz="4" w:space="0" w:color="377B88"/>
          <w:insideH w:val="single" w:sz="4" w:space="0" w:color="377B88"/>
        </w:tblBorders>
        <w:tblLook w:val="04A0" w:firstRow="1" w:lastRow="0" w:firstColumn="1" w:lastColumn="0" w:noHBand="0" w:noVBand="1"/>
        <w:tblDescription w:val="Table 1: 2020 grants round projects funded in 2021-–22"/>
      </w:tblPr>
      <w:tblGrid>
        <w:gridCol w:w="6096"/>
        <w:gridCol w:w="1559"/>
        <w:gridCol w:w="1417"/>
      </w:tblGrid>
      <w:tr w:rsidR="005612F6" w:rsidTr="00D91C77">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360" w:type="pct"/>
            <w:tcBorders>
              <w:top w:val="none" w:sz="0" w:space="0" w:color="auto"/>
              <w:bottom w:val="none" w:sz="0" w:space="0" w:color="auto"/>
            </w:tcBorders>
            <w:shd w:val="clear" w:color="auto" w:fill="081E3E"/>
          </w:tcPr>
          <w:p w:rsidR="005612F6" w:rsidRPr="005E2F12" w:rsidRDefault="005612F6" w:rsidP="00FB2D53">
            <w:pPr>
              <w:pStyle w:val="Table-header-leftaligned"/>
              <w:rPr>
                <w:b/>
              </w:rPr>
            </w:pPr>
            <w:r>
              <w:rPr>
                <w:b/>
              </w:rPr>
              <w:t>Recipient</w:t>
            </w:r>
          </w:p>
        </w:tc>
        <w:tc>
          <w:tcPr>
            <w:tcW w:w="859" w:type="pct"/>
            <w:tcBorders>
              <w:top w:val="none" w:sz="0" w:space="0" w:color="auto"/>
              <w:bottom w:val="none" w:sz="0" w:space="0" w:color="auto"/>
            </w:tcBorders>
            <w:shd w:val="clear" w:color="auto" w:fill="081E3E"/>
          </w:tcPr>
          <w:p w:rsidR="005612F6" w:rsidRDefault="005612F6" w:rsidP="00FB2D53">
            <w:pPr>
              <w:pStyle w:val="Table-header-centrealigned"/>
              <w:cnfStyle w:val="100000000000" w:firstRow="1" w:lastRow="0" w:firstColumn="0" w:lastColumn="0" w:oddVBand="0" w:evenVBand="0" w:oddHBand="0" w:evenHBand="0" w:firstRowFirstColumn="0" w:firstRowLastColumn="0" w:lastRowFirstColumn="0" w:lastRowLastColumn="0"/>
            </w:pPr>
            <w:r>
              <w:rPr>
                <w:b/>
              </w:rPr>
              <w:t>Grant amount</w:t>
            </w:r>
          </w:p>
          <w:p w:rsidR="005612F6" w:rsidRPr="0083302D" w:rsidRDefault="005612F6" w:rsidP="00FB2D53">
            <w:pPr>
              <w:pStyle w:val="Table-header-centrealigned"/>
              <w:cnfStyle w:val="100000000000" w:firstRow="1" w:lastRow="0" w:firstColumn="0" w:lastColumn="0" w:oddVBand="0" w:evenVBand="0" w:oddHBand="0" w:evenHBand="0" w:firstRowFirstColumn="0" w:firstRowLastColumn="0" w:lastRowFirstColumn="0" w:lastRowLastColumn="0"/>
              <w:rPr>
                <w:b/>
              </w:rPr>
            </w:pPr>
            <w:r>
              <w:rPr>
                <w:b/>
              </w:rPr>
              <w:t>(ex GST)</w:t>
            </w:r>
          </w:p>
        </w:tc>
        <w:tc>
          <w:tcPr>
            <w:tcW w:w="781" w:type="pct"/>
            <w:tcBorders>
              <w:top w:val="none" w:sz="0" w:space="0" w:color="auto"/>
              <w:bottom w:val="none" w:sz="0" w:space="0" w:color="auto"/>
            </w:tcBorders>
            <w:shd w:val="clear" w:color="auto" w:fill="081E3E"/>
          </w:tcPr>
          <w:p w:rsidR="005612F6" w:rsidRPr="00D91C77" w:rsidRDefault="005612F6" w:rsidP="00D91C77">
            <w:pPr>
              <w:pStyle w:val="Table-header-centrealigned"/>
              <w:cnfStyle w:val="100000000000" w:firstRow="1" w:lastRow="0" w:firstColumn="0" w:lastColumn="0" w:oddVBand="0" w:evenVBand="0" w:oddHBand="0" w:evenHBand="0" w:firstRowFirstColumn="0" w:firstRowLastColumn="0" w:lastRowFirstColumn="0" w:lastRowLastColumn="0"/>
            </w:pPr>
            <w:r w:rsidRPr="00D91C77">
              <w:rPr>
                <w:b/>
              </w:rPr>
              <w:t>Payments made in 2021–22</w:t>
            </w:r>
          </w:p>
        </w:tc>
      </w:tr>
      <w:tr w:rsidR="005612F6" w:rsidTr="00D91C77">
        <w:trPr>
          <w:cantSplit/>
        </w:trPr>
        <w:tc>
          <w:tcPr>
            <w:cnfStyle w:val="001000000000" w:firstRow="0" w:lastRow="0" w:firstColumn="1" w:lastColumn="0" w:oddVBand="0" w:evenVBand="0" w:oddHBand="0" w:evenHBand="0" w:firstRowFirstColumn="0" w:firstRowLastColumn="0" w:lastRowFirstColumn="0" w:lastRowLastColumn="0"/>
            <w:tcW w:w="3360" w:type="pct"/>
          </w:tcPr>
          <w:p w:rsidR="005612F6" w:rsidRDefault="005612F6" w:rsidP="005612F6">
            <w:r>
              <w:rPr>
                <w:lang w:val="en-AU"/>
              </w:rPr>
              <w:t>UTS – Regulation of Internet of Things Devices to Protect Consumers</w:t>
            </w:r>
          </w:p>
        </w:tc>
        <w:tc>
          <w:tcPr>
            <w:tcW w:w="859" w:type="pct"/>
          </w:tcPr>
          <w:p w:rsidR="005612F6" w:rsidRDefault="005612F6" w:rsidP="005612F6">
            <w:pPr>
              <w:pStyle w:val="Table-cell-centrealigned"/>
              <w:cnfStyle w:val="000000000000" w:firstRow="0" w:lastRow="0" w:firstColumn="0" w:lastColumn="0" w:oddVBand="0" w:evenVBand="0" w:oddHBand="0" w:evenHBand="0" w:firstRowFirstColumn="0" w:firstRowLastColumn="0" w:lastRowFirstColumn="0" w:lastRowLastColumn="0"/>
            </w:pPr>
            <w:r>
              <w:t>$65,091</w:t>
            </w:r>
          </w:p>
        </w:tc>
        <w:tc>
          <w:tcPr>
            <w:tcW w:w="781" w:type="pct"/>
          </w:tcPr>
          <w:p w:rsidR="005612F6" w:rsidRDefault="005612F6" w:rsidP="00D91C77">
            <w:pPr>
              <w:jc w:val="center"/>
              <w:cnfStyle w:val="000000000000" w:firstRow="0" w:lastRow="0" w:firstColumn="0" w:lastColumn="0" w:oddVBand="0" w:evenVBand="0" w:oddHBand="0" w:evenHBand="0" w:firstRowFirstColumn="0" w:firstRowLastColumn="0" w:lastRowFirstColumn="0" w:lastRowLastColumn="0"/>
            </w:pPr>
            <w:r>
              <w:t>$48,000</w:t>
            </w:r>
          </w:p>
        </w:tc>
      </w:tr>
      <w:tr w:rsidR="005612F6" w:rsidTr="00D91C7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360" w:type="pct"/>
          </w:tcPr>
          <w:p w:rsidR="005612F6" w:rsidRDefault="005612F6" w:rsidP="005612F6">
            <w:r>
              <w:rPr>
                <w:lang w:val="en-AU"/>
              </w:rPr>
              <w:t>RMIT – Codesigning participatory strategies with older adults to reduce perceived risk and promote digital inclusion</w:t>
            </w:r>
          </w:p>
        </w:tc>
        <w:tc>
          <w:tcPr>
            <w:tcW w:w="859" w:type="pct"/>
          </w:tcPr>
          <w:p w:rsidR="005612F6" w:rsidRDefault="005612F6" w:rsidP="005612F6">
            <w:pPr>
              <w:pStyle w:val="Table-cell-centrealigned"/>
              <w:cnfStyle w:val="000000010000" w:firstRow="0" w:lastRow="0" w:firstColumn="0" w:lastColumn="0" w:oddVBand="0" w:evenVBand="0" w:oddHBand="0" w:evenHBand="1" w:firstRowFirstColumn="0" w:firstRowLastColumn="0" w:lastRowFirstColumn="0" w:lastRowLastColumn="0"/>
            </w:pPr>
            <w:r>
              <w:t>$98,637</w:t>
            </w:r>
          </w:p>
        </w:tc>
        <w:tc>
          <w:tcPr>
            <w:tcW w:w="781" w:type="pct"/>
          </w:tcPr>
          <w:p w:rsidR="005612F6" w:rsidRDefault="005612F6" w:rsidP="00D91C77">
            <w:pPr>
              <w:jc w:val="center"/>
              <w:cnfStyle w:val="000000010000" w:firstRow="0" w:lastRow="0" w:firstColumn="0" w:lastColumn="0" w:oddVBand="0" w:evenVBand="0" w:oddHBand="0" w:evenHBand="1" w:firstRowFirstColumn="0" w:firstRowLastColumn="0" w:lastRowFirstColumn="0" w:lastRowLastColumn="0"/>
            </w:pPr>
            <w:r>
              <w:t>$38,000</w:t>
            </w:r>
          </w:p>
        </w:tc>
      </w:tr>
      <w:tr w:rsidR="005612F6" w:rsidTr="00D91C77">
        <w:trPr>
          <w:cantSplit/>
        </w:trPr>
        <w:tc>
          <w:tcPr>
            <w:cnfStyle w:val="001000000000" w:firstRow="0" w:lastRow="0" w:firstColumn="1" w:lastColumn="0" w:oddVBand="0" w:evenVBand="0" w:oddHBand="0" w:evenHBand="0" w:firstRowFirstColumn="0" w:firstRowLastColumn="0" w:lastRowFirstColumn="0" w:lastRowLastColumn="0"/>
            <w:tcW w:w="3360" w:type="pct"/>
          </w:tcPr>
          <w:p w:rsidR="005612F6" w:rsidRDefault="005612F6" w:rsidP="005612F6">
            <w:r>
              <w:rPr>
                <w:lang w:val="en-AU"/>
              </w:rPr>
              <w:t>Centre for Accessibility Australia – Telcos for all: addressing key accessibility issues faced by consumers on telecommunication carrier websites</w:t>
            </w:r>
          </w:p>
        </w:tc>
        <w:tc>
          <w:tcPr>
            <w:tcW w:w="859" w:type="pct"/>
          </w:tcPr>
          <w:p w:rsidR="005612F6" w:rsidRDefault="005612F6" w:rsidP="005612F6">
            <w:pPr>
              <w:pStyle w:val="Table-cell-centrealigned"/>
              <w:cnfStyle w:val="000000000000" w:firstRow="0" w:lastRow="0" w:firstColumn="0" w:lastColumn="0" w:oddVBand="0" w:evenVBand="0" w:oddHBand="0" w:evenHBand="0" w:firstRowFirstColumn="0" w:firstRowLastColumn="0" w:lastRowFirstColumn="0" w:lastRowLastColumn="0"/>
            </w:pPr>
            <w:r>
              <w:t>$69,794</w:t>
            </w:r>
          </w:p>
        </w:tc>
        <w:tc>
          <w:tcPr>
            <w:tcW w:w="781" w:type="pct"/>
          </w:tcPr>
          <w:p w:rsidR="005612F6" w:rsidRDefault="005612F6" w:rsidP="00D91C77">
            <w:pPr>
              <w:jc w:val="center"/>
              <w:cnfStyle w:val="000000000000" w:firstRow="0" w:lastRow="0" w:firstColumn="0" w:lastColumn="0" w:oddVBand="0" w:evenVBand="0" w:oddHBand="0" w:evenHBand="0" w:firstRowFirstColumn="0" w:firstRowLastColumn="0" w:lastRowFirstColumn="0" w:lastRowLastColumn="0"/>
            </w:pPr>
            <w:r>
              <w:t>$15,000</w:t>
            </w:r>
          </w:p>
        </w:tc>
      </w:tr>
      <w:tr w:rsidR="005612F6" w:rsidTr="00D91C7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360" w:type="pct"/>
          </w:tcPr>
          <w:p w:rsidR="005612F6" w:rsidRDefault="005612F6" w:rsidP="005612F6">
            <w:r>
              <w:rPr>
                <w:lang w:val="en-AU"/>
              </w:rPr>
              <w:t>Australian Council on Children and the Media – Apps can trap: tips for protecting children’s privacy</w:t>
            </w:r>
          </w:p>
        </w:tc>
        <w:tc>
          <w:tcPr>
            <w:tcW w:w="859" w:type="pct"/>
          </w:tcPr>
          <w:p w:rsidR="005612F6" w:rsidRDefault="005612F6" w:rsidP="005612F6">
            <w:pPr>
              <w:pStyle w:val="Table-cell-centrealigned"/>
              <w:cnfStyle w:val="000000010000" w:firstRow="0" w:lastRow="0" w:firstColumn="0" w:lastColumn="0" w:oddVBand="0" w:evenVBand="0" w:oddHBand="0" w:evenHBand="1" w:firstRowFirstColumn="0" w:firstRowLastColumn="0" w:lastRowFirstColumn="0" w:lastRowLastColumn="0"/>
            </w:pPr>
            <w:r>
              <w:t>$48,000</w:t>
            </w:r>
          </w:p>
        </w:tc>
        <w:tc>
          <w:tcPr>
            <w:tcW w:w="781" w:type="pct"/>
          </w:tcPr>
          <w:p w:rsidR="005612F6" w:rsidRDefault="005612F6" w:rsidP="00D91C77">
            <w:pPr>
              <w:jc w:val="center"/>
              <w:cnfStyle w:val="000000010000" w:firstRow="0" w:lastRow="0" w:firstColumn="0" w:lastColumn="0" w:oddVBand="0" w:evenVBand="0" w:oddHBand="0" w:evenHBand="1" w:firstRowFirstColumn="0" w:firstRowLastColumn="0" w:lastRowFirstColumn="0" w:lastRowLastColumn="0"/>
            </w:pPr>
            <w:r>
              <w:t>$10,000</w:t>
            </w:r>
          </w:p>
        </w:tc>
      </w:tr>
      <w:tr w:rsidR="005612F6" w:rsidTr="00D91C77">
        <w:trPr>
          <w:cantSplit/>
        </w:trPr>
        <w:tc>
          <w:tcPr>
            <w:cnfStyle w:val="001000000000" w:firstRow="0" w:lastRow="0" w:firstColumn="1" w:lastColumn="0" w:oddVBand="0" w:evenVBand="0" w:oddHBand="0" w:evenHBand="0" w:firstRowFirstColumn="0" w:firstRowLastColumn="0" w:lastRowFirstColumn="0" w:lastRowLastColumn="0"/>
            <w:tcW w:w="3360" w:type="pct"/>
          </w:tcPr>
          <w:p w:rsidR="005612F6" w:rsidRDefault="005612F6" w:rsidP="005612F6">
            <w:r>
              <w:rPr>
                <w:lang w:val="en-AU"/>
              </w:rPr>
              <w:t>Curtin University – Access on Demand: An Analysis of the Accessibility options on streaming television</w:t>
            </w:r>
          </w:p>
        </w:tc>
        <w:tc>
          <w:tcPr>
            <w:tcW w:w="859" w:type="pct"/>
          </w:tcPr>
          <w:p w:rsidR="005612F6" w:rsidRDefault="005612F6" w:rsidP="005612F6">
            <w:pPr>
              <w:pStyle w:val="Table-cell-centrealigned"/>
              <w:cnfStyle w:val="000000000000" w:firstRow="0" w:lastRow="0" w:firstColumn="0" w:lastColumn="0" w:oddVBand="0" w:evenVBand="0" w:oddHBand="0" w:evenHBand="0" w:firstRowFirstColumn="0" w:firstRowLastColumn="0" w:lastRowFirstColumn="0" w:lastRowLastColumn="0"/>
            </w:pPr>
            <w:r>
              <w:t>$46,635</w:t>
            </w:r>
          </w:p>
        </w:tc>
        <w:tc>
          <w:tcPr>
            <w:tcW w:w="781" w:type="pct"/>
          </w:tcPr>
          <w:p w:rsidR="005612F6" w:rsidRDefault="005612F6" w:rsidP="00D91C77">
            <w:pPr>
              <w:jc w:val="center"/>
              <w:cnfStyle w:val="000000000000" w:firstRow="0" w:lastRow="0" w:firstColumn="0" w:lastColumn="0" w:oddVBand="0" w:evenVBand="0" w:oddHBand="0" w:evenHBand="0" w:firstRowFirstColumn="0" w:firstRowLastColumn="0" w:lastRowFirstColumn="0" w:lastRowLastColumn="0"/>
            </w:pPr>
            <w:r>
              <w:t>$10,635</w:t>
            </w:r>
          </w:p>
        </w:tc>
      </w:tr>
      <w:tr w:rsidR="00503704" w:rsidTr="00D91C7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pct"/>
          </w:tcPr>
          <w:p w:rsidR="005612F6" w:rsidRDefault="005612F6" w:rsidP="005612F6">
            <w:pPr>
              <w:rPr>
                <w:lang w:val="en-AU"/>
              </w:rPr>
            </w:pPr>
            <w:r>
              <w:rPr>
                <w:lang w:val="en-AU"/>
              </w:rPr>
              <w:lastRenderedPageBreak/>
              <w:t>Charles Sturt University – Consumer understandings of smart technologies and their applications in North West NSW regional and rural communities</w:t>
            </w:r>
          </w:p>
        </w:tc>
        <w:tc>
          <w:tcPr>
            <w:tcW w:w="0" w:type="pct"/>
          </w:tcPr>
          <w:p w:rsidR="005612F6" w:rsidRDefault="005612F6" w:rsidP="005612F6">
            <w:pPr>
              <w:pStyle w:val="Table-cell-centrealigned"/>
              <w:cnfStyle w:val="000000010000" w:firstRow="0" w:lastRow="0" w:firstColumn="0" w:lastColumn="0" w:oddVBand="0" w:evenVBand="0" w:oddHBand="0" w:evenHBand="1" w:firstRowFirstColumn="0" w:firstRowLastColumn="0" w:lastRowFirstColumn="0" w:lastRowLastColumn="0"/>
            </w:pPr>
            <w:r>
              <w:t>$16,606</w:t>
            </w:r>
          </w:p>
        </w:tc>
        <w:tc>
          <w:tcPr>
            <w:tcW w:w="0" w:type="pct"/>
          </w:tcPr>
          <w:p w:rsidR="005612F6" w:rsidRDefault="005612F6" w:rsidP="00D91C77">
            <w:pPr>
              <w:jc w:val="center"/>
              <w:cnfStyle w:val="000000010000" w:firstRow="0" w:lastRow="0" w:firstColumn="0" w:lastColumn="0" w:oddVBand="0" w:evenVBand="0" w:oddHBand="0" w:evenHBand="1" w:firstRowFirstColumn="0" w:firstRowLastColumn="0" w:lastRowFirstColumn="0" w:lastRowLastColumn="0"/>
            </w:pPr>
            <w:r>
              <w:t>$6,000</w:t>
            </w:r>
          </w:p>
        </w:tc>
      </w:tr>
      <w:tr w:rsidR="00503704" w:rsidTr="00503704">
        <w:trPr>
          <w:cantSplit/>
        </w:trPr>
        <w:tc>
          <w:tcPr>
            <w:cnfStyle w:val="001000000000" w:firstRow="0" w:lastRow="0" w:firstColumn="1" w:lastColumn="0" w:oddVBand="0" w:evenVBand="0" w:oddHBand="0" w:evenHBand="0" w:firstRowFirstColumn="0" w:firstRowLastColumn="0" w:lastRowFirstColumn="0" w:lastRowLastColumn="0"/>
            <w:tcW w:w="3360" w:type="pct"/>
          </w:tcPr>
          <w:p w:rsidR="005612F6" w:rsidRDefault="005612F6" w:rsidP="005612F6">
            <w:pPr>
              <w:rPr>
                <w:lang w:val="en-AU"/>
              </w:rPr>
            </w:pPr>
            <w:r>
              <w:rPr>
                <w:lang w:val="en-AU"/>
              </w:rPr>
              <w:t>Wamboin Communications Action Group Inc. – Achieve better broadband for regional communities</w:t>
            </w:r>
          </w:p>
        </w:tc>
        <w:tc>
          <w:tcPr>
            <w:tcW w:w="859" w:type="pct"/>
          </w:tcPr>
          <w:p w:rsidR="005612F6" w:rsidRDefault="005612F6" w:rsidP="005612F6">
            <w:pPr>
              <w:pStyle w:val="Table-cell-centrealigned"/>
              <w:cnfStyle w:val="000000000000" w:firstRow="0" w:lastRow="0" w:firstColumn="0" w:lastColumn="0" w:oddVBand="0" w:evenVBand="0" w:oddHBand="0" w:evenHBand="0" w:firstRowFirstColumn="0" w:firstRowLastColumn="0" w:lastRowFirstColumn="0" w:lastRowLastColumn="0"/>
            </w:pPr>
            <w:r w:rsidRPr="009922E5">
              <w:t>$50,000</w:t>
            </w:r>
            <w:r>
              <w:t xml:space="preserve"> (revised to $14,905)</w:t>
            </w:r>
          </w:p>
        </w:tc>
        <w:tc>
          <w:tcPr>
            <w:tcW w:w="781" w:type="pct"/>
          </w:tcPr>
          <w:p w:rsidR="005612F6" w:rsidRDefault="005612F6" w:rsidP="00D91C77">
            <w:pPr>
              <w:jc w:val="center"/>
              <w:cnfStyle w:val="000000000000" w:firstRow="0" w:lastRow="0" w:firstColumn="0" w:lastColumn="0" w:oddVBand="0" w:evenVBand="0" w:oddHBand="0" w:evenHBand="0" w:firstRowFirstColumn="0" w:firstRowLastColumn="0" w:lastRowFirstColumn="0" w:lastRowLastColumn="0"/>
            </w:pPr>
            <w:r>
              <w:t>$0</w:t>
            </w:r>
          </w:p>
        </w:tc>
      </w:tr>
      <w:tr w:rsidR="00503704" w:rsidTr="00D91C7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pct"/>
          </w:tcPr>
          <w:p w:rsidR="005612F6" w:rsidRDefault="005612F6" w:rsidP="005612F6">
            <w:pPr>
              <w:rPr>
                <w:lang w:val="en-AU"/>
              </w:rPr>
            </w:pPr>
            <w:r>
              <w:rPr>
                <w:lang w:val="en-AU"/>
              </w:rPr>
              <w:t>RMIT – E-Change and Remote Work in Australia</w:t>
            </w:r>
          </w:p>
        </w:tc>
        <w:tc>
          <w:tcPr>
            <w:tcW w:w="0" w:type="pct"/>
          </w:tcPr>
          <w:p w:rsidR="005612F6" w:rsidRPr="009922E5" w:rsidRDefault="005612F6" w:rsidP="005612F6">
            <w:pPr>
              <w:pStyle w:val="Table-cell-centrealigned"/>
              <w:cnfStyle w:val="000000010000" w:firstRow="0" w:lastRow="0" w:firstColumn="0" w:lastColumn="0" w:oddVBand="0" w:evenVBand="0" w:oddHBand="0" w:evenHBand="1" w:firstRowFirstColumn="0" w:firstRowLastColumn="0" w:lastRowFirstColumn="0" w:lastRowLastColumn="0"/>
            </w:pPr>
            <w:r w:rsidRPr="0066527E">
              <w:t>$45,754</w:t>
            </w:r>
          </w:p>
        </w:tc>
        <w:tc>
          <w:tcPr>
            <w:tcW w:w="0" w:type="pct"/>
          </w:tcPr>
          <w:p w:rsidR="005612F6" w:rsidRDefault="005612F6" w:rsidP="00D91C77">
            <w:pPr>
              <w:jc w:val="center"/>
              <w:cnfStyle w:val="000000010000" w:firstRow="0" w:lastRow="0" w:firstColumn="0" w:lastColumn="0" w:oddVBand="0" w:evenVBand="0" w:oddHBand="0" w:evenHBand="1" w:firstRowFirstColumn="0" w:firstRowLastColumn="0" w:lastRowFirstColumn="0" w:lastRowLastColumn="0"/>
            </w:pPr>
            <w:r w:rsidRPr="0066527E">
              <w:t>$20,000</w:t>
            </w:r>
          </w:p>
        </w:tc>
      </w:tr>
    </w:tbl>
    <w:p w:rsidR="00B049D7" w:rsidRPr="009922E5" w:rsidRDefault="00D57F0A" w:rsidP="00D91C77">
      <w:pPr>
        <w:pStyle w:val="Heading3"/>
        <w:spacing w:before="240"/>
        <w:rPr>
          <w:lang w:val="en-AU"/>
        </w:rPr>
      </w:pPr>
      <w:bookmarkStart w:id="15" w:name="_Toc120548659"/>
      <w:r w:rsidRPr="00B95CB4">
        <w:rPr>
          <w:lang w:val="en-AU"/>
        </w:rPr>
        <w:t>2</w:t>
      </w:r>
      <w:r w:rsidR="00B049D7" w:rsidRPr="00B95CB4">
        <w:rPr>
          <w:lang w:val="en-AU"/>
        </w:rPr>
        <w:t>02</w:t>
      </w:r>
      <w:r w:rsidR="0011366C" w:rsidRPr="0066527E">
        <w:rPr>
          <w:lang w:val="en-AU"/>
        </w:rPr>
        <w:t>1</w:t>
      </w:r>
      <w:r w:rsidR="00B049D7" w:rsidRPr="00B95CB4">
        <w:rPr>
          <w:lang w:val="en-AU"/>
        </w:rPr>
        <w:t xml:space="preserve"> grants round</w:t>
      </w:r>
      <w:bookmarkEnd w:id="15"/>
    </w:p>
    <w:p w:rsidR="00267C9C" w:rsidRPr="009922E5" w:rsidRDefault="00267C9C" w:rsidP="00267C9C">
      <w:pPr>
        <w:spacing w:line="259" w:lineRule="auto"/>
        <w:rPr>
          <w:lang w:val="en-AU"/>
        </w:rPr>
      </w:pPr>
      <w:r w:rsidRPr="009922E5">
        <w:rPr>
          <w:lang w:val="en-AU"/>
        </w:rPr>
        <w:t>In 202</w:t>
      </w:r>
      <w:r w:rsidR="0011366C">
        <w:rPr>
          <w:lang w:val="en-AU"/>
        </w:rPr>
        <w:t>1</w:t>
      </w:r>
      <w:r w:rsidRPr="009922E5">
        <w:rPr>
          <w:lang w:val="en-AU"/>
        </w:rPr>
        <w:t>–2</w:t>
      </w:r>
      <w:r w:rsidR="0011366C">
        <w:rPr>
          <w:lang w:val="en-AU"/>
        </w:rPr>
        <w:t>2</w:t>
      </w:r>
      <w:r w:rsidR="000074B8" w:rsidRPr="009922E5">
        <w:rPr>
          <w:lang w:val="en-AU"/>
        </w:rPr>
        <w:t>,</w:t>
      </w:r>
      <w:r w:rsidRPr="009922E5">
        <w:rPr>
          <w:lang w:val="en-AU"/>
        </w:rPr>
        <w:t xml:space="preserve"> ACCAN provided funding to </w:t>
      </w:r>
      <w:r w:rsidR="00B95CB4">
        <w:rPr>
          <w:lang w:val="en-AU"/>
        </w:rPr>
        <w:t>five</w:t>
      </w:r>
      <w:r w:rsidR="00B95CB4" w:rsidRPr="009922E5">
        <w:rPr>
          <w:lang w:val="en-AU"/>
        </w:rPr>
        <w:t xml:space="preserve"> </w:t>
      </w:r>
      <w:r w:rsidR="000074B8" w:rsidRPr="009922E5">
        <w:rPr>
          <w:lang w:val="en-AU"/>
        </w:rPr>
        <w:t>recipients</w:t>
      </w:r>
      <w:r w:rsidRPr="009922E5">
        <w:rPr>
          <w:lang w:val="en-AU"/>
        </w:rPr>
        <w:t xml:space="preserve"> who were successful in the </w:t>
      </w:r>
      <w:r w:rsidR="00B95CB4" w:rsidRPr="009922E5">
        <w:rPr>
          <w:lang w:val="en-AU"/>
        </w:rPr>
        <w:t>202</w:t>
      </w:r>
      <w:r w:rsidR="00B95CB4">
        <w:rPr>
          <w:lang w:val="en-AU"/>
        </w:rPr>
        <w:t>1</w:t>
      </w:r>
      <w:r w:rsidR="00B95CB4" w:rsidRPr="009922E5">
        <w:rPr>
          <w:lang w:val="en-AU"/>
        </w:rPr>
        <w:t xml:space="preserve"> </w:t>
      </w:r>
      <w:r w:rsidR="000074B8" w:rsidRPr="009922E5">
        <w:rPr>
          <w:lang w:val="en-AU"/>
        </w:rPr>
        <w:t>IGP applicat</w:t>
      </w:r>
      <w:r w:rsidRPr="009922E5">
        <w:rPr>
          <w:lang w:val="en-AU"/>
        </w:rPr>
        <w:t xml:space="preserve">ion process (run during the </w:t>
      </w:r>
      <w:r w:rsidR="00B95CB4" w:rsidRPr="009922E5">
        <w:rPr>
          <w:lang w:val="en-AU"/>
        </w:rPr>
        <w:t>20</w:t>
      </w:r>
      <w:r w:rsidR="00B95CB4">
        <w:rPr>
          <w:lang w:val="en-AU"/>
        </w:rPr>
        <w:t>20</w:t>
      </w:r>
      <w:r w:rsidRPr="009922E5">
        <w:rPr>
          <w:lang w:val="en-AU"/>
        </w:rPr>
        <w:t>–2</w:t>
      </w:r>
      <w:r w:rsidR="00B95CB4">
        <w:rPr>
          <w:lang w:val="en-AU"/>
        </w:rPr>
        <w:t>1</w:t>
      </w:r>
      <w:r w:rsidR="000074B8" w:rsidRPr="009922E5">
        <w:rPr>
          <w:lang w:val="en-AU"/>
        </w:rPr>
        <w:t xml:space="preserve"> financial year). Activity on </w:t>
      </w:r>
      <w:r w:rsidRPr="009922E5">
        <w:rPr>
          <w:lang w:val="en-AU"/>
        </w:rPr>
        <w:t>these projects commenced in 202</w:t>
      </w:r>
      <w:r w:rsidR="00B95CB4">
        <w:rPr>
          <w:lang w:val="en-AU"/>
        </w:rPr>
        <w:t>1</w:t>
      </w:r>
      <w:r w:rsidRPr="009922E5">
        <w:rPr>
          <w:lang w:val="en-AU"/>
        </w:rPr>
        <w:t>–2</w:t>
      </w:r>
      <w:r w:rsidR="00B95CB4">
        <w:rPr>
          <w:lang w:val="en-AU"/>
        </w:rPr>
        <w:t>2</w:t>
      </w:r>
      <w:r w:rsidRPr="009922E5">
        <w:rPr>
          <w:lang w:val="en-AU"/>
        </w:rPr>
        <w:t>.</w:t>
      </w:r>
    </w:p>
    <w:p w:rsidR="00086B46" w:rsidRPr="009922E5" w:rsidRDefault="00086B46" w:rsidP="00086B46">
      <w:pPr>
        <w:rPr>
          <w:lang w:val="en-AU"/>
        </w:rPr>
      </w:pPr>
      <w:r w:rsidRPr="009922E5">
        <w:rPr>
          <w:lang w:val="en-AU"/>
        </w:rPr>
        <w:t xml:space="preserve">The projects relate to </w:t>
      </w:r>
      <w:r w:rsidR="00B95CB4">
        <w:rPr>
          <w:lang w:val="en-AU"/>
        </w:rPr>
        <w:t>digital platforms, digital adaptability, telecommunications surveillance, digital inequality and chatbots.</w:t>
      </w:r>
    </w:p>
    <w:p w:rsidR="000074B8" w:rsidRPr="009922E5" w:rsidRDefault="00267C9C" w:rsidP="00267C9C">
      <w:pPr>
        <w:pStyle w:val="Tablefigureheading"/>
      </w:pPr>
      <w:bookmarkStart w:id="16" w:name="_Toc120548678"/>
      <w:r w:rsidRPr="00B95CB4">
        <w:t>Table 2: 202</w:t>
      </w:r>
      <w:r w:rsidR="00B40703" w:rsidRPr="0066527E">
        <w:t>1</w:t>
      </w:r>
      <w:r w:rsidRPr="00B95CB4">
        <w:t xml:space="preserve"> grants round proj</w:t>
      </w:r>
      <w:r w:rsidRPr="0066527E">
        <w:t>ects funded in 202</w:t>
      </w:r>
      <w:r w:rsidR="00B40703" w:rsidRPr="0066527E">
        <w:t>1</w:t>
      </w:r>
      <w:r w:rsidR="005612F6">
        <w:t>–</w:t>
      </w:r>
      <w:r w:rsidRPr="00B95CB4">
        <w:t>2</w:t>
      </w:r>
      <w:r w:rsidR="00B40703" w:rsidRPr="0066527E">
        <w:t>2</w:t>
      </w:r>
      <w:bookmarkEnd w:id="16"/>
    </w:p>
    <w:tbl>
      <w:tblPr>
        <w:tblStyle w:val="DefaultTable1"/>
        <w:tblpPr w:leftFromText="180" w:rightFromText="180" w:vertAnchor="text" w:horzAnchor="margin" w:tblpY="12"/>
        <w:tblW w:w="9214" w:type="dxa"/>
        <w:tblBorders>
          <w:top w:val="none" w:sz="0" w:space="0" w:color="auto"/>
          <w:bottom w:val="single" w:sz="4" w:space="0" w:color="377B88"/>
          <w:insideH w:val="single" w:sz="4" w:space="0" w:color="377B88"/>
        </w:tblBorders>
        <w:tblLook w:val="04E0" w:firstRow="1" w:lastRow="1" w:firstColumn="1" w:lastColumn="0" w:noHBand="0" w:noVBand="1"/>
        <w:tblDescription w:val="Table 2: 2021 grants round projects funded in 2021-–22"/>
      </w:tblPr>
      <w:tblGrid>
        <w:gridCol w:w="3251"/>
        <w:gridCol w:w="2197"/>
        <w:gridCol w:w="3766"/>
      </w:tblGrid>
      <w:tr w:rsidR="007449B8" w:rsidRPr="009922E5" w:rsidTr="00D91C77">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dxa"/>
            <w:shd w:val="clear" w:color="auto" w:fill="081E3E"/>
          </w:tcPr>
          <w:p w:rsidR="007449B8" w:rsidRPr="009922E5" w:rsidRDefault="00F31747" w:rsidP="00580EF1">
            <w:pPr>
              <w:pStyle w:val="Tableheader"/>
              <w:rPr>
                <w:b/>
              </w:rPr>
            </w:pPr>
            <w:r w:rsidRPr="009922E5">
              <w:rPr>
                <w:b/>
              </w:rPr>
              <w:t>Recipient</w:t>
            </w:r>
          </w:p>
        </w:tc>
        <w:tc>
          <w:tcPr>
            <w:tcW w:w="0" w:type="dxa"/>
            <w:shd w:val="clear" w:color="auto" w:fill="081E3E"/>
          </w:tcPr>
          <w:p w:rsidR="007449B8" w:rsidRPr="009922E5" w:rsidRDefault="00F31747" w:rsidP="00F31747">
            <w:pPr>
              <w:pStyle w:val="Tableheadercentred"/>
              <w:jc w:val="left"/>
              <w:cnfStyle w:val="100000000000" w:firstRow="1" w:lastRow="0" w:firstColumn="0" w:lastColumn="0" w:oddVBand="0" w:evenVBand="0" w:oddHBand="0" w:evenHBand="0" w:firstRowFirstColumn="0" w:firstRowLastColumn="0" w:lastRowFirstColumn="0" w:lastRowLastColumn="0"/>
              <w:rPr>
                <w:b/>
              </w:rPr>
            </w:pPr>
            <w:r w:rsidRPr="009922E5">
              <w:rPr>
                <w:b/>
              </w:rPr>
              <w:t>Grant amount (ex GST)</w:t>
            </w:r>
          </w:p>
        </w:tc>
        <w:tc>
          <w:tcPr>
            <w:tcW w:w="1676" w:type="dxa"/>
            <w:shd w:val="clear" w:color="auto" w:fill="081E3E"/>
          </w:tcPr>
          <w:p w:rsidR="007449B8" w:rsidRPr="009922E5" w:rsidRDefault="00A16DCE" w:rsidP="00580EF1">
            <w:pPr>
              <w:pStyle w:val="Tableheadercentred"/>
              <w:cnfStyle w:val="100000000000" w:firstRow="1" w:lastRow="0" w:firstColumn="0" w:lastColumn="0" w:oddVBand="0" w:evenVBand="0" w:oddHBand="0" w:evenHBand="0" w:firstRowFirstColumn="0" w:firstRowLastColumn="0" w:lastRowFirstColumn="0" w:lastRowLastColumn="0"/>
              <w:rPr>
                <w:b/>
              </w:rPr>
            </w:pPr>
            <w:r w:rsidRPr="009922E5">
              <w:rPr>
                <w:b/>
              </w:rPr>
              <w:t>Payments made in 202</w:t>
            </w:r>
            <w:r w:rsidR="00672203">
              <w:rPr>
                <w:b/>
              </w:rPr>
              <w:t>1</w:t>
            </w:r>
            <w:r w:rsidR="005612F6">
              <w:rPr>
                <w:b/>
              </w:rPr>
              <w:t>–</w:t>
            </w:r>
            <w:r w:rsidRPr="009922E5">
              <w:rPr>
                <w:b/>
              </w:rPr>
              <w:t>2</w:t>
            </w:r>
            <w:r w:rsidR="00672203">
              <w:rPr>
                <w:b/>
              </w:rPr>
              <w:t>2</w:t>
            </w:r>
          </w:p>
        </w:tc>
      </w:tr>
      <w:tr w:rsidR="00672203" w:rsidRPr="009922E5" w:rsidTr="00D91C77">
        <w:trPr>
          <w:cantSplit/>
        </w:trPr>
        <w:tc>
          <w:tcPr>
            <w:cnfStyle w:val="001000000000" w:firstRow="0" w:lastRow="0" w:firstColumn="1" w:lastColumn="0" w:oddVBand="0" w:evenVBand="0" w:oddHBand="0" w:evenHBand="0" w:firstRowFirstColumn="0" w:firstRowLastColumn="0" w:lastRowFirstColumn="0" w:lastRowLastColumn="0"/>
            <w:tcW w:w="0" w:type="dxa"/>
            <w:shd w:val="clear" w:color="auto" w:fill="F2F2F2" w:themeFill="background1" w:themeFillShade="F2"/>
          </w:tcPr>
          <w:p w:rsidR="00672203" w:rsidRPr="009922E5" w:rsidRDefault="00672203" w:rsidP="0066527E">
            <w:pPr>
              <w:suppressAutoHyphens/>
            </w:pPr>
            <w:r>
              <w:rPr>
                <w:rFonts w:ascii="Calibri" w:eastAsia="Calibri" w:hAnsi="Calibri" w:cs="Times New Roman"/>
                <w:color w:val="000000"/>
                <w:kern w:val="12"/>
                <w:lang w:val="en-AU"/>
              </w:rPr>
              <w:t>UTS – Options for a complaint-handling framework for digital platforms</w:t>
            </w:r>
          </w:p>
        </w:tc>
        <w:tc>
          <w:tcPr>
            <w:tcW w:w="0" w:type="dxa"/>
            <w:shd w:val="clear" w:color="auto" w:fill="F2F2F2" w:themeFill="background1" w:themeFillShade="F2"/>
          </w:tcPr>
          <w:p w:rsidR="00672203" w:rsidRPr="009922E5" w:rsidRDefault="00672203" w:rsidP="0066527E">
            <w:pPr>
              <w:pStyle w:val="Normalcentred"/>
              <w:cnfStyle w:val="000000000000" w:firstRow="0" w:lastRow="0" w:firstColumn="0" w:lastColumn="0" w:oddVBand="0" w:evenVBand="0" w:oddHBand="0" w:evenHBand="0" w:firstRowFirstColumn="0" w:firstRowLastColumn="0" w:lastRowFirstColumn="0" w:lastRowLastColumn="0"/>
            </w:pPr>
            <w:r>
              <w:t>$8,454</w:t>
            </w:r>
          </w:p>
        </w:tc>
        <w:tc>
          <w:tcPr>
            <w:tcW w:w="1676" w:type="dxa"/>
            <w:shd w:val="clear" w:color="auto" w:fill="F2F2F2" w:themeFill="background1" w:themeFillShade="F2"/>
          </w:tcPr>
          <w:p w:rsidR="00672203" w:rsidRPr="0066527E" w:rsidRDefault="00672203" w:rsidP="00672203">
            <w:pPr>
              <w:pStyle w:val="Tableheadercentred"/>
              <w:cnfStyle w:val="000000000000" w:firstRow="0" w:lastRow="0" w:firstColumn="0" w:lastColumn="0" w:oddVBand="0" w:evenVBand="0" w:oddHBand="0" w:evenHBand="0" w:firstRowFirstColumn="0" w:firstRowLastColumn="0" w:lastRowFirstColumn="0" w:lastRowLastColumn="0"/>
              <w:rPr>
                <w:b w:val="0"/>
                <w:color w:val="auto"/>
              </w:rPr>
            </w:pPr>
            <w:r w:rsidRPr="0066527E">
              <w:rPr>
                <w:b w:val="0"/>
                <w:color w:val="auto"/>
              </w:rPr>
              <w:t>$8,454</w:t>
            </w:r>
          </w:p>
        </w:tc>
      </w:tr>
      <w:tr w:rsidR="00672203" w:rsidRPr="009922E5" w:rsidTr="00D91C7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tcPr>
          <w:p w:rsidR="00672203" w:rsidRPr="009922E5" w:rsidRDefault="00672203" w:rsidP="00672203">
            <w:pPr>
              <w:suppressAutoHyphens/>
              <w:rPr>
                <w:rFonts w:ascii="Calibri" w:eastAsia="Calibri" w:hAnsi="Calibri" w:cs="Times New Roman"/>
                <w:color w:val="000000"/>
                <w:kern w:val="12"/>
                <w:lang w:val="en-AU"/>
              </w:rPr>
            </w:pPr>
            <w:r>
              <w:rPr>
                <w:rFonts w:ascii="Calibri" w:eastAsia="Calibri" w:hAnsi="Calibri" w:cs="Times New Roman"/>
                <w:color w:val="000000"/>
                <w:kern w:val="12"/>
                <w:lang w:val="en-AU"/>
              </w:rPr>
              <w:t>RMIT – Enhancing digital adaptability of Australian small retail businesses</w:t>
            </w:r>
          </w:p>
        </w:tc>
        <w:tc>
          <w:tcPr>
            <w:tcW w:w="0" w:type="dxa"/>
            <w:shd w:val="clear" w:color="auto" w:fill="FFFFFF" w:themeFill="background1"/>
          </w:tcPr>
          <w:p w:rsidR="00672203" w:rsidRPr="009922E5" w:rsidRDefault="00672203" w:rsidP="00672203">
            <w:pPr>
              <w:pStyle w:val="Normalcentred"/>
              <w:cnfStyle w:val="000000010000" w:firstRow="0" w:lastRow="0" w:firstColumn="0" w:lastColumn="0" w:oddVBand="0" w:evenVBand="0" w:oddHBand="0" w:evenHBand="1" w:firstRowFirstColumn="0" w:firstRowLastColumn="0" w:lastRowFirstColumn="0" w:lastRowLastColumn="0"/>
            </w:pPr>
            <w:r>
              <w:t>$27,308</w:t>
            </w:r>
          </w:p>
        </w:tc>
        <w:tc>
          <w:tcPr>
            <w:tcW w:w="1676" w:type="dxa"/>
            <w:shd w:val="clear" w:color="auto" w:fill="FFFFFF" w:themeFill="background1"/>
          </w:tcPr>
          <w:p w:rsidR="00672203" w:rsidRPr="0066527E" w:rsidRDefault="00672203" w:rsidP="00672203">
            <w:pPr>
              <w:pStyle w:val="Normalcentred"/>
              <w:cnfStyle w:val="000000010000" w:firstRow="0" w:lastRow="0" w:firstColumn="0" w:lastColumn="0" w:oddVBand="0" w:evenVBand="0" w:oddHBand="0" w:evenHBand="1" w:firstRowFirstColumn="0" w:firstRowLastColumn="0" w:lastRowFirstColumn="0" w:lastRowLastColumn="0"/>
              <w:rPr>
                <w:color w:val="auto"/>
              </w:rPr>
            </w:pPr>
            <w:r w:rsidRPr="0066527E">
              <w:rPr>
                <w:color w:val="auto"/>
              </w:rPr>
              <w:t>$27,308</w:t>
            </w:r>
          </w:p>
        </w:tc>
      </w:tr>
      <w:tr w:rsidR="00672203" w:rsidRPr="009922E5" w:rsidTr="00D91C77">
        <w:trPr>
          <w:cantSplit/>
        </w:trPr>
        <w:tc>
          <w:tcPr>
            <w:cnfStyle w:val="001000000000" w:firstRow="0" w:lastRow="0" w:firstColumn="1" w:lastColumn="0" w:oddVBand="0" w:evenVBand="0" w:oddHBand="0" w:evenHBand="0" w:firstRowFirstColumn="0" w:firstRowLastColumn="0" w:lastRowFirstColumn="0" w:lastRowLastColumn="0"/>
            <w:tcW w:w="0" w:type="dxa"/>
            <w:shd w:val="clear" w:color="auto" w:fill="F2F2F2"/>
          </w:tcPr>
          <w:p w:rsidR="00672203" w:rsidRPr="009922E5" w:rsidRDefault="00672203" w:rsidP="00672203">
            <w:pPr>
              <w:pStyle w:val="Default"/>
              <w:rPr>
                <w:sz w:val="20"/>
                <w:szCs w:val="20"/>
              </w:rPr>
            </w:pPr>
            <w:r>
              <w:rPr>
                <w:sz w:val="20"/>
                <w:szCs w:val="20"/>
              </w:rPr>
              <w:t>Charles Sturt University – A review of the information available on Family Plans that may be harmful for consumers</w:t>
            </w:r>
            <w:r w:rsidRPr="009922E5">
              <w:rPr>
                <w:sz w:val="20"/>
                <w:szCs w:val="20"/>
              </w:rPr>
              <w:t xml:space="preserve"> </w:t>
            </w:r>
          </w:p>
        </w:tc>
        <w:tc>
          <w:tcPr>
            <w:tcW w:w="0" w:type="dxa"/>
            <w:shd w:val="clear" w:color="auto" w:fill="F2F2F2"/>
          </w:tcPr>
          <w:p w:rsidR="00672203" w:rsidRPr="009922E5" w:rsidRDefault="00672203" w:rsidP="00672203">
            <w:pPr>
              <w:pStyle w:val="Normalcentred"/>
              <w:cnfStyle w:val="000000000000" w:firstRow="0" w:lastRow="0" w:firstColumn="0" w:lastColumn="0" w:oddVBand="0" w:evenVBand="0" w:oddHBand="0" w:evenHBand="0" w:firstRowFirstColumn="0" w:firstRowLastColumn="0" w:lastRowFirstColumn="0" w:lastRowLastColumn="0"/>
            </w:pPr>
            <w:r>
              <w:t>$8,611</w:t>
            </w:r>
          </w:p>
        </w:tc>
        <w:tc>
          <w:tcPr>
            <w:tcW w:w="1676" w:type="dxa"/>
            <w:shd w:val="clear" w:color="auto" w:fill="F2F2F2"/>
          </w:tcPr>
          <w:p w:rsidR="00672203" w:rsidRPr="0066527E" w:rsidRDefault="00672203" w:rsidP="00672203">
            <w:pPr>
              <w:pStyle w:val="Normalcentred"/>
              <w:cnfStyle w:val="000000000000" w:firstRow="0" w:lastRow="0" w:firstColumn="0" w:lastColumn="0" w:oddVBand="0" w:evenVBand="0" w:oddHBand="0" w:evenHBand="0" w:firstRowFirstColumn="0" w:firstRowLastColumn="0" w:lastRowFirstColumn="0" w:lastRowLastColumn="0"/>
              <w:rPr>
                <w:color w:val="auto"/>
              </w:rPr>
            </w:pPr>
            <w:r w:rsidRPr="0066527E">
              <w:rPr>
                <w:color w:val="auto"/>
              </w:rPr>
              <w:t>$8,611</w:t>
            </w:r>
          </w:p>
        </w:tc>
      </w:tr>
      <w:tr w:rsidR="00672203" w:rsidRPr="009922E5" w:rsidTr="00D91C7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tcPr>
          <w:p w:rsidR="00672203" w:rsidRPr="009922E5" w:rsidRDefault="00672203" w:rsidP="00672203">
            <w:pPr>
              <w:pStyle w:val="Default"/>
              <w:rPr>
                <w:sz w:val="20"/>
                <w:szCs w:val="20"/>
              </w:rPr>
            </w:pPr>
            <w:r>
              <w:rPr>
                <w:sz w:val="20"/>
                <w:szCs w:val="20"/>
              </w:rPr>
              <w:t>University of Melbourne – Understanding digital inequality</w:t>
            </w:r>
          </w:p>
        </w:tc>
        <w:tc>
          <w:tcPr>
            <w:tcW w:w="0" w:type="dxa"/>
            <w:shd w:val="clear" w:color="auto" w:fill="FFFFFF" w:themeFill="background1"/>
          </w:tcPr>
          <w:p w:rsidR="00672203" w:rsidRPr="009922E5" w:rsidRDefault="00672203" w:rsidP="00672203">
            <w:pPr>
              <w:pStyle w:val="Normalcentred"/>
              <w:cnfStyle w:val="000000010000" w:firstRow="0" w:lastRow="0" w:firstColumn="0" w:lastColumn="0" w:oddVBand="0" w:evenVBand="0" w:oddHBand="0" w:evenHBand="1" w:firstRowFirstColumn="0" w:firstRowLastColumn="0" w:lastRowFirstColumn="0" w:lastRowLastColumn="0"/>
            </w:pPr>
            <w:r>
              <w:t>$11,609</w:t>
            </w:r>
          </w:p>
        </w:tc>
        <w:tc>
          <w:tcPr>
            <w:tcW w:w="1676" w:type="dxa"/>
            <w:shd w:val="clear" w:color="auto" w:fill="FFFFFF" w:themeFill="background1"/>
          </w:tcPr>
          <w:p w:rsidR="00672203" w:rsidRPr="0066527E" w:rsidRDefault="00672203" w:rsidP="00672203">
            <w:pPr>
              <w:pStyle w:val="Normalcentred"/>
              <w:cnfStyle w:val="000000010000" w:firstRow="0" w:lastRow="0" w:firstColumn="0" w:lastColumn="0" w:oddVBand="0" w:evenVBand="0" w:oddHBand="0" w:evenHBand="1" w:firstRowFirstColumn="0" w:firstRowLastColumn="0" w:lastRowFirstColumn="0" w:lastRowLastColumn="0"/>
              <w:rPr>
                <w:color w:val="auto"/>
              </w:rPr>
            </w:pPr>
            <w:r w:rsidRPr="0066527E">
              <w:rPr>
                <w:color w:val="auto"/>
              </w:rPr>
              <w:t>$11,609</w:t>
            </w:r>
          </w:p>
        </w:tc>
      </w:tr>
      <w:tr w:rsidR="00672203" w:rsidRPr="009922E5" w:rsidTr="00D91C77">
        <w:trPr>
          <w:cantSplit/>
        </w:trPr>
        <w:tc>
          <w:tcPr>
            <w:cnfStyle w:val="001000000000" w:firstRow="0" w:lastRow="0" w:firstColumn="1" w:lastColumn="0" w:oddVBand="0" w:evenVBand="0" w:oddHBand="0" w:evenHBand="0" w:firstRowFirstColumn="0" w:firstRowLastColumn="0" w:lastRowFirstColumn="0" w:lastRowLastColumn="0"/>
            <w:tcW w:w="0" w:type="dxa"/>
            <w:shd w:val="clear" w:color="auto" w:fill="F2F2F2" w:themeFill="background1" w:themeFillShade="F2"/>
          </w:tcPr>
          <w:p w:rsidR="00672203" w:rsidRPr="009922E5" w:rsidRDefault="00672203" w:rsidP="00672203">
            <w:pPr>
              <w:suppressAutoHyphens/>
              <w:rPr>
                <w:rFonts w:ascii="Calibri" w:eastAsia="Calibri" w:hAnsi="Calibri" w:cs="Times New Roman"/>
                <w:color w:val="000000"/>
                <w:kern w:val="12"/>
                <w:lang w:val="en-AU"/>
              </w:rPr>
            </w:pPr>
            <w:r>
              <w:rPr>
                <w:rFonts w:ascii="Calibri" w:eastAsia="Calibri" w:hAnsi="Calibri" w:cs="Times New Roman"/>
                <w:color w:val="000000"/>
                <w:kern w:val="12"/>
                <w:lang w:val="en-AU"/>
              </w:rPr>
              <w:t>University of Melbourne – Questioning the chatbot</w:t>
            </w:r>
          </w:p>
        </w:tc>
        <w:tc>
          <w:tcPr>
            <w:tcW w:w="0" w:type="dxa"/>
            <w:shd w:val="clear" w:color="auto" w:fill="F2F2F2" w:themeFill="background1" w:themeFillShade="F2"/>
          </w:tcPr>
          <w:p w:rsidR="00672203" w:rsidRPr="009922E5" w:rsidRDefault="00672203" w:rsidP="00672203">
            <w:pPr>
              <w:pStyle w:val="Normalcentred"/>
              <w:cnfStyle w:val="000000000000" w:firstRow="0" w:lastRow="0" w:firstColumn="0" w:lastColumn="0" w:oddVBand="0" w:evenVBand="0" w:oddHBand="0" w:evenHBand="0" w:firstRowFirstColumn="0" w:firstRowLastColumn="0" w:lastRowFirstColumn="0" w:lastRowLastColumn="0"/>
            </w:pPr>
            <w:r>
              <w:t>$54,003</w:t>
            </w:r>
          </w:p>
        </w:tc>
        <w:tc>
          <w:tcPr>
            <w:tcW w:w="1676" w:type="dxa"/>
            <w:shd w:val="clear" w:color="auto" w:fill="F2F2F2" w:themeFill="background1" w:themeFillShade="F2"/>
          </w:tcPr>
          <w:p w:rsidR="00672203" w:rsidRPr="0066527E" w:rsidRDefault="00672203" w:rsidP="00B95CB4">
            <w:pPr>
              <w:pStyle w:val="Normalcentred"/>
              <w:cnfStyle w:val="000000000000" w:firstRow="0" w:lastRow="0" w:firstColumn="0" w:lastColumn="0" w:oddVBand="0" w:evenVBand="0" w:oddHBand="0" w:evenHBand="0" w:firstRowFirstColumn="0" w:firstRowLastColumn="0" w:lastRowFirstColumn="0" w:lastRowLastColumn="0"/>
              <w:rPr>
                <w:color w:val="auto"/>
              </w:rPr>
            </w:pPr>
            <w:r w:rsidRPr="0066527E">
              <w:rPr>
                <w:color w:val="auto"/>
              </w:rPr>
              <w:t>$54,003</w:t>
            </w:r>
          </w:p>
        </w:tc>
      </w:tr>
      <w:tr w:rsidR="007449B8" w:rsidRPr="009922E5" w:rsidTr="00D91C77">
        <w:trPr>
          <w:cnfStyle w:val="010000000000" w:firstRow="0" w:lastRow="1"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dxa"/>
            <w:shd w:val="clear" w:color="auto" w:fill="F2F6E8"/>
          </w:tcPr>
          <w:p w:rsidR="007449B8" w:rsidRPr="009922E5" w:rsidRDefault="00F75461" w:rsidP="00580EF1">
            <w:pPr>
              <w:suppressAutoHyphens/>
              <w:rPr>
                <w:rFonts w:ascii="Calibri" w:eastAsia="Calibri" w:hAnsi="Calibri" w:cs="Times New Roman"/>
                <w:color w:val="000000"/>
                <w:kern w:val="12"/>
                <w:lang w:val="en-AU"/>
              </w:rPr>
            </w:pPr>
            <w:r w:rsidRPr="009922E5">
              <w:rPr>
                <w:rFonts w:ascii="Calibri" w:eastAsia="Calibri" w:hAnsi="Calibri" w:cs="Times New Roman"/>
                <w:color w:val="000000"/>
                <w:kern w:val="12"/>
                <w:lang w:val="en-AU"/>
              </w:rPr>
              <w:t>Total</w:t>
            </w:r>
          </w:p>
        </w:tc>
        <w:tc>
          <w:tcPr>
            <w:tcW w:w="0" w:type="dxa"/>
            <w:shd w:val="clear" w:color="auto" w:fill="F2F6E8"/>
          </w:tcPr>
          <w:p w:rsidR="007449B8" w:rsidRPr="009922E5" w:rsidRDefault="00F75461" w:rsidP="00580EF1">
            <w:pPr>
              <w:pStyle w:val="Normalcentred"/>
              <w:cnfStyle w:val="010000000000" w:firstRow="0" w:lastRow="1" w:firstColumn="0" w:lastColumn="0" w:oddVBand="0" w:evenVBand="0" w:oddHBand="0" w:evenHBand="0" w:firstRowFirstColumn="0" w:firstRowLastColumn="0" w:lastRowFirstColumn="0" w:lastRowLastColumn="0"/>
            </w:pPr>
            <w:r w:rsidRPr="009922E5">
              <w:t>$</w:t>
            </w:r>
            <w:r w:rsidR="00B40703">
              <w:t>109,985</w:t>
            </w:r>
          </w:p>
        </w:tc>
        <w:tc>
          <w:tcPr>
            <w:tcW w:w="1676" w:type="dxa"/>
            <w:shd w:val="clear" w:color="auto" w:fill="F2F6E8"/>
          </w:tcPr>
          <w:p w:rsidR="007449B8" w:rsidRPr="009922E5" w:rsidRDefault="00B95CB4" w:rsidP="00A16DCE">
            <w:pPr>
              <w:pStyle w:val="Normalcentred"/>
              <w:cnfStyle w:val="010000000000" w:firstRow="0" w:lastRow="1" w:firstColumn="0" w:lastColumn="0" w:oddVBand="0" w:evenVBand="0" w:oddHBand="0" w:evenHBand="0" w:firstRowFirstColumn="0" w:firstRowLastColumn="0" w:lastRowFirstColumn="0" w:lastRowLastColumn="0"/>
            </w:pPr>
            <w:r>
              <w:t>$109,985</w:t>
            </w:r>
          </w:p>
        </w:tc>
      </w:tr>
      <w:bookmarkEnd w:id="6"/>
    </w:tbl>
    <w:p w:rsidR="008D4AB2" w:rsidRPr="009922E5" w:rsidRDefault="008D4AB2" w:rsidP="00D91C77">
      <w:pPr>
        <w:rPr>
          <w:lang w:val="en-AU"/>
        </w:rPr>
      </w:pPr>
    </w:p>
    <w:sectPr w:rsidR="008D4AB2" w:rsidRPr="009922E5" w:rsidSect="006D7C61">
      <w:pgSz w:w="11906" w:h="16838"/>
      <w:pgMar w:top="1440" w:right="1440" w:bottom="1440" w:left="156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4AB2" w:rsidRDefault="008D4AB2" w:rsidP="004D4B0F">
      <w:r>
        <w:separator/>
      </w:r>
    </w:p>
  </w:endnote>
  <w:endnote w:type="continuationSeparator" w:id="0">
    <w:p w:rsidR="008D4AB2" w:rsidRDefault="008D4AB2" w:rsidP="004D4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C61" w:rsidRDefault="007449B8" w:rsidP="006D7C61">
    <w:pPr>
      <w:pStyle w:val="Footer"/>
      <w:spacing w:after="120"/>
      <w:jc w:val="right"/>
    </w:pPr>
    <w:r w:rsidRPr="007449B8">
      <w:t>Funding of telecommunications consumer representation grants</w:t>
    </w:r>
    <w:r w:rsidR="006D7C61">
      <w:tab/>
    </w:r>
    <w:sdt>
      <w:sdtPr>
        <w:id w:val="-1966963694"/>
        <w:docPartObj>
          <w:docPartGallery w:val="Page Numbers (Bottom of Page)"/>
          <w:docPartUnique/>
        </w:docPartObj>
      </w:sdtPr>
      <w:sdtEndPr>
        <w:rPr>
          <w:noProof/>
        </w:rPr>
      </w:sdtEndPr>
      <w:sdtContent>
        <w:r w:rsidR="006D7C61">
          <w:fldChar w:fldCharType="begin"/>
        </w:r>
        <w:r w:rsidR="006D7C61">
          <w:instrText xml:space="preserve"> PAGE   \* MERGEFORMAT </w:instrText>
        </w:r>
        <w:r w:rsidR="006D7C61">
          <w:fldChar w:fldCharType="separate"/>
        </w:r>
        <w:r w:rsidR="0068034F">
          <w:rPr>
            <w:noProof/>
          </w:rPr>
          <w:t>2</w:t>
        </w:r>
        <w:r w:rsidR="006D7C61">
          <w:rPr>
            <w:noProof/>
          </w:rPr>
          <w:fldChar w:fldCharType="end"/>
        </w:r>
      </w:sdtContent>
    </w:sdt>
  </w:p>
  <w:p w:rsidR="008D4AB2" w:rsidRDefault="006D7C61" w:rsidP="006D7C61">
    <w:pPr>
      <w:pStyle w:val="Footer"/>
      <w:tabs>
        <w:tab w:val="clear" w:pos="9026"/>
      </w:tabs>
      <w:ind w:left="-2268" w:right="-1440"/>
    </w:pPr>
    <w:r>
      <w:rPr>
        <w:noProof/>
        <w:lang w:val="en-AU" w:eastAsia="en-AU"/>
      </w:rPr>
      <w:drawing>
        <wp:inline distT="0" distB="0" distL="0" distR="0">
          <wp:extent cx="10692000" cy="183240"/>
          <wp:effectExtent l="0" t="0" r="0" b="7620"/>
          <wp:docPr id="1" name="Picture 1"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2" w:rsidRDefault="008D4AB2" w:rsidP="006D7C61">
    <w:pPr>
      <w:pStyle w:val="Footer"/>
      <w:ind w:left="-2268"/>
    </w:pPr>
    <w:r>
      <w:rPr>
        <w:noProof/>
        <w:lang w:val="en-AU" w:eastAsia="en-AU"/>
      </w:rPr>
      <w:drawing>
        <wp:inline distT="0" distB="0" distL="0" distR="0">
          <wp:extent cx="7812262" cy="3594100"/>
          <wp:effectExtent l="0" t="0" r="0" b="6350"/>
          <wp:docPr id="2" name="Picture 2" descr="Connection graphic" title="Decorativ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rotWithShape="1">
                  <a:blip r:embed="rId1" cstate="print">
                    <a:extLst>
                      <a:ext uri="{28A0092B-C50C-407E-A947-70E740481C1C}">
                        <a14:useLocalDpi xmlns:a14="http://schemas.microsoft.com/office/drawing/2010/main" val="0"/>
                      </a:ext>
                    </a:extLst>
                  </a:blip>
                  <a:srcRect l="26908" r="1"/>
                  <a:stretch/>
                </pic:blipFill>
                <pic:spPr bwMode="auto">
                  <a:xfrm>
                    <a:off x="0" y="0"/>
                    <a:ext cx="7814914" cy="3595320"/>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4AB2" w:rsidRDefault="008D4AB2" w:rsidP="004D4B0F">
      <w:r>
        <w:separator/>
      </w:r>
    </w:p>
  </w:footnote>
  <w:footnote w:type="continuationSeparator" w:id="0">
    <w:p w:rsidR="008D4AB2" w:rsidRDefault="008D4AB2" w:rsidP="004D4B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91CF3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F6EFC7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192EC6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200252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3F0778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4F081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D8697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F265C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F4EE78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B20C4C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4E92756"/>
    <w:multiLevelType w:val="hybridMultilevel"/>
    <w:tmpl w:val="513A850A"/>
    <w:lvl w:ilvl="0" w:tplc="5112A3F8">
      <w:start w:val="1"/>
      <w:numFmt w:val="bullet"/>
      <w:pStyle w:val="Listparagraphbullets"/>
      <w:lvlText w:val=""/>
      <w:lvlJc w:val="left"/>
      <w:pPr>
        <w:ind w:left="360"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2" w15:restartNumberingAfterBreak="0">
    <w:nsid w:val="68827E7D"/>
    <w:multiLevelType w:val="hybridMultilevel"/>
    <w:tmpl w:val="E3803EBA"/>
    <w:lvl w:ilvl="0" w:tplc="DF4ABC6A">
      <w:start w:val="1"/>
      <w:numFmt w:val="bullet"/>
      <w:pStyle w:val="Listparagraphbulletssecondlevel"/>
      <w:lvlText w:val=""/>
      <w:lvlJc w:val="left"/>
      <w:pPr>
        <w:ind w:left="927" w:hanging="360"/>
      </w:pPr>
      <w:rPr>
        <w:rFonts w:ascii="Symbol" w:hAnsi="Symbol" w:hint="default"/>
        <w:caps w:val="0"/>
        <w:strike w:val="0"/>
        <w:dstrike w:val="0"/>
        <w:vanish w:val="0"/>
        <w:color w:val="auto"/>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E283A48"/>
    <w:multiLevelType w:val="hybridMultilevel"/>
    <w:tmpl w:val="43AEF384"/>
    <w:lvl w:ilvl="0" w:tplc="BD78488A">
      <w:start w:val="1"/>
      <w:numFmt w:val="decimal"/>
      <w:pStyle w:val="ListParagraph"/>
      <w:lvlText w:val="%1."/>
      <w:lvlJc w:val="left"/>
      <w:pPr>
        <w:ind w:left="720" w:hanging="360"/>
      </w:pPr>
      <w:rPr>
        <w:rFonts w:hint="default"/>
      </w:rPr>
    </w:lvl>
    <w:lvl w:ilvl="1" w:tplc="0C090019">
      <w:start w:val="1"/>
      <w:numFmt w:val="lowerLetter"/>
      <w:lvlText w:val="%2."/>
      <w:lvlJc w:val="left"/>
      <w:pPr>
        <w:ind w:left="1636" w:hanging="360"/>
      </w:pPr>
    </w:lvl>
    <w:lvl w:ilvl="2" w:tplc="23862198">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045683D"/>
    <w:multiLevelType w:val="hybridMultilevel"/>
    <w:tmpl w:val="869A56BC"/>
    <w:lvl w:ilvl="0" w:tplc="C18C9ECE">
      <w:start w:val="1"/>
      <w:numFmt w:val="bullet"/>
      <w:lvlText w:val=""/>
      <w:lvlJc w:val="left"/>
      <w:pPr>
        <w:ind w:left="927" w:hanging="360"/>
      </w:pPr>
      <w:rPr>
        <w:rFonts w:ascii="Symbol" w:hAnsi="Symbol" w:hint="default"/>
        <w:caps w:val="0"/>
        <w:strike w:val="0"/>
        <w:dstrike w:val="0"/>
        <w:vanish w:val="0"/>
        <w:color w:val="auto"/>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7831E65"/>
    <w:multiLevelType w:val="hybridMultilevel"/>
    <w:tmpl w:val="77D21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FF368E4"/>
    <w:multiLevelType w:val="hybridMultilevel"/>
    <w:tmpl w:val="639E13BC"/>
    <w:lvl w:ilvl="0" w:tplc="0C090001">
      <w:start w:val="1"/>
      <w:numFmt w:val="bullet"/>
      <w:lvlText w:val=""/>
      <w:lvlJc w:val="left"/>
      <w:pPr>
        <w:ind w:left="927" w:hanging="360"/>
      </w:pPr>
      <w:rPr>
        <w:rFonts w:ascii="Symbol" w:hAnsi="Symbol" w:hint="default"/>
        <w:caps w:val="0"/>
        <w:strike w:val="0"/>
        <w:dstrike w:val="0"/>
        <w:vanish w:val="0"/>
        <w:color w:val="7030A0"/>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16"/>
  </w:num>
  <w:num w:numId="4">
    <w:abstractNumId w:val="14"/>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0"/>
  </w:num>
  <w:num w:numId="16">
    <w:abstractNumId w:val="11"/>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revisionView w:markup="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4AB2"/>
    <w:rsid w:val="000074B8"/>
    <w:rsid w:val="00043EED"/>
    <w:rsid w:val="00086B46"/>
    <w:rsid w:val="00095AE6"/>
    <w:rsid w:val="00104DF3"/>
    <w:rsid w:val="0011366C"/>
    <w:rsid w:val="001B5326"/>
    <w:rsid w:val="00202977"/>
    <w:rsid w:val="0025164F"/>
    <w:rsid w:val="00267C9C"/>
    <w:rsid w:val="002E1988"/>
    <w:rsid w:val="00377E3A"/>
    <w:rsid w:val="003B7B3F"/>
    <w:rsid w:val="003C5251"/>
    <w:rsid w:val="003C7100"/>
    <w:rsid w:val="0044431A"/>
    <w:rsid w:val="00485947"/>
    <w:rsid w:val="00491DE1"/>
    <w:rsid w:val="004A65F5"/>
    <w:rsid w:val="004D4B0F"/>
    <w:rsid w:val="004F77D9"/>
    <w:rsid w:val="00502152"/>
    <w:rsid w:val="00503704"/>
    <w:rsid w:val="005612F6"/>
    <w:rsid w:val="00662665"/>
    <w:rsid w:val="0066527E"/>
    <w:rsid w:val="00672203"/>
    <w:rsid w:val="0068034F"/>
    <w:rsid w:val="006D7C61"/>
    <w:rsid w:val="007449B8"/>
    <w:rsid w:val="00776258"/>
    <w:rsid w:val="00793843"/>
    <w:rsid w:val="007E3C92"/>
    <w:rsid w:val="007E6AE7"/>
    <w:rsid w:val="00853BD3"/>
    <w:rsid w:val="008733F4"/>
    <w:rsid w:val="0087400B"/>
    <w:rsid w:val="008A7F8E"/>
    <w:rsid w:val="008D0279"/>
    <w:rsid w:val="008D4AB2"/>
    <w:rsid w:val="009276A3"/>
    <w:rsid w:val="0093489B"/>
    <w:rsid w:val="009513FE"/>
    <w:rsid w:val="00953FE0"/>
    <w:rsid w:val="009922E5"/>
    <w:rsid w:val="00A16DCE"/>
    <w:rsid w:val="00A75A6D"/>
    <w:rsid w:val="00A8202E"/>
    <w:rsid w:val="00AF1798"/>
    <w:rsid w:val="00AF1B6D"/>
    <w:rsid w:val="00AF34C3"/>
    <w:rsid w:val="00B049D7"/>
    <w:rsid w:val="00B0589E"/>
    <w:rsid w:val="00B13480"/>
    <w:rsid w:val="00B40703"/>
    <w:rsid w:val="00B62E61"/>
    <w:rsid w:val="00B95CB4"/>
    <w:rsid w:val="00BB60C6"/>
    <w:rsid w:val="00C060AE"/>
    <w:rsid w:val="00C1271A"/>
    <w:rsid w:val="00C15A0D"/>
    <w:rsid w:val="00C704CE"/>
    <w:rsid w:val="00CA6FED"/>
    <w:rsid w:val="00CB388C"/>
    <w:rsid w:val="00CC18A5"/>
    <w:rsid w:val="00D259A1"/>
    <w:rsid w:val="00D3615F"/>
    <w:rsid w:val="00D57F0A"/>
    <w:rsid w:val="00D86145"/>
    <w:rsid w:val="00D91C77"/>
    <w:rsid w:val="00DB7F75"/>
    <w:rsid w:val="00DC1C06"/>
    <w:rsid w:val="00DD418B"/>
    <w:rsid w:val="00F23E4F"/>
    <w:rsid w:val="00F31747"/>
    <w:rsid w:val="00F52C32"/>
    <w:rsid w:val="00F71E4C"/>
    <w:rsid w:val="00F75461"/>
    <w:rsid w:val="00FA6ABE"/>
    <w:rsid w:val="00FB03F1"/>
    <w:rsid w:val="00FE1FD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5:chartTrackingRefBased/>
  <w15:docId w15:val="{1DA1E32E-0495-4C8A-8DB2-38143E5BC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4" w:unhideWhenUsed="1" w:qFormat="1"/>
    <w:lsdException w:name="table of figures" w:semiHidden="1" w:uiPriority="4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B5326"/>
    <w:pPr>
      <w:spacing w:line="240" w:lineRule="auto"/>
    </w:pPr>
    <w:rPr>
      <w:lang w:val="en-US"/>
    </w:rPr>
  </w:style>
  <w:style w:type="paragraph" w:styleId="Heading1">
    <w:name w:val="heading 1"/>
    <w:basedOn w:val="Normal"/>
    <w:next w:val="Normal"/>
    <w:link w:val="Heading1Char"/>
    <w:uiPriority w:val="9"/>
    <w:qFormat/>
    <w:rsid w:val="006D7C61"/>
    <w:pPr>
      <w:suppressAutoHyphens/>
      <w:spacing w:before="600" w:after="480"/>
      <w:outlineLvl w:val="0"/>
    </w:pPr>
    <w:rPr>
      <w:rFonts w:ascii="Calibri" w:eastAsia="Calibri" w:hAnsi="Calibri" w:cs="Calibri"/>
      <w:b/>
      <w:color w:val="000000"/>
      <w:kern w:val="12"/>
      <w:sz w:val="56"/>
      <w:szCs w:val="60"/>
    </w:rPr>
  </w:style>
  <w:style w:type="paragraph" w:styleId="Heading2">
    <w:name w:val="heading 2"/>
    <w:basedOn w:val="Normal"/>
    <w:next w:val="Normal"/>
    <w:link w:val="Heading2Char"/>
    <w:uiPriority w:val="9"/>
    <w:unhideWhenUsed/>
    <w:qFormat/>
    <w:rsid w:val="00CC18A5"/>
    <w:pPr>
      <w:keepNext/>
      <w:suppressAutoHyphens/>
      <w:spacing w:before="120"/>
      <w:outlineLvl w:val="1"/>
    </w:pPr>
    <w:rPr>
      <w:rFonts w:ascii="Calibri" w:eastAsia="Calibri" w:hAnsi="Calibri" w:cs="Calibri"/>
      <w:color w:val="081E3E"/>
      <w:kern w:val="12"/>
      <w:sz w:val="44"/>
      <w:szCs w:val="44"/>
    </w:rPr>
  </w:style>
  <w:style w:type="paragraph" w:styleId="Heading3">
    <w:name w:val="heading 3"/>
    <w:basedOn w:val="Normal"/>
    <w:next w:val="Normal"/>
    <w:link w:val="Heading3Char"/>
    <w:uiPriority w:val="9"/>
    <w:unhideWhenUsed/>
    <w:qFormat/>
    <w:rsid w:val="00953FE0"/>
    <w:pPr>
      <w:keepNext/>
      <w:suppressAutoHyphens/>
      <w:outlineLvl w:val="2"/>
    </w:pPr>
    <w:rPr>
      <w:rFonts w:ascii="Calibri" w:eastAsia="Calibri" w:hAnsi="Calibri" w:cs="Calibri"/>
      <w:color w:val="081E3E"/>
      <w:kern w:val="12"/>
      <w:sz w:val="36"/>
      <w:szCs w:val="36"/>
    </w:rPr>
  </w:style>
  <w:style w:type="paragraph" w:styleId="Heading4">
    <w:name w:val="heading 4"/>
    <w:basedOn w:val="Normal"/>
    <w:next w:val="Normal"/>
    <w:link w:val="Heading4Char"/>
    <w:uiPriority w:val="9"/>
    <w:unhideWhenUsed/>
    <w:qFormat/>
    <w:rsid w:val="00953FE0"/>
    <w:pPr>
      <w:keepNext/>
      <w:suppressAutoHyphens/>
      <w:outlineLvl w:val="3"/>
    </w:pPr>
    <w:rPr>
      <w:rFonts w:ascii="Calibri" w:eastAsia="Calibri" w:hAnsi="Calibri" w:cs="Calibri"/>
      <w:b/>
      <w:color w:val="6D7989"/>
      <w:kern w:val="12"/>
      <w:sz w:val="32"/>
      <w:szCs w:val="32"/>
    </w:rPr>
  </w:style>
  <w:style w:type="paragraph" w:styleId="Heading5">
    <w:name w:val="heading 5"/>
    <w:basedOn w:val="Normal"/>
    <w:next w:val="Normal"/>
    <w:link w:val="Heading5Char"/>
    <w:uiPriority w:val="9"/>
    <w:unhideWhenUsed/>
    <w:qFormat/>
    <w:rsid w:val="00953FE0"/>
    <w:pPr>
      <w:keepNext/>
      <w:suppressAutoHyphens/>
      <w:outlineLvl w:val="4"/>
    </w:pPr>
    <w:rPr>
      <w:rFonts w:ascii="Calibri" w:eastAsia="Calibri" w:hAnsi="Calibri" w:cs="Times New Roman"/>
      <w:b/>
      <w:color w:val="6D7989"/>
      <w:kern w:val="12"/>
      <w:sz w:val="26"/>
      <w:szCs w:val="26"/>
    </w:rPr>
  </w:style>
  <w:style w:type="paragraph" w:styleId="Heading6">
    <w:name w:val="heading 6"/>
    <w:basedOn w:val="Normal"/>
    <w:next w:val="Normal"/>
    <w:link w:val="Heading6Char"/>
    <w:uiPriority w:val="9"/>
    <w:unhideWhenUsed/>
    <w:qFormat/>
    <w:rsid w:val="00953FE0"/>
    <w:pPr>
      <w:keepNext/>
      <w:suppressAutoHyphens/>
      <w:outlineLvl w:val="5"/>
    </w:pPr>
    <w:rPr>
      <w:rFonts w:ascii="Calibri" w:eastAsia="Calibri" w:hAnsi="Calibri" w:cs="Times New Roman"/>
      <w:b/>
      <w:color w:val="081E3E"/>
      <w:kern w:val="1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bulletssecondlevel">
    <w:name w:val="List paragraph—bullets—second level"/>
    <w:basedOn w:val="Listparagraphbullets"/>
    <w:autoRedefine/>
    <w:qFormat/>
    <w:rsid w:val="00953FE0"/>
    <w:pPr>
      <w:numPr>
        <w:numId w:val="1"/>
      </w:numPr>
      <w:spacing w:after="0"/>
    </w:pPr>
  </w:style>
  <w:style w:type="character" w:customStyle="1" w:styleId="Heading1Char">
    <w:name w:val="Heading 1 Char"/>
    <w:basedOn w:val="DefaultParagraphFont"/>
    <w:link w:val="Heading1"/>
    <w:uiPriority w:val="9"/>
    <w:rsid w:val="006D7C61"/>
    <w:rPr>
      <w:rFonts w:ascii="Calibri" w:eastAsia="Calibri" w:hAnsi="Calibri" w:cs="Calibri"/>
      <w:b/>
      <w:color w:val="000000"/>
      <w:kern w:val="12"/>
      <w:sz w:val="56"/>
      <w:szCs w:val="60"/>
      <w:lang w:val="en-US"/>
    </w:rPr>
  </w:style>
  <w:style w:type="character" w:customStyle="1" w:styleId="Heading2Char">
    <w:name w:val="Heading 2 Char"/>
    <w:basedOn w:val="DefaultParagraphFont"/>
    <w:link w:val="Heading2"/>
    <w:uiPriority w:val="9"/>
    <w:rsid w:val="00CC18A5"/>
    <w:rPr>
      <w:rFonts w:ascii="Calibri" w:eastAsia="Calibri" w:hAnsi="Calibri" w:cs="Calibri"/>
      <w:color w:val="081E3E"/>
      <w:kern w:val="12"/>
      <w:sz w:val="44"/>
      <w:szCs w:val="44"/>
      <w:lang w:val="en-US"/>
    </w:rPr>
  </w:style>
  <w:style w:type="character" w:customStyle="1" w:styleId="Heading3Char">
    <w:name w:val="Heading 3 Char"/>
    <w:basedOn w:val="DefaultParagraphFont"/>
    <w:link w:val="Heading3"/>
    <w:uiPriority w:val="9"/>
    <w:rsid w:val="00953FE0"/>
    <w:rPr>
      <w:rFonts w:ascii="Calibri" w:eastAsia="Calibri" w:hAnsi="Calibri" w:cs="Calibri"/>
      <w:color w:val="081E3E"/>
      <w:kern w:val="12"/>
      <w:sz w:val="36"/>
      <w:szCs w:val="36"/>
      <w:lang w:val="en-US"/>
    </w:rPr>
  </w:style>
  <w:style w:type="character" w:customStyle="1" w:styleId="Heading4Char">
    <w:name w:val="Heading 4 Char"/>
    <w:basedOn w:val="DefaultParagraphFont"/>
    <w:link w:val="Heading4"/>
    <w:uiPriority w:val="9"/>
    <w:rsid w:val="00953FE0"/>
    <w:rPr>
      <w:rFonts w:ascii="Calibri" w:eastAsia="Calibri" w:hAnsi="Calibri" w:cs="Calibri"/>
      <w:b/>
      <w:color w:val="6D7989"/>
      <w:kern w:val="12"/>
      <w:sz w:val="32"/>
      <w:szCs w:val="32"/>
      <w:lang w:val="en-US"/>
    </w:rPr>
  </w:style>
  <w:style w:type="character" w:customStyle="1" w:styleId="Heading5Char">
    <w:name w:val="Heading 5 Char"/>
    <w:basedOn w:val="DefaultParagraphFont"/>
    <w:link w:val="Heading5"/>
    <w:uiPriority w:val="9"/>
    <w:rsid w:val="00953FE0"/>
    <w:rPr>
      <w:rFonts w:ascii="Calibri" w:eastAsia="Calibri" w:hAnsi="Calibri" w:cs="Times New Roman"/>
      <w:b/>
      <w:color w:val="6D7989"/>
      <w:kern w:val="12"/>
      <w:sz w:val="26"/>
      <w:szCs w:val="26"/>
      <w:lang w:val="en-US"/>
    </w:rPr>
  </w:style>
  <w:style w:type="character" w:customStyle="1" w:styleId="Heading6Char">
    <w:name w:val="Heading 6 Char"/>
    <w:basedOn w:val="DefaultParagraphFont"/>
    <w:link w:val="Heading6"/>
    <w:uiPriority w:val="9"/>
    <w:rsid w:val="00953FE0"/>
    <w:rPr>
      <w:rFonts w:ascii="Calibri" w:eastAsia="Calibri" w:hAnsi="Calibri" w:cs="Times New Roman"/>
      <w:b/>
      <w:color w:val="081E3E"/>
      <w:kern w:val="12"/>
      <w:lang w:val="en-US"/>
    </w:rPr>
  </w:style>
  <w:style w:type="paragraph" w:styleId="Subtitle">
    <w:name w:val="Subtitle"/>
    <w:basedOn w:val="Normal"/>
    <w:next w:val="Normal"/>
    <w:link w:val="SubtitleChar"/>
    <w:uiPriority w:val="18"/>
    <w:qFormat/>
    <w:rsid w:val="008D4AB2"/>
    <w:pPr>
      <w:numPr>
        <w:ilvl w:val="1"/>
      </w:numPr>
      <w:suppressAutoHyphens/>
      <w:spacing w:before="480"/>
    </w:pPr>
    <w:rPr>
      <w:rFonts w:asciiTheme="majorHAnsi" w:eastAsiaTheme="minorEastAsia" w:hAnsiTheme="majorHAnsi"/>
      <w:color w:val="377B88"/>
      <w:kern w:val="12"/>
      <w:sz w:val="44"/>
    </w:rPr>
  </w:style>
  <w:style w:type="character" w:customStyle="1" w:styleId="SubtitleChar">
    <w:name w:val="Subtitle Char"/>
    <w:basedOn w:val="DefaultParagraphFont"/>
    <w:link w:val="Subtitle"/>
    <w:uiPriority w:val="18"/>
    <w:rsid w:val="008D4AB2"/>
    <w:rPr>
      <w:rFonts w:asciiTheme="majorHAnsi" w:eastAsiaTheme="minorEastAsia" w:hAnsiTheme="majorHAnsi"/>
      <w:color w:val="377B88"/>
      <w:kern w:val="12"/>
      <w:sz w:val="44"/>
    </w:rPr>
  </w:style>
  <w:style w:type="paragraph" w:styleId="Header">
    <w:name w:val="header"/>
    <w:basedOn w:val="Normal"/>
    <w:link w:val="HeaderChar"/>
    <w:uiPriority w:val="99"/>
    <w:unhideWhenUsed/>
    <w:rsid w:val="008D4AB2"/>
    <w:pPr>
      <w:tabs>
        <w:tab w:val="center" w:pos="4513"/>
        <w:tab w:val="right" w:pos="9026"/>
      </w:tabs>
      <w:spacing w:after="0"/>
    </w:pPr>
  </w:style>
  <w:style w:type="character" w:customStyle="1" w:styleId="HeaderChar">
    <w:name w:val="Header Char"/>
    <w:basedOn w:val="DefaultParagraphFont"/>
    <w:link w:val="Header"/>
    <w:uiPriority w:val="99"/>
    <w:rsid w:val="008D4AB2"/>
  </w:style>
  <w:style w:type="paragraph" w:styleId="Footer">
    <w:name w:val="footer"/>
    <w:basedOn w:val="Normal"/>
    <w:link w:val="FooterChar"/>
    <w:uiPriority w:val="99"/>
    <w:unhideWhenUsed/>
    <w:rsid w:val="008D4AB2"/>
    <w:pPr>
      <w:tabs>
        <w:tab w:val="center" w:pos="4513"/>
        <w:tab w:val="right" w:pos="9026"/>
      </w:tabs>
      <w:spacing w:after="0"/>
    </w:pPr>
  </w:style>
  <w:style w:type="character" w:customStyle="1" w:styleId="FooterChar">
    <w:name w:val="Footer Char"/>
    <w:basedOn w:val="DefaultParagraphFont"/>
    <w:link w:val="Footer"/>
    <w:uiPriority w:val="99"/>
    <w:rsid w:val="008D4AB2"/>
  </w:style>
  <w:style w:type="paragraph" w:styleId="NoSpacing">
    <w:name w:val="No Spacing"/>
    <w:uiPriority w:val="1"/>
    <w:qFormat/>
    <w:rsid w:val="004D4B0F"/>
    <w:pPr>
      <w:suppressAutoHyphens/>
      <w:spacing w:after="0" w:line="240" w:lineRule="auto"/>
      <w:contextualSpacing/>
    </w:pPr>
    <w:rPr>
      <w:color w:val="000000" w:themeColor="text1"/>
      <w:kern w:val="12"/>
      <w:szCs w:val="20"/>
    </w:rPr>
  </w:style>
  <w:style w:type="paragraph" w:customStyle="1" w:styleId="ImprintHeading">
    <w:name w:val="Imprint Heading"/>
    <w:basedOn w:val="Normal"/>
    <w:uiPriority w:val="12"/>
    <w:rsid w:val="004D4B0F"/>
    <w:pPr>
      <w:suppressAutoHyphens/>
      <w:outlineLvl w:val="1"/>
    </w:pPr>
    <w:rPr>
      <w:b/>
      <w:color w:val="000000" w:themeColor="text1"/>
      <w:kern w:val="12"/>
      <w:lang w:val="x-none"/>
    </w:rPr>
  </w:style>
  <w:style w:type="character" w:styleId="Hyperlink">
    <w:name w:val="Hyperlink"/>
    <w:basedOn w:val="DefaultParagraphFont"/>
    <w:uiPriority w:val="99"/>
    <w:unhideWhenUsed/>
    <w:rsid w:val="00F71E4C"/>
    <w:rPr>
      <w:color w:val="0046FF"/>
      <w:u w:val="single"/>
    </w:rPr>
  </w:style>
  <w:style w:type="paragraph" w:styleId="TOC1">
    <w:name w:val="toc 1"/>
    <w:basedOn w:val="Normal"/>
    <w:next w:val="Normal"/>
    <w:autoRedefine/>
    <w:uiPriority w:val="39"/>
    <w:rsid w:val="00C1271A"/>
    <w:pPr>
      <w:keepLines/>
      <w:pBdr>
        <w:bottom w:val="single" w:sz="6" w:space="1" w:color="377B88"/>
      </w:pBdr>
      <w:tabs>
        <w:tab w:val="right" w:leader="dot" w:pos="8789"/>
      </w:tabs>
      <w:suppressAutoHyphens/>
      <w:spacing w:before="240" w:after="0"/>
      <w:ind w:left="567" w:hanging="567"/>
    </w:pPr>
    <w:rPr>
      <w:b/>
      <w:color w:val="000000" w:themeColor="text1"/>
      <w:kern w:val="12"/>
      <w:sz w:val="24"/>
      <w:szCs w:val="20"/>
      <w:u w:color="ED7D31" w:themeColor="accent2"/>
      <w:lang w:val="en-AU"/>
    </w:rPr>
  </w:style>
  <w:style w:type="paragraph" w:styleId="TOC2">
    <w:name w:val="toc 2"/>
    <w:basedOn w:val="Normal"/>
    <w:next w:val="Normal"/>
    <w:autoRedefine/>
    <w:uiPriority w:val="39"/>
    <w:rsid w:val="00C1271A"/>
    <w:pPr>
      <w:keepLines/>
      <w:tabs>
        <w:tab w:val="right" w:leader="dot" w:pos="8789"/>
      </w:tabs>
      <w:suppressAutoHyphens/>
      <w:spacing w:after="0"/>
      <w:ind w:left="567" w:right="851" w:hanging="567"/>
    </w:pPr>
    <w:rPr>
      <w:color w:val="000000" w:themeColor="text1"/>
      <w:kern w:val="12"/>
      <w:sz w:val="20"/>
      <w:szCs w:val="20"/>
      <w:lang w:val="en-AU"/>
    </w:rPr>
  </w:style>
  <w:style w:type="paragraph" w:styleId="TOC3">
    <w:name w:val="toc 3"/>
    <w:basedOn w:val="Normal"/>
    <w:next w:val="Normal"/>
    <w:autoRedefine/>
    <w:uiPriority w:val="39"/>
    <w:rsid w:val="00C1271A"/>
    <w:pPr>
      <w:tabs>
        <w:tab w:val="right" w:leader="dot" w:pos="8789"/>
      </w:tabs>
      <w:suppressAutoHyphens/>
      <w:spacing w:after="0"/>
      <w:ind w:left="1134" w:right="851" w:hanging="567"/>
    </w:pPr>
    <w:rPr>
      <w:color w:val="000000" w:themeColor="text1"/>
      <w:kern w:val="12"/>
      <w:sz w:val="20"/>
      <w:szCs w:val="20"/>
      <w:lang w:val="en-AU"/>
    </w:rPr>
  </w:style>
  <w:style w:type="paragraph" w:styleId="TableofFigures">
    <w:name w:val="table of figures"/>
    <w:basedOn w:val="Normal"/>
    <w:next w:val="Normal"/>
    <w:uiPriority w:val="40"/>
    <w:unhideWhenUsed/>
    <w:rsid w:val="004D4B0F"/>
    <w:pPr>
      <w:suppressAutoHyphens/>
      <w:spacing w:before="80" w:after="80"/>
    </w:pPr>
    <w:rPr>
      <w:color w:val="000000" w:themeColor="text1"/>
      <w:kern w:val="12"/>
      <w:sz w:val="20"/>
      <w:szCs w:val="20"/>
      <w:lang w:val="en-AU"/>
    </w:rPr>
  </w:style>
  <w:style w:type="paragraph" w:styleId="ListParagraph">
    <w:name w:val="List Paragraph"/>
    <w:basedOn w:val="Normal"/>
    <w:uiPriority w:val="34"/>
    <w:qFormat/>
    <w:rsid w:val="004D4B0F"/>
    <w:pPr>
      <w:numPr>
        <w:numId w:val="2"/>
      </w:numPr>
      <w:ind w:left="567" w:hanging="567"/>
      <w:contextualSpacing/>
    </w:pPr>
  </w:style>
  <w:style w:type="paragraph" w:styleId="Caption">
    <w:name w:val="caption"/>
    <w:basedOn w:val="Normal"/>
    <w:next w:val="Normal"/>
    <w:uiPriority w:val="14"/>
    <w:qFormat/>
    <w:rsid w:val="00B13480"/>
    <w:pPr>
      <w:suppressAutoHyphens/>
      <w:spacing w:before="240"/>
    </w:pPr>
    <w:rPr>
      <w:b/>
      <w:iCs/>
      <w:color w:val="000000" w:themeColor="text1"/>
      <w:kern w:val="12"/>
      <w:sz w:val="20"/>
      <w:szCs w:val="18"/>
      <w:lang w:val="en-AU"/>
    </w:rPr>
  </w:style>
  <w:style w:type="table" w:customStyle="1" w:styleId="DefaultTable1">
    <w:name w:val="Default Table 1"/>
    <w:basedOn w:val="TableNormal"/>
    <w:uiPriority w:val="99"/>
    <w:rsid w:val="00B13480"/>
    <w:pPr>
      <w:spacing w:before="80" w:after="80" w:line="240" w:lineRule="auto"/>
    </w:pPr>
    <w:rPr>
      <w:color w:val="000000" w:themeColor="text1"/>
      <w:sz w:val="20"/>
      <w:szCs w:val="20"/>
    </w:rPr>
    <w:tblPr>
      <w:tblStyleRowBandSize w:val="1"/>
      <w:tblStyleColBandSize w:val="1"/>
      <w:tblBorders>
        <w:top w:val="single" w:sz="4" w:space="0" w:color="ED7D31" w:themeColor="accent2"/>
        <w:bottom w:val="single" w:sz="4" w:space="0" w:color="ED7D31" w:themeColor="accent2"/>
        <w:insideH w:val="single" w:sz="4" w:space="0" w:color="ED7D31" w:themeColor="accent2"/>
      </w:tblBorders>
    </w:tblPr>
    <w:tblStylePr w:type="firstRow">
      <w:rPr>
        <w:b/>
        <w:color w:val="FFFFFF" w:themeColor="background1"/>
      </w:rPr>
      <w:tblPr/>
      <w:trPr>
        <w:tblHeader/>
      </w:trPr>
      <w:tcPr>
        <w:tcBorders>
          <w:top w:val="nil"/>
          <w:bottom w:val="nil"/>
        </w:tcBorders>
        <w:shd w:val="clear" w:color="auto" w:fill="5B9BD5" w:themeFill="accent1"/>
      </w:tcPr>
    </w:tblStylePr>
    <w:tblStylePr w:type="lastRow">
      <w:rPr>
        <w:b/>
      </w:rPr>
      <w:tblPr/>
      <w:tcPr>
        <w:shd w:val="clear" w:color="auto" w:fill="D9E2F3"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8A7F8E"/>
    <w:pPr>
      <w:suppressAutoHyphens/>
    </w:pPr>
    <w:rPr>
      <w:color w:val="000000" w:themeColor="text1"/>
      <w:kern w:val="12"/>
      <w:sz w:val="20"/>
      <w:szCs w:val="20"/>
      <w:lang w:val="x-none"/>
    </w:rPr>
  </w:style>
  <w:style w:type="paragraph" w:customStyle="1" w:styleId="Sourcenotesnumbered">
    <w:name w:val="Source notes numbered"/>
    <w:basedOn w:val="Sourcenotes"/>
    <w:uiPriority w:val="15"/>
    <w:qFormat/>
    <w:rsid w:val="00B13480"/>
    <w:pPr>
      <w:spacing w:before="80"/>
    </w:pPr>
  </w:style>
  <w:style w:type="paragraph" w:customStyle="1" w:styleId="Tableheader">
    <w:name w:val="Table header"/>
    <w:basedOn w:val="Normal"/>
    <w:qFormat/>
    <w:rsid w:val="007E6AE7"/>
    <w:pPr>
      <w:suppressAutoHyphens/>
      <w:spacing w:before="80" w:after="80"/>
    </w:pPr>
    <w:rPr>
      <w:rFonts w:ascii="Calibri" w:eastAsia="Calibri" w:hAnsi="Calibri" w:cs="Times New Roman"/>
      <w:b/>
      <w:color w:val="FFFFFF"/>
      <w:kern w:val="12"/>
      <w:sz w:val="20"/>
      <w:szCs w:val="20"/>
      <w:lang w:val="en-AU"/>
    </w:rPr>
  </w:style>
  <w:style w:type="paragraph" w:customStyle="1" w:styleId="Tableheadercentred">
    <w:name w:val="Table header centred"/>
    <w:basedOn w:val="Normal"/>
    <w:qFormat/>
    <w:rsid w:val="007E6AE7"/>
    <w:pPr>
      <w:suppressAutoHyphens/>
      <w:spacing w:before="80" w:after="80"/>
      <w:jc w:val="center"/>
    </w:pPr>
    <w:rPr>
      <w:rFonts w:ascii="Calibri" w:eastAsia="Calibri" w:hAnsi="Calibri" w:cs="Times New Roman"/>
      <w:b/>
      <w:color w:val="FFFFFF"/>
      <w:kern w:val="12"/>
      <w:sz w:val="20"/>
      <w:szCs w:val="20"/>
      <w:lang w:val="en-AU"/>
    </w:rPr>
  </w:style>
  <w:style w:type="paragraph" w:customStyle="1" w:styleId="Normalcentred">
    <w:name w:val="Normal centred"/>
    <w:basedOn w:val="Normal"/>
    <w:qFormat/>
    <w:rsid w:val="007E6AE7"/>
    <w:pPr>
      <w:suppressAutoHyphens/>
      <w:spacing w:before="80" w:after="80"/>
      <w:jc w:val="center"/>
    </w:pPr>
    <w:rPr>
      <w:rFonts w:ascii="Calibri" w:eastAsia="Calibri" w:hAnsi="Calibri" w:cs="Times New Roman"/>
      <w:color w:val="000000"/>
      <w:kern w:val="12"/>
      <w:sz w:val="20"/>
      <w:szCs w:val="20"/>
      <w:lang w:val="en-AU"/>
    </w:rPr>
  </w:style>
  <w:style w:type="paragraph" w:customStyle="1" w:styleId="Listparagraphbullets">
    <w:name w:val="List paragraph—bullets"/>
    <w:basedOn w:val="ListParagraph"/>
    <w:qFormat/>
    <w:rsid w:val="00A75A6D"/>
    <w:pPr>
      <w:numPr>
        <w:numId w:val="15"/>
      </w:numPr>
      <w:ind w:left="567" w:hanging="567"/>
    </w:pPr>
    <w:rPr>
      <w:rFonts w:ascii="Calibri" w:hAnsi="Calibri"/>
      <w:lang w:val="en-AU" w:eastAsia="zh-TW"/>
    </w:rPr>
  </w:style>
  <w:style w:type="paragraph" w:styleId="FootnoteText">
    <w:name w:val="footnote text"/>
    <w:basedOn w:val="Normal"/>
    <w:link w:val="FootnoteTextChar"/>
    <w:uiPriority w:val="99"/>
    <w:unhideWhenUsed/>
    <w:rsid w:val="00A75A6D"/>
    <w:pPr>
      <w:spacing w:after="0"/>
    </w:pPr>
    <w:rPr>
      <w:rFonts w:ascii="Calibri" w:hAnsi="Calibri"/>
      <w:sz w:val="20"/>
      <w:szCs w:val="20"/>
      <w:lang w:val="en-AU"/>
    </w:rPr>
  </w:style>
  <w:style w:type="character" w:customStyle="1" w:styleId="FootnoteTextChar">
    <w:name w:val="Footnote Text Char"/>
    <w:basedOn w:val="DefaultParagraphFont"/>
    <w:link w:val="FootnoteText"/>
    <w:uiPriority w:val="99"/>
    <w:rsid w:val="00A75A6D"/>
    <w:rPr>
      <w:rFonts w:ascii="Calibri" w:hAnsi="Calibri"/>
      <w:sz w:val="20"/>
      <w:szCs w:val="20"/>
    </w:rPr>
  </w:style>
  <w:style w:type="character" w:styleId="FootnoteReference">
    <w:name w:val="footnote reference"/>
    <w:basedOn w:val="DefaultParagraphFont"/>
    <w:uiPriority w:val="99"/>
    <w:semiHidden/>
    <w:unhideWhenUsed/>
    <w:rsid w:val="00A75A6D"/>
    <w:rPr>
      <w:vertAlign w:val="superscript"/>
    </w:rPr>
  </w:style>
  <w:style w:type="paragraph" w:styleId="TableofAuthorities">
    <w:name w:val="table of authorities"/>
    <w:basedOn w:val="Normal"/>
    <w:next w:val="Normal"/>
    <w:uiPriority w:val="99"/>
    <w:unhideWhenUsed/>
    <w:rsid w:val="00A75A6D"/>
    <w:pPr>
      <w:spacing w:after="0"/>
      <w:ind w:left="220" w:hanging="220"/>
    </w:pPr>
  </w:style>
  <w:style w:type="paragraph" w:customStyle="1" w:styleId="Tablefigureheading">
    <w:name w:val="Table/figure heading"/>
    <w:basedOn w:val="Normal"/>
    <w:next w:val="Normal"/>
    <w:qFormat/>
    <w:rsid w:val="00A75A6D"/>
    <w:pPr>
      <w:keepNext/>
      <w:spacing w:after="0"/>
    </w:pPr>
    <w:rPr>
      <w:rFonts w:ascii="Calibri" w:hAnsi="Calibri"/>
      <w:b/>
      <w:color w:val="002D72"/>
      <w:lang w:val="en-AU"/>
    </w:rPr>
  </w:style>
  <w:style w:type="paragraph" w:styleId="Salutation">
    <w:name w:val="Salutation"/>
    <w:basedOn w:val="Normal"/>
    <w:next w:val="Normal"/>
    <w:link w:val="SalutationChar"/>
    <w:uiPriority w:val="99"/>
    <w:unhideWhenUsed/>
    <w:rsid w:val="00377E3A"/>
  </w:style>
  <w:style w:type="character" w:customStyle="1" w:styleId="SalutationChar">
    <w:name w:val="Salutation Char"/>
    <w:basedOn w:val="DefaultParagraphFont"/>
    <w:link w:val="Salutation"/>
    <w:uiPriority w:val="99"/>
    <w:rsid w:val="00377E3A"/>
    <w:rPr>
      <w:lang w:val="en-US"/>
    </w:rPr>
  </w:style>
  <w:style w:type="paragraph" w:customStyle="1" w:styleId="Bullet1">
    <w:name w:val="Bullet 1"/>
    <w:basedOn w:val="Normal"/>
    <w:uiPriority w:val="3"/>
    <w:qFormat/>
    <w:rsid w:val="00377E3A"/>
    <w:pPr>
      <w:numPr>
        <w:numId w:val="16"/>
      </w:numPr>
      <w:suppressAutoHyphens/>
      <w:spacing w:before="80" w:after="80"/>
    </w:pPr>
    <w:rPr>
      <w:color w:val="000000" w:themeColor="text1"/>
      <w:kern w:val="12"/>
      <w:sz w:val="20"/>
      <w:szCs w:val="20"/>
      <w:lang w:val="x-none"/>
    </w:rPr>
  </w:style>
  <w:style w:type="paragraph" w:customStyle="1" w:styleId="Bullet2">
    <w:name w:val="Bullet 2"/>
    <w:basedOn w:val="Bullet1"/>
    <w:uiPriority w:val="3"/>
    <w:rsid w:val="00377E3A"/>
    <w:pPr>
      <w:numPr>
        <w:ilvl w:val="1"/>
      </w:numPr>
    </w:pPr>
  </w:style>
  <w:style w:type="paragraph" w:customStyle="1" w:styleId="Bullet3">
    <w:name w:val="Bullet 3"/>
    <w:basedOn w:val="Bullet2"/>
    <w:uiPriority w:val="3"/>
    <w:rsid w:val="00377E3A"/>
    <w:pPr>
      <w:numPr>
        <w:ilvl w:val="2"/>
      </w:numPr>
    </w:pPr>
  </w:style>
  <w:style w:type="table" w:customStyle="1" w:styleId="IconBoxTable">
    <w:name w:val="Icon Box Table"/>
    <w:basedOn w:val="TableNormal"/>
    <w:uiPriority w:val="99"/>
    <w:rsid w:val="00377E3A"/>
    <w:pPr>
      <w:spacing w:before="80" w:after="80" w:line="240" w:lineRule="auto"/>
    </w:pPr>
    <w:rPr>
      <w:color w:val="000000" w:themeColor="text1"/>
      <w:sz w:val="20"/>
      <w:szCs w:val="20"/>
    </w:r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377E3A"/>
    <w:pPr>
      <w:numPr>
        <w:numId w:val="16"/>
      </w:numPr>
    </w:pPr>
  </w:style>
  <w:style w:type="paragraph" w:styleId="List5">
    <w:name w:val="List 5"/>
    <w:basedOn w:val="Normal"/>
    <w:uiPriority w:val="99"/>
    <w:unhideWhenUsed/>
    <w:rsid w:val="00953FE0"/>
    <w:pPr>
      <w:ind w:left="1415" w:hanging="283"/>
      <w:contextualSpacing/>
    </w:pPr>
  </w:style>
  <w:style w:type="paragraph" w:styleId="Quote">
    <w:name w:val="Quote"/>
    <w:basedOn w:val="Normal"/>
    <w:next w:val="Normal"/>
    <w:link w:val="QuoteChar"/>
    <w:uiPriority w:val="29"/>
    <w:qFormat/>
    <w:rsid w:val="001B5326"/>
    <w:pPr>
      <w:pBdr>
        <w:left w:val="single" w:sz="48" w:space="22" w:color="377B88"/>
      </w:pBdr>
      <w:suppressAutoHyphens/>
      <w:spacing w:before="160"/>
      <w:ind w:left="567" w:right="567"/>
    </w:pPr>
    <w:rPr>
      <w:b/>
      <w:iCs/>
      <w:kern w:val="12"/>
      <w:sz w:val="20"/>
      <w:szCs w:val="20"/>
      <w:lang w:val="en-AU"/>
    </w:rPr>
  </w:style>
  <w:style w:type="character" w:customStyle="1" w:styleId="QuoteChar">
    <w:name w:val="Quote Char"/>
    <w:basedOn w:val="DefaultParagraphFont"/>
    <w:link w:val="Quote"/>
    <w:uiPriority w:val="29"/>
    <w:rsid w:val="001B5326"/>
    <w:rPr>
      <w:b/>
      <w:iCs/>
      <w:kern w:val="12"/>
      <w:sz w:val="20"/>
      <w:szCs w:val="20"/>
    </w:rPr>
  </w:style>
  <w:style w:type="paragraph" w:styleId="BalloonText">
    <w:name w:val="Balloon Text"/>
    <w:basedOn w:val="Normal"/>
    <w:link w:val="BalloonTextChar"/>
    <w:uiPriority w:val="99"/>
    <w:semiHidden/>
    <w:unhideWhenUsed/>
    <w:rsid w:val="00CB388C"/>
    <w:pPr>
      <w:spacing w:after="0"/>
    </w:pPr>
    <w:rPr>
      <w:rFonts w:ascii="Segoe UI" w:hAnsi="Segoe UI" w:cs="Segoe UI"/>
      <w:sz w:val="18"/>
      <w:szCs w:val="18"/>
    </w:rPr>
  </w:style>
  <w:style w:type="paragraph" w:styleId="TOC4">
    <w:name w:val="toc 4"/>
    <w:basedOn w:val="Normal"/>
    <w:next w:val="Normal"/>
    <w:autoRedefine/>
    <w:uiPriority w:val="39"/>
    <w:unhideWhenUsed/>
    <w:rsid w:val="00C1271A"/>
    <w:pPr>
      <w:tabs>
        <w:tab w:val="right" w:leader="dot" w:pos="8789"/>
      </w:tabs>
      <w:spacing w:after="120"/>
      <w:ind w:right="851"/>
    </w:pPr>
  </w:style>
  <w:style w:type="character" w:customStyle="1" w:styleId="BalloonTextChar">
    <w:name w:val="Balloon Text Char"/>
    <w:basedOn w:val="DefaultParagraphFont"/>
    <w:link w:val="BalloonText"/>
    <w:uiPriority w:val="99"/>
    <w:semiHidden/>
    <w:rsid w:val="00CB388C"/>
    <w:rPr>
      <w:rFonts w:ascii="Segoe UI" w:hAnsi="Segoe UI" w:cs="Segoe UI"/>
      <w:sz w:val="18"/>
      <w:szCs w:val="18"/>
      <w:lang w:val="en-US"/>
    </w:rPr>
  </w:style>
  <w:style w:type="table" w:styleId="PlainTable1">
    <w:name w:val="Plain Table 1"/>
    <w:basedOn w:val="TableNormal"/>
    <w:uiPriority w:val="41"/>
    <w:rsid w:val="00B049D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Default">
    <w:name w:val="Default"/>
    <w:rsid w:val="00F31747"/>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485947"/>
    <w:rPr>
      <w:sz w:val="16"/>
      <w:szCs w:val="16"/>
    </w:rPr>
  </w:style>
  <w:style w:type="paragraph" w:styleId="CommentText">
    <w:name w:val="annotation text"/>
    <w:basedOn w:val="Normal"/>
    <w:link w:val="CommentTextChar"/>
    <w:uiPriority w:val="99"/>
    <w:semiHidden/>
    <w:unhideWhenUsed/>
    <w:rsid w:val="00485947"/>
    <w:rPr>
      <w:sz w:val="20"/>
      <w:szCs w:val="20"/>
    </w:rPr>
  </w:style>
  <w:style w:type="character" w:customStyle="1" w:styleId="CommentTextChar">
    <w:name w:val="Comment Text Char"/>
    <w:basedOn w:val="DefaultParagraphFont"/>
    <w:link w:val="CommentText"/>
    <w:uiPriority w:val="99"/>
    <w:semiHidden/>
    <w:rsid w:val="00485947"/>
    <w:rPr>
      <w:sz w:val="20"/>
      <w:szCs w:val="20"/>
      <w:lang w:val="en-US"/>
    </w:rPr>
  </w:style>
  <w:style w:type="paragraph" w:styleId="CommentSubject">
    <w:name w:val="annotation subject"/>
    <w:basedOn w:val="CommentText"/>
    <w:next w:val="CommentText"/>
    <w:link w:val="CommentSubjectChar"/>
    <w:uiPriority w:val="99"/>
    <w:semiHidden/>
    <w:unhideWhenUsed/>
    <w:rsid w:val="00485947"/>
    <w:rPr>
      <w:b/>
      <w:bCs/>
    </w:rPr>
  </w:style>
  <w:style w:type="character" w:customStyle="1" w:styleId="CommentSubjectChar">
    <w:name w:val="Comment Subject Char"/>
    <w:basedOn w:val="CommentTextChar"/>
    <w:link w:val="CommentSubject"/>
    <w:uiPriority w:val="99"/>
    <w:semiHidden/>
    <w:rsid w:val="00485947"/>
    <w:rPr>
      <w:b/>
      <w:bCs/>
      <w:sz w:val="20"/>
      <w:szCs w:val="20"/>
      <w:lang w:val="en-US"/>
    </w:rPr>
  </w:style>
  <w:style w:type="paragraph" w:customStyle="1" w:styleId="Table-header-leftaligned">
    <w:name w:val="Table - header - left aligned"/>
    <w:basedOn w:val="Normal"/>
    <w:qFormat/>
    <w:rsid w:val="005612F6"/>
    <w:pPr>
      <w:suppressAutoHyphens/>
      <w:spacing w:before="80" w:after="80"/>
    </w:pPr>
    <w:rPr>
      <w:b/>
      <w:color w:val="FFFFFF" w:themeColor="background1"/>
      <w:kern w:val="12"/>
      <w:sz w:val="20"/>
      <w:szCs w:val="20"/>
      <w:lang w:val="en-AU"/>
    </w:rPr>
  </w:style>
  <w:style w:type="paragraph" w:customStyle="1" w:styleId="Table-header-centrealigned">
    <w:name w:val="Table - header - centre aligned"/>
    <w:basedOn w:val="Normal"/>
    <w:qFormat/>
    <w:rsid w:val="005612F6"/>
    <w:pPr>
      <w:suppressAutoHyphens/>
      <w:spacing w:before="80" w:after="80"/>
      <w:jc w:val="center"/>
    </w:pPr>
    <w:rPr>
      <w:b/>
      <w:color w:val="FFFFFF" w:themeColor="background1"/>
      <w:kern w:val="12"/>
      <w:sz w:val="20"/>
      <w:szCs w:val="20"/>
      <w:lang w:val="en-AU"/>
    </w:rPr>
  </w:style>
  <w:style w:type="paragraph" w:customStyle="1" w:styleId="Table-cell-centrealigned">
    <w:name w:val="Table - cell - centre aligned"/>
    <w:basedOn w:val="Normal"/>
    <w:qFormat/>
    <w:rsid w:val="005612F6"/>
    <w:pPr>
      <w:suppressAutoHyphens/>
      <w:spacing w:before="80" w:after="80"/>
      <w:jc w:val="center"/>
    </w:pPr>
    <w:rPr>
      <w:color w:val="000000" w:themeColor="text1"/>
      <w:kern w:val="12"/>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accan.org.au/about/annual-reports"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infrastructure.gov.au/" TargetMode="External"/><Relationship Id="rId2" Type="http://schemas.openxmlformats.org/officeDocument/2006/relationships/customXml" Target="../customXml/item2.xml"/><Relationship Id="rId16" Type="http://schemas.openxmlformats.org/officeDocument/2006/relationships/hyperlink" Target="mailto:publishing@infrastructure.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yperlink" Target="http://www.pmc.gov.au/" TargetMode="External"/><Relationship Id="rId10" Type="http://schemas.openxmlformats.org/officeDocument/2006/relationships/endnotes" Target="endnotes.xml"/><Relationship Id="rId19" Type="http://schemas.openxmlformats.org/officeDocument/2006/relationships/hyperlink" Target="http://www.accan.org.au/submission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reativecommons.org/licenses/by/4.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ecurityClassification xmlns="107D835F-C276-4E55-9788-75F389E56DE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PDMS Document" ma:contentTypeID="0x010100266966F133664895A6EE3632470D45F500A6DD8A9001C03A4CB8DBB09487EC3D79" ma:contentTypeVersion="" ma:contentTypeDescription="PDMS Document Site Content Type" ma:contentTypeScope="" ma:versionID="576c512a184a76da0e8b1aaa3c539166">
  <xsd:schema xmlns:xsd="http://www.w3.org/2001/XMLSchema" xmlns:xs="http://www.w3.org/2001/XMLSchema" xmlns:p="http://schemas.microsoft.com/office/2006/metadata/properties" xmlns:ns2="107D835F-C276-4E55-9788-75F389E56DEF" targetNamespace="http://schemas.microsoft.com/office/2006/metadata/properties" ma:root="true" ma:fieldsID="8206eefc1ed8f6da5e100cbaf9d754fb" ns2:_="">
    <xsd:import namespace="107D835F-C276-4E55-9788-75F389E56DEF"/>
    <xsd:element name="properties">
      <xsd:complexType>
        <xsd:sequence>
          <xsd:element name="documentManagement">
            <xsd:complexType>
              <xsd:all>
                <xsd:element ref="ns2:SecurityClassif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D835F-C276-4E55-9788-75F389E56DEF" elementFormDefault="qualified">
    <xsd:import namespace="http://schemas.microsoft.com/office/2006/documentManagement/types"/>
    <xsd:import namespace="http://schemas.microsoft.com/office/infopath/2007/PartnerControls"/>
    <xsd:element name="SecurityClassification" ma:index="8" nillable="true" ma:displayName="Security Classification" ma:hidden="true" ma:internalName="SecurityClassifica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E41B47-D501-4109-9736-47FB222F6230}">
  <ds:schemaRefs>
    <ds:schemaRef ds:uri="http://schemas.microsoft.com/sharepoint/v3/contenttype/forms"/>
  </ds:schemaRefs>
</ds:datastoreItem>
</file>

<file path=customXml/itemProps2.xml><?xml version="1.0" encoding="utf-8"?>
<ds:datastoreItem xmlns:ds="http://schemas.openxmlformats.org/officeDocument/2006/customXml" ds:itemID="{A8D36BA0-5FC0-492A-832C-F0F2309E79FD}">
  <ds:schemaRefs>
    <ds:schemaRef ds:uri="http://schemas.openxmlformats.org/package/2006/metadata/core-properties"/>
    <ds:schemaRef ds:uri="http://schemas.microsoft.com/office/2006/documentManagement/types"/>
    <ds:schemaRef ds:uri="http://schemas.microsoft.com/office/infopath/2007/PartnerControls"/>
    <ds:schemaRef ds:uri="107D835F-C276-4E55-9788-75F389E56DEF"/>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B560967B-102B-4B13-82AE-5C0AE5E2CB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D835F-C276-4E55-9788-75F389E56D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65A3AF-9E73-469C-8B82-E04A700D7B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Pages>
  <Words>1601</Words>
  <Characters>9126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Funding of telecommunications consumer representation grants—Annual Report 2021–22</vt:lpstr>
    </vt:vector>
  </TitlesOfParts>
  <Company>Department of Infrastructure, Transport, Regional Development, Communications and the Arts</Company>
  <LinksUpToDate>false</LinksUpToDate>
  <CharactersWithSpaces>10706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Funding of telecommunications consumer representation grants—Annual Report 2021–22</dc:title>
  <dc:subject/>
  <dc:creator>Department of Infrastructure, Transport, Regional Development, Communications and the Arts</dc:creator>
  <cp:keywords/>
  <dc:description>November 2022</dc:description>
  <cp:lastModifiedBy>HALL Theresa</cp:lastModifiedBy>
  <cp:revision>6</cp:revision>
  <cp:lastPrinted>2021-02-16T05:43:00Z</cp:lastPrinted>
  <dcterms:created xsi:type="dcterms:W3CDTF">2022-11-28T06:23:00Z</dcterms:created>
  <dcterms:modified xsi:type="dcterms:W3CDTF">2022-11-28T06:28:00Z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0x010100266966F133664895A6EE3632470D45F500A6DD8A9001C03A4CB8DBB09487EC3D79</vt:lpwstr>
  </property>
  <property fmtid="{D5CDD505-2E9C-101B-9397-08002B2CF9AE}" pid="3" name="TrimRevisionNumber">
    <vt:i4>43</vt:i4>
  </property>
</Properties>
</file>