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598AB" w14:textId="77777777" w:rsidR="008D4AB2" w:rsidRPr="008D4AB2" w:rsidRDefault="008D4AB2" w:rsidP="004D4B0F">
      <w:bookmarkStart w:id="0" w:name="_GoBack"/>
      <w:bookmarkEnd w:id="0"/>
      <w:r w:rsidRPr="008D4AB2">
        <w:rPr>
          <w:noProof/>
          <w:lang w:val="en-AU" w:eastAsia="en-AU"/>
        </w:rPr>
        <w:drawing>
          <wp:inline distT="0" distB="0" distL="0" distR="0" wp14:anchorId="4BFF9A06" wp14:editId="27C4B59E">
            <wp:extent cx="3147405" cy="669887"/>
            <wp:effectExtent l="0" t="0" r="2540" b="3810"/>
            <wp:docPr id="5" name="Picture 5" descr="Australian Government&#10;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and Communications"/>
                    <pic:cNvPicPr/>
                  </pic:nvPicPr>
                  <pic:blipFill>
                    <a:blip r:embed="rId11">
                      <a:extLst>
                        <a:ext uri="{28A0092B-C50C-407E-A947-70E740481C1C}">
                          <a14:useLocalDpi xmlns:a14="http://schemas.microsoft.com/office/drawing/2010/main" val="0"/>
                        </a:ext>
                      </a:extLst>
                    </a:blip>
                    <a:stretch>
                      <a:fillRect/>
                    </a:stretch>
                  </pic:blipFill>
                  <pic:spPr>
                    <a:xfrm>
                      <a:off x="0" y="0"/>
                      <a:ext cx="3147405" cy="669887"/>
                    </a:xfrm>
                    <a:prstGeom prst="rect">
                      <a:avLst/>
                    </a:prstGeom>
                  </pic:spPr>
                </pic:pic>
              </a:graphicData>
            </a:graphic>
          </wp:inline>
        </w:drawing>
      </w:r>
    </w:p>
    <w:p w14:paraId="5DEED5A0" w14:textId="77777777" w:rsidR="008D4AB2" w:rsidRDefault="00104DF3" w:rsidP="006D7C61">
      <w:pPr>
        <w:pStyle w:val="Heading1"/>
        <w:spacing w:before="360"/>
      </w:pPr>
      <w:r w:rsidRPr="00104DF3">
        <w:t>Funding of telecommunications consumer representation grants</w:t>
      </w:r>
    </w:p>
    <w:p w14:paraId="2E863E8E" w14:textId="77777777" w:rsidR="008D4AB2" w:rsidRDefault="00104DF3" w:rsidP="006D7C61">
      <w:pPr>
        <w:pStyle w:val="Subtitle"/>
        <w:spacing w:before="360"/>
      </w:pPr>
      <w:r>
        <w:t>Annual Report 2020-21</w:t>
      </w:r>
    </w:p>
    <w:p w14:paraId="6F1AA8D9" w14:textId="77777777" w:rsidR="008D4AB2" w:rsidRDefault="007449B8" w:rsidP="004D4B0F">
      <w:r>
        <w:t>November</w:t>
      </w:r>
      <w:r w:rsidR="008D4AB2" w:rsidRPr="008D4AB2">
        <w:t xml:space="preserve"> 2021</w:t>
      </w:r>
    </w:p>
    <w:p w14:paraId="6CCC6FCF" w14:textId="77777777" w:rsidR="008D4AB2" w:rsidRDefault="008D4AB2" w:rsidP="006D7C61">
      <w:pPr>
        <w:spacing w:after="0"/>
        <w:ind w:right="-1440"/>
        <w:jc w:val="right"/>
      </w:pPr>
    </w:p>
    <w:p w14:paraId="79EA5673" w14:textId="77777777" w:rsidR="008D4AB2" w:rsidRDefault="008D4AB2" w:rsidP="004D4B0F"/>
    <w:p w14:paraId="4BF7F090" w14:textId="77777777" w:rsidR="008D4AB2" w:rsidRDefault="008D4AB2" w:rsidP="004D4B0F">
      <w:pPr>
        <w:sectPr w:rsidR="008D4AB2" w:rsidSect="00F71E4C">
          <w:footerReference w:type="default" r:id="rId12"/>
          <w:footerReference w:type="first" r:id="rId13"/>
          <w:pgSz w:w="11906" w:h="16838"/>
          <w:pgMar w:top="709" w:right="1440" w:bottom="1440" w:left="2268" w:header="708" w:footer="0" w:gutter="0"/>
          <w:cols w:space="708"/>
          <w:titlePg/>
          <w:docGrid w:linePitch="360"/>
        </w:sectPr>
      </w:pPr>
    </w:p>
    <w:p w14:paraId="01D4A9EB" w14:textId="77777777" w:rsidR="00F71E4C" w:rsidRPr="000E5674" w:rsidRDefault="00F71E4C" w:rsidP="004D4B0F">
      <w:pPr>
        <w:pStyle w:val="NoSpacing"/>
      </w:pPr>
      <w:r w:rsidRPr="000E5674">
        <w:lastRenderedPageBreak/>
        <w:t>© Commonwealth of Australia 202</w:t>
      </w:r>
      <w:r>
        <w:t>1</w:t>
      </w:r>
    </w:p>
    <w:p w14:paraId="56875B89" w14:textId="77777777" w:rsidR="00104DF3" w:rsidRDefault="00104DF3" w:rsidP="004D4B0F">
      <w:pPr>
        <w:pStyle w:val="ImprintHeading"/>
      </w:pPr>
    </w:p>
    <w:p w14:paraId="21CF7555" w14:textId="77777777" w:rsidR="00F71E4C" w:rsidRPr="000E5674" w:rsidRDefault="00F71E4C" w:rsidP="004D4B0F">
      <w:pPr>
        <w:pStyle w:val="ImprintHeading"/>
      </w:pPr>
      <w:r w:rsidRPr="000E5674">
        <w:t>Ownership of intellectual property rights in this publication</w:t>
      </w:r>
    </w:p>
    <w:p w14:paraId="2ED51133" w14:textId="77777777" w:rsidR="00F71E4C" w:rsidRPr="004D4B0F" w:rsidRDefault="00F71E4C" w:rsidP="004D4B0F">
      <w:r w:rsidRPr="004D4B0F">
        <w:t>Unless otherwise noted, copyright (and any other intellectual property rights, if any) in this publication is owned by the Commonwealth of Australia (referred to below as the Commonwealth).</w:t>
      </w:r>
    </w:p>
    <w:p w14:paraId="3F01AAC4" w14:textId="77777777" w:rsidR="00F71E4C" w:rsidRPr="000E5674" w:rsidRDefault="00F71E4C" w:rsidP="004D4B0F">
      <w:pPr>
        <w:pStyle w:val="ImprintHeading"/>
      </w:pPr>
      <w:r w:rsidRPr="000E5674">
        <w:t>Disclaimer</w:t>
      </w:r>
    </w:p>
    <w:p w14:paraId="3E0107DB" w14:textId="77777777" w:rsidR="00F71E4C" w:rsidRPr="000E5674" w:rsidRDefault="00F71E4C" w:rsidP="004D4B0F">
      <w:r w:rsidRPr="000E5674">
        <w:t>The material contained in this publication is made available on the understanding that the Commonwealth is not</w:t>
      </w:r>
      <w:r>
        <w:t xml:space="preserve"> </w:t>
      </w:r>
      <w:r w:rsidRPr="000E5674">
        <w:t>providing professional advice, and that users exercise their own skill and care with respect to its use, and seek</w:t>
      </w:r>
      <w:r>
        <w:t xml:space="preserve"> </w:t>
      </w:r>
      <w:r w:rsidRPr="000E5674">
        <w:t>independent advice if necessary.</w:t>
      </w:r>
    </w:p>
    <w:p w14:paraId="4897308E" w14:textId="77777777" w:rsidR="00F71E4C" w:rsidRPr="000E5674" w:rsidRDefault="00F71E4C" w:rsidP="004D4B0F">
      <w:r w:rsidRPr="000E5674">
        <w:t>The Commonwealth makes no representations or warranties as to the contents or accuracy of the information contained</w:t>
      </w:r>
      <w:r>
        <w:t xml:space="preserve"> </w:t>
      </w:r>
      <w:r w:rsidRPr="000E5674">
        <w:t>in this publication. To the extent permitted by law, the Commonwealth disclaims liability to any person or organisation in</w:t>
      </w:r>
      <w:r>
        <w:t xml:space="preserve"> </w:t>
      </w:r>
      <w:r w:rsidRPr="000E5674">
        <w:t>respect of anything done, or omitted to be done, in reliance upon information contained in this publication.</w:t>
      </w:r>
    </w:p>
    <w:p w14:paraId="6B2E82D0" w14:textId="77777777" w:rsidR="00F71E4C" w:rsidRPr="000E5674" w:rsidRDefault="00F71E4C" w:rsidP="004D4B0F">
      <w:pPr>
        <w:pStyle w:val="ImprintHeading"/>
      </w:pPr>
      <w:r w:rsidRPr="000E5674">
        <w:t>Creative Commons licence</w:t>
      </w:r>
    </w:p>
    <w:p w14:paraId="725D4D7C" w14:textId="77777777" w:rsidR="00F71E4C" w:rsidRPr="000E5674" w:rsidRDefault="00F71E4C" w:rsidP="004D4B0F">
      <w:r w:rsidRPr="000E5674">
        <w:t>With the exception of (a) the Coat of Arms; (b) the Department of Infrastructure, Transport, Regional Development</w:t>
      </w:r>
      <w:r>
        <w:t xml:space="preserve"> </w:t>
      </w:r>
      <w:r w:rsidRPr="000E5674">
        <w:t>and Communications photos and graphics; and (c) [OTHER], copyright in this publication is licensed under a Creative</w:t>
      </w:r>
      <w:r>
        <w:t xml:space="preserve"> </w:t>
      </w:r>
      <w:r w:rsidRPr="000E5674">
        <w:t>Commons Attribution 4.0 Australia Licence.</w:t>
      </w:r>
    </w:p>
    <w:p w14:paraId="00728BDB" w14:textId="77777777" w:rsidR="00F71E4C" w:rsidRPr="000E5674" w:rsidRDefault="00F71E4C" w:rsidP="004D4B0F">
      <w:r w:rsidRPr="000E5674">
        <w:t>Creative Commons Attribution 4.0 Australia Licence is a standard form licence agreement that allows you to copy,</w:t>
      </w:r>
      <w:r>
        <w:t xml:space="preserve"> </w:t>
      </w:r>
      <w:r w:rsidRPr="000E5674">
        <w:t>communicate and adapt this publication provided that you attribute the work to the Commonwealth and abide by the</w:t>
      </w:r>
      <w:r>
        <w:t xml:space="preserve"> </w:t>
      </w:r>
      <w:r w:rsidRPr="000E5674">
        <w:t>other licence terms.</w:t>
      </w:r>
    </w:p>
    <w:p w14:paraId="456C0323" w14:textId="77777777" w:rsidR="00F71E4C" w:rsidRPr="000E5674" w:rsidRDefault="00F71E4C" w:rsidP="004D4B0F">
      <w:r w:rsidRPr="000E5674">
        <w:t xml:space="preserve">Further information on the licence terms is available from </w:t>
      </w:r>
      <w:hyperlink r:id="rId14" w:tooltip="Creative Commons website" w:history="1">
        <w:r w:rsidRPr="0063722A">
          <w:rPr>
            <w:rStyle w:val="Hyperlink"/>
            <w:lang w:val="x-none"/>
          </w:rPr>
          <w:t>https://creativecommons.org/licenses/by/4.0/</w:t>
        </w:r>
      </w:hyperlink>
    </w:p>
    <w:p w14:paraId="5BC1207E" w14:textId="77777777" w:rsidR="00F71E4C" w:rsidRPr="00F71E4C" w:rsidRDefault="00F71E4C" w:rsidP="004D4B0F">
      <w:pPr>
        <w:rPr>
          <w:lang w:val="en-AU"/>
        </w:rPr>
      </w:pPr>
      <w:r w:rsidRPr="000E5674">
        <w:t xml:space="preserve">This publication should be attributed in the following way: © Commonwealth of Australia </w:t>
      </w:r>
      <w:r>
        <w:t>2021.</w:t>
      </w:r>
    </w:p>
    <w:p w14:paraId="1B0871B8" w14:textId="77777777" w:rsidR="00F71E4C" w:rsidRPr="000E5674" w:rsidRDefault="00F71E4C" w:rsidP="004D4B0F">
      <w:pPr>
        <w:pStyle w:val="ImprintHeading"/>
      </w:pPr>
      <w:r w:rsidRPr="000E5674">
        <w:t>Use of the Coat of Arms</w:t>
      </w:r>
    </w:p>
    <w:p w14:paraId="2DFF618F" w14:textId="77777777" w:rsidR="00F71E4C" w:rsidRPr="000E5674" w:rsidRDefault="00F71E4C" w:rsidP="004D4B0F">
      <w:r w:rsidRPr="000E5674">
        <w:lastRenderedPageBreak/>
        <w:t>The Department of the Prime Minister and Cabinet sets the terms under which the Coat of Arms is used. Please refer to</w:t>
      </w:r>
      <w:r>
        <w:t xml:space="preserve"> </w:t>
      </w:r>
      <w:r w:rsidRPr="000E5674">
        <w:t xml:space="preserve">the Commonwealth Coat of Arms - Information and Guidelines publication available at </w:t>
      </w:r>
      <w:hyperlink r:id="rId15" w:tooltip="Department of Prime Minister and Cabinet website" w:history="1">
        <w:r w:rsidRPr="0063722A">
          <w:rPr>
            <w:rStyle w:val="Hyperlink"/>
            <w:lang w:val="x-none"/>
          </w:rPr>
          <w:t>http://www.pmc.gov.au</w:t>
        </w:r>
      </w:hyperlink>
      <w:r w:rsidRPr="000E5674">
        <w:t>.</w:t>
      </w:r>
    </w:p>
    <w:p w14:paraId="394E69E4" w14:textId="77777777" w:rsidR="00F71E4C" w:rsidRPr="000E5674" w:rsidRDefault="00F71E4C" w:rsidP="004D4B0F">
      <w:pPr>
        <w:pStyle w:val="ImprintHeading"/>
      </w:pPr>
      <w:r w:rsidRPr="000E5674">
        <w:t>Contact us</w:t>
      </w:r>
    </w:p>
    <w:p w14:paraId="1041197C" w14:textId="77777777" w:rsidR="00F71E4C" w:rsidRPr="000E5674" w:rsidRDefault="00F71E4C" w:rsidP="004D4B0F">
      <w:r w:rsidRPr="000E5674">
        <w:t>This publication is available in hard copy or PDF format. All other rights are reserved, including in relation to any</w:t>
      </w:r>
      <w:r>
        <w:t xml:space="preserve"> departmental</w:t>
      </w:r>
      <w:r w:rsidRPr="000E5674">
        <w:t xml:space="preserve"> logos or trade marks which may exist. For enquiries regarding the licence and any use of this publication,</w:t>
      </w:r>
      <w:r>
        <w:t xml:space="preserve"> </w:t>
      </w:r>
      <w:r w:rsidRPr="000E5674">
        <w:t>please contact:</w:t>
      </w:r>
    </w:p>
    <w:p w14:paraId="2C7B72BB" w14:textId="77777777" w:rsidR="00F71E4C" w:rsidRPr="004D4B0F" w:rsidRDefault="00F71E4C" w:rsidP="004D4B0F">
      <w:pPr>
        <w:pStyle w:val="NoSpacing"/>
      </w:pPr>
      <w:r w:rsidRPr="004D4B0F">
        <w:t>Director – Creative Services</w:t>
      </w:r>
    </w:p>
    <w:p w14:paraId="16ED2AC1" w14:textId="77777777" w:rsidR="00F71E4C" w:rsidRPr="004D4B0F" w:rsidRDefault="00F71E4C" w:rsidP="004D4B0F">
      <w:pPr>
        <w:pStyle w:val="NoSpacing"/>
      </w:pPr>
      <w:r w:rsidRPr="004D4B0F">
        <w:t>Communication Branch</w:t>
      </w:r>
    </w:p>
    <w:p w14:paraId="238DF825" w14:textId="77777777" w:rsidR="00F71E4C" w:rsidRPr="004D4B0F" w:rsidRDefault="00F71E4C" w:rsidP="004D4B0F">
      <w:pPr>
        <w:pStyle w:val="NoSpacing"/>
      </w:pPr>
      <w:r w:rsidRPr="004D4B0F">
        <w:t>Department of Infrastructure, Transport, Regional Development and Communications</w:t>
      </w:r>
    </w:p>
    <w:p w14:paraId="1875689A" w14:textId="77777777" w:rsidR="00F71E4C" w:rsidRPr="004D4B0F" w:rsidRDefault="00F71E4C" w:rsidP="004D4B0F">
      <w:pPr>
        <w:pStyle w:val="NoSpacing"/>
      </w:pPr>
      <w:r w:rsidRPr="004D4B0F">
        <w:t>GPO Box 594</w:t>
      </w:r>
    </w:p>
    <w:p w14:paraId="6B3AA885" w14:textId="77777777" w:rsidR="00F71E4C" w:rsidRPr="004D4B0F" w:rsidRDefault="00F71E4C" w:rsidP="004D4B0F">
      <w:pPr>
        <w:pStyle w:val="NoSpacing"/>
      </w:pPr>
      <w:r w:rsidRPr="004D4B0F">
        <w:t>Canberra ACT 2601</w:t>
      </w:r>
    </w:p>
    <w:p w14:paraId="445FE895" w14:textId="77777777" w:rsidR="00F71E4C" w:rsidRPr="000E5674" w:rsidRDefault="00F71E4C" w:rsidP="004D4B0F">
      <w:r w:rsidRPr="000E5674">
        <w:t>Australia</w:t>
      </w:r>
    </w:p>
    <w:p w14:paraId="2E6A761F" w14:textId="77777777" w:rsidR="00F71E4C" w:rsidRPr="000E5674" w:rsidRDefault="00F71E4C" w:rsidP="004D4B0F">
      <w:pPr>
        <w:pStyle w:val="NoSpacing"/>
        <w:rPr>
          <w:lang w:val="en-US"/>
        </w:rPr>
      </w:pPr>
      <w:r w:rsidRPr="000E5674">
        <w:rPr>
          <w:lang w:val="x-none"/>
        </w:rPr>
        <w:t xml:space="preserve">Email: </w:t>
      </w:r>
      <w:hyperlink r:id="rId16" w:tooltip="Email the Publishing team at the Department of Infrastructure, Transport, Regional Development and Communications" w:history="1">
        <w:r w:rsidRPr="0063722A">
          <w:rPr>
            <w:rStyle w:val="Hyperlink"/>
            <w:lang w:val="x-none"/>
          </w:rPr>
          <w:t>publishing@infrastructure.gov.au</w:t>
        </w:r>
      </w:hyperlink>
    </w:p>
    <w:p w14:paraId="45423C82" w14:textId="77777777" w:rsidR="00F71E4C" w:rsidRPr="000E5674" w:rsidRDefault="00F71E4C" w:rsidP="004D4B0F">
      <w:pPr>
        <w:pStyle w:val="NoSpacing"/>
        <w:rPr>
          <w:lang w:val="en-US"/>
        </w:rPr>
      </w:pPr>
      <w:r w:rsidRPr="000E5674">
        <w:rPr>
          <w:lang w:val="x-none"/>
        </w:rPr>
        <w:t xml:space="preserve">Website: </w:t>
      </w:r>
      <w:hyperlink r:id="rId17" w:tooltip="Department of Infrastructure, Transport, Regional Development and Communications website" w:history="1">
        <w:r w:rsidRPr="0063722A">
          <w:rPr>
            <w:rStyle w:val="Hyperlink"/>
            <w:lang w:val="x-none"/>
          </w:rPr>
          <w:t>www.infrastructure.gov.au</w:t>
        </w:r>
      </w:hyperlink>
    </w:p>
    <w:p w14:paraId="19181860" w14:textId="77777777" w:rsidR="008D4AB2" w:rsidRDefault="008D4AB2" w:rsidP="004D4B0F">
      <w:r>
        <w:br w:type="page"/>
      </w:r>
    </w:p>
    <w:p w14:paraId="4C6BE9D9" w14:textId="77777777" w:rsidR="008D4AB2" w:rsidRDefault="004D4B0F" w:rsidP="004D4B0F">
      <w:pPr>
        <w:pStyle w:val="ImprintHeading"/>
      </w:pPr>
      <w:r>
        <w:lastRenderedPageBreak/>
        <w:t>Table of contents</w:t>
      </w:r>
    </w:p>
    <w:p w14:paraId="41D2F29D" w14:textId="740A3952" w:rsidR="003B7B3F" w:rsidRDefault="006D7C61">
      <w:pPr>
        <w:pStyle w:val="TOC1"/>
        <w:rPr>
          <w:rFonts w:eastAsiaTheme="minorEastAsia"/>
          <w:b w:val="0"/>
          <w:noProof/>
          <w:color w:val="auto"/>
          <w:kern w:val="0"/>
          <w:sz w:val="22"/>
          <w:szCs w:val="22"/>
          <w:lang w:eastAsia="en-AU"/>
        </w:rPr>
      </w:pPr>
      <w:r>
        <w:fldChar w:fldCharType="begin"/>
      </w:r>
      <w:r>
        <w:instrText xml:space="preserve"> TOC \h \z \t "Heading 2,1,Heading 3,2,Heading 4,3" </w:instrText>
      </w:r>
      <w:r>
        <w:fldChar w:fldCharType="separate"/>
      </w:r>
      <w:hyperlink w:anchor="_Toc88141952" w:history="1">
        <w:r w:rsidR="003B7B3F" w:rsidRPr="00E21DB5">
          <w:rPr>
            <w:rStyle w:val="Hyperlink"/>
            <w:noProof/>
          </w:rPr>
          <w:t>Purpose of Section 593 of the Telecommunications Act 1997</w:t>
        </w:r>
        <w:r w:rsidR="003B7B3F">
          <w:rPr>
            <w:noProof/>
            <w:webHidden/>
          </w:rPr>
          <w:tab/>
        </w:r>
        <w:r w:rsidR="003B7B3F">
          <w:rPr>
            <w:noProof/>
            <w:webHidden/>
          </w:rPr>
          <w:fldChar w:fldCharType="begin"/>
        </w:r>
        <w:r w:rsidR="003B7B3F">
          <w:rPr>
            <w:noProof/>
            <w:webHidden/>
          </w:rPr>
          <w:instrText xml:space="preserve"> PAGEREF _Toc88141952 \h </w:instrText>
        </w:r>
        <w:r w:rsidR="003B7B3F">
          <w:rPr>
            <w:noProof/>
            <w:webHidden/>
          </w:rPr>
        </w:r>
        <w:r w:rsidR="003B7B3F">
          <w:rPr>
            <w:noProof/>
            <w:webHidden/>
          </w:rPr>
          <w:fldChar w:fldCharType="separate"/>
        </w:r>
        <w:r w:rsidR="003B7B3F">
          <w:rPr>
            <w:noProof/>
            <w:webHidden/>
          </w:rPr>
          <w:t>4</w:t>
        </w:r>
        <w:r w:rsidR="003B7B3F">
          <w:rPr>
            <w:noProof/>
            <w:webHidden/>
          </w:rPr>
          <w:fldChar w:fldCharType="end"/>
        </w:r>
      </w:hyperlink>
    </w:p>
    <w:p w14:paraId="54B2379E" w14:textId="6397A995" w:rsidR="003B7B3F" w:rsidRDefault="0068034F">
      <w:pPr>
        <w:pStyle w:val="TOC1"/>
        <w:rPr>
          <w:rFonts w:eastAsiaTheme="minorEastAsia"/>
          <w:b w:val="0"/>
          <w:noProof/>
          <w:color w:val="auto"/>
          <w:kern w:val="0"/>
          <w:sz w:val="22"/>
          <w:szCs w:val="22"/>
          <w:lang w:eastAsia="en-AU"/>
        </w:rPr>
      </w:pPr>
      <w:hyperlink w:anchor="_Toc88141953" w:history="1">
        <w:r w:rsidR="003B7B3F" w:rsidRPr="00E21DB5">
          <w:rPr>
            <w:rStyle w:val="Hyperlink"/>
            <w:noProof/>
          </w:rPr>
          <w:t>Funding provided 2020-21</w:t>
        </w:r>
        <w:r w:rsidR="003B7B3F">
          <w:rPr>
            <w:noProof/>
            <w:webHidden/>
          </w:rPr>
          <w:tab/>
        </w:r>
        <w:r w:rsidR="003B7B3F">
          <w:rPr>
            <w:noProof/>
            <w:webHidden/>
          </w:rPr>
          <w:fldChar w:fldCharType="begin"/>
        </w:r>
        <w:r w:rsidR="003B7B3F">
          <w:rPr>
            <w:noProof/>
            <w:webHidden/>
          </w:rPr>
          <w:instrText xml:space="preserve"> PAGEREF _Toc88141953 \h </w:instrText>
        </w:r>
        <w:r w:rsidR="003B7B3F">
          <w:rPr>
            <w:noProof/>
            <w:webHidden/>
          </w:rPr>
        </w:r>
        <w:r w:rsidR="003B7B3F">
          <w:rPr>
            <w:noProof/>
            <w:webHidden/>
          </w:rPr>
          <w:fldChar w:fldCharType="separate"/>
        </w:r>
        <w:r w:rsidR="003B7B3F">
          <w:rPr>
            <w:noProof/>
            <w:webHidden/>
          </w:rPr>
          <w:t>4</w:t>
        </w:r>
        <w:r w:rsidR="003B7B3F">
          <w:rPr>
            <w:noProof/>
            <w:webHidden/>
          </w:rPr>
          <w:fldChar w:fldCharType="end"/>
        </w:r>
      </w:hyperlink>
    </w:p>
    <w:p w14:paraId="540C8648" w14:textId="4F410FB3" w:rsidR="003B7B3F" w:rsidRDefault="0068034F">
      <w:pPr>
        <w:pStyle w:val="TOC1"/>
        <w:rPr>
          <w:rFonts w:eastAsiaTheme="minorEastAsia"/>
          <w:b w:val="0"/>
          <w:noProof/>
          <w:color w:val="auto"/>
          <w:kern w:val="0"/>
          <w:sz w:val="22"/>
          <w:szCs w:val="22"/>
          <w:lang w:eastAsia="en-AU"/>
        </w:rPr>
      </w:pPr>
      <w:hyperlink w:anchor="_Toc88141954" w:history="1">
        <w:r w:rsidR="003B7B3F" w:rsidRPr="00E21DB5">
          <w:rPr>
            <w:rStyle w:val="Hyperlink"/>
            <w:noProof/>
          </w:rPr>
          <w:t>Assessment of ACCAN’s general performance</w:t>
        </w:r>
        <w:r w:rsidR="003B7B3F">
          <w:rPr>
            <w:noProof/>
            <w:webHidden/>
          </w:rPr>
          <w:tab/>
        </w:r>
        <w:r w:rsidR="003B7B3F">
          <w:rPr>
            <w:noProof/>
            <w:webHidden/>
          </w:rPr>
          <w:fldChar w:fldCharType="begin"/>
        </w:r>
        <w:r w:rsidR="003B7B3F">
          <w:rPr>
            <w:noProof/>
            <w:webHidden/>
          </w:rPr>
          <w:instrText xml:space="preserve"> PAGEREF _Toc88141954 \h </w:instrText>
        </w:r>
        <w:r w:rsidR="003B7B3F">
          <w:rPr>
            <w:noProof/>
            <w:webHidden/>
          </w:rPr>
        </w:r>
        <w:r w:rsidR="003B7B3F">
          <w:rPr>
            <w:noProof/>
            <w:webHidden/>
          </w:rPr>
          <w:fldChar w:fldCharType="separate"/>
        </w:r>
        <w:r w:rsidR="003B7B3F">
          <w:rPr>
            <w:noProof/>
            <w:webHidden/>
          </w:rPr>
          <w:t>4</w:t>
        </w:r>
        <w:r w:rsidR="003B7B3F">
          <w:rPr>
            <w:noProof/>
            <w:webHidden/>
          </w:rPr>
          <w:fldChar w:fldCharType="end"/>
        </w:r>
      </w:hyperlink>
    </w:p>
    <w:p w14:paraId="7F8868D8" w14:textId="7707D28B" w:rsidR="003B7B3F" w:rsidRDefault="0068034F">
      <w:pPr>
        <w:pStyle w:val="TOC1"/>
        <w:rPr>
          <w:rFonts w:eastAsiaTheme="minorEastAsia"/>
          <w:b w:val="0"/>
          <w:noProof/>
          <w:color w:val="auto"/>
          <w:kern w:val="0"/>
          <w:sz w:val="22"/>
          <w:szCs w:val="22"/>
          <w:lang w:eastAsia="en-AU"/>
        </w:rPr>
      </w:pPr>
      <w:hyperlink w:anchor="_Toc88141955" w:history="1">
        <w:r w:rsidR="003B7B3F" w:rsidRPr="00E21DB5">
          <w:rPr>
            <w:rStyle w:val="Hyperlink"/>
            <w:noProof/>
          </w:rPr>
          <w:t>Financial accounts</w:t>
        </w:r>
        <w:r w:rsidR="003B7B3F">
          <w:rPr>
            <w:noProof/>
            <w:webHidden/>
          </w:rPr>
          <w:tab/>
        </w:r>
        <w:r w:rsidR="003B7B3F">
          <w:rPr>
            <w:noProof/>
            <w:webHidden/>
          </w:rPr>
          <w:fldChar w:fldCharType="begin"/>
        </w:r>
        <w:r w:rsidR="003B7B3F">
          <w:rPr>
            <w:noProof/>
            <w:webHidden/>
          </w:rPr>
          <w:instrText xml:space="preserve"> PAGEREF _Toc88141955 \h </w:instrText>
        </w:r>
        <w:r w:rsidR="003B7B3F">
          <w:rPr>
            <w:noProof/>
            <w:webHidden/>
          </w:rPr>
        </w:r>
        <w:r w:rsidR="003B7B3F">
          <w:rPr>
            <w:noProof/>
            <w:webHidden/>
          </w:rPr>
          <w:fldChar w:fldCharType="separate"/>
        </w:r>
        <w:r w:rsidR="003B7B3F">
          <w:rPr>
            <w:noProof/>
            <w:webHidden/>
          </w:rPr>
          <w:t>5</w:t>
        </w:r>
        <w:r w:rsidR="003B7B3F">
          <w:rPr>
            <w:noProof/>
            <w:webHidden/>
          </w:rPr>
          <w:fldChar w:fldCharType="end"/>
        </w:r>
      </w:hyperlink>
    </w:p>
    <w:p w14:paraId="2F2B2DDE" w14:textId="38A8A23D" w:rsidR="003B7B3F" w:rsidRDefault="0068034F">
      <w:pPr>
        <w:pStyle w:val="TOC1"/>
        <w:rPr>
          <w:rFonts w:eastAsiaTheme="minorEastAsia"/>
          <w:b w:val="0"/>
          <w:noProof/>
          <w:color w:val="auto"/>
          <w:kern w:val="0"/>
          <w:sz w:val="22"/>
          <w:szCs w:val="22"/>
          <w:lang w:eastAsia="en-AU"/>
        </w:rPr>
      </w:pPr>
      <w:hyperlink w:anchor="_Toc88141956" w:history="1">
        <w:r w:rsidR="003B7B3F" w:rsidRPr="00E21DB5">
          <w:rPr>
            <w:rStyle w:val="Hyperlink"/>
            <w:noProof/>
          </w:rPr>
          <w:t>Independent Grants Program</w:t>
        </w:r>
        <w:r w:rsidR="003B7B3F">
          <w:rPr>
            <w:noProof/>
            <w:webHidden/>
          </w:rPr>
          <w:tab/>
        </w:r>
        <w:r w:rsidR="003B7B3F">
          <w:rPr>
            <w:noProof/>
            <w:webHidden/>
          </w:rPr>
          <w:fldChar w:fldCharType="begin"/>
        </w:r>
        <w:r w:rsidR="003B7B3F">
          <w:rPr>
            <w:noProof/>
            <w:webHidden/>
          </w:rPr>
          <w:instrText xml:space="preserve"> PAGEREF _Toc88141956 \h </w:instrText>
        </w:r>
        <w:r w:rsidR="003B7B3F">
          <w:rPr>
            <w:noProof/>
            <w:webHidden/>
          </w:rPr>
        </w:r>
        <w:r w:rsidR="003B7B3F">
          <w:rPr>
            <w:noProof/>
            <w:webHidden/>
          </w:rPr>
          <w:fldChar w:fldCharType="separate"/>
        </w:r>
        <w:r w:rsidR="003B7B3F">
          <w:rPr>
            <w:noProof/>
            <w:webHidden/>
          </w:rPr>
          <w:t>5</w:t>
        </w:r>
        <w:r w:rsidR="003B7B3F">
          <w:rPr>
            <w:noProof/>
            <w:webHidden/>
          </w:rPr>
          <w:fldChar w:fldCharType="end"/>
        </w:r>
      </w:hyperlink>
    </w:p>
    <w:p w14:paraId="268B59D1" w14:textId="6765B6E6" w:rsidR="003B7B3F" w:rsidRDefault="0068034F">
      <w:pPr>
        <w:pStyle w:val="TOC2"/>
        <w:tabs>
          <w:tab w:val="right" w:pos="8896"/>
        </w:tabs>
        <w:rPr>
          <w:rFonts w:eastAsiaTheme="minorEastAsia"/>
          <w:noProof/>
          <w:color w:val="auto"/>
          <w:kern w:val="0"/>
          <w:sz w:val="22"/>
          <w:szCs w:val="22"/>
          <w:lang w:eastAsia="en-AU"/>
        </w:rPr>
      </w:pPr>
      <w:hyperlink w:anchor="_Toc88141957" w:history="1">
        <w:r w:rsidR="003B7B3F" w:rsidRPr="00E21DB5">
          <w:rPr>
            <w:rStyle w:val="Hyperlink"/>
            <w:noProof/>
          </w:rPr>
          <w:t>2019 grants round</w:t>
        </w:r>
        <w:r w:rsidR="003B7B3F">
          <w:rPr>
            <w:noProof/>
            <w:webHidden/>
          </w:rPr>
          <w:tab/>
        </w:r>
        <w:r w:rsidR="003B7B3F">
          <w:rPr>
            <w:noProof/>
            <w:webHidden/>
          </w:rPr>
          <w:fldChar w:fldCharType="begin"/>
        </w:r>
        <w:r w:rsidR="003B7B3F">
          <w:rPr>
            <w:noProof/>
            <w:webHidden/>
          </w:rPr>
          <w:instrText xml:space="preserve"> PAGEREF _Toc88141957 \h </w:instrText>
        </w:r>
        <w:r w:rsidR="003B7B3F">
          <w:rPr>
            <w:noProof/>
            <w:webHidden/>
          </w:rPr>
        </w:r>
        <w:r w:rsidR="003B7B3F">
          <w:rPr>
            <w:noProof/>
            <w:webHidden/>
          </w:rPr>
          <w:fldChar w:fldCharType="separate"/>
        </w:r>
        <w:r w:rsidR="003B7B3F">
          <w:rPr>
            <w:noProof/>
            <w:webHidden/>
          </w:rPr>
          <w:t>5</w:t>
        </w:r>
        <w:r w:rsidR="003B7B3F">
          <w:rPr>
            <w:noProof/>
            <w:webHidden/>
          </w:rPr>
          <w:fldChar w:fldCharType="end"/>
        </w:r>
      </w:hyperlink>
    </w:p>
    <w:p w14:paraId="4B017B4B" w14:textId="0D726A80" w:rsidR="003B7B3F" w:rsidRDefault="0068034F">
      <w:pPr>
        <w:pStyle w:val="TOC2"/>
        <w:tabs>
          <w:tab w:val="right" w:pos="8896"/>
        </w:tabs>
        <w:rPr>
          <w:rFonts w:eastAsiaTheme="minorEastAsia"/>
          <w:noProof/>
          <w:color w:val="auto"/>
          <w:kern w:val="0"/>
          <w:sz w:val="22"/>
          <w:szCs w:val="22"/>
          <w:lang w:eastAsia="en-AU"/>
        </w:rPr>
      </w:pPr>
      <w:hyperlink w:anchor="_Toc88141958" w:history="1">
        <w:r w:rsidR="003B7B3F" w:rsidRPr="00E21DB5">
          <w:rPr>
            <w:rStyle w:val="Hyperlink"/>
            <w:noProof/>
          </w:rPr>
          <w:t>2020 grants round</w:t>
        </w:r>
        <w:r w:rsidR="003B7B3F">
          <w:rPr>
            <w:noProof/>
            <w:webHidden/>
          </w:rPr>
          <w:tab/>
        </w:r>
        <w:r w:rsidR="003B7B3F">
          <w:rPr>
            <w:noProof/>
            <w:webHidden/>
          </w:rPr>
          <w:fldChar w:fldCharType="begin"/>
        </w:r>
        <w:r w:rsidR="003B7B3F">
          <w:rPr>
            <w:noProof/>
            <w:webHidden/>
          </w:rPr>
          <w:instrText xml:space="preserve"> PAGEREF _Toc88141958 \h </w:instrText>
        </w:r>
        <w:r w:rsidR="003B7B3F">
          <w:rPr>
            <w:noProof/>
            <w:webHidden/>
          </w:rPr>
        </w:r>
        <w:r w:rsidR="003B7B3F">
          <w:rPr>
            <w:noProof/>
            <w:webHidden/>
          </w:rPr>
          <w:fldChar w:fldCharType="separate"/>
        </w:r>
        <w:r w:rsidR="003B7B3F">
          <w:rPr>
            <w:noProof/>
            <w:webHidden/>
          </w:rPr>
          <w:t>6</w:t>
        </w:r>
        <w:r w:rsidR="003B7B3F">
          <w:rPr>
            <w:noProof/>
            <w:webHidden/>
          </w:rPr>
          <w:fldChar w:fldCharType="end"/>
        </w:r>
      </w:hyperlink>
    </w:p>
    <w:p w14:paraId="12E3DA52" w14:textId="126C1A11" w:rsidR="003B7B3F" w:rsidRDefault="0068034F">
      <w:pPr>
        <w:pStyle w:val="TOC2"/>
        <w:tabs>
          <w:tab w:val="right" w:pos="8896"/>
        </w:tabs>
        <w:rPr>
          <w:rFonts w:eastAsiaTheme="minorEastAsia"/>
          <w:noProof/>
          <w:color w:val="auto"/>
          <w:kern w:val="0"/>
          <w:sz w:val="22"/>
          <w:szCs w:val="22"/>
          <w:lang w:eastAsia="en-AU"/>
        </w:rPr>
      </w:pPr>
      <w:hyperlink w:anchor="_Toc88141959" w:history="1">
        <w:r w:rsidR="003B7B3F" w:rsidRPr="00E21DB5">
          <w:rPr>
            <w:rStyle w:val="Hyperlink"/>
            <w:noProof/>
          </w:rPr>
          <w:t>Upcoming 2021 grants round</w:t>
        </w:r>
        <w:r w:rsidR="003B7B3F">
          <w:rPr>
            <w:noProof/>
            <w:webHidden/>
          </w:rPr>
          <w:tab/>
        </w:r>
        <w:r w:rsidR="003B7B3F">
          <w:rPr>
            <w:noProof/>
            <w:webHidden/>
          </w:rPr>
          <w:fldChar w:fldCharType="begin"/>
        </w:r>
        <w:r w:rsidR="003B7B3F">
          <w:rPr>
            <w:noProof/>
            <w:webHidden/>
          </w:rPr>
          <w:instrText xml:space="preserve"> PAGEREF _Toc88141959 \h </w:instrText>
        </w:r>
        <w:r w:rsidR="003B7B3F">
          <w:rPr>
            <w:noProof/>
            <w:webHidden/>
          </w:rPr>
        </w:r>
        <w:r w:rsidR="003B7B3F">
          <w:rPr>
            <w:noProof/>
            <w:webHidden/>
          </w:rPr>
          <w:fldChar w:fldCharType="separate"/>
        </w:r>
        <w:r w:rsidR="003B7B3F">
          <w:rPr>
            <w:noProof/>
            <w:webHidden/>
          </w:rPr>
          <w:t>7</w:t>
        </w:r>
        <w:r w:rsidR="003B7B3F">
          <w:rPr>
            <w:noProof/>
            <w:webHidden/>
          </w:rPr>
          <w:fldChar w:fldCharType="end"/>
        </w:r>
      </w:hyperlink>
    </w:p>
    <w:p w14:paraId="14BFA91A" w14:textId="77777777" w:rsidR="00267C9C" w:rsidRDefault="006D7C61" w:rsidP="006D7C61">
      <w:pPr>
        <w:pStyle w:val="ImprintHeading"/>
        <w:spacing w:before="480"/>
        <w:rPr>
          <w:noProof/>
        </w:rPr>
      </w:pPr>
      <w:r>
        <w:rPr>
          <w:sz w:val="24"/>
          <w:szCs w:val="20"/>
          <w:u w:val="single" w:color="ED7D31" w:themeColor="accent2"/>
          <w:lang w:val="en-AU"/>
        </w:rPr>
        <w:fldChar w:fldCharType="end"/>
      </w:r>
      <w:r>
        <w:t>List of figures and tables</w:t>
      </w:r>
      <w:r>
        <w:fldChar w:fldCharType="begin"/>
      </w:r>
      <w:r>
        <w:instrText xml:space="preserve"> TOC \h \z \t "Table/figure heading,4" </w:instrText>
      </w:r>
      <w:r>
        <w:fldChar w:fldCharType="separate"/>
      </w:r>
    </w:p>
    <w:p w14:paraId="17C6F502" w14:textId="77777777" w:rsidR="00267C9C" w:rsidRDefault="0068034F">
      <w:pPr>
        <w:pStyle w:val="TOC4"/>
        <w:rPr>
          <w:rFonts w:eastAsiaTheme="minorEastAsia"/>
          <w:noProof/>
          <w:lang w:val="en-AU" w:eastAsia="en-AU"/>
        </w:rPr>
      </w:pPr>
      <w:hyperlink w:anchor="_Toc87862229" w:history="1">
        <w:r w:rsidR="00267C9C" w:rsidRPr="003A0ACE">
          <w:rPr>
            <w:rStyle w:val="Hyperlink"/>
            <w:noProof/>
          </w:rPr>
          <w:t>Table 1: 2019 grants round projects funded in 2020-21</w:t>
        </w:r>
        <w:r w:rsidR="00267C9C">
          <w:rPr>
            <w:noProof/>
            <w:webHidden/>
          </w:rPr>
          <w:tab/>
        </w:r>
        <w:r w:rsidR="00267C9C">
          <w:rPr>
            <w:noProof/>
            <w:webHidden/>
          </w:rPr>
          <w:fldChar w:fldCharType="begin"/>
        </w:r>
        <w:r w:rsidR="00267C9C">
          <w:rPr>
            <w:noProof/>
            <w:webHidden/>
          </w:rPr>
          <w:instrText xml:space="preserve"> PAGEREF _Toc87862229 \h </w:instrText>
        </w:r>
        <w:r w:rsidR="00267C9C">
          <w:rPr>
            <w:noProof/>
            <w:webHidden/>
          </w:rPr>
        </w:r>
        <w:r w:rsidR="00267C9C">
          <w:rPr>
            <w:noProof/>
            <w:webHidden/>
          </w:rPr>
          <w:fldChar w:fldCharType="separate"/>
        </w:r>
        <w:r w:rsidR="00267C9C">
          <w:rPr>
            <w:noProof/>
            <w:webHidden/>
          </w:rPr>
          <w:t>6</w:t>
        </w:r>
        <w:r w:rsidR="00267C9C">
          <w:rPr>
            <w:noProof/>
            <w:webHidden/>
          </w:rPr>
          <w:fldChar w:fldCharType="end"/>
        </w:r>
      </w:hyperlink>
    </w:p>
    <w:p w14:paraId="46B207CC" w14:textId="77777777" w:rsidR="00267C9C" w:rsidRDefault="0068034F">
      <w:pPr>
        <w:pStyle w:val="TOC4"/>
        <w:rPr>
          <w:rFonts w:eastAsiaTheme="minorEastAsia"/>
          <w:noProof/>
          <w:lang w:val="en-AU" w:eastAsia="en-AU"/>
        </w:rPr>
      </w:pPr>
      <w:hyperlink w:anchor="_Toc87862230" w:history="1">
        <w:r w:rsidR="00267C9C" w:rsidRPr="003A0ACE">
          <w:rPr>
            <w:rStyle w:val="Hyperlink"/>
            <w:noProof/>
          </w:rPr>
          <w:t>Table 2: 2020 grants round projects funded in 2020-21</w:t>
        </w:r>
        <w:r w:rsidR="00267C9C">
          <w:rPr>
            <w:noProof/>
            <w:webHidden/>
          </w:rPr>
          <w:tab/>
        </w:r>
        <w:r w:rsidR="00267C9C">
          <w:rPr>
            <w:noProof/>
            <w:webHidden/>
          </w:rPr>
          <w:fldChar w:fldCharType="begin"/>
        </w:r>
        <w:r w:rsidR="00267C9C">
          <w:rPr>
            <w:noProof/>
            <w:webHidden/>
          </w:rPr>
          <w:instrText xml:space="preserve"> PAGEREF _Toc87862230 \h </w:instrText>
        </w:r>
        <w:r w:rsidR="00267C9C">
          <w:rPr>
            <w:noProof/>
            <w:webHidden/>
          </w:rPr>
        </w:r>
        <w:r w:rsidR="00267C9C">
          <w:rPr>
            <w:noProof/>
            <w:webHidden/>
          </w:rPr>
          <w:fldChar w:fldCharType="separate"/>
        </w:r>
        <w:r w:rsidR="00267C9C">
          <w:rPr>
            <w:noProof/>
            <w:webHidden/>
          </w:rPr>
          <w:t>6</w:t>
        </w:r>
        <w:r w:rsidR="00267C9C">
          <w:rPr>
            <w:noProof/>
            <w:webHidden/>
          </w:rPr>
          <w:fldChar w:fldCharType="end"/>
        </w:r>
      </w:hyperlink>
    </w:p>
    <w:p w14:paraId="36E1EE2F" w14:textId="77777777" w:rsidR="004D4B0F" w:rsidRPr="007E3C92" w:rsidRDefault="006D7C61" w:rsidP="004D4B0F">
      <w:pPr>
        <w:spacing w:before="1080"/>
        <w:rPr>
          <w:highlight w:val="yellow"/>
          <w:lang w:val="x-none"/>
        </w:rPr>
      </w:pPr>
      <w:r>
        <w:fldChar w:fldCharType="end"/>
      </w:r>
    </w:p>
    <w:p w14:paraId="147B4915" w14:textId="77777777" w:rsidR="004D4B0F" w:rsidRDefault="004D4B0F">
      <w:pPr>
        <w:spacing w:line="259" w:lineRule="auto"/>
      </w:pPr>
      <w:r>
        <w:br w:type="page"/>
      </w:r>
    </w:p>
    <w:p w14:paraId="58AF7375" w14:textId="77777777" w:rsidR="00104DF3" w:rsidRPr="00AF34C3" w:rsidRDefault="00AF34C3" w:rsidP="00AF34C3">
      <w:pPr>
        <w:pStyle w:val="Heading2"/>
      </w:pPr>
      <w:bookmarkStart w:id="1" w:name="_Toc88141952"/>
      <w:r w:rsidRPr="00AF34C3">
        <w:lastRenderedPageBreak/>
        <w:t xml:space="preserve">Purpose of Section 593 of the </w:t>
      </w:r>
      <w:r w:rsidR="00104DF3" w:rsidRPr="00AF34C3">
        <w:t>Telecommunications Act 1997</w:t>
      </w:r>
      <w:bookmarkEnd w:id="1"/>
    </w:p>
    <w:p w14:paraId="5DED3E9F" w14:textId="77777777" w:rsidR="00104DF3" w:rsidRDefault="00104DF3" w:rsidP="00AF34C3">
      <w:r w:rsidRPr="00104DF3">
        <w:t>Section 593 of the Telecommunications Act 1997 (Telco Act) provides for t</w:t>
      </w:r>
      <w:r>
        <w:t xml:space="preserve">he Minister for Communications, </w:t>
      </w:r>
      <w:r w:rsidRPr="00104DF3">
        <w:t>Cyber Safety and the Arts (Minister) to make grants of financial assistance to:</w:t>
      </w:r>
    </w:p>
    <w:p w14:paraId="718841E9" w14:textId="77777777" w:rsidR="00104DF3" w:rsidRDefault="00104DF3" w:rsidP="00AF34C3">
      <w:pPr>
        <w:pStyle w:val="Listparagraphbullets"/>
      </w:pPr>
      <w:r w:rsidRPr="00104DF3">
        <w:t>consumer bodies for purposes in connection with the representation of the interests of consumers in relation to telecommunications issues; and</w:t>
      </w:r>
    </w:p>
    <w:p w14:paraId="135573EB" w14:textId="77777777" w:rsidR="00104DF3" w:rsidRDefault="00104DF3" w:rsidP="00AF34C3">
      <w:pPr>
        <w:pStyle w:val="Listparagraphbullets"/>
      </w:pPr>
      <w:r w:rsidRPr="00104DF3">
        <w:t>persons or bodies for purposes in connection with research into social, economic, environmental or technological implications of developments relating to telecommunications.</w:t>
      </w:r>
    </w:p>
    <w:p w14:paraId="504CC3FB" w14:textId="77777777" w:rsidR="00B0589E" w:rsidRPr="00104DF3" w:rsidRDefault="00B0589E" w:rsidP="00B0589E">
      <w:pPr>
        <w:pStyle w:val="Listparagraphbullets"/>
        <w:numPr>
          <w:ilvl w:val="0"/>
          <w:numId w:val="0"/>
        </w:numPr>
        <w:ind w:left="567"/>
      </w:pPr>
    </w:p>
    <w:p w14:paraId="2C074435" w14:textId="77777777" w:rsidR="004D4B0F" w:rsidRPr="008D4AB2" w:rsidRDefault="00104DF3" w:rsidP="00953FE0">
      <w:pPr>
        <w:pStyle w:val="Heading2"/>
      </w:pPr>
      <w:bookmarkStart w:id="2" w:name="_Toc88141953"/>
      <w:r>
        <w:t>Funding provided 2020-21</w:t>
      </w:r>
      <w:bookmarkEnd w:id="2"/>
    </w:p>
    <w:p w14:paraId="2DD07ECB" w14:textId="4D53979C" w:rsidR="00B049D7" w:rsidRDefault="00B049D7" w:rsidP="00B049D7">
      <w:r>
        <w:t xml:space="preserve">In 2020–21, funding under section 593 of the Telco Act was provided only to the Australian Communications Consumer Action Network (ACCAN). This funding was provided under contract between ACCAN and the then-Department of Communications and the Arts (the Funding Agreement). ACCAN was </w:t>
      </w:r>
      <w:r w:rsidRPr="00FA6ABE">
        <w:t xml:space="preserve">provided </w:t>
      </w:r>
      <w:r w:rsidR="00FA6ABE" w:rsidRPr="00FA6ABE">
        <w:t>with $2,358</w:t>
      </w:r>
      <w:r w:rsidRPr="00FA6ABE">
        <w:t>,000 (GST-exclusive) for</w:t>
      </w:r>
      <w:r>
        <w:t xml:space="preserve"> the 2020–21 financial year. The Department of Infrastructure, Transport, Regional Development and Communications administers the section 593 grants.</w:t>
      </w:r>
    </w:p>
    <w:p w14:paraId="329D0DE9" w14:textId="77777777" w:rsidR="00B049D7" w:rsidRDefault="00B049D7" w:rsidP="00B049D7">
      <w:r>
        <w:t>Each quarterly payment to ACCAN under the Funding Agreement is subject to quarterly assessment of the six Key Performance Indicators (KPIs) and related activities, set out in the Funding Agreement.</w:t>
      </w:r>
    </w:p>
    <w:p w14:paraId="4E2B6728" w14:textId="77777777" w:rsidR="00B049D7" w:rsidRDefault="00B049D7" w:rsidP="00B049D7">
      <w:r>
        <w:t xml:space="preserve">The funding provided to ACCAN under section 593 of the Telco Act is recovered from the annual carrier licence charge imposed on eligible carrier licences under the </w:t>
      </w:r>
      <w:r w:rsidRPr="00F60AA2">
        <w:t>Telecommunications (Carrier Licence Charges) Act 1997</w:t>
      </w:r>
      <w:r>
        <w:t>.</w:t>
      </w:r>
      <w:bookmarkStart w:id="3" w:name="_Most_common_accessibility"/>
      <w:bookmarkEnd w:id="3"/>
      <w:r>
        <w:t xml:space="preserve"> </w:t>
      </w:r>
    </w:p>
    <w:p w14:paraId="72213641" w14:textId="77777777" w:rsidR="00104DF3" w:rsidRDefault="00104DF3" w:rsidP="00267C9C"/>
    <w:p w14:paraId="7F2B5BD0" w14:textId="77777777" w:rsidR="00104DF3" w:rsidRDefault="00104DF3" w:rsidP="00104DF3">
      <w:pPr>
        <w:pStyle w:val="Heading2"/>
      </w:pPr>
      <w:bookmarkStart w:id="4" w:name="_Toc57128451"/>
      <w:bookmarkStart w:id="5" w:name="_Toc83976986"/>
      <w:bookmarkStart w:id="6" w:name="_Toc88141954"/>
      <w:r>
        <w:lastRenderedPageBreak/>
        <w:t>Assessment of ACCAN’s general performance</w:t>
      </w:r>
      <w:bookmarkEnd w:id="4"/>
      <w:bookmarkEnd w:id="5"/>
      <w:bookmarkEnd w:id="6"/>
    </w:p>
    <w:p w14:paraId="3D6E32AC" w14:textId="18E7E6C3" w:rsidR="00662665" w:rsidRDefault="00662665" w:rsidP="00662665">
      <w:pPr>
        <w:keepNext/>
      </w:pPr>
      <w:r>
        <w:t xml:space="preserve">Quarterly progress reports provided to the Department in 2020–21 demonstrated that ACCAN satisfactorily met each of its KPIs and Funding Agreement milestones. ACCAN published its 2020–21 </w:t>
      </w:r>
      <w:hyperlink r:id="rId18" w:history="1">
        <w:r w:rsidRPr="00F60AA2">
          <w:t>Annual Report</w:t>
        </w:r>
      </w:hyperlink>
      <w:r>
        <w:t xml:space="preserve"> on its website on </w:t>
      </w:r>
      <w:r w:rsidR="00C15A0D">
        <w:t>6 December</w:t>
      </w:r>
      <w:r>
        <w:t xml:space="preserve"> 2021. The report showed that over the financial year ACCAN:</w:t>
      </w:r>
    </w:p>
    <w:p w14:paraId="479AD0EB" w14:textId="77777777" w:rsidR="00662665" w:rsidRPr="00B0589E" w:rsidRDefault="00662665" w:rsidP="00B0589E">
      <w:pPr>
        <w:pStyle w:val="Listparagraphbullets"/>
      </w:pPr>
      <w:r w:rsidRPr="00B0589E">
        <w:t xml:space="preserve">represented consumer interests on </w:t>
      </w:r>
      <w:r w:rsidR="00D86145" w:rsidRPr="00B0589E">
        <w:t>34</w:t>
      </w:r>
      <w:r w:rsidRPr="00B0589E">
        <w:t xml:space="preserve"> government, industry and regulatory committees;</w:t>
      </w:r>
    </w:p>
    <w:p w14:paraId="194D9872" w14:textId="77777777" w:rsidR="00662665" w:rsidRPr="00B0589E" w:rsidRDefault="00662665" w:rsidP="00B0589E">
      <w:pPr>
        <w:pStyle w:val="Listparagraphbullets"/>
      </w:pPr>
      <w:r w:rsidRPr="00B0589E">
        <w:t xml:space="preserve">made </w:t>
      </w:r>
      <w:r w:rsidR="00D86145" w:rsidRPr="00B0589E">
        <w:t>62</w:t>
      </w:r>
      <w:r w:rsidRPr="00B0589E">
        <w:t xml:space="preserve"> submissions to government, regulatory and other inquiries, most of which are available at </w:t>
      </w:r>
      <w:hyperlink r:id="rId19" w:history="1">
        <w:r w:rsidRPr="00B0589E">
          <w:t>www.accan.org.au/submissions</w:t>
        </w:r>
      </w:hyperlink>
      <w:r w:rsidRPr="00B0589E">
        <w:t>;</w:t>
      </w:r>
    </w:p>
    <w:p w14:paraId="50DE156B" w14:textId="77777777" w:rsidR="00B0589E" w:rsidRDefault="00662665" w:rsidP="00B0589E">
      <w:pPr>
        <w:pStyle w:val="Listparagraphbullets"/>
      </w:pPr>
      <w:r w:rsidRPr="00B0589E">
        <w:t>raised consumer awareness,</w:t>
      </w:r>
      <w:r w:rsidR="00B62E61" w:rsidRPr="00B0589E">
        <w:t xml:space="preserve"> with regular blogs, and updated consumer resources</w:t>
      </w:r>
      <w:r w:rsidRPr="00B0589E">
        <w:t xml:space="preserve">, achieving </w:t>
      </w:r>
      <w:r w:rsidR="00D86145" w:rsidRPr="00B0589E">
        <w:t xml:space="preserve">918 </w:t>
      </w:r>
      <w:r w:rsidRPr="00B0589E">
        <w:t xml:space="preserve">media mentions, </w:t>
      </w:r>
      <w:r w:rsidR="00D86145" w:rsidRPr="00B0589E">
        <w:t>and attracting 127,266</w:t>
      </w:r>
      <w:r w:rsidRPr="00B0589E">
        <w:t xml:space="preserve"> website visits;</w:t>
      </w:r>
    </w:p>
    <w:p w14:paraId="72E89910" w14:textId="77777777" w:rsidR="00662665" w:rsidRPr="00B0589E" w:rsidRDefault="00662665" w:rsidP="00B0589E">
      <w:pPr>
        <w:pStyle w:val="Listparagraphbullets"/>
      </w:pPr>
      <w:r w:rsidRPr="00B0589E">
        <w:t xml:space="preserve">saw its social media audience grow to </w:t>
      </w:r>
      <w:r w:rsidR="00D86145" w:rsidRPr="00B0589E">
        <w:t>5</w:t>
      </w:r>
      <w:r w:rsidRPr="00B0589E">
        <w:t>,</w:t>
      </w:r>
      <w:r w:rsidR="00D86145" w:rsidRPr="00B0589E">
        <w:t>030</w:t>
      </w:r>
      <w:r w:rsidRPr="00B0589E">
        <w:t xml:space="preserve"> followers across Twitter and Facebook;</w:t>
      </w:r>
    </w:p>
    <w:p w14:paraId="6044E9EE" w14:textId="3037C040" w:rsidR="00B62E61" w:rsidRPr="00B0589E" w:rsidRDefault="00B62E61" w:rsidP="00B0589E">
      <w:pPr>
        <w:pStyle w:val="Listparagraphbullets"/>
      </w:pPr>
      <w:r w:rsidRPr="00B0589E">
        <w:t>launched ACCANect an online series which provides a platform for telecommunications consumers to hear from leading voices in the telco sector about the key communications issues that are impacting consumers today and into the future</w:t>
      </w:r>
      <w:r w:rsidR="00267C9C">
        <w:t>;</w:t>
      </w:r>
    </w:p>
    <w:p w14:paraId="4ECF37B0" w14:textId="20334A18" w:rsidR="00662665" w:rsidRPr="00B0589E" w:rsidRDefault="00485947" w:rsidP="00B0589E">
      <w:pPr>
        <w:pStyle w:val="Listparagraphbullets"/>
      </w:pPr>
      <w:r>
        <w:t>p</w:t>
      </w:r>
      <w:r w:rsidR="00B0589E" w:rsidRPr="00B0589E">
        <w:t>ublished five research reports covering</w:t>
      </w:r>
      <w:r w:rsidR="003B7B3F">
        <w:t xml:space="preserve"> the cost of wait times for consumers when resolving issues with tel</w:t>
      </w:r>
      <w:r w:rsidR="00043EED">
        <w:t>e</w:t>
      </w:r>
      <w:r w:rsidR="003B7B3F">
        <w:t>co</w:t>
      </w:r>
      <w:r w:rsidR="00043EED">
        <w:t>mmunications companie</w:t>
      </w:r>
      <w:r w:rsidR="003B7B3F">
        <w:t>s, a remote Indigenous communications review, young people’s experiences with telecommunications services, understanding telecommunications affordability for low income consumers and a survey of small business’ experiences with their telecommunications during the pandemic.</w:t>
      </w:r>
      <w:r w:rsidR="00B0589E" w:rsidRPr="00B0589E">
        <w:t xml:space="preserve"> </w:t>
      </w:r>
    </w:p>
    <w:p w14:paraId="7E9827CF" w14:textId="0EA3968B" w:rsidR="00662665" w:rsidRDefault="00662665" w:rsidP="00B0589E">
      <w:pPr>
        <w:pStyle w:val="Listparagraphbullets"/>
      </w:pPr>
      <w:r w:rsidRPr="00B0589E">
        <w:t xml:space="preserve">issued </w:t>
      </w:r>
      <w:r w:rsidR="00D86145" w:rsidRPr="00B0589E">
        <w:t>9</w:t>
      </w:r>
      <w:r w:rsidRPr="00B0589E">
        <w:t xml:space="preserve"> media releases on telecommunications consumer issues including </w:t>
      </w:r>
      <w:r w:rsidR="00B0589E" w:rsidRPr="00B0589E">
        <w:t>nbn pricing, the Australian Human Rights Commission’s support for a conc</w:t>
      </w:r>
      <w:r w:rsidR="008D0279">
        <w:t>essional broadband rate for low</w:t>
      </w:r>
      <w:r w:rsidR="008D0279">
        <w:noBreakHyphen/>
      </w:r>
      <w:r w:rsidR="00B0589E" w:rsidRPr="00B0589E">
        <w:t>income households, the renewal of the telco COVID-19 principles, reliability of broadband services, and ACCAN’s research into the communications concerns of remote Indigenous communities.</w:t>
      </w:r>
    </w:p>
    <w:p w14:paraId="2E3C3E57" w14:textId="77777777" w:rsidR="00662665" w:rsidRDefault="00662665" w:rsidP="00662665">
      <w:pPr>
        <w:keepNext/>
      </w:pPr>
      <w:r w:rsidRPr="00B62E61">
        <w:t>ACCAN reported a decrease in membership to 10</w:t>
      </w:r>
      <w:r w:rsidR="00D86145" w:rsidRPr="00B62E61">
        <w:t>8</w:t>
      </w:r>
      <w:r w:rsidRPr="00B62E61">
        <w:t xml:space="preserve"> </w:t>
      </w:r>
      <w:r w:rsidRPr="00267C9C">
        <w:t>organisational and 9</w:t>
      </w:r>
      <w:r w:rsidR="00267C9C" w:rsidRPr="00267C9C">
        <w:t>2</w:t>
      </w:r>
      <w:r w:rsidRPr="00267C9C">
        <w:t xml:space="preserve"> individual mem</w:t>
      </w:r>
      <w:r w:rsidR="00D86145" w:rsidRPr="00267C9C">
        <w:t xml:space="preserve">bers in </w:t>
      </w:r>
      <w:r w:rsidR="00D86145" w:rsidRPr="00D86145">
        <w:t>2020–21, compared to 109 organisational and 96 individual members in 2019–20</w:t>
      </w:r>
      <w:r w:rsidRPr="00D86145">
        <w:t>. Organisa</w:t>
      </w:r>
      <w:r w:rsidRPr="00D86145">
        <w:lastRenderedPageBreak/>
        <w:t>tional membership comprised of groups from disability advocacy, remote and rural consumers, indigenous organisations, culturally and linguistically diverse (CALD) groups, and others from across Australia.</w:t>
      </w:r>
    </w:p>
    <w:p w14:paraId="5830591C" w14:textId="77777777" w:rsidR="00B049D7" w:rsidRDefault="00662665" w:rsidP="00B62E61">
      <w:pPr>
        <w:keepNext/>
      </w:pPr>
      <w:r>
        <w:t>ACCAN held all of its four advisory forums virtually during the 2020–21 period, which included the Indigenous Advisory Forum, the Members Advisory Forum, the Small Business Advisory Forum and the Disability Advisory Forum.</w:t>
      </w:r>
      <w:bookmarkStart w:id="7" w:name="_Toc60758539"/>
    </w:p>
    <w:p w14:paraId="51D76847" w14:textId="77777777" w:rsidR="00B0589E" w:rsidRDefault="00B0589E" w:rsidP="00B62E61">
      <w:pPr>
        <w:keepNext/>
      </w:pPr>
    </w:p>
    <w:p w14:paraId="4FC85537" w14:textId="77777777" w:rsidR="00B049D7" w:rsidRDefault="00B049D7" w:rsidP="00B049D7">
      <w:pPr>
        <w:pStyle w:val="Heading2"/>
      </w:pPr>
      <w:bookmarkStart w:id="8" w:name="_Toc88141955"/>
      <w:r>
        <w:t>Financial accounts</w:t>
      </w:r>
      <w:bookmarkEnd w:id="8"/>
    </w:p>
    <w:p w14:paraId="537A0E9F" w14:textId="77777777" w:rsidR="00662665" w:rsidRPr="00BC1006" w:rsidRDefault="00662665" w:rsidP="00662665">
      <w:r w:rsidRPr="00BC1006">
        <w:t>There were no significant changes in the nature of ACCAN’s activities during the financial year. The independent auditor of ACCAN’s financial accounts found that the accounts were prepared in accordance with the Corporations Act 2001 and:</w:t>
      </w:r>
    </w:p>
    <w:p w14:paraId="0C8FDC55" w14:textId="77777777" w:rsidR="00662665" w:rsidRPr="00BC1006" w:rsidRDefault="00662665" w:rsidP="00662665">
      <w:pPr>
        <w:pStyle w:val="Listparagraphbullets"/>
        <w:contextualSpacing w:val="0"/>
      </w:pPr>
      <w:r w:rsidRPr="00BC1006">
        <w:t>gave a true and fair vie</w:t>
      </w:r>
      <w:r w:rsidR="00AF1B6D">
        <w:t xml:space="preserve">w of ACCAN’s financial </w:t>
      </w:r>
      <w:r w:rsidR="00AF1B6D" w:rsidRPr="00AF34C3">
        <w:t>position</w:t>
      </w:r>
      <w:r w:rsidRPr="00AF34C3">
        <w:t xml:space="preserve"> at 30 June 202</w:t>
      </w:r>
      <w:r w:rsidR="00AF34C3" w:rsidRPr="00AF34C3">
        <w:t>1</w:t>
      </w:r>
      <w:r w:rsidRPr="00AF34C3">
        <w:t xml:space="preserve"> and its performance for the year ended on that date; and</w:t>
      </w:r>
    </w:p>
    <w:p w14:paraId="060451F2" w14:textId="77777777" w:rsidR="00662665" w:rsidRPr="00BC1006" w:rsidRDefault="00662665" w:rsidP="00662665">
      <w:pPr>
        <w:pStyle w:val="Listparagraphbullets"/>
        <w:contextualSpacing w:val="0"/>
      </w:pPr>
      <w:r w:rsidRPr="00BC1006">
        <w:t>complied with Australian Accounting Standards</w:t>
      </w:r>
      <w:r>
        <w:t>—</w:t>
      </w:r>
      <w:r w:rsidRPr="00BC1006">
        <w:t>Reduced Disclosure Requirements, the Australian Charities and Not-for-profits Commission Act 2012, and Australian Charities and Not-for-profits Commission Regulation 2013, and the Corporations Regulations 2001.</w:t>
      </w:r>
    </w:p>
    <w:p w14:paraId="6EC852B4" w14:textId="77777777" w:rsidR="001B5326" w:rsidRDefault="001B5326" w:rsidP="00267C9C"/>
    <w:p w14:paraId="42A3AE05" w14:textId="107D13CE" w:rsidR="001B5326" w:rsidRDefault="00B049D7" w:rsidP="001B5326">
      <w:pPr>
        <w:pStyle w:val="Heading2"/>
      </w:pPr>
      <w:bookmarkStart w:id="9" w:name="_Toc88141956"/>
      <w:r>
        <w:t>Independent Grants Program</w:t>
      </w:r>
      <w:bookmarkEnd w:id="9"/>
    </w:p>
    <w:p w14:paraId="1C57C41E" w14:textId="77777777" w:rsidR="00B049D7" w:rsidRDefault="00B049D7" w:rsidP="00B049D7">
      <w:pPr>
        <w:keepNext/>
      </w:pPr>
      <w:r>
        <w:t>ACCAN administers a competitive Independent Grants Program (IGP) in accordance with its Funding Agreement.</w:t>
      </w:r>
    </w:p>
    <w:p w14:paraId="6E0B859E" w14:textId="77777777" w:rsidR="001B5326" w:rsidRDefault="00B049D7" w:rsidP="001B5326">
      <w:pPr>
        <w:pStyle w:val="Heading3"/>
      </w:pPr>
      <w:bookmarkStart w:id="10" w:name="_Toc88141957"/>
      <w:r>
        <w:t>2019 grants round</w:t>
      </w:r>
      <w:bookmarkEnd w:id="10"/>
    </w:p>
    <w:p w14:paraId="4B11EC9E" w14:textId="77777777" w:rsidR="00D57F0A" w:rsidRPr="008E7DC6" w:rsidRDefault="00D57F0A" w:rsidP="00D57F0A">
      <w:r>
        <w:t xml:space="preserve">Five projects funded under the 2019 grant rounds required extra time to complete their project after 30 June 2019 as a result of delays due to the impacts of COVID-19 and, as a result, the final milestone payments were paid in the 2020–21 financial year.  </w:t>
      </w:r>
    </w:p>
    <w:p w14:paraId="09AF4ABC" w14:textId="6851D276" w:rsidR="00D57F0A" w:rsidRDefault="00D57F0A" w:rsidP="00B049D7">
      <w:pPr>
        <w:spacing w:line="259" w:lineRule="auto"/>
        <w:rPr>
          <w:lang w:val="en-AU"/>
        </w:rPr>
      </w:pPr>
      <w:r>
        <w:rPr>
          <w:lang w:val="en-AU"/>
        </w:rPr>
        <w:lastRenderedPageBreak/>
        <w:t>The W</w:t>
      </w:r>
      <w:r w:rsidR="008733F4">
        <w:rPr>
          <w:lang w:val="en-AU"/>
        </w:rPr>
        <w:t>e</w:t>
      </w:r>
      <w:r>
        <w:rPr>
          <w:lang w:val="en-AU"/>
        </w:rPr>
        <w:t>stjustice grant contract was mutually terminated at the end of June 2021 as COVID-19 impacts resulted in an inability to complete the project. Unspent fund</w:t>
      </w:r>
      <w:r w:rsidR="008D0279">
        <w:rPr>
          <w:lang w:val="en-AU"/>
        </w:rPr>
        <w:t>s</w:t>
      </w:r>
      <w:r>
        <w:rPr>
          <w:lang w:val="en-AU"/>
        </w:rPr>
        <w:t xml:space="preserve"> ($30,000) were rolled over to the 2021 grant program.</w:t>
      </w:r>
    </w:p>
    <w:p w14:paraId="24D2BFE7" w14:textId="77777777" w:rsidR="00B049D7" w:rsidRDefault="00D57F0A" w:rsidP="00B0589E">
      <w:pPr>
        <w:pStyle w:val="Tablefigureheading"/>
      </w:pPr>
      <w:bookmarkStart w:id="11" w:name="_Toc31814124"/>
      <w:bookmarkStart w:id="12" w:name="_Toc32920867"/>
      <w:bookmarkStart w:id="13" w:name="_Toc58592910"/>
      <w:bookmarkStart w:id="14" w:name="_Toc87862229"/>
      <w:r>
        <w:t>Table 1</w:t>
      </w:r>
      <w:r w:rsidR="00B049D7" w:rsidRPr="00B049D7">
        <w:t xml:space="preserve">: 2019 grants round projects funded in </w:t>
      </w:r>
      <w:bookmarkEnd w:id="11"/>
      <w:bookmarkEnd w:id="12"/>
      <w:bookmarkEnd w:id="13"/>
      <w:r w:rsidR="00F75461">
        <w:t>2020-21</w:t>
      </w:r>
      <w:bookmarkEnd w:id="14"/>
    </w:p>
    <w:tbl>
      <w:tblPr>
        <w:tblStyle w:val="DefaultTable1"/>
        <w:tblpPr w:leftFromText="180" w:rightFromText="180" w:vertAnchor="text" w:horzAnchor="margin" w:tblpY="12"/>
        <w:tblW w:w="9072" w:type="dxa"/>
        <w:tblBorders>
          <w:top w:val="none" w:sz="0" w:space="0" w:color="auto"/>
          <w:bottom w:val="single" w:sz="4" w:space="0" w:color="377B88"/>
          <w:insideH w:val="single" w:sz="4" w:space="0" w:color="377B88"/>
        </w:tblBorders>
        <w:tblLook w:val="04E0" w:firstRow="1" w:lastRow="1" w:firstColumn="1" w:lastColumn="0" w:noHBand="0" w:noVBand="1"/>
        <w:tblDescription w:val="Table 2: 2019 grants round projects funded in 2019–2020"/>
      </w:tblPr>
      <w:tblGrid>
        <w:gridCol w:w="6096"/>
        <w:gridCol w:w="1417"/>
        <w:gridCol w:w="1559"/>
      </w:tblGrid>
      <w:tr w:rsidR="007449B8" w:rsidRPr="007E6AE7" w14:paraId="02662320" w14:textId="77777777" w:rsidTr="007449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shd w:val="clear" w:color="auto" w:fill="081E3E"/>
          </w:tcPr>
          <w:p w14:paraId="4418BDD6" w14:textId="77777777" w:rsidR="007449B8" w:rsidRPr="00267C9C" w:rsidRDefault="002E1988" w:rsidP="007449B8">
            <w:pPr>
              <w:pStyle w:val="Tableheader"/>
              <w:rPr>
                <w:b/>
              </w:rPr>
            </w:pPr>
            <w:r w:rsidRPr="00267C9C">
              <w:rPr>
                <w:b/>
              </w:rPr>
              <w:t>Recipient</w:t>
            </w:r>
          </w:p>
        </w:tc>
        <w:tc>
          <w:tcPr>
            <w:tcW w:w="1417" w:type="dxa"/>
            <w:shd w:val="clear" w:color="auto" w:fill="081E3E"/>
          </w:tcPr>
          <w:p w14:paraId="04378812" w14:textId="77777777" w:rsidR="007449B8" w:rsidRPr="00267C9C" w:rsidRDefault="002E1988" w:rsidP="007449B8">
            <w:pPr>
              <w:pStyle w:val="Tableheadercentred"/>
              <w:cnfStyle w:val="100000000000" w:firstRow="1" w:lastRow="0" w:firstColumn="0" w:lastColumn="0" w:oddVBand="0" w:evenVBand="0" w:oddHBand="0" w:evenHBand="0" w:firstRowFirstColumn="0" w:firstRowLastColumn="0" w:lastRowFirstColumn="0" w:lastRowLastColumn="0"/>
              <w:rPr>
                <w:b/>
              </w:rPr>
            </w:pPr>
            <w:r w:rsidRPr="00267C9C">
              <w:rPr>
                <w:b/>
              </w:rPr>
              <w:t>Grant amount (ex GST)</w:t>
            </w:r>
          </w:p>
        </w:tc>
        <w:tc>
          <w:tcPr>
            <w:tcW w:w="1559" w:type="dxa"/>
            <w:shd w:val="clear" w:color="auto" w:fill="081E3E"/>
          </w:tcPr>
          <w:p w14:paraId="616BDF65" w14:textId="77777777" w:rsidR="007449B8" w:rsidRPr="00267C9C" w:rsidRDefault="002E1988" w:rsidP="00F75461">
            <w:pPr>
              <w:pStyle w:val="Tableheadercentred"/>
              <w:cnfStyle w:val="100000000000" w:firstRow="1" w:lastRow="0" w:firstColumn="0" w:lastColumn="0" w:oddVBand="0" w:evenVBand="0" w:oddHBand="0" w:evenHBand="0" w:firstRowFirstColumn="0" w:firstRowLastColumn="0" w:lastRowFirstColumn="0" w:lastRowLastColumn="0"/>
              <w:rPr>
                <w:b/>
              </w:rPr>
            </w:pPr>
            <w:r w:rsidRPr="00267C9C">
              <w:rPr>
                <w:b/>
              </w:rPr>
              <w:t xml:space="preserve">Payments made in </w:t>
            </w:r>
            <w:r w:rsidR="00F75461" w:rsidRPr="00267C9C">
              <w:rPr>
                <w:b/>
              </w:rPr>
              <w:t>2020-21</w:t>
            </w:r>
          </w:p>
        </w:tc>
      </w:tr>
      <w:tr w:rsidR="007449B8" w:rsidRPr="007E6AE7" w14:paraId="644BB972" w14:textId="77777777" w:rsidTr="007449B8">
        <w:trPr>
          <w:cantSplit/>
        </w:trPr>
        <w:tc>
          <w:tcPr>
            <w:cnfStyle w:val="001000000000" w:firstRow="0" w:lastRow="0" w:firstColumn="1" w:lastColumn="0" w:oddVBand="0" w:evenVBand="0" w:oddHBand="0" w:evenHBand="0" w:firstRowFirstColumn="0" w:firstRowLastColumn="0" w:lastRowFirstColumn="0" w:lastRowLastColumn="0"/>
            <w:tcW w:w="6096" w:type="dxa"/>
          </w:tcPr>
          <w:p w14:paraId="235E38A6" w14:textId="77777777" w:rsidR="007449B8" w:rsidRPr="00267C9C" w:rsidRDefault="007449B8" w:rsidP="007449B8">
            <w:pPr>
              <w:suppressAutoHyphens/>
              <w:rPr>
                <w:rFonts w:ascii="Calibri" w:eastAsia="Calibri" w:hAnsi="Calibri" w:cs="Times New Roman"/>
                <w:color w:val="000000"/>
                <w:kern w:val="12"/>
                <w:lang w:val="en-AU"/>
              </w:rPr>
            </w:pPr>
            <w:r w:rsidRPr="00267C9C">
              <w:rPr>
                <w:lang w:val="en-AU"/>
              </w:rPr>
              <w:t>Monash University—‘Unregulated and segmented dark ads on social media: consumer education and regulatory options’</w:t>
            </w:r>
          </w:p>
        </w:tc>
        <w:tc>
          <w:tcPr>
            <w:tcW w:w="1417" w:type="dxa"/>
          </w:tcPr>
          <w:p w14:paraId="70B010B8" w14:textId="77777777" w:rsidR="007449B8" w:rsidRPr="00267C9C" w:rsidRDefault="00F75461" w:rsidP="007449B8">
            <w:pPr>
              <w:pStyle w:val="Normalcentred"/>
              <w:cnfStyle w:val="000000000000" w:firstRow="0" w:lastRow="0" w:firstColumn="0" w:lastColumn="0" w:oddVBand="0" w:evenVBand="0" w:oddHBand="0" w:evenHBand="0" w:firstRowFirstColumn="0" w:firstRowLastColumn="0" w:lastRowFirstColumn="0" w:lastRowLastColumn="0"/>
            </w:pPr>
            <w:r w:rsidRPr="00267C9C">
              <w:t>$49,579</w:t>
            </w:r>
          </w:p>
        </w:tc>
        <w:tc>
          <w:tcPr>
            <w:tcW w:w="1559" w:type="dxa"/>
          </w:tcPr>
          <w:p w14:paraId="2D7E6093" w14:textId="77777777" w:rsidR="007449B8" w:rsidRPr="00267C9C" w:rsidRDefault="00A16DCE" w:rsidP="007449B8">
            <w:pPr>
              <w:pStyle w:val="Normalcentred"/>
              <w:cnfStyle w:val="000000000000" w:firstRow="0" w:lastRow="0" w:firstColumn="0" w:lastColumn="0" w:oddVBand="0" w:evenVBand="0" w:oddHBand="0" w:evenHBand="0" w:firstRowFirstColumn="0" w:firstRowLastColumn="0" w:lastRowFirstColumn="0" w:lastRowLastColumn="0"/>
            </w:pPr>
            <w:r w:rsidRPr="00267C9C">
              <w:t>$7,979</w:t>
            </w:r>
          </w:p>
        </w:tc>
      </w:tr>
      <w:tr w:rsidR="007449B8" w:rsidRPr="007E6AE7" w14:paraId="625585F0" w14:textId="77777777" w:rsidTr="007449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shd w:val="clear" w:color="auto" w:fill="F2F2F2"/>
          </w:tcPr>
          <w:p w14:paraId="481646A5" w14:textId="77777777" w:rsidR="007449B8" w:rsidRPr="00267C9C" w:rsidRDefault="002E1988" w:rsidP="007449B8">
            <w:pPr>
              <w:suppressAutoHyphens/>
              <w:rPr>
                <w:rFonts w:ascii="Calibri" w:eastAsia="Calibri" w:hAnsi="Calibri" w:cs="Times New Roman"/>
                <w:color w:val="000000"/>
                <w:kern w:val="12"/>
                <w:lang w:val="en-AU"/>
              </w:rPr>
            </w:pPr>
            <w:r w:rsidRPr="00267C9C">
              <w:rPr>
                <w:lang w:val="en-AU"/>
              </w:rPr>
              <w:t>WESNET—‘Staying Safe: empowering women to navigate privacy, safety and security mobile apps in the Australian marketplace’</w:t>
            </w:r>
          </w:p>
        </w:tc>
        <w:tc>
          <w:tcPr>
            <w:tcW w:w="1417" w:type="dxa"/>
            <w:shd w:val="clear" w:color="auto" w:fill="F2F2F2"/>
          </w:tcPr>
          <w:p w14:paraId="19A107ED" w14:textId="77777777" w:rsidR="007449B8" w:rsidRPr="00267C9C" w:rsidRDefault="00F75461" w:rsidP="007449B8">
            <w:pPr>
              <w:pStyle w:val="Normalcentred"/>
              <w:cnfStyle w:val="000000010000" w:firstRow="0" w:lastRow="0" w:firstColumn="0" w:lastColumn="0" w:oddVBand="0" w:evenVBand="0" w:oddHBand="0" w:evenHBand="1" w:firstRowFirstColumn="0" w:firstRowLastColumn="0" w:lastRowFirstColumn="0" w:lastRowLastColumn="0"/>
            </w:pPr>
            <w:r w:rsidRPr="00267C9C">
              <w:t>$49,807</w:t>
            </w:r>
          </w:p>
        </w:tc>
        <w:tc>
          <w:tcPr>
            <w:tcW w:w="1559" w:type="dxa"/>
            <w:shd w:val="clear" w:color="auto" w:fill="F2F2F2"/>
          </w:tcPr>
          <w:p w14:paraId="51B9DCB9" w14:textId="77777777" w:rsidR="007449B8" w:rsidRPr="00267C9C" w:rsidRDefault="00A16DCE" w:rsidP="007449B8">
            <w:pPr>
              <w:pStyle w:val="Normalcentred"/>
              <w:cnfStyle w:val="000000010000" w:firstRow="0" w:lastRow="0" w:firstColumn="0" w:lastColumn="0" w:oddVBand="0" w:evenVBand="0" w:oddHBand="0" w:evenHBand="1" w:firstRowFirstColumn="0" w:firstRowLastColumn="0" w:lastRowFirstColumn="0" w:lastRowLastColumn="0"/>
            </w:pPr>
            <w:r w:rsidRPr="00267C9C">
              <w:t>$12,451</w:t>
            </w:r>
          </w:p>
        </w:tc>
      </w:tr>
      <w:tr w:rsidR="007449B8" w:rsidRPr="007E6AE7" w14:paraId="378C4171" w14:textId="77777777" w:rsidTr="007449B8">
        <w:trPr>
          <w:cantSplit/>
        </w:trPr>
        <w:tc>
          <w:tcPr>
            <w:cnfStyle w:val="001000000000" w:firstRow="0" w:lastRow="0" w:firstColumn="1" w:lastColumn="0" w:oddVBand="0" w:evenVBand="0" w:oddHBand="0" w:evenHBand="0" w:firstRowFirstColumn="0" w:firstRowLastColumn="0" w:lastRowFirstColumn="0" w:lastRowLastColumn="0"/>
            <w:tcW w:w="6096" w:type="dxa"/>
          </w:tcPr>
          <w:p w14:paraId="06003523" w14:textId="77777777" w:rsidR="007449B8" w:rsidRPr="00267C9C" w:rsidRDefault="002E1988" w:rsidP="007449B8">
            <w:pPr>
              <w:suppressAutoHyphens/>
              <w:rPr>
                <w:rFonts w:ascii="Calibri" w:eastAsia="Calibri" w:hAnsi="Calibri" w:cs="Times New Roman"/>
                <w:color w:val="000000"/>
                <w:kern w:val="12"/>
                <w:lang w:val="en-AU"/>
              </w:rPr>
            </w:pPr>
            <w:r w:rsidRPr="00267C9C">
              <w:rPr>
                <w:lang w:val="en-AU"/>
              </w:rPr>
              <w:t>First Nations Media Australia—‘Indigenous communities’ experiences and perspectives of digital inclusion’</w:t>
            </w:r>
          </w:p>
        </w:tc>
        <w:tc>
          <w:tcPr>
            <w:tcW w:w="1417" w:type="dxa"/>
          </w:tcPr>
          <w:p w14:paraId="5103373C" w14:textId="77777777" w:rsidR="007449B8" w:rsidRPr="00267C9C" w:rsidRDefault="00F75461" w:rsidP="007449B8">
            <w:pPr>
              <w:pStyle w:val="Normalcentred"/>
              <w:cnfStyle w:val="000000000000" w:firstRow="0" w:lastRow="0" w:firstColumn="0" w:lastColumn="0" w:oddVBand="0" w:evenVBand="0" w:oddHBand="0" w:evenHBand="0" w:firstRowFirstColumn="0" w:firstRowLastColumn="0" w:lastRowFirstColumn="0" w:lastRowLastColumn="0"/>
            </w:pPr>
            <w:r w:rsidRPr="00267C9C">
              <w:t>$49,670</w:t>
            </w:r>
          </w:p>
        </w:tc>
        <w:tc>
          <w:tcPr>
            <w:tcW w:w="1559" w:type="dxa"/>
          </w:tcPr>
          <w:p w14:paraId="036AE97E" w14:textId="77777777" w:rsidR="007449B8" w:rsidRPr="00267C9C" w:rsidRDefault="00A16DCE" w:rsidP="007449B8">
            <w:pPr>
              <w:pStyle w:val="Normalcentred"/>
              <w:cnfStyle w:val="000000000000" w:firstRow="0" w:lastRow="0" w:firstColumn="0" w:lastColumn="0" w:oddVBand="0" w:evenVBand="0" w:oddHBand="0" w:evenHBand="0" w:firstRowFirstColumn="0" w:firstRowLastColumn="0" w:lastRowFirstColumn="0" w:lastRowLastColumn="0"/>
            </w:pPr>
            <w:r w:rsidRPr="00267C9C">
              <w:t>$31,670</w:t>
            </w:r>
          </w:p>
        </w:tc>
      </w:tr>
      <w:tr w:rsidR="007449B8" w:rsidRPr="007E6AE7" w14:paraId="4990605F" w14:textId="77777777" w:rsidTr="007449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Pr>
          <w:p w14:paraId="1AB76E82" w14:textId="77777777" w:rsidR="007449B8" w:rsidRPr="00267C9C" w:rsidRDefault="002E1988" w:rsidP="007449B8">
            <w:pPr>
              <w:suppressAutoHyphens/>
              <w:rPr>
                <w:rFonts w:ascii="Calibri" w:eastAsia="Calibri" w:hAnsi="Calibri" w:cs="Times New Roman"/>
                <w:color w:val="000000"/>
                <w:kern w:val="12"/>
                <w:lang w:val="en-AU"/>
              </w:rPr>
            </w:pPr>
            <w:r w:rsidRPr="00267C9C">
              <w:rPr>
                <w:lang w:val="en-AU"/>
              </w:rPr>
              <w:t>Deakin University—‘Regulating the Internet of Things to Protect Consumer Privacy’</w:t>
            </w:r>
          </w:p>
        </w:tc>
        <w:tc>
          <w:tcPr>
            <w:tcW w:w="1417" w:type="dxa"/>
          </w:tcPr>
          <w:p w14:paraId="0A173EA2" w14:textId="77777777" w:rsidR="007449B8" w:rsidRPr="00267C9C" w:rsidRDefault="00F75461" w:rsidP="007449B8">
            <w:pPr>
              <w:pStyle w:val="Normalcentred"/>
              <w:cnfStyle w:val="000000010000" w:firstRow="0" w:lastRow="0" w:firstColumn="0" w:lastColumn="0" w:oddVBand="0" w:evenVBand="0" w:oddHBand="0" w:evenHBand="1" w:firstRowFirstColumn="0" w:firstRowLastColumn="0" w:lastRowFirstColumn="0" w:lastRowLastColumn="0"/>
            </w:pPr>
            <w:r w:rsidRPr="00267C9C">
              <w:t>$76,195</w:t>
            </w:r>
          </w:p>
        </w:tc>
        <w:tc>
          <w:tcPr>
            <w:tcW w:w="1559" w:type="dxa"/>
          </w:tcPr>
          <w:p w14:paraId="38CA7251" w14:textId="77777777" w:rsidR="007449B8" w:rsidRPr="00267C9C" w:rsidRDefault="00A16DCE" w:rsidP="007449B8">
            <w:pPr>
              <w:pStyle w:val="Normalcentred"/>
              <w:cnfStyle w:val="000000010000" w:firstRow="0" w:lastRow="0" w:firstColumn="0" w:lastColumn="0" w:oddVBand="0" w:evenVBand="0" w:oddHBand="0" w:evenHBand="1" w:firstRowFirstColumn="0" w:firstRowLastColumn="0" w:lastRowFirstColumn="0" w:lastRowLastColumn="0"/>
            </w:pPr>
            <w:r w:rsidRPr="00267C9C">
              <w:t>$38,097</w:t>
            </w:r>
          </w:p>
        </w:tc>
      </w:tr>
      <w:tr w:rsidR="002E1988" w:rsidRPr="007E6AE7" w14:paraId="51779344" w14:textId="77777777" w:rsidTr="007449B8">
        <w:trPr>
          <w:cantSplit/>
        </w:trPr>
        <w:tc>
          <w:tcPr>
            <w:cnfStyle w:val="001000000000" w:firstRow="0" w:lastRow="0" w:firstColumn="1" w:lastColumn="0" w:oddVBand="0" w:evenVBand="0" w:oddHBand="0" w:evenHBand="0" w:firstRowFirstColumn="0" w:firstRowLastColumn="0" w:lastRowFirstColumn="0" w:lastRowLastColumn="0"/>
            <w:tcW w:w="6096" w:type="dxa"/>
          </w:tcPr>
          <w:p w14:paraId="42CDF946" w14:textId="77777777" w:rsidR="002E1988" w:rsidRPr="00267C9C" w:rsidRDefault="002E1988" w:rsidP="007449B8">
            <w:pPr>
              <w:suppressAutoHyphens/>
              <w:rPr>
                <w:lang w:val="en-AU"/>
              </w:rPr>
            </w:pPr>
            <w:r w:rsidRPr="00267C9C">
              <w:rPr>
                <w:lang w:val="en-AU"/>
              </w:rPr>
              <w:t>SACOSS—‘Telecommunications and the Working Poor’</w:t>
            </w:r>
          </w:p>
        </w:tc>
        <w:tc>
          <w:tcPr>
            <w:tcW w:w="1417" w:type="dxa"/>
          </w:tcPr>
          <w:p w14:paraId="72E0C752" w14:textId="77777777" w:rsidR="002E1988" w:rsidRPr="00267C9C" w:rsidRDefault="00F75461" w:rsidP="007449B8">
            <w:pPr>
              <w:pStyle w:val="Normalcentred"/>
              <w:cnfStyle w:val="000000000000" w:firstRow="0" w:lastRow="0" w:firstColumn="0" w:lastColumn="0" w:oddVBand="0" w:evenVBand="0" w:oddHBand="0" w:evenHBand="0" w:firstRowFirstColumn="0" w:firstRowLastColumn="0" w:lastRowFirstColumn="0" w:lastRowLastColumn="0"/>
            </w:pPr>
            <w:r w:rsidRPr="00267C9C">
              <w:t>$99,112</w:t>
            </w:r>
          </w:p>
        </w:tc>
        <w:tc>
          <w:tcPr>
            <w:tcW w:w="1559" w:type="dxa"/>
          </w:tcPr>
          <w:p w14:paraId="344B8D46" w14:textId="77777777" w:rsidR="002E1988" w:rsidRPr="00267C9C" w:rsidRDefault="00A16DCE" w:rsidP="007449B8">
            <w:pPr>
              <w:pStyle w:val="Normalcentred"/>
              <w:cnfStyle w:val="000000000000" w:firstRow="0" w:lastRow="0" w:firstColumn="0" w:lastColumn="0" w:oddVBand="0" w:evenVBand="0" w:oddHBand="0" w:evenHBand="0" w:firstRowFirstColumn="0" w:firstRowLastColumn="0" w:lastRowFirstColumn="0" w:lastRowLastColumn="0"/>
            </w:pPr>
            <w:r w:rsidRPr="00267C9C">
              <w:t>$24,778</w:t>
            </w:r>
          </w:p>
        </w:tc>
      </w:tr>
      <w:tr w:rsidR="002E1988" w:rsidRPr="007E6AE7" w14:paraId="6A4160A8" w14:textId="77777777" w:rsidTr="00D57F0A">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shd w:val="clear" w:color="auto" w:fill="F2F2F2" w:themeFill="background1" w:themeFillShade="F2"/>
          </w:tcPr>
          <w:p w14:paraId="73597390" w14:textId="2C29C7AB" w:rsidR="002E1988" w:rsidRPr="00267C9C" w:rsidRDefault="002E1988" w:rsidP="00043EED">
            <w:pPr>
              <w:suppressAutoHyphens/>
              <w:rPr>
                <w:lang w:val="en-AU"/>
              </w:rPr>
            </w:pPr>
            <w:r w:rsidRPr="00267C9C">
              <w:rPr>
                <w:lang w:val="en-AU"/>
              </w:rPr>
              <w:t>W</w:t>
            </w:r>
            <w:r w:rsidR="00043EED">
              <w:rPr>
                <w:lang w:val="en-AU"/>
              </w:rPr>
              <w:t>e</w:t>
            </w:r>
            <w:r w:rsidRPr="00267C9C">
              <w:rPr>
                <w:lang w:val="en-AU"/>
              </w:rPr>
              <w:t>stjustice—‘Newly-arrived consumers telecommunications advocacy project’</w:t>
            </w:r>
          </w:p>
        </w:tc>
        <w:tc>
          <w:tcPr>
            <w:tcW w:w="1417" w:type="dxa"/>
            <w:shd w:val="clear" w:color="auto" w:fill="F2F2F2" w:themeFill="background1" w:themeFillShade="F2"/>
          </w:tcPr>
          <w:p w14:paraId="49B34FAD" w14:textId="77777777" w:rsidR="002E1988" w:rsidRPr="00267C9C" w:rsidRDefault="00F75461" w:rsidP="007449B8">
            <w:pPr>
              <w:pStyle w:val="Normalcentred"/>
              <w:cnfStyle w:val="010000000000" w:firstRow="0" w:lastRow="1" w:firstColumn="0" w:lastColumn="0" w:oddVBand="0" w:evenVBand="0" w:oddHBand="0" w:evenHBand="0" w:firstRowFirstColumn="0" w:firstRowLastColumn="0" w:lastRowFirstColumn="0" w:lastRowLastColumn="0"/>
              <w:rPr>
                <w:b w:val="0"/>
              </w:rPr>
            </w:pPr>
            <w:r w:rsidRPr="00267C9C">
              <w:rPr>
                <w:b w:val="0"/>
              </w:rPr>
              <w:t>$50,000 (revised to $20,000)</w:t>
            </w:r>
          </w:p>
        </w:tc>
        <w:tc>
          <w:tcPr>
            <w:tcW w:w="1559" w:type="dxa"/>
            <w:shd w:val="clear" w:color="auto" w:fill="F2F2F2" w:themeFill="background1" w:themeFillShade="F2"/>
          </w:tcPr>
          <w:p w14:paraId="7F047D21" w14:textId="77777777" w:rsidR="002E1988" w:rsidRPr="00267C9C" w:rsidRDefault="00A16DCE" w:rsidP="007449B8">
            <w:pPr>
              <w:pStyle w:val="Normalcentred"/>
              <w:cnfStyle w:val="010000000000" w:firstRow="0" w:lastRow="1" w:firstColumn="0" w:lastColumn="0" w:oddVBand="0" w:evenVBand="0" w:oddHBand="0" w:evenHBand="0" w:firstRowFirstColumn="0" w:firstRowLastColumn="0" w:lastRowFirstColumn="0" w:lastRowLastColumn="0"/>
              <w:rPr>
                <w:b w:val="0"/>
              </w:rPr>
            </w:pPr>
            <w:r w:rsidRPr="00267C9C">
              <w:rPr>
                <w:b w:val="0"/>
              </w:rPr>
              <w:t>$0</w:t>
            </w:r>
          </w:p>
        </w:tc>
      </w:tr>
    </w:tbl>
    <w:p w14:paraId="69260F08" w14:textId="77777777" w:rsidR="007449B8" w:rsidRDefault="007449B8" w:rsidP="00B049D7">
      <w:pPr>
        <w:spacing w:line="259" w:lineRule="auto"/>
        <w:rPr>
          <w:lang w:val="en-AU"/>
        </w:rPr>
      </w:pPr>
    </w:p>
    <w:p w14:paraId="741B855D" w14:textId="77777777" w:rsidR="00B049D7" w:rsidRDefault="00D57F0A" w:rsidP="00B049D7">
      <w:pPr>
        <w:pStyle w:val="Heading3"/>
      </w:pPr>
      <w:bookmarkStart w:id="15" w:name="_Toc88141958"/>
      <w:r>
        <w:t>2</w:t>
      </w:r>
      <w:r w:rsidR="00B049D7">
        <w:t>020 grants round</w:t>
      </w:r>
      <w:bookmarkEnd w:id="15"/>
    </w:p>
    <w:p w14:paraId="5ED82A5C" w14:textId="77777777" w:rsidR="00267C9C" w:rsidRDefault="00267C9C" w:rsidP="00267C9C">
      <w:pPr>
        <w:spacing w:line="259" w:lineRule="auto"/>
        <w:rPr>
          <w:lang w:val="en-AU"/>
        </w:rPr>
      </w:pPr>
      <w:r>
        <w:t>In 2020–21</w:t>
      </w:r>
      <w:r w:rsidR="000074B8">
        <w:t>,</w:t>
      </w:r>
      <w:r>
        <w:t xml:space="preserve"> ACCAN provided funding to eight</w:t>
      </w:r>
      <w:r w:rsidR="000074B8">
        <w:t xml:space="preserve"> recipients</w:t>
      </w:r>
      <w:r>
        <w:t xml:space="preserve"> who were successful in the 2020</w:t>
      </w:r>
      <w:r w:rsidR="000074B8">
        <w:t xml:space="preserve"> IGP applicat</w:t>
      </w:r>
      <w:r>
        <w:t>ion process (run during the 2019–20</w:t>
      </w:r>
      <w:r w:rsidR="000074B8">
        <w:t xml:space="preserve"> financial year). Activity on </w:t>
      </w:r>
      <w:r>
        <w:t xml:space="preserve">these projects commenced in 2020–21. </w:t>
      </w:r>
    </w:p>
    <w:p w14:paraId="25DDE2B7" w14:textId="0E344E69" w:rsidR="00086B46" w:rsidRPr="00A16448" w:rsidRDefault="00086B46" w:rsidP="00086B46">
      <w:r w:rsidRPr="00A16448">
        <w:t xml:space="preserve">The projects </w:t>
      </w:r>
      <w:r w:rsidRPr="0044431A">
        <w:t xml:space="preserve">relate to </w:t>
      </w:r>
      <w:r w:rsidR="00267C9C" w:rsidRPr="0044431A">
        <w:t>the Internet of Things, digital inclusion</w:t>
      </w:r>
      <w:r w:rsidR="0044431A" w:rsidRPr="0044431A">
        <w:t xml:space="preserve"> for older adults</w:t>
      </w:r>
      <w:r w:rsidR="00267C9C" w:rsidRPr="0044431A">
        <w:t xml:space="preserve">, </w:t>
      </w:r>
      <w:r w:rsidR="003B7B3F">
        <w:t xml:space="preserve">the </w:t>
      </w:r>
      <w:r w:rsidR="00267C9C" w:rsidRPr="0044431A">
        <w:t>accessibility</w:t>
      </w:r>
      <w:r w:rsidR="0044431A" w:rsidRPr="0044431A">
        <w:t xml:space="preserve"> </w:t>
      </w:r>
      <w:r w:rsidR="003B7B3F">
        <w:t>of</w:t>
      </w:r>
      <w:r w:rsidR="0044431A" w:rsidRPr="0044431A">
        <w:t xml:space="preserve"> carrier website</w:t>
      </w:r>
      <w:r w:rsidR="00F52C32">
        <w:t>s</w:t>
      </w:r>
      <w:r w:rsidRPr="0044431A">
        <w:t xml:space="preserve">, </w:t>
      </w:r>
      <w:r w:rsidR="0044431A" w:rsidRPr="0044431A">
        <w:t>children’s privacy, accessibility of streaming services</w:t>
      </w:r>
      <w:r w:rsidR="003B7B3F">
        <w:t xml:space="preserve"> for those with disabilities</w:t>
      </w:r>
      <w:r w:rsidR="0044431A" w:rsidRPr="0044431A">
        <w:t>, regional and rural consumer</w:t>
      </w:r>
      <w:r w:rsidR="003B7B3F">
        <w:t>s</w:t>
      </w:r>
      <w:r w:rsidR="0044431A" w:rsidRPr="0044431A">
        <w:t xml:space="preserve"> understanding of smart technologies, </w:t>
      </w:r>
      <w:r w:rsidR="003B7B3F">
        <w:t xml:space="preserve">improving </w:t>
      </w:r>
      <w:r w:rsidR="0044431A" w:rsidRPr="0044431A">
        <w:t>regional broadband, and e-change and remote work.</w:t>
      </w:r>
    </w:p>
    <w:p w14:paraId="4C4F5169" w14:textId="77777777" w:rsidR="000074B8" w:rsidRDefault="00267C9C" w:rsidP="00267C9C">
      <w:pPr>
        <w:pStyle w:val="Tablefigureheading"/>
      </w:pPr>
      <w:bookmarkStart w:id="16" w:name="_Toc87862230"/>
      <w:r>
        <w:t>Table 2: 2020</w:t>
      </w:r>
      <w:r w:rsidRPr="00B049D7">
        <w:t xml:space="preserve"> grants round projects funded in </w:t>
      </w:r>
      <w:r>
        <w:t>2020-21</w:t>
      </w:r>
      <w:bookmarkEnd w:id="16"/>
    </w:p>
    <w:tbl>
      <w:tblPr>
        <w:tblStyle w:val="DefaultTable1"/>
        <w:tblpPr w:leftFromText="180" w:rightFromText="180" w:vertAnchor="text" w:horzAnchor="margin" w:tblpY="12"/>
        <w:tblW w:w="9072" w:type="dxa"/>
        <w:tblBorders>
          <w:top w:val="none" w:sz="0" w:space="0" w:color="auto"/>
          <w:bottom w:val="single" w:sz="4" w:space="0" w:color="377B88"/>
          <w:insideH w:val="single" w:sz="4" w:space="0" w:color="377B88"/>
        </w:tblBorders>
        <w:tblLook w:val="04E0" w:firstRow="1" w:lastRow="1" w:firstColumn="1" w:lastColumn="0" w:noHBand="0" w:noVBand="1"/>
        <w:tblDescription w:val="Table 2: 2019 grants round projects funded in 2019–2020"/>
      </w:tblPr>
      <w:tblGrid>
        <w:gridCol w:w="6096"/>
        <w:gridCol w:w="1417"/>
        <w:gridCol w:w="1559"/>
      </w:tblGrid>
      <w:tr w:rsidR="007449B8" w:rsidRPr="007E6AE7" w14:paraId="191B8537" w14:textId="77777777" w:rsidTr="00580EF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shd w:val="clear" w:color="auto" w:fill="081E3E"/>
          </w:tcPr>
          <w:p w14:paraId="19F2F533" w14:textId="77777777" w:rsidR="007449B8" w:rsidRPr="007E6AE7" w:rsidRDefault="00F31747" w:rsidP="00580EF1">
            <w:pPr>
              <w:pStyle w:val="Tableheader"/>
              <w:rPr>
                <w:b/>
              </w:rPr>
            </w:pPr>
            <w:r>
              <w:rPr>
                <w:b/>
              </w:rPr>
              <w:t>Recipient</w:t>
            </w:r>
          </w:p>
        </w:tc>
        <w:tc>
          <w:tcPr>
            <w:tcW w:w="1417" w:type="dxa"/>
            <w:shd w:val="clear" w:color="auto" w:fill="081E3E"/>
          </w:tcPr>
          <w:p w14:paraId="18B56704" w14:textId="77777777" w:rsidR="007449B8" w:rsidRPr="007E6AE7" w:rsidRDefault="00F31747" w:rsidP="00F31747">
            <w:pPr>
              <w:pStyle w:val="Tableheadercentred"/>
              <w:jc w:val="left"/>
              <w:cnfStyle w:val="100000000000" w:firstRow="1" w:lastRow="0" w:firstColumn="0" w:lastColumn="0" w:oddVBand="0" w:evenVBand="0" w:oddHBand="0" w:evenHBand="0" w:firstRowFirstColumn="0" w:firstRowLastColumn="0" w:lastRowFirstColumn="0" w:lastRowLastColumn="0"/>
              <w:rPr>
                <w:b/>
              </w:rPr>
            </w:pPr>
            <w:r>
              <w:rPr>
                <w:b/>
              </w:rPr>
              <w:t>Grant amount (ex GST)</w:t>
            </w:r>
          </w:p>
        </w:tc>
        <w:tc>
          <w:tcPr>
            <w:tcW w:w="1559" w:type="dxa"/>
            <w:shd w:val="clear" w:color="auto" w:fill="081E3E"/>
          </w:tcPr>
          <w:p w14:paraId="023DD4DB" w14:textId="77777777" w:rsidR="007449B8" w:rsidRPr="007E6AE7" w:rsidRDefault="00A16DCE" w:rsidP="00580EF1">
            <w:pPr>
              <w:pStyle w:val="Tableheadercentred"/>
              <w:cnfStyle w:val="100000000000" w:firstRow="1" w:lastRow="0" w:firstColumn="0" w:lastColumn="0" w:oddVBand="0" w:evenVBand="0" w:oddHBand="0" w:evenHBand="0" w:firstRowFirstColumn="0" w:firstRowLastColumn="0" w:lastRowFirstColumn="0" w:lastRowLastColumn="0"/>
              <w:rPr>
                <w:b/>
              </w:rPr>
            </w:pPr>
            <w:r>
              <w:rPr>
                <w:b/>
              </w:rPr>
              <w:t>Payments made in 2020-21</w:t>
            </w:r>
          </w:p>
        </w:tc>
      </w:tr>
      <w:tr w:rsidR="007449B8" w:rsidRPr="007E6AE7" w14:paraId="1DF7E2AA" w14:textId="77777777" w:rsidTr="00580EF1">
        <w:trPr>
          <w:cantSplit/>
        </w:trPr>
        <w:tc>
          <w:tcPr>
            <w:cnfStyle w:val="001000000000" w:firstRow="0" w:lastRow="0" w:firstColumn="1" w:lastColumn="0" w:oddVBand="0" w:evenVBand="0" w:oddHBand="0" w:evenHBand="0" w:firstRowFirstColumn="0" w:firstRowLastColumn="0" w:lastRowFirstColumn="0" w:lastRowLastColumn="0"/>
            <w:tcW w:w="6096" w:type="dxa"/>
          </w:tcPr>
          <w:p w14:paraId="4FD2568A" w14:textId="77777777" w:rsidR="007449B8" w:rsidRPr="00267C9C" w:rsidRDefault="00F31747" w:rsidP="00F31747">
            <w:pPr>
              <w:suppressAutoHyphens/>
              <w:rPr>
                <w:rFonts w:ascii="Calibri" w:eastAsia="Calibri" w:hAnsi="Calibri" w:cs="Times New Roman"/>
                <w:color w:val="000000"/>
                <w:kern w:val="12"/>
                <w:lang w:val="en-AU"/>
              </w:rPr>
            </w:pPr>
            <w:r w:rsidRPr="00267C9C">
              <w:rPr>
                <w:rFonts w:ascii="Calibri" w:eastAsia="Calibri" w:hAnsi="Calibri" w:cs="Times New Roman"/>
                <w:color w:val="000000"/>
                <w:kern w:val="12"/>
                <w:lang w:val="en-AU"/>
              </w:rPr>
              <w:t xml:space="preserve">UTS - </w:t>
            </w:r>
            <w:r w:rsidRPr="00267C9C">
              <w:t xml:space="preserve"> </w:t>
            </w:r>
            <w:r w:rsidRPr="00267C9C">
              <w:rPr>
                <w:rFonts w:ascii="Calibri" w:eastAsia="Calibri" w:hAnsi="Calibri" w:cs="Times New Roman"/>
                <w:color w:val="000000"/>
                <w:kern w:val="12"/>
                <w:lang w:val="en-AU"/>
              </w:rPr>
              <w:t>Regulating to Protect Security and Privacy in the Consumer Internet of Things (IoT)</w:t>
            </w:r>
          </w:p>
        </w:tc>
        <w:tc>
          <w:tcPr>
            <w:tcW w:w="1417" w:type="dxa"/>
          </w:tcPr>
          <w:p w14:paraId="534EC885" w14:textId="77777777" w:rsidR="007449B8" w:rsidRPr="00267C9C" w:rsidRDefault="00F31747" w:rsidP="00580EF1">
            <w:pPr>
              <w:pStyle w:val="Normalcentred"/>
              <w:cnfStyle w:val="000000000000" w:firstRow="0" w:lastRow="0" w:firstColumn="0" w:lastColumn="0" w:oddVBand="0" w:evenVBand="0" w:oddHBand="0" w:evenHBand="0" w:firstRowFirstColumn="0" w:firstRowLastColumn="0" w:lastRowFirstColumn="0" w:lastRowLastColumn="0"/>
            </w:pPr>
            <w:r w:rsidRPr="00267C9C">
              <w:t>$65,091</w:t>
            </w:r>
          </w:p>
        </w:tc>
        <w:tc>
          <w:tcPr>
            <w:tcW w:w="1559" w:type="dxa"/>
          </w:tcPr>
          <w:p w14:paraId="106F6EBC" w14:textId="77777777" w:rsidR="007449B8" w:rsidRPr="00267C9C" w:rsidRDefault="00A16DCE" w:rsidP="00580EF1">
            <w:pPr>
              <w:pStyle w:val="Normalcentred"/>
              <w:cnfStyle w:val="000000000000" w:firstRow="0" w:lastRow="0" w:firstColumn="0" w:lastColumn="0" w:oddVBand="0" w:evenVBand="0" w:oddHBand="0" w:evenHBand="0" w:firstRowFirstColumn="0" w:firstRowLastColumn="0" w:lastRowFirstColumn="0" w:lastRowLastColumn="0"/>
            </w:pPr>
            <w:r w:rsidRPr="00267C9C">
              <w:t>$17,091</w:t>
            </w:r>
          </w:p>
        </w:tc>
      </w:tr>
      <w:tr w:rsidR="007449B8" w:rsidRPr="007E6AE7" w14:paraId="6E7D32D0" w14:textId="77777777" w:rsidTr="00580EF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shd w:val="clear" w:color="auto" w:fill="F2F2F2"/>
          </w:tcPr>
          <w:p w14:paraId="49BF485B" w14:textId="77777777" w:rsidR="007449B8" w:rsidRPr="00267C9C" w:rsidRDefault="00F31747" w:rsidP="00267C9C">
            <w:pPr>
              <w:pStyle w:val="Default"/>
              <w:rPr>
                <w:sz w:val="20"/>
                <w:szCs w:val="20"/>
              </w:rPr>
            </w:pPr>
            <w:r w:rsidRPr="00267C9C">
              <w:rPr>
                <w:sz w:val="20"/>
                <w:szCs w:val="20"/>
              </w:rPr>
              <w:t xml:space="preserve">RMIT - Co-designing participatory strategies with older adults to reduce perceived risk and promote digital inclusion </w:t>
            </w:r>
          </w:p>
        </w:tc>
        <w:tc>
          <w:tcPr>
            <w:tcW w:w="1417" w:type="dxa"/>
            <w:shd w:val="clear" w:color="auto" w:fill="F2F2F2"/>
          </w:tcPr>
          <w:p w14:paraId="4A47B887" w14:textId="77777777" w:rsidR="007449B8" w:rsidRPr="00267C9C" w:rsidRDefault="00F31747" w:rsidP="00580EF1">
            <w:pPr>
              <w:pStyle w:val="Normalcentred"/>
              <w:cnfStyle w:val="000000010000" w:firstRow="0" w:lastRow="0" w:firstColumn="0" w:lastColumn="0" w:oddVBand="0" w:evenVBand="0" w:oddHBand="0" w:evenHBand="1" w:firstRowFirstColumn="0" w:firstRowLastColumn="0" w:lastRowFirstColumn="0" w:lastRowLastColumn="0"/>
            </w:pPr>
            <w:r w:rsidRPr="00267C9C">
              <w:t>$98,637</w:t>
            </w:r>
          </w:p>
        </w:tc>
        <w:tc>
          <w:tcPr>
            <w:tcW w:w="1559" w:type="dxa"/>
            <w:shd w:val="clear" w:color="auto" w:fill="F2F2F2"/>
          </w:tcPr>
          <w:p w14:paraId="3C7EFB58" w14:textId="77777777" w:rsidR="007449B8" w:rsidRPr="00267C9C" w:rsidRDefault="00A16DCE" w:rsidP="00580EF1">
            <w:pPr>
              <w:pStyle w:val="Normalcentred"/>
              <w:cnfStyle w:val="000000010000" w:firstRow="0" w:lastRow="0" w:firstColumn="0" w:lastColumn="0" w:oddVBand="0" w:evenVBand="0" w:oddHBand="0" w:evenHBand="1" w:firstRowFirstColumn="0" w:firstRowLastColumn="0" w:lastRowFirstColumn="0" w:lastRowLastColumn="0"/>
            </w:pPr>
            <w:r w:rsidRPr="00267C9C">
              <w:t>$41,637</w:t>
            </w:r>
          </w:p>
        </w:tc>
      </w:tr>
      <w:tr w:rsidR="007449B8" w:rsidRPr="007E6AE7" w14:paraId="6A147EF4" w14:textId="77777777" w:rsidTr="00580EF1">
        <w:trPr>
          <w:cantSplit/>
        </w:trPr>
        <w:tc>
          <w:tcPr>
            <w:cnfStyle w:val="001000000000" w:firstRow="0" w:lastRow="0" w:firstColumn="1" w:lastColumn="0" w:oddVBand="0" w:evenVBand="0" w:oddHBand="0" w:evenHBand="0" w:firstRowFirstColumn="0" w:firstRowLastColumn="0" w:lastRowFirstColumn="0" w:lastRowLastColumn="0"/>
            <w:tcW w:w="6096" w:type="dxa"/>
          </w:tcPr>
          <w:p w14:paraId="54133937" w14:textId="77777777" w:rsidR="007449B8" w:rsidRPr="00267C9C" w:rsidRDefault="00F31747" w:rsidP="00267C9C">
            <w:pPr>
              <w:pStyle w:val="Default"/>
              <w:rPr>
                <w:sz w:val="20"/>
                <w:szCs w:val="20"/>
              </w:rPr>
            </w:pPr>
            <w:r w:rsidRPr="00267C9C">
              <w:rPr>
                <w:sz w:val="20"/>
                <w:szCs w:val="20"/>
              </w:rPr>
              <w:t>Centre for Accessibility - Telcos for all: addressing key accessibility issues faced by consumers on telecommunications carrier websites</w:t>
            </w:r>
          </w:p>
        </w:tc>
        <w:tc>
          <w:tcPr>
            <w:tcW w:w="1417" w:type="dxa"/>
          </w:tcPr>
          <w:p w14:paraId="0086E34D" w14:textId="77777777" w:rsidR="007449B8" w:rsidRPr="00267C9C" w:rsidRDefault="00F31747" w:rsidP="00580EF1">
            <w:pPr>
              <w:pStyle w:val="Normalcentred"/>
              <w:cnfStyle w:val="000000000000" w:firstRow="0" w:lastRow="0" w:firstColumn="0" w:lastColumn="0" w:oddVBand="0" w:evenVBand="0" w:oddHBand="0" w:evenHBand="0" w:firstRowFirstColumn="0" w:firstRowLastColumn="0" w:lastRowFirstColumn="0" w:lastRowLastColumn="0"/>
            </w:pPr>
            <w:r w:rsidRPr="00267C9C">
              <w:t>$69,794</w:t>
            </w:r>
          </w:p>
        </w:tc>
        <w:tc>
          <w:tcPr>
            <w:tcW w:w="1559" w:type="dxa"/>
          </w:tcPr>
          <w:p w14:paraId="51CABF2A" w14:textId="77777777" w:rsidR="007449B8" w:rsidRPr="00267C9C" w:rsidRDefault="00A16DCE" w:rsidP="00A16DCE">
            <w:pPr>
              <w:pStyle w:val="Normalcentred"/>
              <w:cnfStyle w:val="000000000000" w:firstRow="0" w:lastRow="0" w:firstColumn="0" w:lastColumn="0" w:oddVBand="0" w:evenVBand="0" w:oddHBand="0" w:evenHBand="0" w:firstRowFirstColumn="0" w:firstRowLastColumn="0" w:lastRowFirstColumn="0" w:lastRowLastColumn="0"/>
            </w:pPr>
            <w:r w:rsidRPr="00267C9C">
              <w:t>$54,794</w:t>
            </w:r>
          </w:p>
        </w:tc>
      </w:tr>
      <w:tr w:rsidR="007449B8" w:rsidRPr="007E6AE7" w14:paraId="356EC61D" w14:textId="77777777" w:rsidTr="00580EF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Pr>
          <w:p w14:paraId="2F5753FF" w14:textId="77777777" w:rsidR="007449B8" w:rsidRPr="00267C9C" w:rsidRDefault="00F31747" w:rsidP="00580EF1">
            <w:pPr>
              <w:suppressAutoHyphens/>
              <w:rPr>
                <w:rFonts w:ascii="Calibri" w:eastAsia="Calibri" w:hAnsi="Calibri" w:cs="Times New Roman"/>
                <w:color w:val="000000"/>
                <w:kern w:val="12"/>
                <w:lang w:val="en-AU"/>
              </w:rPr>
            </w:pPr>
            <w:r w:rsidRPr="00267C9C">
              <w:rPr>
                <w:rFonts w:ascii="Calibri" w:eastAsia="Calibri" w:hAnsi="Calibri" w:cs="Times New Roman"/>
                <w:color w:val="000000"/>
                <w:kern w:val="12"/>
                <w:lang w:val="en-AU"/>
              </w:rPr>
              <w:t xml:space="preserve">ACCM - </w:t>
            </w:r>
            <w:r w:rsidRPr="00267C9C">
              <w:t xml:space="preserve"> </w:t>
            </w:r>
            <w:r w:rsidRPr="00267C9C">
              <w:rPr>
                <w:rFonts w:ascii="Calibri" w:eastAsia="Calibri" w:hAnsi="Calibri" w:cs="Times New Roman"/>
                <w:color w:val="000000"/>
                <w:kern w:val="12"/>
                <w:lang w:val="en-AU"/>
              </w:rPr>
              <w:t>Apps can trap: tips for protecting children’s privacy</w:t>
            </w:r>
          </w:p>
        </w:tc>
        <w:tc>
          <w:tcPr>
            <w:tcW w:w="1417" w:type="dxa"/>
          </w:tcPr>
          <w:p w14:paraId="443E330E" w14:textId="77777777" w:rsidR="007449B8" w:rsidRPr="00267C9C" w:rsidRDefault="00F31747" w:rsidP="00580EF1">
            <w:pPr>
              <w:pStyle w:val="Normalcentred"/>
              <w:cnfStyle w:val="000000010000" w:firstRow="0" w:lastRow="0" w:firstColumn="0" w:lastColumn="0" w:oddVBand="0" w:evenVBand="0" w:oddHBand="0" w:evenHBand="1" w:firstRowFirstColumn="0" w:firstRowLastColumn="0" w:lastRowFirstColumn="0" w:lastRowLastColumn="0"/>
            </w:pPr>
            <w:r w:rsidRPr="00267C9C">
              <w:t>$48,000</w:t>
            </w:r>
          </w:p>
        </w:tc>
        <w:tc>
          <w:tcPr>
            <w:tcW w:w="1559" w:type="dxa"/>
          </w:tcPr>
          <w:p w14:paraId="21397CA0" w14:textId="77777777" w:rsidR="007449B8" w:rsidRPr="00267C9C" w:rsidRDefault="00A16DCE" w:rsidP="00580EF1">
            <w:pPr>
              <w:pStyle w:val="Normalcentred"/>
              <w:cnfStyle w:val="000000010000" w:firstRow="0" w:lastRow="0" w:firstColumn="0" w:lastColumn="0" w:oddVBand="0" w:evenVBand="0" w:oddHBand="0" w:evenHBand="1" w:firstRowFirstColumn="0" w:firstRowLastColumn="0" w:lastRowFirstColumn="0" w:lastRowLastColumn="0"/>
            </w:pPr>
            <w:r w:rsidRPr="00267C9C">
              <w:t>$38,000</w:t>
            </w:r>
          </w:p>
        </w:tc>
      </w:tr>
      <w:tr w:rsidR="00F31747" w:rsidRPr="007E6AE7" w14:paraId="0F934A20" w14:textId="77777777" w:rsidTr="00580EF1">
        <w:trPr>
          <w:cantSplit/>
        </w:trPr>
        <w:tc>
          <w:tcPr>
            <w:cnfStyle w:val="001000000000" w:firstRow="0" w:lastRow="0" w:firstColumn="1" w:lastColumn="0" w:oddVBand="0" w:evenVBand="0" w:oddHBand="0" w:evenHBand="0" w:firstRowFirstColumn="0" w:firstRowLastColumn="0" w:lastRowFirstColumn="0" w:lastRowLastColumn="0"/>
            <w:tcW w:w="6096" w:type="dxa"/>
          </w:tcPr>
          <w:p w14:paraId="75B32504" w14:textId="77777777" w:rsidR="00F31747" w:rsidRPr="00267C9C" w:rsidRDefault="00F31747" w:rsidP="00580EF1">
            <w:pPr>
              <w:suppressAutoHyphens/>
              <w:rPr>
                <w:rFonts w:ascii="Calibri" w:eastAsia="Calibri" w:hAnsi="Calibri" w:cs="Times New Roman"/>
                <w:color w:val="000000"/>
                <w:kern w:val="12"/>
                <w:lang w:val="en-AU"/>
              </w:rPr>
            </w:pPr>
            <w:r w:rsidRPr="00267C9C">
              <w:rPr>
                <w:rFonts w:ascii="Calibri" w:eastAsia="Calibri" w:hAnsi="Calibri" w:cs="Times New Roman"/>
                <w:color w:val="000000"/>
                <w:kern w:val="12"/>
                <w:lang w:val="en-AU"/>
              </w:rPr>
              <w:lastRenderedPageBreak/>
              <w:t>Curtain University - Access On Demand: An Analysis of the Accessibility options on streaming television</w:t>
            </w:r>
          </w:p>
        </w:tc>
        <w:tc>
          <w:tcPr>
            <w:tcW w:w="1417" w:type="dxa"/>
          </w:tcPr>
          <w:p w14:paraId="74A00C87" w14:textId="77777777" w:rsidR="00F31747" w:rsidRPr="00267C9C" w:rsidRDefault="00F31747" w:rsidP="00580EF1">
            <w:pPr>
              <w:pStyle w:val="Normalcentred"/>
              <w:cnfStyle w:val="000000000000" w:firstRow="0" w:lastRow="0" w:firstColumn="0" w:lastColumn="0" w:oddVBand="0" w:evenVBand="0" w:oddHBand="0" w:evenHBand="0" w:firstRowFirstColumn="0" w:firstRowLastColumn="0" w:lastRowFirstColumn="0" w:lastRowLastColumn="0"/>
            </w:pPr>
            <w:r w:rsidRPr="00267C9C">
              <w:t>$46,635</w:t>
            </w:r>
          </w:p>
        </w:tc>
        <w:tc>
          <w:tcPr>
            <w:tcW w:w="1559" w:type="dxa"/>
          </w:tcPr>
          <w:p w14:paraId="3B0D7D78" w14:textId="77777777" w:rsidR="00F31747" w:rsidRPr="00267C9C" w:rsidRDefault="00A16DCE" w:rsidP="00580EF1">
            <w:pPr>
              <w:pStyle w:val="Normalcentred"/>
              <w:cnfStyle w:val="000000000000" w:firstRow="0" w:lastRow="0" w:firstColumn="0" w:lastColumn="0" w:oddVBand="0" w:evenVBand="0" w:oddHBand="0" w:evenHBand="0" w:firstRowFirstColumn="0" w:firstRowLastColumn="0" w:lastRowFirstColumn="0" w:lastRowLastColumn="0"/>
            </w:pPr>
            <w:r w:rsidRPr="00267C9C">
              <w:t>$36,000</w:t>
            </w:r>
          </w:p>
        </w:tc>
      </w:tr>
      <w:tr w:rsidR="00F31747" w:rsidRPr="007E6AE7" w14:paraId="0D0C2DE3" w14:textId="77777777" w:rsidTr="00580EF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Pr>
          <w:p w14:paraId="208F65D3" w14:textId="77777777" w:rsidR="00F31747" w:rsidRPr="00267C9C" w:rsidRDefault="00F31747" w:rsidP="00580EF1">
            <w:pPr>
              <w:suppressAutoHyphens/>
              <w:rPr>
                <w:rFonts w:ascii="Calibri" w:eastAsia="Calibri" w:hAnsi="Calibri" w:cs="Times New Roman"/>
                <w:color w:val="000000"/>
                <w:kern w:val="12"/>
                <w:lang w:val="en-AU"/>
              </w:rPr>
            </w:pPr>
            <w:r w:rsidRPr="00267C9C">
              <w:rPr>
                <w:rFonts w:ascii="Calibri" w:eastAsia="Calibri" w:hAnsi="Calibri" w:cs="Times New Roman"/>
                <w:color w:val="000000"/>
                <w:kern w:val="12"/>
                <w:lang w:val="en-AU"/>
              </w:rPr>
              <w:t>Charles Sturt University - Consumer understandings of smart technologies and their applications in North West NSW regional and rural communities</w:t>
            </w:r>
          </w:p>
        </w:tc>
        <w:tc>
          <w:tcPr>
            <w:tcW w:w="1417" w:type="dxa"/>
          </w:tcPr>
          <w:p w14:paraId="38420BF8" w14:textId="77777777" w:rsidR="00F31747" w:rsidRPr="00267C9C" w:rsidRDefault="00F31747" w:rsidP="00580EF1">
            <w:pPr>
              <w:pStyle w:val="Normalcentred"/>
              <w:cnfStyle w:val="000000010000" w:firstRow="0" w:lastRow="0" w:firstColumn="0" w:lastColumn="0" w:oddVBand="0" w:evenVBand="0" w:oddHBand="0" w:evenHBand="1" w:firstRowFirstColumn="0" w:firstRowLastColumn="0" w:lastRowFirstColumn="0" w:lastRowLastColumn="0"/>
            </w:pPr>
            <w:r w:rsidRPr="00267C9C">
              <w:t>$16,606</w:t>
            </w:r>
          </w:p>
        </w:tc>
        <w:tc>
          <w:tcPr>
            <w:tcW w:w="1559" w:type="dxa"/>
          </w:tcPr>
          <w:p w14:paraId="58D20B66" w14:textId="77777777" w:rsidR="00F31747" w:rsidRPr="00267C9C" w:rsidRDefault="00A16DCE" w:rsidP="00580EF1">
            <w:pPr>
              <w:pStyle w:val="Normalcentred"/>
              <w:cnfStyle w:val="000000010000" w:firstRow="0" w:lastRow="0" w:firstColumn="0" w:lastColumn="0" w:oddVBand="0" w:evenVBand="0" w:oddHBand="0" w:evenHBand="1" w:firstRowFirstColumn="0" w:firstRowLastColumn="0" w:lastRowFirstColumn="0" w:lastRowLastColumn="0"/>
            </w:pPr>
            <w:r w:rsidRPr="00267C9C">
              <w:t>$10,606</w:t>
            </w:r>
          </w:p>
        </w:tc>
      </w:tr>
      <w:tr w:rsidR="00F31747" w:rsidRPr="007E6AE7" w14:paraId="7485B8B1" w14:textId="77777777" w:rsidTr="00580EF1">
        <w:trPr>
          <w:cantSplit/>
        </w:trPr>
        <w:tc>
          <w:tcPr>
            <w:cnfStyle w:val="001000000000" w:firstRow="0" w:lastRow="0" w:firstColumn="1" w:lastColumn="0" w:oddVBand="0" w:evenVBand="0" w:oddHBand="0" w:evenHBand="0" w:firstRowFirstColumn="0" w:firstRowLastColumn="0" w:lastRowFirstColumn="0" w:lastRowLastColumn="0"/>
            <w:tcW w:w="6096" w:type="dxa"/>
          </w:tcPr>
          <w:p w14:paraId="27490B2C" w14:textId="77777777" w:rsidR="00F31747" w:rsidRPr="00267C9C" w:rsidRDefault="00F31747" w:rsidP="00267C9C">
            <w:pPr>
              <w:pStyle w:val="Default"/>
              <w:rPr>
                <w:sz w:val="20"/>
                <w:szCs w:val="20"/>
              </w:rPr>
            </w:pPr>
            <w:r w:rsidRPr="00267C9C">
              <w:rPr>
                <w:sz w:val="20"/>
                <w:szCs w:val="20"/>
              </w:rPr>
              <w:t xml:space="preserve">Wamboin Communications Action Group Inc - Achieve better broadband for regional communities </w:t>
            </w:r>
          </w:p>
        </w:tc>
        <w:tc>
          <w:tcPr>
            <w:tcW w:w="1417" w:type="dxa"/>
          </w:tcPr>
          <w:p w14:paraId="383E692E" w14:textId="77777777" w:rsidR="00F31747" w:rsidRPr="00267C9C" w:rsidRDefault="00F31747" w:rsidP="00580EF1">
            <w:pPr>
              <w:pStyle w:val="Normalcentred"/>
              <w:cnfStyle w:val="000000000000" w:firstRow="0" w:lastRow="0" w:firstColumn="0" w:lastColumn="0" w:oddVBand="0" w:evenVBand="0" w:oddHBand="0" w:evenHBand="0" w:firstRowFirstColumn="0" w:firstRowLastColumn="0" w:lastRowFirstColumn="0" w:lastRowLastColumn="0"/>
            </w:pPr>
            <w:r w:rsidRPr="00267C9C">
              <w:t>$50,000</w:t>
            </w:r>
          </w:p>
        </w:tc>
        <w:tc>
          <w:tcPr>
            <w:tcW w:w="1559" w:type="dxa"/>
          </w:tcPr>
          <w:p w14:paraId="4D55ED84" w14:textId="77777777" w:rsidR="00F31747" w:rsidRPr="00267C9C" w:rsidRDefault="00A16DCE" w:rsidP="00580EF1">
            <w:pPr>
              <w:pStyle w:val="Normalcentred"/>
              <w:cnfStyle w:val="000000000000" w:firstRow="0" w:lastRow="0" w:firstColumn="0" w:lastColumn="0" w:oddVBand="0" w:evenVBand="0" w:oddHBand="0" w:evenHBand="0" w:firstRowFirstColumn="0" w:firstRowLastColumn="0" w:lastRowFirstColumn="0" w:lastRowLastColumn="0"/>
            </w:pPr>
            <w:r w:rsidRPr="00267C9C">
              <w:t>$25,000</w:t>
            </w:r>
          </w:p>
        </w:tc>
      </w:tr>
      <w:tr w:rsidR="00F31747" w:rsidRPr="007E6AE7" w14:paraId="797EC0E0" w14:textId="77777777" w:rsidTr="00580EF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Pr>
          <w:p w14:paraId="490B530A" w14:textId="77777777" w:rsidR="00F31747" w:rsidRPr="00267C9C" w:rsidRDefault="00F31747" w:rsidP="00580EF1">
            <w:pPr>
              <w:suppressAutoHyphens/>
              <w:rPr>
                <w:rFonts w:ascii="Calibri" w:eastAsia="Calibri" w:hAnsi="Calibri" w:cs="Times New Roman"/>
                <w:color w:val="000000"/>
                <w:kern w:val="12"/>
                <w:lang w:val="en-AU"/>
              </w:rPr>
            </w:pPr>
            <w:r w:rsidRPr="00267C9C">
              <w:rPr>
                <w:rFonts w:ascii="Calibri" w:eastAsia="Calibri" w:hAnsi="Calibri" w:cs="Times New Roman"/>
                <w:color w:val="000000"/>
                <w:kern w:val="12"/>
                <w:lang w:val="en-AU"/>
              </w:rPr>
              <w:t>RMIT – E-Change and Remote Work in Australia</w:t>
            </w:r>
          </w:p>
        </w:tc>
        <w:tc>
          <w:tcPr>
            <w:tcW w:w="1417" w:type="dxa"/>
          </w:tcPr>
          <w:p w14:paraId="527D8079" w14:textId="77777777" w:rsidR="00F31747" w:rsidRPr="00267C9C" w:rsidRDefault="00F31747" w:rsidP="00580EF1">
            <w:pPr>
              <w:pStyle w:val="Normalcentred"/>
              <w:cnfStyle w:val="000000010000" w:firstRow="0" w:lastRow="0" w:firstColumn="0" w:lastColumn="0" w:oddVBand="0" w:evenVBand="0" w:oddHBand="0" w:evenHBand="1" w:firstRowFirstColumn="0" w:firstRowLastColumn="0" w:lastRowFirstColumn="0" w:lastRowLastColumn="0"/>
            </w:pPr>
            <w:r w:rsidRPr="00267C9C">
              <w:t>$45,754</w:t>
            </w:r>
          </w:p>
        </w:tc>
        <w:tc>
          <w:tcPr>
            <w:tcW w:w="1559" w:type="dxa"/>
          </w:tcPr>
          <w:p w14:paraId="33B673A1" w14:textId="77777777" w:rsidR="00F31747" w:rsidRPr="00267C9C" w:rsidRDefault="00A16DCE" w:rsidP="00580EF1">
            <w:pPr>
              <w:pStyle w:val="Normalcentred"/>
              <w:cnfStyle w:val="000000010000" w:firstRow="0" w:lastRow="0" w:firstColumn="0" w:lastColumn="0" w:oddVBand="0" w:evenVBand="0" w:oddHBand="0" w:evenHBand="1" w:firstRowFirstColumn="0" w:firstRowLastColumn="0" w:lastRowFirstColumn="0" w:lastRowLastColumn="0"/>
            </w:pPr>
            <w:r w:rsidRPr="00267C9C">
              <w:t>$25,754</w:t>
            </w:r>
          </w:p>
        </w:tc>
      </w:tr>
      <w:tr w:rsidR="007449B8" w:rsidRPr="007E6AE7" w14:paraId="5D53E40F" w14:textId="77777777" w:rsidTr="00580EF1">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shd w:val="clear" w:color="auto" w:fill="F2F6E8"/>
          </w:tcPr>
          <w:p w14:paraId="0EBA45F7" w14:textId="77777777" w:rsidR="007449B8" w:rsidRPr="00267C9C" w:rsidRDefault="00F75461" w:rsidP="00580EF1">
            <w:pPr>
              <w:suppressAutoHyphens/>
              <w:rPr>
                <w:rFonts w:ascii="Calibri" w:eastAsia="Calibri" w:hAnsi="Calibri" w:cs="Times New Roman"/>
                <w:color w:val="000000"/>
                <w:kern w:val="12"/>
                <w:lang w:val="en-AU"/>
              </w:rPr>
            </w:pPr>
            <w:r w:rsidRPr="00267C9C">
              <w:rPr>
                <w:rFonts w:ascii="Calibri" w:eastAsia="Calibri" w:hAnsi="Calibri" w:cs="Times New Roman"/>
                <w:color w:val="000000"/>
                <w:kern w:val="12"/>
                <w:lang w:val="en-AU"/>
              </w:rPr>
              <w:t>Total</w:t>
            </w:r>
          </w:p>
        </w:tc>
        <w:tc>
          <w:tcPr>
            <w:tcW w:w="1417" w:type="dxa"/>
            <w:shd w:val="clear" w:color="auto" w:fill="F2F6E8"/>
          </w:tcPr>
          <w:p w14:paraId="1B1AE07C" w14:textId="77777777" w:rsidR="007449B8" w:rsidRPr="00267C9C" w:rsidRDefault="00F75461" w:rsidP="00580EF1">
            <w:pPr>
              <w:pStyle w:val="Normalcentred"/>
              <w:cnfStyle w:val="010000000000" w:firstRow="0" w:lastRow="1" w:firstColumn="0" w:lastColumn="0" w:oddVBand="0" w:evenVBand="0" w:oddHBand="0" w:evenHBand="0" w:firstRowFirstColumn="0" w:firstRowLastColumn="0" w:lastRowFirstColumn="0" w:lastRowLastColumn="0"/>
            </w:pPr>
            <w:r w:rsidRPr="00267C9C">
              <w:t>$440,517</w:t>
            </w:r>
          </w:p>
        </w:tc>
        <w:tc>
          <w:tcPr>
            <w:tcW w:w="1559" w:type="dxa"/>
            <w:shd w:val="clear" w:color="auto" w:fill="F2F6E8"/>
          </w:tcPr>
          <w:p w14:paraId="7122C106" w14:textId="77777777" w:rsidR="007449B8" w:rsidRPr="00267C9C" w:rsidRDefault="00A16DCE" w:rsidP="00A16DCE">
            <w:pPr>
              <w:pStyle w:val="Normalcentred"/>
              <w:cnfStyle w:val="010000000000" w:firstRow="0" w:lastRow="1" w:firstColumn="0" w:lastColumn="0" w:oddVBand="0" w:evenVBand="0" w:oddHBand="0" w:evenHBand="0" w:firstRowFirstColumn="0" w:firstRowLastColumn="0" w:lastRowFirstColumn="0" w:lastRowLastColumn="0"/>
            </w:pPr>
            <w:r w:rsidRPr="00267C9C">
              <w:t>$248,882</w:t>
            </w:r>
          </w:p>
        </w:tc>
      </w:tr>
    </w:tbl>
    <w:p w14:paraId="76610E67" w14:textId="77777777" w:rsidR="007449B8" w:rsidRDefault="007449B8">
      <w:pPr>
        <w:spacing w:line="259" w:lineRule="auto"/>
      </w:pPr>
    </w:p>
    <w:p w14:paraId="04728866" w14:textId="77777777" w:rsidR="00B049D7" w:rsidRDefault="007449B8" w:rsidP="00B049D7">
      <w:pPr>
        <w:pStyle w:val="Heading3"/>
      </w:pPr>
      <w:bookmarkStart w:id="17" w:name="_Toc88141959"/>
      <w:r>
        <w:t xml:space="preserve">Upcoming </w:t>
      </w:r>
      <w:r w:rsidR="00B049D7">
        <w:t>2021 grants round</w:t>
      </w:r>
      <w:bookmarkEnd w:id="17"/>
    </w:p>
    <w:p w14:paraId="38E751A6" w14:textId="77777777" w:rsidR="007449B8" w:rsidRPr="00BC1006" w:rsidRDefault="007449B8" w:rsidP="007449B8">
      <w:r w:rsidRPr="00BC1006">
        <w:t xml:space="preserve">During the </w:t>
      </w:r>
      <w:r w:rsidR="00A16DCE">
        <w:t>2020–21</w:t>
      </w:r>
      <w:r w:rsidRPr="00BC1006">
        <w:t xml:space="preserve"> financial year, ACCAN shortlisted</w:t>
      </w:r>
      <w:r w:rsidR="00A16DCE">
        <w:t xml:space="preserve"> five</w:t>
      </w:r>
      <w:r w:rsidRPr="00BC1006">
        <w:t xml:space="preserve"> projects for the upcoming</w:t>
      </w:r>
      <w:r w:rsidR="00A16DCE">
        <w:t xml:space="preserve"> 2021</w:t>
      </w:r>
      <w:r w:rsidRPr="00BC1006">
        <w:t xml:space="preserve"> IGP round, to be delivered and funded during the 2021</w:t>
      </w:r>
      <w:r>
        <w:t>–</w:t>
      </w:r>
      <w:r w:rsidRPr="00BC1006">
        <w:t>22 financial year. These projects must be completed by</w:t>
      </w:r>
      <w:r>
        <w:t xml:space="preserve"> May 2022.</w:t>
      </w:r>
    </w:p>
    <w:p w14:paraId="1D3427AC" w14:textId="77777777" w:rsidR="00AF1B6D" w:rsidRDefault="00AF1B6D">
      <w:pPr>
        <w:spacing w:line="259" w:lineRule="auto"/>
      </w:pPr>
    </w:p>
    <w:p w14:paraId="74E2A734" w14:textId="77777777" w:rsidR="00AF1B6D" w:rsidRDefault="00AF1B6D">
      <w:pPr>
        <w:spacing w:line="259" w:lineRule="auto"/>
      </w:pPr>
    </w:p>
    <w:p w14:paraId="36357F29" w14:textId="77777777" w:rsidR="00AF1B6D" w:rsidRDefault="00AF1B6D">
      <w:pPr>
        <w:spacing w:line="259" w:lineRule="auto"/>
      </w:pPr>
    </w:p>
    <w:p w14:paraId="3D5C18BE" w14:textId="77777777" w:rsidR="00AF1B6D" w:rsidRDefault="00AF1B6D">
      <w:pPr>
        <w:spacing w:line="259" w:lineRule="auto"/>
      </w:pPr>
    </w:p>
    <w:p w14:paraId="112E0A7E" w14:textId="77777777" w:rsidR="00AF1B6D" w:rsidRDefault="00AF1B6D">
      <w:pPr>
        <w:spacing w:line="259" w:lineRule="auto"/>
      </w:pPr>
    </w:p>
    <w:p w14:paraId="2E55329B" w14:textId="77777777" w:rsidR="00AF1B6D" w:rsidRDefault="00AF1B6D">
      <w:pPr>
        <w:spacing w:line="259" w:lineRule="auto"/>
      </w:pPr>
    </w:p>
    <w:p w14:paraId="15832BF1" w14:textId="77777777" w:rsidR="00AF1B6D" w:rsidRDefault="00AF1B6D">
      <w:pPr>
        <w:spacing w:line="259" w:lineRule="auto"/>
      </w:pPr>
    </w:p>
    <w:p w14:paraId="643988E7" w14:textId="77777777" w:rsidR="00AF1B6D" w:rsidRDefault="00AF1B6D">
      <w:pPr>
        <w:spacing w:line="259" w:lineRule="auto"/>
      </w:pPr>
    </w:p>
    <w:p w14:paraId="0E45E348" w14:textId="77777777" w:rsidR="00AF1B6D" w:rsidRDefault="00AF1B6D">
      <w:pPr>
        <w:spacing w:line="259" w:lineRule="auto"/>
      </w:pPr>
    </w:p>
    <w:p w14:paraId="2A2D0112" w14:textId="77777777" w:rsidR="00AF1B6D" w:rsidRDefault="00AF1B6D">
      <w:pPr>
        <w:spacing w:line="259" w:lineRule="auto"/>
      </w:pPr>
    </w:p>
    <w:p w14:paraId="1B8EE70F" w14:textId="77777777" w:rsidR="00AF1B6D" w:rsidRDefault="00AF1B6D">
      <w:pPr>
        <w:spacing w:line="259" w:lineRule="auto"/>
      </w:pPr>
    </w:p>
    <w:bookmarkEnd w:id="7"/>
    <w:p w14:paraId="5442E3EB" w14:textId="77777777" w:rsidR="008D4AB2" w:rsidRDefault="008D4AB2" w:rsidP="004D4B0F"/>
    <w:sectPr w:rsidR="008D4AB2" w:rsidSect="006D7C61">
      <w:pgSz w:w="11906" w:h="16838"/>
      <w:pgMar w:top="1440" w:right="1440" w:bottom="1440" w:left="156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CC973" w14:textId="77777777" w:rsidR="008D4AB2" w:rsidRDefault="008D4AB2" w:rsidP="004D4B0F">
      <w:r>
        <w:separator/>
      </w:r>
    </w:p>
  </w:endnote>
  <w:endnote w:type="continuationSeparator" w:id="0">
    <w:p w14:paraId="509925B4" w14:textId="77777777" w:rsidR="008D4AB2" w:rsidRDefault="008D4AB2" w:rsidP="004D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D1F88" w14:textId="7E8ADE87" w:rsidR="006D7C61" w:rsidRDefault="007449B8" w:rsidP="006D7C61">
    <w:pPr>
      <w:pStyle w:val="Footer"/>
      <w:spacing w:after="120"/>
      <w:jc w:val="right"/>
    </w:pPr>
    <w:r w:rsidRPr="007449B8">
      <w:t>Funding of telecommunications consumer representation grants</w:t>
    </w:r>
    <w:r w:rsidR="006D7C61">
      <w:tab/>
    </w:r>
    <w:sdt>
      <w:sdtPr>
        <w:id w:val="-1966963694"/>
        <w:docPartObj>
          <w:docPartGallery w:val="Page Numbers (Bottom of Page)"/>
          <w:docPartUnique/>
        </w:docPartObj>
      </w:sdtPr>
      <w:sdtEndPr>
        <w:rPr>
          <w:noProof/>
        </w:rPr>
      </w:sdtEndPr>
      <w:sdtContent>
        <w:r w:rsidR="006D7C61">
          <w:fldChar w:fldCharType="begin"/>
        </w:r>
        <w:r w:rsidR="006D7C61">
          <w:instrText xml:space="preserve"> PAGE   \* MERGEFORMAT </w:instrText>
        </w:r>
        <w:r w:rsidR="006D7C61">
          <w:fldChar w:fldCharType="separate"/>
        </w:r>
        <w:r w:rsidR="0068034F">
          <w:rPr>
            <w:noProof/>
          </w:rPr>
          <w:t>2</w:t>
        </w:r>
        <w:r w:rsidR="006D7C61">
          <w:rPr>
            <w:noProof/>
          </w:rPr>
          <w:fldChar w:fldCharType="end"/>
        </w:r>
      </w:sdtContent>
    </w:sdt>
  </w:p>
  <w:p w14:paraId="163F921B" w14:textId="77777777" w:rsidR="008D4AB2" w:rsidRDefault="006D7C61" w:rsidP="006D7C61">
    <w:pPr>
      <w:pStyle w:val="Footer"/>
      <w:tabs>
        <w:tab w:val="clear" w:pos="9026"/>
      </w:tabs>
      <w:ind w:left="-2268" w:right="-1440"/>
    </w:pPr>
    <w:r>
      <w:rPr>
        <w:noProof/>
        <w:lang w:val="en-AU" w:eastAsia="en-AU"/>
      </w:rPr>
      <w:drawing>
        <wp:inline distT="0" distB="0" distL="0" distR="0">
          <wp:extent cx="10692000" cy="183240"/>
          <wp:effectExtent l="0" t="0" r="0" b="7620"/>
          <wp:docPr id="10" name="Picture 1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7CC5D" w14:textId="77777777" w:rsidR="008D4AB2" w:rsidRDefault="008D4AB2" w:rsidP="006D7C61">
    <w:pPr>
      <w:pStyle w:val="Footer"/>
      <w:ind w:left="-2268"/>
    </w:pPr>
    <w:r>
      <w:rPr>
        <w:noProof/>
        <w:lang w:val="en-AU" w:eastAsia="en-AU"/>
      </w:rPr>
      <w:drawing>
        <wp:inline distT="0" distB="0" distL="0" distR="0">
          <wp:extent cx="7812262" cy="3594100"/>
          <wp:effectExtent l="0" t="0" r="0" b="6350"/>
          <wp:docPr id="11" name="Picture 11" descr="Connection graphic" title="Decorativ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26908" r="1"/>
                  <a:stretch/>
                </pic:blipFill>
                <pic:spPr bwMode="auto">
                  <a:xfrm>
                    <a:off x="0" y="0"/>
                    <a:ext cx="7814914" cy="359532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E946D" w14:textId="77777777" w:rsidR="008D4AB2" w:rsidRDefault="008D4AB2" w:rsidP="004D4B0F">
      <w:r>
        <w:separator/>
      </w:r>
    </w:p>
  </w:footnote>
  <w:footnote w:type="continuationSeparator" w:id="0">
    <w:p w14:paraId="0700DC36" w14:textId="77777777" w:rsidR="008D4AB2" w:rsidRDefault="008D4AB2" w:rsidP="004D4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F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6EFC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92E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0025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F077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F08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869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F26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EE7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20C4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68827E7D"/>
    <w:multiLevelType w:val="hybridMultilevel"/>
    <w:tmpl w:val="E3803EBA"/>
    <w:lvl w:ilvl="0" w:tplc="DF4ABC6A">
      <w:start w:val="1"/>
      <w:numFmt w:val="bullet"/>
      <w:pStyle w:val="Listparagraphbulletssecondlevel"/>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283A48"/>
    <w:multiLevelType w:val="hybridMultilevel"/>
    <w:tmpl w:val="43AEF384"/>
    <w:lvl w:ilvl="0" w:tplc="BD78488A">
      <w:start w:val="1"/>
      <w:numFmt w:val="decimal"/>
      <w:pStyle w:val="ListParagraph"/>
      <w:lvlText w:val="%1."/>
      <w:lvlJc w:val="left"/>
      <w:pPr>
        <w:ind w:left="720" w:hanging="360"/>
      </w:pPr>
      <w:rPr>
        <w:rFonts w:hint="default"/>
      </w:rPr>
    </w:lvl>
    <w:lvl w:ilvl="1" w:tplc="0C090019">
      <w:start w:val="1"/>
      <w:numFmt w:val="lowerLetter"/>
      <w:lvlText w:val="%2."/>
      <w:lvlJc w:val="left"/>
      <w:pPr>
        <w:ind w:left="1636" w:hanging="360"/>
      </w:pPr>
    </w:lvl>
    <w:lvl w:ilvl="2" w:tplc="23862198">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045683D"/>
    <w:multiLevelType w:val="hybridMultilevel"/>
    <w:tmpl w:val="869A56BC"/>
    <w:lvl w:ilvl="0" w:tplc="C18C9ECE">
      <w:start w:val="1"/>
      <w:numFmt w:val="bullet"/>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831E65"/>
    <w:multiLevelType w:val="hybridMultilevel"/>
    <w:tmpl w:val="77D21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F368E4"/>
    <w:multiLevelType w:val="hybridMultilevel"/>
    <w:tmpl w:val="639E13BC"/>
    <w:lvl w:ilvl="0" w:tplc="0C090001">
      <w:start w:val="1"/>
      <w:numFmt w:val="bullet"/>
      <w:lvlText w:val=""/>
      <w:lvlJc w:val="left"/>
      <w:pPr>
        <w:ind w:left="927" w:hanging="360"/>
      </w:pPr>
      <w:rPr>
        <w:rFonts w:ascii="Symbol" w:hAnsi="Symbol" w:hint="default"/>
        <w:caps w:val="0"/>
        <w:strike w:val="0"/>
        <w:dstrike w:val="0"/>
        <w:vanish w:val="0"/>
        <w:color w:val="7030A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6"/>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B2"/>
    <w:rsid w:val="000074B8"/>
    <w:rsid w:val="00043EED"/>
    <w:rsid w:val="00086B46"/>
    <w:rsid w:val="00095AE6"/>
    <w:rsid w:val="00104DF3"/>
    <w:rsid w:val="001B5326"/>
    <w:rsid w:val="0025164F"/>
    <w:rsid w:val="00267C9C"/>
    <w:rsid w:val="002E1988"/>
    <w:rsid w:val="00377E3A"/>
    <w:rsid w:val="003B7B3F"/>
    <w:rsid w:val="003C5251"/>
    <w:rsid w:val="003C7100"/>
    <w:rsid w:val="0044431A"/>
    <w:rsid w:val="00485947"/>
    <w:rsid w:val="004A65F5"/>
    <w:rsid w:val="004D4B0F"/>
    <w:rsid w:val="004F77D9"/>
    <w:rsid w:val="00662665"/>
    <w:rsid w:val="0068034F"/>
    <w:rsid w:val="006D7C61"/>
    <w:rsid w:val="007449B8"/>
    <w:rsid w:val="00793843"/>
    <w:rsid w:val="007E3C92"/>
    <w:rsid w:val="007E6AE7"/>
    <w:rsid w:val="008733F4"/>
    <w:rsid w:val="008A7F8E"/>
    <w:rsid w:val="008D0279"/>
    <w:rsid w:val="008D4AB2"/>
    <w:rsid w:val="009276A3"/>
    <w:rsid w:val="00953FE0"/>
    <w:rsid w:val="00A16DCE"/>
    <w:rsid w:val="00A75A6D"/>
    <w:rsid w:val="00AF1B6D"/>
    <w:rsid w:val="00AF34C3"/>
    <w:rsid w:val="00B049D7"/>
    <w:rsid w:val="00B0589E"/>
    <w:rsid w:val="00B13480"/>
    <w:rsid w:val="00B62E61"/>
    <w:rsid w:val="00C060AE"/>
    <w:rsid w:val="00C15A0D"/>
    <w:rsid w:val="00C704CE"/>
    <w:rsid w:val="00CA6FED"/>
    <w:rsid w:val="00CB388C"/>
    <w:rsid w:val="00CC18A5"/>
    <w:rsid w:val="00D57F0A"/>
    <w:rsid w:val="00D86145"/>
    <w:rsid w:val="00DB7F75"/>
    <w:rsid w:val="00DD418B"/>
    <w:rsid w:val="00F31747"/>
    <w:rsid w:val="00F52C32"/>
    <w:rsid w:val="00F71E4C"/>
    <w:rsid w:val="00F75461"/>
    <w:rsid w:val="00FA6ABE"/>
    <w:rsid w:val="00FB03F1"/>
    <w:rsid w:val="00FE1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C1181B4"/>
  <w15:chartTrackingRefBased/>
  <w15:docId w15:val="{1DA1E32E-0495-4C8A-8DB2-38143E5B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326"/>
    <w:pPr>
      <w:spacing w:line="240" w:lineRule="auto"/>
    </w:pPr>
    <w:rPr>
      <w:lang w:val="en-US"/>
    </w:rPr>
  </w:style>
  <w:style w:type="paragraph" w:styleId="Heading1">
    <w:name w:val="heading 1"/>
    <w:basedOn w:val="Normal"/>
    <w:next w:val="Normal"/>
    <w:link w:val="Heading1Char"/>
    <w:uiPriority w:val="9"/>
    <w:qFormat/>
    <w:rsid w:val="006D7C61"/>
    <w:pPr>
      <w:suppressAutoHyphens/>
      <w:spacing w:before="600" w:after="480"/>
      <w:outlineLvl w:val="0"/>
    </w:pPr>
    <w:rPr>
      <w:rFonts w:ascii="Calibri" w:eastAsia="Calibri" w:hAnsi="Calibri" w:cs="Calibri"/>
      <w:b/>
      <w:color w:val="000000"/>
      <w:kern w:val="12"/>
      <w:sz w:val="56"/>
      <w:szCs w:val="60"/>
    </w:rPr>
  </w:style>
  <w:style w:type="paragraph" w:styleId="Heading2">
    <w:name w:val="heading 2"/>
    <w:basedOn w:val="Normal"/>
    <w:next w:val="Normal"/>
    <w:link w:val="Heading2Char"/>
    <w:uiPriority w:val="9"/>
    <w:unhideWhenUsed/>
    <w:qFormat/>
    <w:rsid w:val="00CC18A5"/>
    <w:pPr>
      <w:keepNext/>
      <w:suppressAutoHyphens/>
      <w:spacing w:before="120"/>
      <w:outlineLvl w:val="1"/>
    </w:pPr>
    <w:rPr>
      <w:rFonts w:ascii="Calibri" w:eastAsia="Calibri" w:hAnsi="Calibri" w:cs="Calibri"/>
      <w:color w:val="081E3E"/>
      <w:kern w:val="12"/>
      <w:sz w:val="44"/>
      <w:szCs w:val="44"/>
    </w:rPr>
  </w:style>
  <w:style w:type="paragraph" w:styleId="Heading3">
    <w:name w:val="heading 3"/>
    <w:basedOn w:val="Normal"/>
    <w:next w:val="Normal"/>
    <w:link w:val="Heading3Char"/>
    <w:uiPriority w:val="9"/>
    <w:unhideWhenUsed/>
    <w:qFormat/>
    <w:rsid w:val="00953FE0"/>
    <w:pPr>
      <w:keepNext/>
      <w:suppressAutoHyphens/>
      <w:outlineLvl w:val="2"/>
    </w:pPr>
    <w:rPr>
      <w:rFonts w:ascii="Calibri" w:eastAsia="Calibri" w:hAnsi="Calibri" w:cs="Calibri"/>
      <w:color w:val="081E3E"/>
      <w:kern w:val="12"/>
      <w:sz w:val="36"/>
      <w:szCs w:val="36"/>
    </w:rPr>
  </w:style>
  <w:style w:type="paragraph" w:styleId="Heading4">
    <w:name w:val="heading 4"/>
    <w:basedOn w:val="Normal"/>
    <w:next w:val="Normal"/>
    <w:link w:val="Heading4Char"/>
    <w:uiPriority w:val="9"/>
    <w:unhideWhenUsed/>
    <w:qFormat/>
    <w:rsid w:val="00953FE0"/>
    <w:pPr>
      <w:keepNext/>
      <w:suppressAutoHyphens/>
      <w:outlineLvl w:val="3"/>
    </w:pPr>
    <w:rPr>
      <w:rFonts w:ascii="Calibri" w:eastAsia="Calibri" w:hAnsi="Calibri" w:cs="Calibri"/>
      <w:b/>
      <w:color w:val="6D7989"/>
      <w:kern w:val="12"/>
      <w:sz w:val="32"/>
      <w:szCs w:val="32"/>
    </w:rPr>
  </w:style>
  <w:style w:type="paragraph" w:styleId="Heading5">
    <w:name w:val="heading 5"/>
    <w:basedOn w:val="Normal"/>
    <w:next w:val="Normal"/>
    <w:link w:val="Heading5Char"/>
    <w:uiPriority w:val="9"/>
    <w:unhideWhenUsed/>
    <w:qFormat/>
    <w:rsid w:val="00953FE0"/>
    <w:pPr>
      <w:keepNext/>
      <w:suppressAutoHyphens/>
      <w:outlineLvl w:val="4"/>
    </w:pPr>
    <w:rPr>
      <w:rFonts w:ascii="Calibri" w:eastAsia="Calibri" w:hAnsi="Calibri" w:cs="Times New Roman"/>
      <w:b/>
      <w:color w:val="6D7989"/>
      <w:kern w:val="12"/>
      <w:sz w:val="26"/>
      <w:szCs w:val="26"/>
    </w:rPr>
  </w:style>
  <w:style w:type="paragraph" w:styleId="Heading6">
    <w:name w:val="heading 6"/>
    <w:basedOn w:val="Normal"/>
    <w:next w:val="Normal"/>
    <w:link w:val="Heading6Char"/>
    <w:uiPriority w:val="9"/>
    <w:unhideWhenUsed/>
    <w:qFormat/>
    <w:rsid w:val="00953FE0"/>
    <w:pPr>
      <w:keepNext/>
      <w:suppressAutoHyphens/>
      <w:outlineLvl w:val="5"/>
    </w:pPr>
    <w:rPr>
      <w:rFonts w:ascii="Calibri" w:eastAsia="Calibri" w:hAnsi="Calibri" w:cs="Times New Roman"/>
      <w:b/>
      <w:color w:val="081E3E"/>
      <w:kern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FE0"/>
    <w:pPr>
      <w:numPr>
        <w:numId w:val="1"/>
      </w:numPr>
      <w:spacing w:after="0"/>
    </w:pPr>
  </w:style>
  <w:style w:type="character" w:customStyle="1" w:styleId="Heading1Char">
    <w:name w:val="Heading 1 Char"/>
    <w:basedOn w:val="DefaultParagraphFont"/>
    <w:link w:val="Heading1"/>
    <w:uiPriority w:val="9"/>
    <w:rsid w:val="006D7C61"/>
    <w:rPr>
      <w:rFonts w:ascii="Calibri" w:eastAsia="Calibri" w:hAnsi="Calibri" w:cs="Calibri"/>
      <w:b/>
      <w:color w:val="000000"/>
      <w:kern w:val="12"/>
      <w:sz w:val="56"/>
      <w:szCs w:val="60"/>
      <w:lang w:val="en-US"/>
    </w:rPr>
  </w:style>
  <w:style w:type="character" w:customStyle="1" w:styleId="Heading2Char">
    <w:name w:val="Heading 2 Char"/>
    <w:basedOn w:val="DefaultParagraphFont"/>
    <w:link w:val="Heading2"/>
    <w:uiPriority w:val="9"/>
    <w:rsid w:val="00CC18A5"/>
    <w:rPr>
      <w:rFonts w:ascii="Calibri" w:eastAsia="Calibri" w:hAnsi="Calibri" w:cs="Calibri"/>
      <w:color w:val="081E3E"/>
      <w:kern w:val="12"/>
      <w:sz w:val="44"/>
      <w:szCs w:val="44"/>
      <w:lang w:val="en-US"/>
    </w:rPr>
  </w:style>
  <w:style w:type="character" w:customStyle="1" w:styleId="Heading3Char">
    <w:name w:val="Heading 3 Char"/>
    <w:basedOn w:val="DefaultParagraphFont"/>
    <w:link w:val="Heading3"/>
    <w:uiPriority w:val="9"/>
    <w:rsid w:val="00953FE0"/>
    <w:rPr>
      <w:rFonts w:ascii="Calibri" w:eastAsia="Calibri" w:hAnsi="Calibri" w:cs="Calibri"/>
      <w:color w:val="081E3E"/>
      <w:kern w:val="12"/>
      <w:sz w:val="36"/>
      <w:szCs w:val="36"/>
      <w:lang w:val="en-US"/>
    </w:rPr>
  </w:style>
  <w:style w:type="character" w:customStyle="1" w:styleId="Heading4Char">
    <w:name w:val="Heading 4 Char"/>
    <w:basedOn w:val="DefaultParagraphFont"/>
    <w:link w:val="Heading4"/>
    <w:uiPriority w:val="9"/>
    <w:rsid w:val="00953FE0"/>
    <w:rPr>
      <w:rFonts w:ascii="Calibri" w:eastAsia="Calibri" w:hAnsi="Calibri" w:cs="Calibri"/>
      <w:b/>
      <w:color w:val="6D7989"/>
      <w:kern w:val="12"/>
      <w:sz w:val="32"/>
      <w:szCs w:val="32"/>
      <w:lang w:val="en-US"/>
    </w:rPr>
  </w:style>
  <w:style w:type="character" w:customStyle="1" w:styleId="Heading5Char">
    <w:name w:val="Heading 5 Char"/>
    <w:basedOn w:val="DefaultParagraphFont"/>
    <w:link w:val="Heading5"/>
    <w:uiPriority w:val="9"/>
    <w:rsid w:val="00953FE0"/>
    <w:rPr>
      <w:rFonts w:ascii="Calibri" w:eastAsia="Calibri" w:hAnsi="Calibri" w:cs="Times New Roman"/>
      <w:b/>
      <w:color w:val="6D7989"/>
      <w:kern w:val="12"/>
      <w:sz w:val="26"/>
      <w:szCs w:val="26"/>
      <w:lang w:val="en-US"/>
    </w:rPr>
  </w:style>
  <w:style w:type="character" w:customStyle="1" w:styleId="Heading6Char">
    <w:name w:val="Heading 6 Char"/>
    <w:basedOn w:val="DefaultParagraphFont"/>
    <w:link w:val="Heading6"/>
    <w:uiPriority w:val="9"/>
    <w:rsid w:val="00953FE0"/>
    <w:rPr>
      <w:rFonts w:ascii="Calibri" w:eastAsia="Calibri" w:hAnsi="Calibri" w:cs="Times New Roman"/>
      <w:b/>
      <w:color w:val="081E3E"/>
      <w:kern w:val="12"/>
      <w:lang w:val="en-US"/>
    </w:rPr>
  </w:style>
  <w:style w:type="paragraph" w:styleId="Subtitle">
    <w:name w:val="Subtitle"/>
    <w:basedOn w:val="Normal"/>
    <w:next w:val="Normal"/>
    <w:link w:val="SubtitleChar"/>
    <w:uiPriority w:val="18"/>
    <w:qFormat/>
    <w:rsid w:val="008D4AB2"/>
    <w:pPr>
      <w:numPr>
        <w:ilvl w:val="1"/>
      </w:numPr>
      <w:suppressAutoHyphens/>
      <w:spacing w:before="480"/>
    </w:pPr>
    <w:rPr>
      <w:rFonts w:asciiTheme="majorHAnsi" w:eastAsiaTheme="minorEastAsia" w:hAnsiTheme="majorHAnsi"/>
      <w:color w:val="377B88"/>
      <w:kern w:val="12"/>
      <w:sz w:val="44"/>
    </w:rPr>
  </w:style>
  <w:style w:type="character" w:customStyle="1" w:styleId="SubtitleChar">
    <w:name w:val="Subtitle Char"/>
    <w:basedOn w:val="DefaultParagraphFont"/>
    <w:link w:val="Subtitle"/>
    <w:uiPriority w:val="18"/>
    <w:rsid w:val="008D4AB2"/>
    <w:rPr>
      <w:rFonts w:asciiTheme="majorHAnsi" w:eastAsiaTheme="minorEastAsia" w:hAnsiTheme="majorHAnsi"/>
      <w:color w:val="377B88"/>
      <w:kern w:val="12"/>
      <w:sz w:val="44"/>
    </w:rPr>
  </w:style>
  <w:style w:type="paragraph" w:styleId="Header">
    <w:name w:val="header"/>
    <w:basedOn w:val="Normal"/>
    <w:link w:val="HeaderChar"/>
    <w:uiPriority w:val="99"/>
    <w:unhideWhenUsed/>
    <w:rsid w:val="008D4AB2"/>
    <w:pPr>
      <w:tabs>
        <w:tab w:val="center" w:pos="4513"/>
        <w:tab w:val="right" w:pos="9026"/>
      </w:tabs>
      <w:spacing w:after="0"/>
    </w:pPr>
  </w:style>
  <w:style w:type="character" w:customStyle="1" w:styleId="HeaderChar">
    <w:name w:val="Header Char"/>
    <w:basedOn w:val="DefaultParagraphFont"/>
    <w:link w:val="Header"/>
    <w:uiPriority w:val="99"/>
    <w:rsid w:val="008D4AB2"/>
  </w:style>
  <w:style w:type="paragraph" w:styleId="Footer">
    <w:name w:val="footer"/>
    <w:basedOn w:val="Normal"/>
    <w:link w:val="FooterChar"/>
    <w:uiPriority w:val="99"/>
    <w:unhideWhenUsed/>
    <w:rsid w:val="008D4AB2"/>
    <w:pPr>
      <w:tabs>
        <w:tab w:val="center" w:pos="4513"/>
        <w:tab w:val="right" w:pos="9026"/>
      </w:tabs>
      <w:spacing w:after="0"/>
    </w:pPr>
  </w:style>
  <w:style w:type="character" w:customStyle="1" w:styleId="FooterChar">
    <w:name w:val="Footer Char"/>
    <w:basedOn w:val="DefaultParagraphFont"/>
    <w:link w:val="Footer"/>
    <w:uiPriority w:val="99"/>
    <w:rsid w:val="008D4AB2"/>
  </w:style>
  <w:style w:type="paragraph" w:styleId="NoSpacing">
    <w:name w:val="No Spacing"/>
    <w:uiPriority w:val="1"/>
    <w:qFormat/>
    <w:rsid w:val="004D4B0F"/>
    <w:pPr>
      <w:suppressAutoHyphens/>
      <w:spacing w:after="0" w:line="240" w:lineRule="auto"/>
      <w:contextualSpacing/>
    </w:pPr>
    <w:rPr>
      <w:color w:val="000000" w:themeColor="text1"/>
      <w:kern w:val="12"/>
      <w:szCs w:val="20"/>
    </w:rPr>
  </w:style>
  <w:style w:type="paragraph" w:customStyle="1" w:styleId="ImprintHeading">
    <w:name w:val="Imprint Heading"/>
    <w:basedOn w:val="Normal"/>
    <w:uiPriority w:val="12"/>
    <w:rsid w:val="004D4B0F"/>
    <w:pPr>
      <w:suppressAutoHyphens/>
      <w:outlineLvl w:val="1"/>
    </w:pPr>
    <w:rPr>
      <w:b/>
      <w:color w:val="000000" w:themeColor="text1"/>
      <w:kern w:val="12"/>
      <w:lang w:val="x-none"/>
    </w:rPr>
  </w:style>
  <w:style w:type="character" w:styleId="Hyperlink">
    <w:name w:val="Hyperlink"/>
    <w:basedOn w:val="DefaultParagraphFont"/>
    <w:uiPriority w:val="99"/>
    <w:unhideWhenUsed/>
    <w:rsid w:val="00F71E4C"/>
    <w:rPr>
      <w:color w:val="0046FF"/>
      <w:u w:val="single"/>
    </w:rPr>
  </w:style>
  <w:style w:type="paragraph" w:styleId="TOC1">
    <w:name w:val="toc 1"/>
    <w:basedOn w:val="Normal"/>
    <w:next w:val="Normal"/>
    <w:autoRedefine/>
    <w:uiPriority w:val="39"/>
    <w:rsid w:val="00CC18A5"/>
    <w:pPr>
      <w:keepLines/>
      <w:pBdr>
        <w:bottom w:val="single" w:sz="6" w:space="1" w:color="377B88"/>
      </w:pBdr>
      <w:tabs>
        <w:tab w:val="right" w:pos="9854"/>
      </w:tabs>
      <w:suppressAutoHyphens/>
      <w:spacing w:before="240" w:after="0"/>
      <w:ind w:left="567" w:hanging="567"/>
    </w:pPr>
    <w:rPr>
      <w:b/>
      <w:color w:val="000000" w:themeColor="text1"/>
      <w:kern w:val="12"/>
      <w:sz w:val="24"/>
      <w:szCs w:val="20"/>
      <w:u w:color="ED7D31" w:themeColor="accent2"/>
      <w:lang w:val="en-AU"/>
    </w:rPr>
  </w:style>
  <w:style w:type="paragraph" w:styleId="TOC2">
    <w:name w:val="toc 2"/>
    <w:basedOn w:val="Normal"/>
    <w:next w:val="Normal"/>
    <w:autoRedefine/>
    <w:uiPriority w:val="39"/>
    <w:rsid w:val="00DD418B"/>
    <w:pPr>
      <w:keepLines/>
      <w:suppressAutoHyphens/>
      <w:spacing w:after="0"/>
      <w:ind w:left="567" w:right="851" w:hanging="567"/>
    </w:pPr>
    <w:rPr>
      <w:color w:val="000000" w:themeColor="text1"/>
      <w:kern w:val="12"/>
      <w:sz w:val="20"/>
      <w:szCs w:val="20"/>
      <w:lang w:val="en-AU"/>
    </w:rPr>
  </w:style>
  <w:style w:type="paragraph" w:styleId="TOC3">
    <w:name w:val="toc 3"/>
    <w:basedOn w:val="Normal"/>
    <w:next w:val="Normal"/>
    <w:autoRedefine/>
    <w:uiPriority w:val="39"/>
    <w:rsid w:val="00DD418B"/>
    <w:pPr>
      <w:tabs>
        <w:tab w:val="right" w:pos="8896"/>
      </w:tabs>
      <w:suppressAutoHyphens/>
      <w:spacing w:after="0"/>
      <w:ind w:left="1134" w:right="851" w:hanging="567"/>
    </w:pPr>
    <w:rPr>
      <w:color w:val="000000" w:themeColor="text1"/>
      <w:kern w:val="12"/>
      <w:sz w:val="20"/>
      <w:szCs w:val="20"/>
      <w:lang w:val="en-AU"/>
    </w:rPr>
  </w:style>
  <w:style w:type="paragraph" w:styleId="TableofFigures">
    <w:name w:val="table of figures"/>
    <w:basedOn w:val="Normal"/>
    <w:next w:val="Normal"/>
    <w:uiPriority w:val="40"/>
    <w:unhideWhenUsed/>
    <w:rsid w:val="004D4B0F"/>
    <w:pPr>
      <w:suppressAutoHyphens/>
      <w:spacing w:before="80" w:after="80"/>
    </w:pPr>
    <w:rPr>
      <w:color w:val="000000" w:themeColor="text1"/>
      <w:kern w:val="12"/>
      <w:sz w:val="20"/>
      <w:szCs w:val="20"/>
      <w:lang w:val="en-AU"/>
    </w:rPr>
  </w:style>
  <w:style w:type="paragraph" w:styleId="ListParagraph">
    <w:name w:val="List Paragraph"/>
    <w:basedOn w:val="Normal"/>
    <w:uiPriority w:val="34"/>
    <w:qFormat/>
    <w:rsid w:val="004D4B0F"/>
    <w:pPr>
      <w:numPr>
        <w:numId w:val="2"/>
      </w:numPr>
      <w:ind w:left="567" w:hanging="567"/>
      <w:contextualSpacing/>
    </w:pPr>
  </w:style>
  <w:style w:type="paragraph" w:styleId="Caption">
    <w:name w:val="caption"/>
    <w:basedOn w:val="Normal"/>
    <w:next w:val="Normal"/>
    <w:uiPriority w:val="14"/>
    <w:qFormat/>
    <w:rsid w:val="00B13480"/>
    <w:pPr>
      <w:suppressAutoHyphens/>
      <w:spacing w:before="240"/>
    </w:pPr>
    <w:rPr>
      <w:b/>
      <w:iCs/>
      <w:color w:val="000000" w:themeColor="text1"/>
      <w:kern w:val="12"/>
      <w:sz w:val="20"/>
      <w:szCs w:val="18"/>
      <w:lang w:val="en-AU"/>
    </w:rPr>
  </w:style>
  <w:style w:type="table" w:customStyle="1" w:styleId="DefaultTable1">
    <w:name w:val="Default Table 1"/>
    <w:basedOn w:val="TableNormal"/>
    <w:uiPriority w:val="99"/>
    <w:rsid w:val="00B13480"/>
    <w:pPr>
      <w:spacing w:before="80" w:after="80" w:line="240" w:lineRule="auto"/>
    </w:pPr>
    <w:rPr>
      <w:color w:val="000000" w:themeColor="text1"/>
      <w:sz w:val="20"/>
      <w:szCs w:val="20"/>
    </w:rPr>
    <w:tblPr>
      <w:tblStyleRowBandSize w:val="1"/>
      <w:tblStyleColBandSize w:val="1"/>
      <w:tblBorders>
        <w:top w:val="single" w:sz="4" w:space="0" w:color="ED7D31" w:themeColor="accent2"/>
        <w:bottom w:val="single" w:sz="4" w:space="0" w:color="ED7D31" w:themeColor="accent2"/>
        <w:insideH w:val="single" w:sz="4" w:space="0" w:color="ED7D31" w:themeColor="accent2"/>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8A7F8E"/>
    <w:pPr>
      <w:suppressAutoHyphens/>
    </w:pPr>
    <w:rPr>
      <w:color w:val="000000" w:themeColor="text1"/>
      <w:kern w:val="12"/>
      <w:sz w:val="20"/>
      <w:szCs w:val="20"/>
      <w:lang w:val="x-none"/>
    </w:rPr>
  </w:style>
  <w:style w:type="paragraph" w:customStyle="1" w:styleId="Sourcenotesnumbered">
    <w:name w:val="Source notes numbered"/>
    <w:basedOn w:val="Sourcenotes"/>
    <w:uiPriority w:val="15"/>
    <w:qFormat/>
    <w:rsid w:val="00B13480"/>
    <w:pPr>
      <w:spacing w:before="80"/>
    </w:pPr>
  </w:style>
  <w:style w:type="paragraph" w:customStyle="1" w:styleId="Tableheader">
    <w:name w:val="Table header"/>
    <w:basedOn w:val="Normal"/>
    <w:qFormat/>
    <w:rsid w:val="007E6AE7"/>
    <w:pPr>
      <w:suppressAutoHyphens/>
      <w:spacing w:before="80" w:after="80"/>
    </w:pPr>
    <w:rPr>
      <w:rFonts w:ascii="Calibri" w:eastAsia="Calibri" w:hAnsi="Calibri" w:cs="Times New Roman"/>
      <w:b/>
      <w:color w:val="FFFFFF"/>
      <w:kern w:val="12"/>
      <w:sz w:val="20"/>
      <w:szCs w:val="20"/>
      <w:lang w:val="en-AU"/>
    </w:rPr>
  </w:style>
  <w:style w:type="paragraph" w:customStyle="1" w:styleId="Tableheadercentred">
    <w:name w:val="Table header centred"/>
    <w:basedOn w:val="Normal"/>
    <w:qFormat/>
    <w:rsid w:val="007E6AE7"/>
    <w:pPr>
      <w:suppressAutoHyphens/>
      <w:spacing w:before="80" w:after="80"/>
      <w:jc w:val="center"/>
    </w:pPr>
    <w:rPr>
      <w:rFonts w:ascii="Calibri" w:eastAsia="Calibri" w:hAnsi="Calibri" w:cs="Times New Roman"/>
      <w:b/>
      <w:color w:val="FFFFFF"/>
      <w:kern w:val="12"/>
      <w:sz w:val="20"/>
      <w:szCs w:val="20"/>
      <w:lang w:val="en-AU"/>
    </w:rPr>
  </w:style>
  <w:style w:type="paragraph" w:customStyle="1" w:styleId="Normalcentred">
    <w:name w:val="Normal centred"/>
    <w:basedOn w:val="Normal"/>
    <w:qFormat/>
    <w:rsid w:val="007E6AE7"/>
    <w:pPr>
      <w:suppressAutoHyphens/>
      <w:spacing w:before="80" w:after="80"/>
      <w:jc w:val="center"/>
    </w:pPr>
    <w:rPr>
      <w:rFonts w:ascii="Calibri" w:eastAsia="Calibri" w:hAnsi="Calibri" w:cs="Times New Roman"/>
      <w:color w:val="000000"/>
      <w:kern w:val="12"/>
      <w:sz w:val="20"/>
      <w:szCs w:val="20"/>
      <w:lang w:val="en-AU"/>
    </w:rPr>
  </w:style>
  <w:style w:type="paragraph" w:customStyle="1" w:styleId="Listparagraphbullets">
    <w:name w:val="List paragraph—bullets"/>
    <w:basedOn w:val="ListParagraph"/>
    <w:qFormat/>
    <w:rsid w:val="00A75A6D"/>
    <w:pPr>
      <w:numPr>
        <w:numId w:val="15"/>
      </w:numPr>
      <w:ind w:left="567" w:hanging="567"/>
    </w:pPr>
    <w:rPr>
      <w:rFonts w:ascii="Calibri" w:hAnsi="Calibri"/>
      <w:lang w:val="en-AU" w:eastAsia="zh-TW"/>
    </w:rPr>
  </w:style>
  <w:style w:type="paragraph" w:styleId="FootnoteText">
    <w:name w:val="footnote text"/>
    <w:basedOn w:val="Normal"/>
    <w:link w:val="FootnoteTextChar"/>
    <w:uiPriority w:val="99"/>
    <w:unhideWhenUsed/>
    <w:rsid w:val="00A75A6D"/>
    <w:pPr>
      <w:spacing w:after="0"/>
    </w:pPr>
    <w:rPr>
      <w:rFonts w:ascii="Calibri" w:hAnsi="Calibri"/>
      <w:sz w:val="20"/>
      <w:szCs w:val="20"/>
      <w:lang w:val="en-AU"/>
    </w:rPr>
  </w:style>
  <w:style w:type="character" w:customStyle="1" w:styleId="FootnoteTextChar">
    <w:name w:val="Footnote Text Char"/>
    <w:basedOn w:val="DefaultParagraphFont"/>
    <w:link w:val="FootnoteText"/>
    <w:uiPriority w:val="99"/>
    <w:rsid w:val="00A75A6D"/>
    <w:rPr>
      <w:rFonts w:ascii="Calibri" w:hAnsi="Calibri"/>
      <w:sz w:val="20"/>
      <w:szCs w:val="20"/>
    </w:rPr>
  </w:style>
  <w:style w:type="character" w:styleId="FootnoteReference">
    <w:name w:val="footnote reference"/>
    <w:basedOn w:val="DefaultParagraphFont"/>
    <w:uiPriority w:val="99"/>
    <w:semiHidden/>
    <w:unhideWhenUsed/>
    <w:rsid w:val="00A75A6D"/>
    <w:rPr>
      <w:vertAlign w:val="superscript"/>
    </w:rPr>
  </w:style>
  <w:style w:type="paragraph" w:styleId="TableofAuthorities">
    <w:name w:val="table of authorities"/>
    <w:basedOn w:val="Normal"/>
    <w:next w:val="Normal"/>
    <w:uiPriority w:val="99"/>
    <w:unhideWhenUsed/>
    <w:rsid w:val="00A75A6D"/>
    <w:pPr>
      <w:spacing w:after="0"/>
      <w:ind w:left="220" w:hanging="220"/>
    </w:pPr>
  </w:style>
  <w:style w:type="paragraph" w:customStyle="1" w:styleId="Tablefigureheading">
    <w:name w:val="Table/figure heading"/>
    <w:basedOn w:val="Normal"/>
    <w:next w:val="Normal"/>
    <w:qFormat/>
    <w:rsid w:val="00A75A6D"/>
    <w:pPr>
      <w:keepNext/>
      <w:spacing w:after="0"/>
    </w:pPr>
    <w:rPr>
      <w:rFonts w:ascii="Calibri" w:hAnsi="Calibri"/>
      <w:b/>
      <w:color w:val="002D72"/>
      <w:lang w:val="en-AU"/>
    </w:rPr>
  </w:style>
  <w:style w:type="paragraph" w:styleId="Salutation">
    <w:name w:val="Salutation"/>
    <w:basedOn w:val="Normal"/>
    <w:next w:val="Normal"/>
    <w:link w:val="SalutationChar"/>
    <w:uiPriority w:val="99"/>
    <w:unhideWhenUsed/>
    <w:rsid w:val="00377E3A"/>
  </w:style>
  <w:style w:type="character" w:customStyle="1" w:styleId="SalutationChar">
    <w:name w:val="Salutation Char"/>
    <w:basedOn w:val="DefaultParagraphFont"/>
    <w:link w:val="Salutation"/>
    <w:uiPriority w:val="99"/>
    <w:rsid w:val="00377E3A"/>
    <w:rPr>
      <w:lang w:val="en-US"/>
    </w:rPr>
  </w:style>
  <w:style w:type="paragraph" w:customStyle="1" w:styleId="Bullet1">
    <w:name w:val="Bullet 1"/>
    <w:basedOn w:val="Normal"/>
    <w:uiPriority w:val="3"/>
    <w:qFormat/>
    <w:rsid w:val="00377E3A"/>
    <w:pPr>
      <w:numPr>
        <w:numId w:val="16"/>
      </w:numPr>
      <w:suppressAutoHyphens/>
      <w:spacing w:before="80" w:after="80"/>
    </w:pPr>
    <w:rPr>
      <w:color w:val="000000" w:themeColor="text1"/>
      <w:kern w:val="12"/>
      <w:sz w:val="20"/>
      <w:szCs w:val="20"/>
      <w:lang w:val="x-none"/>
    </w:rPr>
  </w:style>
  <w:style w:type="paragraph" w:customStyle="1" w:styleId="Bullet2">
    <w:name w:val="Bullet 2"/>
    <w:basedOn w:val="Bullet1"/>
    <w:uiPriority w:val="3"/>
    <w:rsid w:val="00377E3A"/>
    <w:pPr>
      <w:numPr>
        <w:ilvl w:val="1"/>
      </w:numPr>
    </w:pPr>
  </w:style>
  <w:style w:type="paragraph" w:customStyle="1" w:styleId="Bullet3">
    <w:name w:val="Bullet 3"/>
    <w:basedOn w:val="Bullet2"/>
    <w:uiPriority w:val="3"/>
    <w:rsid w:val="00377E3A"/>
    <w:pPr>
      <w:numPr>
        <w:ilvl w:val="2"/>
      </w:numPr>
    </w:pPr>
  </w:style>
  <w:style w:type="table" w:customStyle="1" w:styleId="IconBoxTable">
    <w:name w:val="Icon Box Table"/>
    <w:basedOn w:val="TableNormal"/>
    <w:uiPriority w:val="99"/>
    <w:rsid w:val="00377E3A"/>
    <w:pPr>
      <w:spacing w:before="80" w:after="80" w:line="240" w:lineRule="auto"/>
    </w:pPr>
    <w:rPr>
      <w:color w:val="000000" w:themeColor="text1"/>
      <w:sz w:val="20"/>
      <w:szCs w:val="20"/>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377E3A"/>
    <w:pPr>
      <w:numPr>
        <w:numId w:val="16"/>
      </w:numPr>
    </w:pPr>
  </w:style>
  <w:style w:type="paragraph" w:styleId="List5">
    <w:name w:val="List 5"/>
    <w:basedOn w:val="Normal"/>
    <w:uiPriority w:val="99"/>
    <w:unhideWhenUsed/>
    <w:rsid w:val="00953FE0"/>
    <w:pPr>
      <w:ind w:left="1415" w:hanging="283"/>
      <w:contextualSpacing/>
    </w:pPr>
  </w:style>
  <w:style w:type="paragraph" w:styleId="Quote">
    <w:name w:val="Quote"/>
    <w:basedOn w:val="Normal"/>
    <w:next w:val="Normal"/>
    <w:link w:val="QuoteChar"/>
    <w:uiPriority w:val="29"/>
    <w:qFormat/>
    <w:rsid w:val="001B5326"/>
    <w:pPr>
      <w:pBdr>
        <w:left w:val="single" w:sz="48" w:space="22" w:color="377B88"/>
      </w:pBdr>
      <w:suppressAutoHyphens/>
      <w:spacing w:before="160"/>
      <w:ind w:left="567" w:right="567"/>
    </w:pPr>
    <w:rPr>
      <w:b/>
      <w:iCs/>
      <w:kern w:val="12"/>
      <w:sz w:val="20"/>
      <w:szCs w:val="20"/>
      <w:lang w:val="en-AU"/>
    </w:rPr>
  </w:style>
  <w:style w:type="character" w:customStyle="1" w:styleId="QuoteChar">
    <w:name w:val="Quote Char"/>
    <w:basedOn w:val="DefaultParagraphFont"/>
    <w:link w:val="Quote"/>
    <w:uiPriority w:val="29"/>
    <w:rsid w:val="001B5326"/>
    <w:rPr>
      <w:b/>
      <w:iCs/>
      <w:kern w:val="12"/>
      <w:sz w:val="20"/>
      <w:szCs w:val="20"/>
    </w:rPr>
  </w:style>
  <w:style w:type="paragraph" w:styleId="BalloonText">
    <w:name w:val="Balloon Text"/>
    <w:basedOn w:val="Normal"/>
    <w:link w:val="BalloonTextChar"/>
    <w:uiPriority w:val="99"/>
    <w:semiHidden/>
    <w:unhideWhenUsed/>
    <w:rsid w:val="00CB388C"/>
    <w:pPr>
      <w:spacing w:after="0"/>
    </w:pPr>
    <w:rPr>
      <w:rFonts w:ascii="Segoe UI" w:hAnsi="Segoe UI" w:cs="Segoe UI"/>
      <w:sz w:val="18"/>
      <w:szCs w:val="18"/>
    </w:rPr>
  </w:style>
  <w:style w:type="paragraph" w:styleId="TOC4">
    <w:name w:val="toc 4"/>
    <w:basedOn w:val="Normal"/>
    <w:next w:val="Normal"/>
    <w:autoRedefine/>
    <w:uiPriority w:val="39"/>
    <w:unhideWhenUsed/>
    <w:rsid w:val="00DD418B"/>
    <w:pPr>
      <w:tabs>
        <w:tab w:val="right" w:pos="8896"/>
      </w:tabs>
      <w:spacing w:after="120"/>
      <w:ind w:right="851"/>
    </w:pPr>
  </w:style>
  <w:style w:type="character" w:customStyle="1" w:styleId="BalloonTextChar">
    <w:name w:val="Balloon Text Char"/>
    <w:basedOn w:val="DefaultParagraphFont"/>
    <w:link w:val="BalloonText"/>
    <w:uiPriority w:val="99"/>
    <w:semiHidden/>
    <w:rsid w:val="00CB388C"/>
    <w:rPr>
      <w:rFonts w:ascii="Segoe UI" w:hAnsi="Segoe UI" w:cs="Segoe UI"/>
      <w:sz w:val="18"/>
      <w:szCs w:val="18"/>
      <w:lang w:val="en-US"/>
    </w:rPr>
  </w:style>
  <w:style w:type="table" w:styleId="PlainTable1">
    <w:name w:val="Plain Table 1"/>
    <w:basedOn w:val="TableNormal"/>
    <w:uiPriority w:val="41"/>
    <w:rsid w:val="00B049D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F3174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85947"/>
    <w:rPr>
      <w:sz w:val="16"/>
      <w:szCs w:val="16"/>
    </w:rPr>
  </w:style>
  <w:style w:type="paragraph" w:styleId="CommentText">
    <w:name w:val="annotation text"/>
    <w:basedOn w:val="Normal"/>
    <w:link w:val="CommentTextChar"/>
    <w:uiPriority w:val="99"/>
    <w:semiHidden/>
    <w:unhideWhenUsed/>
    <w:rsid w:val="00485947"/>
    <w:rPr>
      <w:sz w:val="20"/>
      <w:szCs w:val="20"/>
    </w:rPr>
  </w:style>
  <w:style w:type="character" w:customStyle="1" w:styleId="CommentTextChar">
    <w:name w:val="Comment Text Char"/>
    <w:basedOn w:val="DefaultParagraphFont"/>
    <w:link w:val="CommentText"/>
    <w:uiPriority w:val="99"/>
    <w:semiHidden/>
    <w:rsid w:val="00485947"/>
    <w:rPr>
      <w:sz w:val="20"/>
      <w:szCs w:val="20"/>
      <w:lang w:val="en-US"/>
    </w:rPr>
  </w:style>
  <w:style w:type="paragraph" w:styleId="CommentSubject">
    <w:name w:val="annotation subject"/>
    <w:basedOn w:val="CommentText"/>
    <w:next w:val="CommentText"/>
    <w:link w:val="CommentSubjectChar"/>
    <w:uiPriority w:val="99"/>
    <w:semiHidden/>
    <w:unhideWhenUsed/>
    <w:rsid w:val="00485947"/>
    <w:rPr>
      <w:b/>
      <w:bCs/>
    </w:rPr>
  </w:style>
  <w:style w:type="character" w:customStyle="1" w:styleId="CommentSubjectChar">
    <w:name w:val="Comment Subject Char"/>
    <w:basedOn w:val="CommentTextChar"/>
    <w:link w:val="CommentSubject"/>
    <w:uiPriority w:val="99"/>
    <w:semiHidden/>
    <w:rsid w:val="0048594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accan.org.au/about/annual-repor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nfrastructure.gov.au/" TargetMode="External"/><Relationship Id="rId2" Type="http://schemas.openxmlformats.org/officeDocument/2006/relationships/customXml" Target="../customXml/item2.xml"/><Relationship Id="rId16" Type="http://schemas.openxmlformats.org/officeDocument/2006/relationships/hyperlink" Target="mailto:publishing@infrastructure.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pmc.gov.au/" TargetMode="External"/><Relationship Id="rId10" Type="http://schemas.openxmlformats.org/officeDocument/2006/relationships/endnotes" Target="endnotes.xml"/><Relationship Id="rId19" Type="http://schemas.openxmlformats.org/officeDocument/2006/relationships/hyperlink" Target="http://www.accan.org.au/submis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07D835F-C276-4E55-9788-75F389E56D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6DD8A9001C03A4CB8DBB09487EC3D79" ma:contentTypeVersion="" ma:contentTypeDescription="PDMS Document Site Content Type" ma:contentTypeScope="" ma:versionID="576c512a184a76da0e8b1aaa3c539166">
  <xsd:schema xmlns:xsd="http://www.w3.org/2001/XMLSchema" xmlns:xs="http://www.w3.org/2001/XMLSchema" xmlns:p="http://schemas.microsoft.com/office/2006/metadata/properties" xmlns:ns2="107D835F-C276-4E55-9788-75F389E56DEF" targetNamespace="http://schemas.microsoft.com/office/2006/metadata/properties" ma:root="true" ma:fieldsID="8206eefc1ed8f6da5e100cbaf9d754fb" ns2:_="">
    <xsd:import namespace="107D835F-C276-4E55-9788-75F389E56DE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D835F-C276-4E55-9788-75F389E56DE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36BA0-5FC0-492A-832C-F0F2309E79F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107D835F-C276-4E55-9788-75F389E56DEF"/>
    <ds:schemaRef ds:uri="http://www.w3.org/XML/1998/namespace"/>
  </ds:schemaRefs>
</ds:datastoreItem>
</file>

<file path=customXml/itemProps2.xml><?xml version="1.0" encoding="utf-8"?>
<ds:datastoreItem xmlns:ds="http://schemas.openxmlformats.org/officeDocument/2006/customXml" ds:itemID="{3DE41B47-D501-4109-9736-47FB222F6230}">
  <ds:schemaRefs>
    <ds:schemaRef ds:uri="http://schemas.microsoft.com/sharepoint/v3/contenttype/forms"/>
  </ds:schemaRefs>
</ds:datastoreItem>
</file>

<file path=customXml/itemProps3.xml><?xml version="1.0" encoding="utf-8"?>
<ds:datastoreItem xmlns:ds="http://schemas.openxmlformats.org/officeDocument/2006/customXml" ds:itemID="{B560967B-102B-4B13-82AE-5C0AE5E2C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D835F-C276-4E55-9788-75F389E56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F9E9E9-9B71-4F6B-8A22-39506D22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1795</Words>
  <Characters>10233</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and Communications</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Infrastructure, Transport, Regional Development and Communications</dc:creator>
  <cp:keywords/>
  <dc:description>16 February 2021</dc:description>
  <cp:lastModifiedBy>Heyes, Stephen</cp:lastModifiedBy>
  <cp:revision>2</cp:revision>
  <cp:lastPrinted>2021-02-16T05:43:00Z</cp:lastPrinted>
  <dcterms:created xsi:type="dcterms:W3CDTF">2022-01-11T21:52:00Z</dcterms:created>
  <dcterms:modified xsi:type="dcterms:W3CDTF">2022-01-11T21:52:00Z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0x010100266966F133664895A6EE3632470D45F500A6DD8A9001C03A4CB8DBB09487EC3D79</vt:lpwstr>
  </property>
  <property fmtid="{D5CDD505-2E9C-101B-9397-08002B2CF9AE}" pid="3" name="TrimRevisionNumber">
    <vt:i4>43</vt:i4>
  </property>
</Properties>
</file>