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33A45" w:rsidRDefault="00B3785F" w:rsidP="00822DBF">
      <w:pPr>
        <w:spacing w:after="0"/>
        <w:ind w:left="-1418"/>
      </w:pPr>
      <w:r>
        <w:rPr>
          <w:noProof/>
        </w:rPr>
        <w:drawing>
          <wp:inline distT="0" distB="0" distL="0" distR="0" wp14:anchorId="1C04634D" wp14:editId="6F624F0C">
            <wp:extent cx="7545686" cy="1924216"/>
            <wp:effectExtent l="0" t="0" r="0" b="0"/>
            <wp:docPr id="5" name="Picture 5"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7601559" cy="1938464"/>
                    </a:xfrm>
                    <a:prstGeom prst="rect">
                      <a:avLst/>
                    </a:prstGeom>
                  </pic:spPr>
                </pic:pic>
              </a:graphicData>
            </a:graphic>
          </wp:inline>
        </w:drawing>
      </w:r>
    </w:p>
    <w:p w:rsidR="00A11CD2" w:rsidRDefault="00A11CD2" w:rsidP="00822DBF">
      <w:pPr>
        <w:spacing w:after="0"/>
        <w:ind w:left="-1418"/>
        <w:sectPr w:rsidR="00A11CD2" w:rsidSect="00EA415A">
          <w:headerReference w:type="default" r:id="rId9"/>
          <w:footerReference w:type="default" r:id="rId10"/>
          <w:footerReference w:type="first" r:id="rId11"/>
          <w:pgSz w:w="11906" w:h="16838"/>
          <w:pgMar w:top="0" w:right="991" w:bottom="1276" w:left="1440" w:header="0" w:footer="0" w:gutter="0"/>
          <w:cols w:space="708"/>
          <w:titlePg/>
          <w:docGrid w:linePitch="360"/>
        </w:sectPr>
      </w:pPr>
      <w:bookmarkStart w:id="0" w:name="_GoBack"/>
      <w:bookmarkEnd w:id="0"/>
    </w:p>
    <w:p w:rsidR="00EC6304" w:rsidRPr="005770B2" w:rsidRDefault="00EC6304" w:rsidP="00EC6304">
      <w:pPr>
        <w:pStyle w:val="Heading1"/>
      </w:pPr>
      <w:r>
        <w:t>Frequently Asked Questions</w:t>
      </w:r>
    </w:p>
    <w:p w:rsidR="00EC6304" w:rsidRDefault="00EC6304" w:rsidP="007E2F4C">
      <w:pPr>
        <w:pStyle w:val="Subtitle"/>
        <w:spacing w:before="120"/>
      </w:pPr>
      <w:r>
        <w:t>2022 Review of the Disability Transport Standards</w:t>
      </w:r>
    </w:p>
    <w:p w:rsidR="00B041CB" w:rsidRPr="00B041CB" w:rsidRDefault="00EC6304" w:rsidP="00EC6304">
      <w:pPr>
        <w:suppressAutoHyphens/>
        <w:spacing w:before="160" w:after="80"/>
        <w:rPr>
          <w:rFonts w:eastAsia="Calibri" w:cs="Times New Roman"/>
          <w:b/>
          <w:color w:val="081E3E"/>
          <w:kern w:val="12"/>
          <w:sz w:val="20"/>
          <w:szCs w:val="20"/>
        </w:rPr>
      </w:pPr>
      <w:r>
        <w:rPr>
          <w:b/>
          <w:color w:val="081E3E"/>
        </w:rPr>
        <w:t>December</w:t>
      </w:r>
      <w:r w:rsidRPr="005770B2">
        <w:rPr>
          <w:b/>
          <w:color w:val="081E3E"/>
        </w:rPr>
        <w:t xml:space="preserve"> </w:t>
      </w:r>
      <w:r>
        <w:rPr>
          <w:b/>
          <w:color w:val="081E3E"/>
        </w:rPr>
        <w:t>2022</w:t>
      </w:r>
    </w:p>
    <w:p w:rsidR="00B041CB" w:rsidRPr="00B041CB" w:rsidRDefault="00B041CB" w:rsidP="00953CCD">
      <w:pPr>
        <w:pBdr>
          <w:bottom w:val="single" w:sz="4" w:space="1" w:color="C0D48F"/>
        </w:pBdr>
        <w:suppressAutoHyphens/>
        <w:spacing w:before="160" w:after="360"/>
        <w:rPr>
          <w:rFonts w:eastAsia="Calibri" w:cs="Times New Roman"/>
          <w:color w:val="000000"/>
          <w:kern w:val="12"/>
          <w:sz w:val="20"/>
          <w:szCs w:val="20"/>
        </w:rPr>
      </w:pPr>
    </w:p>
    <w:p w:rsidR="00EC6304" w:rsidRPr="005F794B" w:rsidRDefault="00EC6304" w:rsidP="00EC6304">
      <w:pPr>
        <w:pStyle w:val="Heading2"/>
      </w:pPr>
      <w:bookmarkStart w:id="1" w:name="_Toc49855349"/>
      <w:r>
        <w:t xml:space="preserve">What are the Transport Standards? </w:t>
      </w:r>
      <w:bookmarkEnd w:id="1"/>
    </w:p>
    <w:p w:rsidR="00EC6304" w:rsidRPr="00EC6304" w:rsidRDefault="00EC6304" w:rsidP="00EC6304">
      <w:pPr>
        <w:pStyle w:val="Bullet1"/>
        <w:numPr>
          <w:ilvl w:val="0"/>
          <w:numId w:val="19"/>
        </w:numPr>
        <w:ind w:left="567" w:hanging="567"/>
      </w:pPr>
      <w:r w:rsidRPr="00EC6304">
        <w:t xml:space="preserve">The </w:t>
      </w:r>
      <w:hyperlink r:id="rId12" w:history="1">
        <w:r w:rsidRPr="00EC6304">
          <w:rPr>
            <w:rStyle w:val="Hyperlink"/>
            <w:color w:val="000000" w:themeColor="text1"/>
            <w:u w:val="none"/>
          </w:rPr>
          <w:t>Disability Standards for Accessible Public Transport 2002</w:t>
        </w:r>
      </w:hyperlink>
      <w:r w:rsidRPr="00EC6304">
        <w:t xml:space="preserve">, commonly referred to as the Transport Standards, are made by the Attorney-General under subsection 31 (1) of the </w:t>
      </w:r>
      <w:hyperlink r:id="rId13" w:history="1">
        <w:r w:rsidRPr="00EC6304">
          <w:rPr>
            <w:rStyle w:val="Hyperlink"/>
            <w:color w:val="000000" w:themeColor="text1"/>
            <w:u w:val="none"/>
          </w:rPr>
          <w:t>Disability Discrimination Act 1992</w:t>
        </w:r>
      </w:hyperlink>
      <w:r w:rsidRPr="00EC6304">
        <w:t xml:space="preserve"> (the DDA).</w:t>
      </w:r>
    </w:p>
    <w:p w:rsidR="00EC6304" w:rsidRPr="00EC6304" w:rsidRDefault="00EC6304" w:rsidP="00EC6304">
      <w:pPr>
        <w:pStyle w:val="Bullet1"/>
      </w:pPr>
      <w:r w:rsidRPr="00EC6304">
        <w:t xml:space="preserve">They seek to remove discrimination for people with disability accessing public transport services, in order to provide equality and independence. </w:t>
      </w:r>
    </w:p>
    <w:p w:rsidR="00EC6304" w:rsidRPr="00EC6304" w:rsidRDefault="00EC6304" w:rsidP="00EC6304">
      <w:pPr>
        <w:pStyle w:val="Bullet1"/>
      </w:pPr>
      <w:r w:rsidRPr="00EC6304">
        <w:t>The Transport Standards apply to train, tram, bus and coach, ferry, taxi and aviation services. Public transport infrastructure, such as bus stops, train stations, tram and light rail stops, ferry terminals and airports are also covered by the Transport Standards.</w:t>
      </w:r>
    </w:p>
    <w:p w:rsidR="00EC6304" w:rsidRPr="00EC6304" w:rsidRDefault="00EC6304" w:rsidP="00EC6304">
      <w:pPr>
        <w:pStyle w:val="Bullet1"/>
      </w:pPr>
      <w:r w:rsidRPr="00EC6304">
        <w:t>They are designed to provide certainty to providers and operators of public transport services and infrastructure about their responsibilities under the DDA.</w:t>
      </w:r>
    </w:p>
    <w:p w:rsidR="00EC6304" w:rsidRDefault="00EC6304" w:rsidP="00EC6304">
      <w:pPr>
        <w:pStyle w:val="Heading2"/>
      </w:pPr>
      <w:r>
        <w:t>Why are the Transport Standards being reviewed?</w:t>
      </w:r>
    </w:p>
    <w:p w:rsidR="00EC6304" w:rsidRPr="00EC6304" w:rsidRDefault="00EC6304" w:rsidP="00EC6304">
      <w:pPr>
        <w:pStyle w:val="Bullet1"/>
      </w:pPr>
      <w:r>
        <w:t>Every</w:t>
      </w:r>
      <w:r w:rsidRPr="00EC6304">
        <w:t xml:space="preserve"> 5 years, the Minister for Infrastructure, Transport and Regional Development, in consultation with the Attorney-General, is required to review the efficiency and effectiveness of the Transport Standards. </w:t>
      </w:r>
    </w:p>
    <w:p w:rsidR="00EC6304" w:rsidRDefault="00EC6304" w:rsidP="00EC6304">
      <w:pPr>
        <w:pStyle w:val="Bullet1"/>
      </w:pPr>
      <w:r w:rsidRPr="00EC6304">
        <w:t>The r</w:t>
      </w:r>
      <w:r>
        <w:t xml:space="preserve">eview must: </w:t>
      </w:r>
    </w:p>
    <w:p w:rsidR="00EC6304" w:rsidRDefault="00EC6304" w:rsidP="00EC6304">
      <w:pPr>
        <w:pStyle w:val="Bullet2"/>
      </w:pPr>
      <w:r>
        <w:tab/>
        <w:t>report on the effectiveness and efficiency of the Transport Standards</w:t>
      </w:r>
    </w:p>
    <w:p w:rsidR="00EC6304" w:rsidRDefault="00EC6304" w:rsidP="00EC6304">
      <w:pPr>
        <w:pStyle w:val="Bullet2"/>
      </w:pPr>
      <w:r>
        <w:tab/>
        <w:t>report on whether discrimination has been removed as far as possible</w:t>
      </w:r>
    </w:p>
    <w:p w:rsidR="00EC6304" w:rsidRDefault="00EC6304" w:rsidP="00EC6304">
      <w:pPr>
        <w:pStyle w:val="Bullet2"/>
      </w:pPr>
      <w:r>
        <w:tab/>
        <w:t>include any necessary amendments to the Transport Standards.</w:t>
      </w:r>
    </w:p>
    <w:p w:rsidR="00EC6304" w:rsidRDefault="00EC6304" w:rsidP="00EC6304">
      <w:pPr>
        <w:pStyle w:val="Bullet1"/>
      </w:pPr>
      <w:r>
        <w:t>Since the release of the Transport Standards there have been 3 reviews—the 2007 Review, the 2012 Review and the 2017 Review.</w:t>
      </w:r>
    </w:p>
    <w:p w:rsidR="00EC6304" w:rsidRDefault="00EC6304" w:rsidP="007E2F4C">
      <w:pPr>
        <w:pStyle w:val="Heading2"/>
      </w:pPr>
      <w:r w:rsidRPr="0069211F">
        <w:lastRenderedPageBreak/>
        <w:t>How is the review different to the public consultations held in 2021 and early-2022?</w:t>
      </w:r>
    </w:p>
    <w:p w:rsidR="00EC6304" w:rsidRDefault="00EC6304" w:rsidP="007E2F4C">
      <w:pPr>
        <w:pStyle w:val="Bullet1"/>
        <w:keepNext/>
      </w:pPr>
      <w:r>
        <w:t>Separate from the review of the Transport Standards, the government is progressing a reform process to modernise the Transport Standards.</w:t>
      </w:r>
    </w:p>
    <w:p w:rsidR="00EC6304" w:rsidRDefault="00EC6304" w:rsidP="007E2F4C">
      <w:pPr>
        <w:pStyle w:val="Bullet1"/>
        <w:keepNext/>
      </w:pPr>
      <w:r>
        <w:t>During 2021 and 2022, we held public consultations to investigate the impacts of potential reform areas with stakeholders. Findings from these consultations will be considered by the transport ministers in mid</w:t>
      </w:r>
      <w:r>
        <w:rPr>
          <w:lang w:val="en-US"/>
        </w:rPr>
        <w:t>-</w:t>
      </w:r>
      <w:r>
        <w:t xml:space="preserve">2023. </w:t>
      </w:r>
    </w:p>
    <w:p w:rsidR="00EC6304" w:rsidRDefault="00EC6304" w:rsidP="00EC6304">
      <w:pPr>
        <w:pStyle w:val="Bullet1"/>
      </w:pPr>
      <w:r>
        <w:t xml:space="preserve">The scope of the 2022 Review is distinct from the reform process. The reform process presented 76 discrete reforms to modernise the Transport Standards, which stakeholders were asked to provide specific feedback on. </w:t>
      </w:r>
    </w:p>
    <w:p w:rsidR="00EC6304" w:rsidRPr="0069211F" w:rsidRDefault="00EC6304" w:rsidP="00EC6304">
      <w:pPr>
        <w:pStyle w:val="Bullet1"/>
      </w:pPr>
      <w:r>
        <w:t>The 2022 Review provides the opportunity for stakeholders to broadly assess whether the Transport Standards are effectively removing discrimination and let us know what else needs to change to improve them.</w:t>
      </w:r>
    </w:p>
    <w:p w:rsidR="00EC6304" w:rsidRDefault="00EC6304" w:rsidP="00EC6304">
      <w:pPr>
        <w:pStyle w:val="Heading2"/>
      </w:pPr>
      <w:r w:rsidRPr="004106DF">
        <w:t>What information is the government seeking?</w:t>
      </w:r>
    </w:p>
    <w:p w:rsidR="00EC6304" w:rsidRPr="004106DF" w:rsidRDefault="00EC6304" w:rsidP="00EC6304">
      <w:pPr>
        <w:pStyle w:val="Bullet1"/>
      </w:pPr>
      <w:r w:rsidRPr="004106DF">
        <w:t xml:space="preserve">The </w:t>
      </w:r>
      <w:r w:rsidRPr="004106DF">
        <w:rPr>
          <w:lang w:val="en-US"/>
        </w:rPr>
        <w:t xml:space="preserve">2022 </w:t>
      </w:r>
      <w:r w:rsidRPr="004106DF">
        <w:t>Review provides the opportunity for you to tell us whether the Transport Standards are effectively removing discrimination and let us know what needs to change to improve them.</w:t>
      </w:r>
    </w:p>
    <w:p w:rsidR="00EC6304" w:rsidRPr="004106DF" w:rsidRDefault="00EC6304" w:rsidP="00EC6304">
      <w:pPr>
        <w:pStyle w:val="Bullet1"/>
      </w:pPr>
      <w:r w:rsidRPr="004106DF">
        <w:t>The discussion paper outlines the scope of the review and provides questions for you to think about. You don’t have to answer all of the questions, they’re a guide to help you.</w:t>
      </w:r>
    </w:p>
    <w:p w:rsidR="00EC6304" w:rsidRPr="004106DF" w:rsidRDefault="00EC6304" w:rsidP="00EC6304">
      <w:pPr>
        <w:pStyle w:val="Bullet1"/>
      </w:pPr>
      <w:r w:rsidRPr="004106DF">
        <w:t>You are encouraged to share any relevant public transport experiences.</w:t>
      </w:r>
    </w:p>
    <w:p w:rsidR="00EC6304" w:rsidRPr="004106DF" w:rsidRDefault="00EC6304" w:rsidP="00EC6304">
      <w:pPr>
        <w:pStyle w:val="Bullet1"/>
      </w:pPr>
      <w:r w:rsidRPr="004106DF">
        <w:t xml:space="preserve">The </w:t>
      </w:r>
      <w:hyperlink r:id="rId14" w:history="1">
        <w:r>
          <w:rPr>
            <w:color w:val="0563C1"/>
            <w:u w:val="single"/>
            <w:lang w:val="en-US"/>
          </w:rPr>
          <w:t>discussion paper can be viewed here</w:t>
        </w:r>
      </w:hyperlink>
      <w:r w:rsidRPr="004106DF">
        <w:rPr>
          <w:lang w:val="en-US"/>
        </w:rPr>
        <w:t>.</w:t>
      </w:r>
    </w:p>
    <w:p w:rsidR="00EC6304" w:rsidRDefault="00EC6304" w:rsidP="00EC6304">
      <w:pPr>
        <w:pStyle w:val="Heading2"/>
        <w:rPr>
          <w:b/>
        </w:rPr>
      </w:pPr>
      <w:r w:rsidRPr="009B62A9">
        <w:t>How can I contribute to the 2022 Review?</w:t>
      </w:r>
    </w:p>
    <w:p w:rsidR="00EC6304" w:rsidRDefault="00EC6304" w:rsidP="00EC6304">
      <w:pPr>
        <w:pStyle w:val="Bullet1"/>
      </w:pPr>
      <w:r>
        <w:t>Have your say</w:t>
      </w:r>
    </w:p>
    <w:p w:rsidR="00EC6304" w:rsidRDefault="00EC6304" w:rsidP="00EC6304">
      <w:pPr>
        <w:pStyle w:val="Bullet2"/>
      </w:pPr>
      <w:r>
        <w:t xml:space="preserve">by uploading a response to the 2022 Review discussion paper on the </w:t>
      </w:r>
      <w:hyperlink r:id="rId15" w:history="1">
        <w:r w:rsidRPr="007E0AE9">
          <w:rPr>
            <w:rStyle w:val="Hyperlink"/>
          </w:rPr>
          <w:t>Have Your Say webpage</w:t>
        </w:r>
      </w:hyperlink>
    </w:p>
    <w:p w:rsidR="00EC6304" w:rsidRDefault="00EC6304" w:rsidP="00EC6304">
      <w:pPr>
        <w:pStyle w:val="Bullet2"/>
      </w:pPr>
      <w:r>
        <w:t xml:space="preserve">in writing, by video or by sending an audio recording to </w:t>
      </w:r>
      <w:hyperlink r:id="rId16" w:history="1">
        <w:r w:rsidRPr="009008C8">
          <w:rPr>
            <w:rStyle w:val="Hyperlink"/>
          </w:rPr>
          <w:t>DisabilityTransport@infrastructure.gov.au</w:t>
        </w:r>
      </w:hyperlink>
    </w:p>
    <w:p w:rsidR="00EC6304" w:rsidRDefault="00EC6304" w:rsidP="00EC6304">
      <w:pPr>
        <w:pStyle w:val="Bullet2"/>
      </w:pPr>
      <w:r>
        <w:tab/>
        <w:t>by calling 1800 621 372</w:t>
      </w:r>
    </w:p>
    <w:p w:rsidR="00EC6304" w:rsidRPr="009B62A9" w:rsidRDefault="00EC6304" w:rsidP="00EC6304">
      <w:pPr>
        <w:pStyle w:val="Bullet2"/>
      </w:pPr>
      <w:r>
        <w:tab/>
        <w:t>by participating in an online public consultation event in early-2023.</w:t>
      </w:r>
    </w:p>
    <w:p w:rsidR="00EC6304" w:rsidRPr="009B62A9" w:rsidRDefault="00EC6304" w:rsidP="00EC6304">
      <w:pPr>
        <w:pStyle w:val="Heading2"/>
      </w:pPr>
      <w:r w:rsidRPr="009B62A9">
        <w:t>What resources are available to support the public consultation?</w:t>
      </w:r>
    </w:p>
    <w:p w:rsidR="00EC6304" w:rsidRPr="009B62A9" w:rsidRDefault="00EC6304" w:rsidP="00EC6304">
      <w:pPr>
        <w:pStyle w:val="Bullet1"/>
      </w:pPr>
      <w:r w:rsidRPr="009B62A9">
        <w:t xml:space="preserve">We’ve translated the discussion paper into Easy English, </w:t>
      </w:r>
      <w:proofErr w:type="spellStart"/>
      <w:r w:rsidRPr="009B62A9">
        <w:t>Auslan</w:t>
      </w:r>
      <w:proofErr w:type="spellEnd"/>
      <w:r w:rsidRPr="009B62A9">
        <w:t xml:space="preserve"> and 6 languages other than English. You can download these at </w:t>
      </w:r>
      <w:hyperlink r:id="rId17" w:history="1">
        <w:r w:rsidRPr="007E0AE9">
          <w:rPr>
            <w:rStyle w:val="Hyperlink"/>
          </w:rPr>
          <w:t>infrastructure.gov.au/transport-standards-review</w:t>
        </w:r>
      </w:hyperlink>
      <w:r w:rsidRPr="009B62A9">
        <w:t xml:space="preserve">. </w:t>
      </w:r>
    </w:p>
    <w:p w:rsidR="00EC6304" w:rsidRPr="009B62A9" w:rsidRDefault="00EC6304" w:rsidP="00EC6304">
      <w:pPr>
        <w:pStyle w:val="Heading2"/>
      </w:pPr>
      <w:r w:rsidRPr="009B62A9">
        <w:t xml:space="preserve">What is the difference between the Transport Standards and the Premises Standards? </w:t>
      </w:r>
    </w:p>
    <w:p w:rsidR="00EC6304" w:rsidRPr="009B62A9" w:rsidRDefault="00EC6304" w:rsidP="00EC6304">
      <w:pPr>
        <w:pStyle w:val="Bullet1"/>
      </w:pPr>
      <w:r w:rsidRPr="009B62A9">
        <w:t xml:space="preserve">The </w:t>
      </w:r>
      <w:hyperlink r:id="rId18" w:history="1">
        <w:r w:rsidRPr="007E0AE9">
          <w:rPr>
            <w:rStyle w:val="Hyperlink"/>
          </w:rPr>
          <w:t>Disability (Access to Premises – Buildings) Standards 2010 (Premises Standards)</w:t>
        </w:r>
      </w:hyperlink>
      <w:r w:rsidRPr="009B62A9">
        <w:t xml:space="preserve"> provide accessibility requirements for public buildings. These standards include public transport premises and do overlap with the Transport Standards. </w:t>
      </w:r>
    </w:p>
    <w:p w:rsidR="00EC6304" w:rsidRPr="009B62A9" w:rsidRDefault="00EC6304" w:rsidP="00EC6304">
      <w:pPr>
        <w:pStyle w:val="Bullet1"/>
      </w:pPr>
      <w:r w:rsidRPr="009B62A9">
        <w:t xml:space="preserve">A recommendation of the second review of the Transport Standards called for harmonisation of provisions under the Transport Standards and Premises Standards to ensure consistency where public transport premise and infrastructure interact. </w:t>
      </w:r>
    </w:p>
    <w:p w:rsidR="00EC6304" w:rsidRDefault="00EC6304" w:rsidP="00EC6304">
      <w:pPr>
        <w:pStyle w:val="Bullet1"/>
      </w:pPr>
      <w:r w:rsidRPr="009B62A9">
        <w:t>We are continuing to work closely with the Department of Industry, Science and Resources (DISR) and the Attorney-General’s Department, who jointly administer the Premises Standards, to ensure consistency and alignment of requirements across both standards.</w:t>
      </w:r>
    </w:p>
    <w:sectPr w:rsidR="00EC6304" w:rsidSect="00953CCD">
      <w:type w:val="continuous"/>
      <w:pgSz w:w="11906" w:h="16838"/>
      <w:pgMar w:top="1276" w:right="991" w:bottom="1276" w:left="1440" w:header="56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C6195" w:rsidRDefault="00AC6195" w:rsidP="00FC413F">
      <w:pPr>
        <w:spacing w:after="0"/>
      </w:pPr>
      <w:r>
        <w:separator/>
      </w:r>
    </w:p>
  </w:endnote>
  <w:endnote w:type="continuationSeparator" w:id="0">
    <w:p w:rsidR="00AC6195" w:rsidRDefault="00AC6195" w:rsidP="00FC413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ingLiU">
    <w:altName w:val="細明體"/>
    <w:panose1 w:val="02010609000101010101"/>
    <w:charset w:val="88"/>
    <w:family w:val="modern"/>
    <w:pitch w:val="fixed"/>
    <w:sig w:usb0="A00002FF" w:usb1="28CFFCFA" w:usb2="00000016" w:usb3="00000000" w:csb0="00100001" w:csb1="00000000"/>
  </w:font>
  <w:font w:name="Segoe UI Semibold">
    <w:panose1 w:val="020B0702040204020203"/>
    <w:charset w:val="00"/>
    <w:family w:val="swiss"/>
    <w:pitch w:val="variable"/>
    <w:sig w:usb0="E4002EFF" w:usb1="C000E47F"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 w:name="Segoe UI Light">
    <w:panose1 w:val="020B0502040204020203"/>
    <w:charset w:val="00"/>
    <w:family w:val="swiss"/>
    <w:pitch w:val="variable"/>
    <w:sig w:usb0="E4002EFF" w:usb1="C000E47F" w:usb2="00000009" w:usb3="00000000" w:csb0="000001F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angal">
    <w:panose1 w:val="00000400000000000000"/>
    <w:charset w:val="00"/>
    <w:family w:val="roman"/>
    <w:pitch w:val="variable"/>
    <w:sig w:usb0="00008003" w:usb1="00000000" w:usb2="00000000" w:usb3="00000000" w:csb0="00000001" w:csb1="00000000"/>
  </w:font>
  <w:font w:name="Times New Roman (Body CS)">
    <w:altName w:val="Times New Roman"/>
    <w:charset w:val="00"/>
    <w:family w:val="roman"/>
    <w:pitch w:val="default"/>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Default="00AC6195" w:rsidP="00953CCD">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11CD2">
      <w:rPr>
        <w:rFonts w:cs="Segoe UI"/>
        <w:noProof/>
        <w:szCs w:val="18"/>
      </w:rPr>
      <w:t>Frequently Asked Questions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2</w:t>
    </w:r>
    <w:r>
      <w:rPr>
        <w:rFonts w:cs="Segoe UI"/>
        <w:szCs w:val="18"/>
      </w:rPr>
      <w:fldChar w:fldCharType="end"/>
    </w:r>
  </w:p>
  <w:p w:rsidR="00AC6195" w:rsidRPr="00FC413F" w:rsidRDefault="00AC6195" w:rsidP="00953CCD">
    <w:pPr>
      <w:pStyle w:val="Footer"/>
      <w:tabs>
        <w:tab w:val="clear" w:pos="4513"/>
        <w:tab w:val="clear" w:pos="9026"/>
      </w:tabs>
      <w:ind w:left="-1418"/>
      <w:rPr>
        <w:rFonts w:cs="Segoe UI"/>
        <w:szCs w:val="18"/>
      </w:rPr>
    </w:pPr>
    <w:r>
      <w:rPr>
        <w:noProof/>
        <w:lang w:eastAsia="en-AU"/>
      </w:rPr>
      <w:drawing>
        <wp:inline distT="0" distB="0" distL="0" distR="0" wp14:anchorId="3B988DCC" wp14:editId="66848E2B">
          <wp:extent cx="7559650" cy="150641"/>
          <wp:effectExtent l="0" t="0" r="0" b="1905"/>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72509" cy="150897"/>
                  </a:xfrm>
                  <a:prstGeom prst="rect">
                    <a:avLst/>
                  </a:prstGeom>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B7158" w:rsidRDefault="008B7158" w:rsidP="008B7158">
    <w:pPr>
      <w:pStyle w:val="Footer"/>
      <w:tabs>
        <w:tab w:val="clear" w:pos="4513"/>
        <w:tab w:val="clear" w:pos="9026"/>
        <w:tab w:val="right" w:pos="9475"/>
      </w:tabs>
      <w:spacing w:after="120"/>
      <w:rPr>
        <w:rFonts w:cs="Segoe UI"/>
        <w:noProof/>
        <w:szCs w:val="18"/>
      </w:rPr>
    </w:pPr>
    <w:r>
      <w:rPr>
        <w:rFonts w:cs="Segoe UI"/>
        <w:noProof/>
        <w:szCs w:val="18"/>
      </w:rPr>
      <w:fldChar w:fldCharType="begin"/>
    </w:r>
    <w:r>
      <w:rPr>
        <w:rFonts w:cs="Segoe UI"/>
        <w:noProof/>
        <w:szCs w:val="18"/>
      </w:rPr>
      <w:instrText xml:space="preserve"> STYLEREF  "Heading 1"  \* MERGEFORMAT </w:instrText>
    </w:r>
    <w:r>
      <w:rPr>
        <w:rFonts w:cs="Segoe UI"/>
        <w:noProof/>
        <w:szCs w:val="18"/>
      </w:rPr>
      <w:fldChar w:fldCharType="separate"/>
    </w:r>
    <w:r w:rsidR="00A11CD2">
      <w:rPr>
        <w:rFonts w:cs="Segoe UI"/>
        <w:noProof/>
        <w:szCs w:val="18"/>
      </w:rPr>
      <w:t>Frequently Asked Questions</w:t>
    </w:r>
    <w:r>
      <w:rPr>
        <w:rFonts w:cs="Segoe UI"/>
        <w:noProof/>
        <w:szCs w:val="18"/>
      </w:rPr>
      <w:fldChar w:fldCharType="end"/>
    </w:r>
    <w:r>
      <w:rPr>
        <w:rFonts w:cs="Segoe UI"/>
        <w:szCs w:val="18"/>
      </w:rPr>
      <w:tab/>
    </w:r>
    <w:r>
      <w:rPr>
        <w:rFonts w:cs="Segoe UI"/>
        <w:szCs w:val="18"/>
      </w:rPr>
      <w:fldChar w:fldCharType="begin"/>
    </w:r>
    <w:r>
      <w:rPr>
        <w:rFonts w:cs="Segoe UI"/>
        <w:szCs w:val="18"/>
      </w:rPr>
      <w:instrText xml:space="preserve"> PAGE  \* Arabic  \* MERGEFORMAT </w:instrText>
    </w:r>
    <w:r>
      <w:rPr>
        <w:rFonts w:cs="Segoe UI"/>
        <w:szCs w:val="18"/>
      </w:rPr>
      <w:fldChar w:fldCharType="separate"/>
    </w:r>
    <w:r>
      <w:rPr>
        <w:rFonts w:cs="Segoe UI"/>
        <w:szCs w:val="18"/>
      </w:rPr>
      <w:t>3</w:t>
    </w:r>
    <w:r>
      <w:rPr>
        <w:rFonts w:cs="Segoe UI"/>
        <w:szCs w:val="18"/>
      </w:rPr>
      <w:fldChar w:fldCharType="end"/>
    </w:r>
  </w:p>
  <w:p w:rsidR="00AC6195" w:rsidRPr="00FC413F" w:rsidRDefault="00113A03" w:rsidP="00113A03">
    <w:pPr>
      <w:pStyle w:val="Footer"/>
      <w:tabs>
        <w:tab w:val="clear" w:pos="4513"/>
        <w:tab w:val="clear" w:pos="9026"/>
      </w:tabs>
      <w:ind w:left="-1418"/>
      <w:rPr>
        <w:rFonts w:cs="Segoe UI"/>
        <w:szCs w:val="18"/>
      </w:rPr>
    </w:pPr>
    <w:r>
      <w:rPr>
        <w:noProof/>
        <w:lang w:eastAsia="en-AU"/>
      </w:rPr>
      <w:drawing>
        <wp:inline distT="0" distB="0" distL="0" distR="0" wp14:anchorId="415E3A73" wp14:editId="56F52C30">
          <wp:extent cx="7560000" cy="150515"/>
          <wp:effectExtent l="0" t="0" r="3175" b="1905"/>
          <wp:docPr id="6" name="Picture 6"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50515"/>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C6195" w:rsidRDefault="00AC6195" w:rsidP="00FC413F">
      <w:pPr>
        <w:spacing w:after="0"/>
      </w:pPr>
      <w:r>
        <w:separator/>
      </w:r>
    </w:p>
  </w:footnote>
  <w:footnote w:type="continuationSeparator" w:id="0">
    <w:p w:rsidR="00AC6195" w:rsidRDefault="00AC6195" w:rsidP="00FC413F">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C6195" w:rsidRPr="00D56936" w:rsidRDefault="00AC6195" w:rsidP="00D56936">
    <w:pPr>
      <w:pStyle w:val="Header"/>
      <w:tabs>
        <w:tab w:val="clear" w:pos="4678"/>
      </w:tabs>
      <w:jc w:val="right"/>
      <w:rPr>
        <w:rFonts w:cs="Segoe UI Light"/>
        <w:color w:val="001C40"/>
        <w:sz w:val="20"/>
        <w:szCs w:val="20"/>
      </w:rPr>
    </w:pPr>
    <w:r w:rsidRPr="00D56936">
      <w:rPr>
        <w:rFonts w:cs="Segoe UI Light"/>
        <w:color w:val="001C40"/>
        <w:sz w:val="20"/>
        <w:szCs w:val="20"/>
      </w:rPr>
      <w:fldChar w:fldCharType="begin"/>
    </w:r>
    <w:r w:rsidRPr="00D56936">
      <w:rPr>
        <w:rFonts w:cs="Segoe UI Light"/>
        <w:color w:val="001C40"/>
        <w:sz w:val="20"/>
        <w:szCs w:val="20"/>
      </w:rPr>
      <w:instrText xml:space="preserve"> STYLEREF  "Heading 2"  \* MERGEFORMAT </w:instrText>
    </w:r>
    <w:r w:rsidRPr="00D56936">
      <w:rPr>
        <w:rFonts w:cs="Segoe UI Light"/>
        <w:color w:val="001C40"/>
        <w:sz w:val="20"/>
        <w:szCs w:val="20"/>
      </w:rPr>
      <w:fldChar w:fldCharType="separate"/>
    </w:r>
    <w:r w:rsidR="00A11CD2">
      <w:rPr>
        <w:rFonts w:cs="Segoe UI Light"/>
        <w:noProof/>
        <w:color w:val="001C40"/>
        <w:sz w:val="20"/>
        <w:szCs w:val="20"/>
      </w:rPr>
      <w:t>How is the review different to the public consultations held in 2021 and early-2022?</w:t>
    </w:r>
    <w:r w:rsidRPr="00D56936">
      <w:rPr>
        <w:rFonts w:cs="Segoe UI Light"/>
        <w:color w:val="001C40"/>
        <w:sz w:val="20"/>
        <w:szCs w:val="20"/>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61DA500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84A90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DAC7BC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DDE0D9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352904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D80D81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9E2C6C8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EBADE6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CF466F5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5694C13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D937613"/>
    <w:multiLevelType w:val="hybridMultilevel"/>
    <w:tmpl w:val="2B48B512"/>
    <w:lvl w:ilvl="0" w:tplc="69AC7252">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11" w15:restartNumberingAfterBreak="0">
    <w:nsid w:val="24E92756"/>
    <w:multiLevelType w:val="hybridMultilevel"/>
    <w:tmpl w:val="513A850A"/>
    <w:lvl w:ilvl="0" w:tplc="5112A3F8">
      <w:start w:val="1"/>
      <w:numFmt w:val="bullet"/>
      <w:pStyle w:val="Listparagraphbullets"/>
      <w:lvlText w:val=""/>
      <w:lvlJc w:val="left"/>
      <w:pPr>
        <w:ind w:left="360"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73295E"/>
    <w:multiLevelType w:val="multilevel"/>
    <w:tmpl w:val="5B2C35CE"/>
    <w:styleLink w:val="Bullets"/>
    <w:lvl w:ilvl="0">
      <w:start w:val="1"/>
      <w:numFmt w:val="bullet"/>
      <w:pStyle w:val="Bullet1"/>
      <w:lvlText w:val="•"/>
      <w:lvlJc w:val="left"/>
      <w:pPr>
        <w:ind w:left="284" w:hanging="284"/>
      </w:pPr>
      <w:rPr>
        <w:rFonts w:ascii="Calibri" w:hAnsi="Calibri" w:hint="default"/>
        <w:color w:val="auto"/>
      </w:rPr>
    </w:lvl>
    <w:lvl w:ilvl="1">
      <w:start w:val="1"/>
      <w:numFmt w:val="bullet"/>
      <w:pStyle w:val="Bullet2"/>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3" w15:restartNumberingAfterBreak="0">
    <w:nsid w:val="4C7B3DE5"/>
    <w:multiLevelType w:val="hybridMultilevel"/>
    <w:tmpl w:val="FFB2E57C"/>
    <w:lvl w:ilvl="0" w:tplc="888CE0AC">
      <w:start w:val="1"/>
      <w:numFmt w:val="decimal"/>
      <w:pStyle w:val="ListParagraph"/>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68827E7D"/>
    <w:multiLevelType w:val="hybridMultilevel"/>
    <w:tmpl w:val="900227B4"/>
    <w:lvl w:ilvl="0" w:tplc="7A24185A">
      <w:start w:val="1"/>
      <w:numFmt w:val="bullet"/>
      <w:pStyle w:val="Listparagraphbulletssecondlevel"/>
      <w:lvlText w:val=""/>
      <w:lvlJc w:val="left"/>
      <w:pPr>
        <w:ind w:left="927" w:hanging="360"/>
      </w:pPr>
      <w:rPr>
        <w:rFonts w:ascii="Symbol" w:hAnsi="Symbol" w:hint="default"/>
        <w:caps w:val="0"/>
        <w:strike w:val="0"/>
        <w:dstrike w:val="0"/>
        <w:vanish w:val="0"/>
        <w:color w:val="auto"/>
        <w:sz w:val="22"/>
        <w:vertAlign w:val="baseline"/>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E554E84"/>
    <w:multiLevelType w:val="multilevel"/>
    <w:tmpl w:val="A5F2DDB2"/>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14"/>
  </w:num>
  <w:num w:numId="2">
    <w:abstractNumId w:val="11"/>
  </w:num>
  <w:num w:numId="3">
    <w:abstractNumId w:val="13"/>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15"/>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0"/>
  </w:num>
  <w:num w:numId="17">
    <w:abstractNumId w:val="10"/>
    <w:lvlOverride w:ilvl="0">
      <w:startOverride w:val="1"/>
    </w:lvlOverride>
  </w:num>
  <w:num w:numId="18">
    <w:abstractNumId w:val="12"/>
  </w:num>
  <w:num w:numId="19">
    <w:abstractNumId w:val="12"/>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567"/>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D4156"/>
    <w:rsid w:val="0000270B"/>
    <w:rsid w:val="00012D3A"/>
    <w:rsid w:val="0003502E"/>
    <w:rsid w:val="000522EB"/>
    <w:rsid w:val="00072195"/>
    <w:rsid w:val="000740FB"/>
    <w:rsid w:val="00090E62"/>
    <w:rsid w:val="000B1E86"/>
    <w:rsid w:val="000C0244"/>
    <w:rsid w:val="000D4B3B"/>
    <w:rsid w:val="00105DA4"/>
    <w:rsid w:val="00113A03"/>
    <w:rsid w:val="00133A45"/>
    <w:rsid w:val="00143894"/>
    <w:rsid w:val="00190A0C"/>
    <w:rsid w:val="001D583B"/>
    <w:rsid w:val="001D6D6B"/>
    <w:rsid w:val="001E4471"/>
    <w:rsid w:val="001E7AC4"/>
    <w:rsid w:val="00204A64"/>
    <w:rsid w:val="00217C11"/>
    <w:rsid w:val="00236F1B"/>
    <w:rsid w:val="00261FFA"/>
    <w:rsid w:val="00272982"/>
    <w:rsid w:val="00287C7E"/>
    <w:rsid w:val="0029453A"/>
    <w:rsid w:val="002A5AB5"/>
    <w:rsid w:val="002F1A23"/>
    <w:rsid w:val="00300077"/>
    <w:rsid w:val="00310148"/>
    <w:rsid w:val="00323710"/>
    <w:rsid w:val="00342348"/>
    <w:rsid w:val="003508A8"/>
    <w:rsid w:val="00381BDA"/>
    <w:rsid w:val="003B6D01"/>
    <w:rsid w:val="003C575A"/>
    <w:rsid w:val="003D71C5"/>
    <w:rsid w:val="003F3CB7"/>
    <w:rsid w:val="00416734"/>
    <w:rsid w:val="00445017"/>
    <w:rsid w:val="004A3207"/>
    <w:rsid w:val="005413E7"/>
    <w:rsid w:val="00543D99"/>
    <w:rsid w:val="005C0459"/>
    <w:rsid w:val="005C37D2"/>
    <w:rsid w:val="005D038B"/>
    <w:rsid w:val="005E55BD"/>
    <w:rsid w:val="00610225"/>
    <w:rsid w:val="00630D43"/>
    <w:rsid w:val="006452B1"/>
    <w:rsid w:val="006542FA"/>
    <w:rsid w:val="00654F9E"/>
    <w:rsid w:val="00691FA2"/>
    <w:rsid w:val="006D43C7"/>
    <w:rsid w:val="00731351"/>
    <w:rsid w:val="00744CD2"/>
    <w:rsid w:val="00754169"/>
    <w:rsid w:val="00772C27"/>
    <w:rsid w:val="00790F25"/>
    <w:rsid w:val="00793843"/>
    <w:rsid w:val="0079788A"/>
    <w:rsid w:val="007B68AB"/>
    <w:rsid w:val="007E2F4C"/>
    <w:rsid w:val="00822DBF"/>
    <w:rsid w:val="00844881"/>
    <w:rsid w:val="008A7B93"/>
    <w:rsid w:val="008B7158"/>
    <w:rsid w:val="008C6CB9"/>
    <w:rsid w:val="008D4156"/>
    <w:rsid w:val="008E534F"/>
    <w:rsid w:val="008F24DE"/>
    <w:rsid w:val="00912D17"/>
    <w:rsid w:val="009276A3"/>
    <w:rsid w:val="009279AE"/>
    <w:rsid w:val="00935A30"/>
    <w:rsid w:val="00953CCD"/>
    <w:rsid w:val="00985DD5"/>
    <w:rsid w:val="00A11CD2"/>
    <w:rsid w:val="00A24200"/>
    <w:rsid w:val="00A44E4B"/>
    <w:rsid w:val="00A4759C"/>
    <w:rsid w:val="00A5600C"/>
    <w:rsid w:val="00A63390"/>
    <w:rsid w:val="00A82DAF"/>
    <w:rsid w:val="00A86AF3"/>
    <w:rsid w:val="00AC6195"/>
    <w:rsid w:val="00AE61A6"/>
    <w:rsid w:val="00B041CB"/>
    <w:rsid w:val="00B12FC1"/>
    <w:rsid w:val="00B3785F"/>
    <w:rsid w:val="00B43F55"/>
    <w:rsid w:val="00B5393D"/>
    <w:rsid w:val="00B74715"/>
    <w:rsid w:val="00B76D03"/>
    <w:rsid w:val="00BB3D46"/>
    <w:rsid w:val="00BC0598"/>
    <w:rsid w:val="00C02452"/>
    <w:rsid w:val="00C36E40"/>
    <w:rsid w:val="00C62177"/>
    <w:rsid w:val="00CA5147"/>
    <w:rsid w:val="00CD0046"/>
    <w:rsid w:val="00CF249C"/>
    <w:rsid w:val="00D47BFD"/>
    <w:rsid w:val="00D56936"/>
    <w:rsid w:val="00D64922"/>
    <w:rsid w:val="00DC5DC8"/>
    <w:rsid w:val="00E7227D"/>
    <w:rsid w:val="00E76BC6"/>
    <w:rsid w:val="00E80E04"/>
    <w:rsid w:val="00EA415A"/>
    <w:rsid w:val="00EC6304"/>
    <w:rsid w:val="00EE6EE8"/>
    <w:rsid w:val="00EF5B98"/>
    <w:rsid w:val="00F005AF"/>
    <w:rsid w:val="00F41576"/>
    <w:rsid w:val="00F61FA1"/>
    <w:rsid w:val="00F814AD"/>
    <w:rsid w:val="00FA64C7"/>
    <w:rsid w:val="00FC413F"/>
    <w:rsid w:val="00FD3DA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4EE98593"/>
  <w15:chartTrackingRefBased/>
  <w15:docId w15:val="{DE9ED889-C8A3-47DF-8C41-980D2528F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8"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4F9E"/>
    <w:pPr>
      <w:spacing w:line="240" w:lineRule="auto"/>
    </w:pPr>
    <w:rPr>
      <w:rFonts w:ascii="Calibri" w:hAnsi="Calibri"/>
    </w:rPr>
  </w:style>
  <w:style w:type="paragraph" w:styleId="Heading1">
    <w:name w:val="heading 1"/>
    <w:basedOn w:val="Normal"/>
    <w:next w:val="Normal"/>
    <w:link w:val="Heading1Char"/>
    <w:uiPriority w:val="9"/>
    <w:qFormat/>
    <w:rsid w:val="00CF249C"/>
    <w:pPr>
      <w:numPr>
        <w:ilvl w:val="1"/>
      </w:numPr>
      <w:suppressAutoHyphens/>
      <w:spacing w:before="600" w:after="360"/>
      <w:outlineLvl w:val="0"/>
    </w:pPr>
    <w:rPr>
      <w:rFonts w:eastAsia="SimSun" w:cs="Times New Roman"/>
      <w:b/>
      <w:color w:val="081E3E"/>
      <w:kern w:val="12"/>
      <w:sz w:val="52"/>
      <w:szCs w:val="52"/>
    </w:rPr>
  </w:style>
  <w:style w:type="paragraph" w:styleId="Heading2">
    <w:name w:val="heading 2"/>
    <w:basedOn w:val="Normal"/>
    <w:next w:val="Normal"/>
    <w:link w:val="Heading2Char"/>
    <w:uiPriority w:val="9"/>
    <w:unhideWhenUsed/>
    <w:qFormat/>
    <w:rsid w:val="007E2F4C"/>
    <w:pPr>
      <w:keepNext/>
      <w:keepLines/>
      <w:suppressAutoHyphens/>
      <w:spacing w:before="240"/>
      <w:outlineLvl w:val="1"/>
    </w:pPr>
    <w:rPr>
      <w:rFonts w:eastAsia="SimSun" w:cs="Times New Roman"/>
      <w:color w:val="081E3E"/>
      <w:kern w:val="12"/>
      <w:sz w:val="36"/>
      <w:szCs w:val="26"/>
    </w:rPr>
  </w:style>
  <w:style w:type="paragraph" w:styleId="Heading3">
    <w:name w:val="heading 3"/>
    <w:basedOn w:val="Normal"/>
    <w:next w:val="Normal"/>
    <w:link w:val="Heading3Char"/>
    <w:uiPriority w:val="9"/>
    <w:unhideWhenUsed/>
    <w:qFormat/>
    <w:rsid w:val="00D56936"/>
    <w:pPr>
      <w:keepNext/>
      <w:keepLines/>
      <w:suppressAutoHyphens/>
      <w:spacing w:before="240"/>
      <w:outlineLvl w:val="2"/>
    </w:pPr>
    <w:rPr>
      <w:rFonts w:eastAsia="SimSun" w:cs="Times New Roman"/>
      <w:b/>
      <w:color w:val="595C6E"/>
      <w:kern w:val="12"/>
      <w:sz w:val="32"/>
      <w:szCs w:val="24"/>
    </w:rPr>
  </w:style>
  <w:style w:type="paragraph" w:styleId="Heading4">
    <w:name w:val="heading 4"/>
    <w:basedOn w:val="Normal"/>
    <w:next w:val="Normal"/>
    <w:link w:val="Heading4Char"/>
    <w:uiPriority w:val="9"/>
    <w:unhideWhenUsed/>
    <w:qFormat/>
    <w:rsid w:val="00654F9E"/>
    <w:pPr>
      <w:keepNext/>
      <w:keepLines/>
      <w:suppressAutoHyphens/>
      <w:spacing w:before="240"/>
      <w:outlineLvl w:val="3"/>
    </w:pPr>
    <w:rPr>
      <w:rFonts w:eastAsia="SimSun" w:cs="Times New Roman"/>
      <w:b/>
      <w:iCs/>
      <w:color w:val="595C6E"/>
      <w:kern w:val="12"/>
      <w:sz w:val="26"/>
      <w:szCs w:val="20"/>
    </w:rPr>
  </w:style>
  <w:style w:type="paragraph" w:styleId="Heading5">
    <w:name w:val="heading 5"/>
    <w:basedOn w:val="Normal"/>
    <w:next w:val="Normal"/>
    <w:link w:val="Heading5Char"/>
    <w:uiPriority w:val="9"/>
    <w:unhideWhenUsed/>
    <w:qFormat/>
    <w:rsid w:val="00190A0C"/>
    <w:pPr>
      <w:keepNext/>
      <w:spacing w:before="120" w:after="120"/>
      <w:outlineLvl w:val="4"/>
    </w:pPr>
    <w:rPr>
      <w:rFonts w:eastAsia="MingLiU" w:cs="Segoe UI Semibold"/>
      <w:b/>
      <w:color w:val="4C5564"/>
      <w:sz w:val="24"/>
      <w:szCs w:val="24"/>
    </w:rPr>
  </w:style>
  <w:style w:type="paragraph" w:styleId="Heading6">
    <w:name w:val="heading 6"/>
    <w:basedOn w:val="Normal"/>
    <w:next w:val="Normal"/>
    <w:link w:val="Heading6Char"/>
    <w:uiPriority w:val="9"/>
    <w:unhideWhenUsed/>
    <w:qFormat/>
    <w:rsid w:val="00190A0C"/>
    <w:pPr>
      <w:keepNext/>
      <w:spacing w:before="120" w:after="120"/>
      <w:outlineLvl w:val="5"/>
    </w:pPr>
    <w:rPr>
      <w:rFonts w:eastAsia="MingLiU" w:cs="Segoe UI Semibold"/>
      <w:b/>
      <w:color w:val="4C5564"/>
    </w:rPr>
  </w:style>
  <w:style w:type="paragraph" w:styleId="Heading7">
    <w:name w:val="heading 7"/>
    <w:basedOn w:val="Normal"/>
    <w:next w:val="Normal"/>
    <w:link w:val="Heading7Char"/>
    <w:uiPriority w:val="9"/>
    <w:unhideWhenUsed/>
    <w:qFormat/>
    <w:rsid w:val="00190A0C"/>
    <w:pPr>
      <w:keepNext/>
      <w:keepLines/>
      <w:spacing w:before="40" w:after="0"/>
      <w:outlineLvl w:val="6"/>
    </w:pPr>
    <w:rPr>
      <w:rFonts w:eastAsiaTheme="majorEastAsia" w:cs="Segoe UI Semibold"/>
      <w:b/>
      <w:iCs/>
      <w:color w:val="4C5564"/>
      <w:sz w:val="20"/>
      <w:szCs w:val="18"/>
    </w:rPr>
  </w:style>
  <w:style w:type="paragraph" w:styleId="Heading8">
    <w:name w:val="heading 8"/>
    <w:basedOn w:val="Normal"/>
    <w:next w:val="Normal"/>
    <w:link w:val="Heading8Char"/>
    <w:uiPriority w:val="9"/>
    <w:unhideWhenUsed/>
    <w:qFormat/>
    <w:rsid w:val="00090E62"/>
    <w:pPr>
      <w:keepNext/>
      <w:keepLines/>
      <w:spacing w:before="40" w:after="0"/>
      <w:outlineLvl w:val="7"/>
    </w:pPr>
    <w:rPr>
      <w:rFonts w:asciiTheme="majorHAnsi" w:eastAsiaTheme="majorEastAsia" w:hAnsiTheme="majorHAnsi" w:cstheme="majorBidi"/>
      <w:color w:val="272727" w:themeColor="text1" w:themeTint="D8"/>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istparagraphbulletssecondlevel">
    <w:name w:val="List paragraph—bullets—second level"/>
    <w:basedOn w:val="Listparagraphbullets"/>
    <w:autoRedefine/>
    <w:qFormat/>
    <w:rsid w:val="00953CCD"/>
    <w:pPr>
      <w:numPr>
        <w:numId w:val="1"/>
      </w:numPr>
      <w:spacing w:before="80" w:after="0"/>
      <w:ind w:left="1134" w:hanging="567"/>
    </w:pPr>
    <w:rPr>
      <w:color w:val="000000"/>
      <w:sz w:val="20"/>
      <w:szCs w:val="20"/>
    </w:rPr>
  </w:style>
  <w:style w:type="paragraph" w:styleId="Header">
    <w:name w:val="header"/>
    <w:basedOn w:val="Normal"/>
    <w:link w:val="HeaderChar"/>
    <w:uiPriority w:val="99"/>
    <w:unhideWhenUsed/>
    <w:rsid w:val="00261FFA"/>
    <w:pPr>
      <w:tabs>
        <w:tab w:val="center" w:pos="4678"/>
        <w:tab w:val="right" w:pos="9356"/>
      </w:tabs>
      <w:spacing w:after="0"/>
    </w:pPr>
    <w:rPr>
      <w:rFonts w:ascii="Segoe UI Light" w:hAnsi="Segoe UI Light"/>
      <w:sz w:val="18"/>
    </w:rPr>
  </w:style>
  <w:style w:type="character" w:customStyle="1" w:styleId="HeaderChar">
    <w:name w:val="Header Char"/>
    <w:basedOn w:val="DefaultParagraphFont"/>
    <w:link w:val="Header"/>
    <w:uiPriority w:val="99"/>
    <w:rsid w:val="00261FFA"/>
    <w:rPr>
      <w:rFonts w:ascii="Segoe UI Light" w:hAnsi="Segoe UI Light"/>
      <w:sz w:val="18"/>
    </w:rPr>
  </w:style>
  <w:style w:type="paragraph" w:styleId="Footer">
    <w:name w:val="footer"/>
    <w:basedOn w:val="Normal"/>
    <w:link w:val="FooterChar"/>
    <w:uiPriority w:val="99"/>
    <w:unhideWhenUsed/>
    <w:rsid w:val="006D43C7"/>
    <w:pPr>
      <w:tabs>
        <w:tab w:val="center" w:pos="4513"/>
        <w:tab w:val="right" w:pos="9026"/>
      </w:tabs>
      <w:spacing w:after="0"/>
    </w:pPr>
    <w:rPr>
      <w:sz w:val="18"/>
    </w:rPr>
  </w:style>
  <w:style w:type="character" w:customStyle="1" w:styleId="FooterChar">
    <w:name w:val="Footer Char"/>
    <w:basedOn w:val="DefaultParagraphFont"/>
    <w:link w:val="Footer"/>
    <w:uiPriority w:val="99"/>
    <w:rsid w:val="006D43C7"/>
    <w:rPr>
      <w:rFonts w:ascii="Segoe UI" w:hAnsi="Segoe UI"/>
      <w:sz w:val="18"/>
    </w:rPr>
  </w:style>
  <w:style w:type="character" w:styleId="Hyperlink">
    <w:name w:val="Hyperlink"/>
    <w:basedOn w:val="DefaultParagraphFont"/>
    <w:uiPriority w:val="99"/>
    <w:unhideWhenUsed/>
    <w:rsid w:val="00FC413F"/>
    <w:rPr>
      <w:color w:val="002D72"/>
      <w:u w:val="single"/>
    </w:rPr>
  </w:style>
  <w:style w:type="character" w:customStyle="1" w:styleId="Heading1Char">
    <w:name w:val="Heading 1 Char"/>
    <w:basedOn w:val="DefaultParagraphFont"/>
    <w:link w:val="Heading1"/>
    <w:uiPriority w:val="9"/>
    <w:rsid w:val="00CF249C"/>
    <w:rPr>
      <w:rFonts w:ascii="Calibri" w:eastAsia="SimSun" w:hAnsi="Calibri" w:cs="Times New Roman"/>
      <w:b/>
      <w:color w:val="081E3E"/>
      <w:kern w:val="12"/>
      <w:sz w:val="52"/>
      <w:szCs w:val="52"/>
    </w:rPr>
  </w:style>
  <w:style w:type="character" w:customStyle="1" w:styleId="Heading2Char">
    <w:name w:val="Heading 2 Char"/>
    <w:basedOn w:val="DefaultParagraphFont"/>
    <w:link w:val="Heading2"/>
    <w:uiPriority w:val="9"/>
    <w:rsid w:val="007E2F4C"/>
    <w:rPr>
      <w:rFonts w:ascii="Calibri" w:eastAsia="SimSun" w:hAnsi="Calibri" w:cs="Times New Roman"/>
      <w:color w:val="081E3E"/>
      <w:kern w:val="12"/>
      <w:sz w:val="36"/>
      <w:szCs w:val="26"/>
    </w:rPr>
  </w:style>
  <w:style w:type="character" w:customStyle="1" w:styleId="Heading3Char">
    <w:name w:val="Heading 3 Char"/>
    <w:basedOn w:val="DefaultParagraphFont"/>
    <w:link w:val="Heading3"/>
    <w:uiPriority w:val="9"/>
    <w:rsid w:val="00D56936"/>
    <w:rPr>
      <w:rFonts w:ascii="Calibri" w:eastAsia="SimSun" w:hAnsi="Calibri" w:cs="Times New Roman"/>
      <w:b/>
      <w:color w:val="595C6E"/>
      <w:kern w:val="12"/>
      <w:sz w:val="32"/>
      <w:szCs w:val="24"/>
    </w:rPr>
  </w:style>
  <w:style w:type="character" w:customStyle="1" w:styleId="Heading4Char">
    <w:name w:val="Heading 4 Char"/>
    <w:basedOn w:val="DefaultParagraphFont"/>
    <w:link w:val="Heading4"/>
    <w:uiPriority w:val="9"/>
    <w:rsid w:val="00654F9E"/>
    <w:rPr>
      <w:rFonts w:ascii="Calibri" w:eastAsia="SimSun" w:hAnsi="Calibri" w:cs="Times New Roman"/>
      <w:b/>
      <w:iCs/>
      <w:color w:val="595C6E"/>
      <w:kern w:val="12"/>
      <w:sz w:val="26"/>
      <w:szCs w:val="20"/>
    </w:rPr>
  </w:style>
  <w:style w:type="character" w:customStyle="1" w:styleId="Heading5Char">
    <w:name w:val="Heading 5 Char"/>
    <w:basedOn w:val="DefaultParagraphFont"/>
    <w:link w:val="Heading5"/>
    <w:uiPriority w:val="9"/>
    <w:rsid w:val="00190A0C"/>
    <w:rPr>
      <w:rFonts w:ascii="Calibri" w:eastAsia="MingLiU" w:hAnsi="Calibri" w:cs="Segoe UI Semibold"/>
      <w:b/>
      <w:color w:val="4C5564"/>
      <w:sz w:val="24"/>
      <w:szCs w:val="24"/>
    </w:rPr>
  </w:style>
  <w:style w:type="character" w:customStyle="1" w:styleId="Heading6Char">
    <w:name w:val="Heading 6 Char"/>
    <w:basedOn w:val="DefaultParagraphFont"/>
    <w:link w:val="Heading6"/>
    <w:uiPriority w:val="9"/>
    <w:rsid w:val="00190A0C"/>
    <w:rPr>
      <w:rFonts w:ascii="Calibri" w:eastAsia="MingLiU" w:hAnsi="Calibri" w:cs="Segoe UI Semibold"/>
      <w:b/>
      <w:color w:val="4C5564"/>
    </w:rPr>
  </w:style>
  <w:style w:type="character" w:customStyle="1" w:styleId="Heading7Char">
    <w:name w:val="Heading 7 Char"/>
    <w:basedOn w:val="DefaultParagraphFont"/>
    <w:link w:val="Heading7"/>
    <w:uiPriority w:val="9"/>
    <w:rsid w:val="00190A0C"/>
    <w:rPr>
      <w:rFonts w:ascii="Calibri" w:eastAsiaTheme="majorEastAsia" w:hAnsi="Calibri" w:cs="Segoe UI Semibold"/>
      <w:b/>
      <w:iCs/>
      <w:color w:val="4C5564"/>
      <w:sz w:val="20"/>
      <w:szCs w:val="18"/>
    </w:rPr>
  </w:style>
  <w:style w:type="paragraph" w:customStyle="1" w:styleId="Heading2notshowing">
    <w:name w:val="Heading 2—not showing"/>
    <w:basedOn w:val="Normal"/>
    <w:next w:val="Normal"/>
    <w:qFormat/>
    <w:rsid w:val="00190A0C"/>
    <w:pPr>
      <w:keepNext/>
      <w:spacing w:after="120"/>
      <w:outlineLvl w:val="1"/>
    </w:pPr>
    <w:rPr>
      <w:rFonts w:eastAsia="MingLiU" w:cs="Segoe UI Semibold"/>
      <w:b/>
      <w:color w:val="4C5564"/>
      <w:sz w:val="28"/>
      <w:szCs w:val="26"/>
    </w:rPr>
  </w:style>
  <w:style w:type="paragraph" w:customStyle="1" w:styleId="Heading3notshowing">
    <w:name w:val="Heading 3—not showing"/>
    <w:basedOn w:val="Normal"/>
    <w:next w:val="Normal"/>
    <w:qFormat/>
    <w:rsid w:val="00190A0C"/>
    <w:pPr>
      <w:keepNext/>
      <w:spacing w:after="120"/>
      <w:outlineLvl w:val="2"/>
    </w:pPr>
    <w:rPr>
      <w:rFonts w:eastAsia="MingLiU" w:cs="Segoe UI Semibold"/>
      <w:b/>
      <w:color w:val="4C5564"/>
      <w:sz w:val="24"/>
      <w:szCs w:val="30"/>
    </w:rPr>
  </w:style>
  <w:style w:type="paragraph" w:styleId="Quote">
    <w:name w:val="Quote"/>
    <w:basedOn w:val="Normal"/>
    <w:next w:val="Normal"/>
    <w:link w:val="QuoteChar"/>
    <w:uiPriority w:val="29"/>
    <w:qFormat/>
    <w:rsid w:val="00C36E40"/>
    <w:pPr>
      <w:tabs>
        <w:tab w:val="right" w:pos="9072"/>
      </w:tabs>
      <w:ind w:left="567"/>
    </w:pPr>
    <w:rPr>
      <w:b/>
      <w:color w:val="4C5564"/>
      <w:sz w:val="20"/>
      <w:szCs w:val="20"/>
    </w:rPr>
  </w:style>
  <w:style w:type="character" w:customStyle="1" w:styleId="QuoteChar">
    <w:name w:val="Quote Char"/>
    <w:basedOn w:val="DefaultParagraphFont"/>
    <w:link w:val="Quote"/>
    <w:uiPriority w:val="29"/>
    <w:rsid w:val="00C36E40"/>
    <w:rPr>
      <w:rFonts w:ascii="Segoe UI" w:hAnsi="Segoe UI"/>
      <w:b/>
      <w:color w:val="4C5564"/>
      <w:sz w:val="20"/>
      <w:szCs w:val="20"/>
    </w:rPr>
  </w:style>
  <w:style w:type="character" w:customStyle="1" w:styleId="Heading8Char">
    <w:name w:val="Heading 8 Char"/>
    <w:basedOn w:val="DefaultParagraphFont"/>
    <w:link w:val="Heading8"/>
    <w:uiPriority w:val="9"/>
    <w:rsid w:val="00090E62"/>
    <w:rPr>
      <w:rFonts w:asciiTheme="majorHAnsi" w:eastAsiaTheme="majorEastAsia" w:hAnsiTheme="majorHAnsi" w:cstheme="majorBidi"/>
      <w:color w:val="272727" w:themeColor="text1" w:themeTint="D8"/>
      <w:sz w:val="21"/>
      <w:szCs w:val="21"/>
    </w:rPr>
  </w:style>
  <w:style w:type="paragraph" w:customStyle="1" w:styleId="Listparagraphbullets">
    <w:name w:val="List paragraph—bullets"/>
    <w:basedOn w:val="ListParagraph"/>
    <w:qFormat/>
    <w:rsid w:val="00B5393D"/>
    <w:pPr>
      <w:numPr>
        <w:numId w:val="2"/>
      </w:numPr>
      <w:ind w:left="567" w:hanging="567"/>
    </w:pPr>
    <w:rPr>
      <w:lang w:eastAsia="zh-TW"/>
    </w:rPr>
  </w:style>
  <w:style w:type="paragraph" w:styleId="ListParagraph">
    <w:name w:val="List Paragraph"/>
    <w:basedOn w:val="Normal"/>
    <w:uiPriority w:val="34"/>
    <w:qFormat/>
    <w:rsid w:val="00B5393D"/>
    <w:pPr>
      <w:numPr>
        <w:numId w:val="3"/>
      </w:numPr>
      <w:ind w:left="567" w:hanging="567"/>
      <w:contextualSpacing/>
    </w:pPr>
  </w:style>
  <w:style w:type="paragraph" w:customStyle="1" w:styleId="Tabletext">
    <w:name w:val="Table text"/>
    <w:basedOn w:val="Normal"/>
    <w:qFormat/>
    <w:rsid w:val="008B7158"/>
    <w:pPr>
      <w:spacing w:before="40" w:after="40"/>
    </w:pPr>
    <w:rPr>
      <w:rFonts w:eastAsia="Times New Roman" w:cs="Times New Roman"/>
      <w:szCs w:val="20"/>
    </w:rPr>
  </w:style>
  <w:style w:type="paragraph" w:customStyle="1" w:styleId="Tablerowcolumnheading">
    <w:name w:val="Table row/column heading"/>
    <w:basedOn w:val="Normal"/>
    <w:next w:val="Normal"/>
    <w:rsid w:val="00AC6195"/>
    <w:pPr>
      <w:shd w:val="clear" w:color="auto" w:fill="081E3E"/>
      <w:spacing w:before="60" w:after="60"/>
    </w:pPr>
    <w:rPr>
      <w:b/>
      <w:color w:val="FFFFFF" w:themeColor="background1"/>
      <w:szCs w:val="20"/>
    </w:rPr>
  </w:style>
  <w:style w:type="paragraph" w:styleId="FootnoteText">
    <w:name w:val="footnote text"/>
    <w:basedOn w:val="Normal"/>
    <w:link w:val="FootnoteTextChar"/>
    <w:uiPriority w:val="99"/>
    <w:unhideWhenUsed/>
    <w:rsid w:val="00217C11"/>
    <w:pPr>
      <w:spacing w:after="0"/>
    </w:pPr>
    <w:rPr>
      <w:sz w:val="20"/>
      <w:szCs w:val="20"/>
    </w:rPr>
  </w:style>
  <w:style w:type="character" w:customStyle="1" w:styleId="FootnoteTextChar">
    <w:name w:val="Footnote Text Char"/>
    <w:basedOn w:val="DefaultParagraphFont"/>
    <w:link w:val="FootnoteText"/>
    <w:uiPriority w:val="99"/>
    <w:rsid w:val="00217C11"/>
    <w:rPr>
      <w:rFonts w:ascii="Segoe UI" w:hAnsi="Segoe UI"/>
      <w:sz w:val="20"/>
      <w:szCs w:val="20"/>
    </w:rPr>
  </w:style>
  <w:style w:type="character" w:styleId="FootnoteReference">
    <w:name w:val="footnote reference"/>
    <w:basedOn w:val="DefaultParagraphFont"/>
    <w:uiPriority w:val="99"/>
    <w:semiHidden/>
    <w:unhideWhenUsed/>
    <w:rsid w:val="00217C11"/>
    <w:rPr>
      <w:vertAlign w:val="superscript"/>
    </w:rPr>
  </w:style>
  <w:style w:type="paragraph" w:customStyle="1" w:styleId="Tablefigureheading">
    <w:name w:val="Table/figure heading"/>
    <w:basedOn w:val="Normal"/>
    <w:next w:val="Normal"/>
    <w:qFormat/>
    <w:rsid w:val="00190A0C"/>
    <w:pPr>
      <w:keepNext/>
      <w:spacing w:after="0"/>
    </w:pPr>
    <w:rPr>
      <w:b/>
      <w:color w:val="002D72"/>
    </w:rPr>
  </w:style>
  <w:style w:type="paragraph" w:customStyle="1" w:styleId="Tabletextcentred">
    <w:name w:val="Table text—centred"/>
    <w:basedOn w:val="Tabletext"/>
    <w:next w:val="NoSpacing"/>
    <w:rsid w:val="008B7158"/>
    <w:pPr>
      <w:jc w:val="center"/>
    </w:pPr>
  </w:style>
  <w:style w:type="paragraph" w:customStyle="1" w:styleId="Tablerowcolumnheadingcentred">
    <w:name w:val="Table row/column heading—centred"/>
    <w:basedOn w:val="Tablerowcolumnheading"/>
    <w:next w:val="Normal"/>
    <w:rsid w:val="00CD0046"/>
    <w:pPr>
      <w:jc w:val="center"/>
    </w:pPr>
  </w:style>
  <w:style w:type="paragraph" w:customStyle="1" w:styleId="Sourcenote">
    <w:name w:val="Source / note"/>
    <w:basedOn w:val="Normal"/>
    <w:qFormat/>
    <w:rsid w:val="00654F9E"/>
    <w:rPr>
      <w:rFonts w:eastAsia="PMingLiU" w:cs="Mangal"/>
      <w:color w:val="595C6E"/>
      <w:sz w:val="20"/>
      <w:szCs w:val="20"/>
      <w:lang w:eastAsia="zh-TW"/>
    </w:rPr>
  </w:style>
  <w:style w:type="table" w:styleId="PlainTable1">
    <w:name w:val="Plain Table 1"/>
    <w:basedOn w:val="TableNormal"/>
    <w:uiPriority w:val="41"/>
    <w:rsid w:val="00217C11"/>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NoSpacing">
    <w:name w:val="No Spacing"/>
    <w:uiPriority w:val="1"/>
    <w:qFormat/>
    <w:rsid w:val="00217C11"/>
    <w:pPr>
      <w:spacing w:after="0" w:line="240" w:lineRule="auto"/>
    </w:pPr>
    <w:rPr>
      <w:rFonts w:ascii="Segoe UI" w:hAnsi="Segoe UI"/>
      <w:sz w:val="21"/>
    </w:rPr>
  </w:style>
  <w:style w:type="paragraph" w:styleId="TOC4">
    <w:name w:val="toc 4"/>
    <w:basedOn w:val="Normal"/>
    <w:next w:val="Normal"/>
    <w:autoRedefine/>
    <w:uiPriority w:val="39"/>
    <w:unhideWhenUsed/>
    <w:rsid w:val="000740FB"/>
    <w:pPr>
      <w:tabs>
        <w:tab w:val="right" w:leader="dot" w:pos="9072"/>
      </w:tabs>
      <w:spacing w:after="0"/>
      <w:ind w:left="567" w:right="567" w:hanging="567"/>
    </w:pPr>
    <w:rPr>
      <w:sz w:val="20"/>
    </w:rPr>
  </w:style>
  <w:style w:type="paragraph" w:styleId="TOC1">
    <w:name w:val="toc 1"/>
    <w:basedOn w:val="Normal"/>
    <w:next w:val="Normal"/>
    <w:autoRedefine/>
    <w:uiPriority w:val="39"/>
    <w:unhideWhenUsed/>
    <w:rsid w:val="000740FB"/>
    <w:pPr>
      <w:keepNext/>
      <w:tabs>
        <w:tab w:val="right" w:leader="dot" w:pos="9072"/>
      </w:tabs>
      <w:spacing w:before="120" w:after="0"/>
      <w:ind w:left="567" w:right="567" w:hanging="567"/>
    </w:pPr>
    <w:rPr>
      <w:b/>
      <w:color w:val="002D72"/>
    </w:rPr>
  </w:style>
  <w:style w:type="paragraph" w:styleId="TOC2">
    <w:name w:val="toc 2"/>
    <w:basedOn w:val="Normal"/>
    <w:next w:val="Normal"/>
    <w:autoRedefine/>
    <w:uiPriority w:val="39"/>
    <w:unhideWhenUsed/>
    <w:rsid w:val="000740FB"/>
    <w:pPr>
      <w:tabs>
        <w:tab w:val="right" w:leader="dot" w:pos="9072"/>
      </w:tabs>
      <w:spacing w:after="0"/>
      <w:ind w:left="1134" w:right="567" w:hanging="567"/>
    </w:pPr>
    <w:rPr>
      <w:sz w:val="20"/>
    </w:rPr>
  </w:style>
  <w:style w:type="paragraph" w:styleId="TOC3">
    <w:name w:val="toc 3"/>
    <w:basedOn w:val="Normal"/>
    <w:next w:val="Normal"/>
    <w:autoRedefine/>
    <w:uiPriority w:val="39"/>
    <w:unhideWhenUsed/>
    <w:rsid w:val="000740FB"/>
    <w:pPr>
      <w:tabs>
        <w:tab w:val="right" w:leader="dot" w:pos="9072"/>
      </w:tabs>
      <w:spacing w:after="0"/>
      <w:ind w:left="1701" w:right="567" w:hanging="567"/>
    </w:pPr>
    <w:rPr>
      <w:sz w:val="20"/>
    </w:rPr>
  </w:style>
  <w:style w:type="paragraph" w:customStyle="1" w:styleId="Normaldisclaimerpage">
    <w:name w:val="Normal—disclaimer page"/>
    <w:basedOn w:val="Normal"/>
    <w:qFormat/>
    <w:rsid w:val="002F1A23"/>
    <w:pPr>
      <w:spacing w:after="120"/>
    </w:pPr>
    <w:rPr>
      <w:sz w:val="20"/>
      <w:szCs w:val="20"/>
    </w:rPr>
  </w:style>
  <w:style w:type="table" w:customStyle="1" w:styleId="PlainTable11">
    <w:name w:val="Plain Table 11"/>
    <w:basedOn w:val="TableNormal"/>
    <w:next w:val="PlainTable1"/>
    <w:uiPriority w:val="41"/>
    <w:rsid w:val="00BB3D46"/>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DefaultTable1">
    <w:name w:val="Default Table 1"/>
    <w:basedOn w:val="TableNormal"/>
    <w:uiPriority w:val="99"/>
    <w:rsid w:val="00A63390"/>
    <w:pPr>
      <w:spacing w:before="80" w:after="80" w:line="240" w:lineRule="auto"/>
    </w:pPr>
    <w:rPr>
      <w:color w:val="000000" w:themeColor="text1"/>
      <w:sz w:val="20"/>
      <w:szCs w:val="20"/>
    </w:rPr>
    <w:tblPr>
      <w:tblStyleRowBandSize w:val="1"/>
      <w:tblStyleColBandSize w:val="1"/>
      <w:tblBorders>
        <w:top w:val="single" w:sz="4" w:space="0" w:color="595959" w:themeColor="text1" w:themeTint="A6"/>
        <w:bottom w:val="single" w:sz="4" w:space="0" w:color="595959" w:themeColor="text1" w:themeTint="A6"/>
        <w:insideH w:val="single" w:sz="4" w:space="0" w:color="595959" w:themeColor="text1" w:themeTint="A6"/>
      </w:tblBorders>
    </w:tblPr>
    <w:tblStylePr w:type="firstRow">
      <w:rPr>
        <w:b/>
        <w:color w:val="FFFFFF" w:themeColor="background1"/>
      </w:rPr>
      <w:tblPr/>
      <w:trPr>
        <w:tblHeader/>
      </w:trPr>
      <w:tcPr>
        <w:tcBorders>
          <w:top w:val="nil"/>
          <w:bottom w:val="nil"/>
        </w:tcBorders>
        <w:shd w:val="clear" w:color="auto" w:fill="5B9BD5" w:themeFill="accent1"/>
      </w:tcPr>
    </w:tblStylePr>
    <w:tblStylePr w:type="lastRow">
      <w:rPr>
        <w:b/>
      </w:rPr>
      <w:tblPr/>
      <w:tcPr>
        <w:shd w:val="clear" w:color="auto" w:fill="D9E2F3"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Tabletextbullets">
    <w:name w:val="Table text—bullets"/>
    <w:basedOn w:val="Listparagraphbullets"/>
    <w:qFormat/>
    <w:rsid w:val="00381BDA"/>
    <w:pPr>
      <w:spacing w:before="60" w:after="60"/>
      <w:ind w:left="284" w:hanging="284"/>
    </w:pPr>
    <w:rPr>
      <w:color w:val="000000" w:themeColor="text1"/>
      <w:sz w:val="20"/>
      <w:szCs w:val="20"/>
    </w:rPr>
  </w:style>
  <w:style w:type="paragraph" w:styleId="Subtitle">
    <w:name w:val="Subtitle"/>
    <w:basedOn w:val="Normal"/>
    <w:next w:val="Normal"/>
    <w:link w:val="SubtitleChar"/>
    <w:uiPriority w:val="18"/>
    <w:qFormat/>
    <w:rsid w:val="00D56936"/>
    <w:pPr>
      <w:numPr>
        <w:ilvl w:val="1"/>
      </w:numPr>
      <w:suppressAutoHyphens/>
      <w:spacing w:before="240"/>
    </w:pPr>
    <w:rPr>
      <w:rFonts w:eastAsia="SimSun" w:cs="Times New Roman"/>
      <w:color w:val="377B88"/>
      <w:kern w:val="12"/>
      <w:sz w:val="44"/>
    </w:rPr>
  </w:style>
  <w:style w:type="character" w:customStyle="1" w:styleId="SubtitleChar">
    <w:name w:val="Subtitle Char"/>
    <w:basedOn w:val="DefaultParagraphFont"/>
    <w:link w:val="Subtitle"/>
    <w:uiPriority w:val="18"/>
    <w:rsid w:val="00D56936"/>
    <w:rPr>
      <w:rFonts w:ascii="Calibri" w:eastAsia="SimSun" w:hAnsi="Calibri" w:cs="Times New Roman"/>
      <w:color w:val="377B88"/>
      <w:kern w:val="12"/>
      <w:sz w:val="44"/>
    </w:rPr>
  </w:style>
  <w:style w:type="paragraph" w:customStyle="1" w:styleId="AreaHeading">
    <w:name w:val="Area Heading"/>
    <w:basedOn w:val="Normal"/>
    <w:qFormat/>
    <w:rsid w:val="00B041CB"/>
    <w:pPr>
      <w:suppressAutoHyphens/>
      <w:spacing w:after="80"/>
      <w:ind w:left="-1020" w:firstLine="1020"/>
    </w:pPr>
    <w:rPr>
      <w:rFonts w:asciiTheme="minorHAnsi" w:hAnsiTheme="minorHAnsi" w:cs="Times New Roman (Body CS)"/>
      <w:caps/>
      <w:color w:val="BF8F00" w:themeColor="accent4" w:themeShade="BF"/>
      <w:kern w:val="12"/>
      <w:sz w:val="21"/>
      <w:szCs w:val="20"/>
    </w:rPr>
  </w:style>
  <w:style w:type="character" w:styleId="UnresolvedMention">
    <w:name w:val="Unresolved Mention"/>
    <w:basedOn w:val="DefaultParagraphFont"/>
    <w:uiPriority w:val="99"/>
    <w:semiHidden/>
    <w:unhideWhenUsed/>
    <w:rsid w:val="00B041CB"/>
    <w:rPr>
      <w:color w:val="605E5C"/>
      <w:shd w:val="clear" w:color="auto" w:fill="E1DFDD"/>
    </w:rPr>
  </w:style>
  <w:style w:type="paragraph" w:customStyle="1" w:styleId="ListLegal1">
    <w:name w:val="List Legal 1"/>
    <w:basedOn w:val="Normal"/>
    <w:uiPriority w:val="3"/>
    <w:qFormat/>
    <w:rsid w:val="00B041CB"/>
    <w:pPr>
      <w:numPr>
        <w:numId w:val="14"/>
      </w:numPr>
      <w:suppressAutoHyphens/>
      <w:ind w:left="567" w:hanging="567"/>
    </w:pPr>
    <w:rPr>
      <w:color w:val="000000"/>
      <w:kern w:val="12"/>
      <w:sz w:val="20"/>
      <w:szCs w:val="20"/>
      <w:lang w:val="x-none"/>
    </w:rPr>
  </w:style>
  <w:style w:type="paragraph" w:customStyle="1" w:styleId="ListLegal2">
    <w:name w:val="List Legal 2"/>
    <w:basedOn w:val="ListLegal1"/>
    <w:uiPriority w:val="3"/>
    <w:rsid w:val="00B041CB"/>
    <w:pPr>
      <w:numPr>
        <w:ilvl w:val="1"/>
      </w:numPr>
      <w:ind w:left="1134" w:hanging="567"/>
    </w:pPr>
  </w:style>
  <w:style w:type="paragraph" w:customStyle="1" w:styleId="ListLegal3">
    <w:name w:val="List Legal 3"/>
    <w:basedOn w:val="ListLegal2"/>
    <w:uiPriority w:val="3"/>
    <w:rsid w:val="00B041CB"/>
    <w:pPr>
      <w:numPr>
        <w:ilvl w:val="2"/>
      </w:numPr>
      <w:ind w:left="1701" w:hanging="567"/>
    </w:pPr>
  </w:style>
  <w:style w:type="numbering" w:customStyle="1" w:styleId="ListLegal">
    <w:name w:val="List Legal"/>
    <w:uiPriority w:val="99"/>
    <w:rsid w:val="00B041CB"/>
    <w:pPr>
      <w:numPr>
        <w:numId w:val="14"/>
      </w:numPr>
    </w:pPr>
  </w:style>
  <w:style w:type="table" w:customStyle="1" w:styleId="DefaultTable11">
    <w:name w:val="Default Table 11"/>
    <w:basedOn w:val="TableNormal"/>
    <w:uiPriority w:val="99"/>
    <w:rsid w:val="00654F9E"/>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customStyle="1" w:styleId="DefaultTable12">
    <w:name w:val="Default Table 12"/>
    <w:basedOn w:val="TableNormal"/>
    <w:uiPriority w:val="99"/>
    <w:rsid w:val="00953CCD"/>
    <w:pPr>
      <w:spacing w:before="80" w:after="80" w:line="240" w:lineRule="auto"/>
    </w:pPr>
    <w:rPr>
      <w:color w:val="000000"/>
      <w:sz w:val="20"/>
      <w:szCs w:val="20"/>
    </w:rPr>
    <w:tblPr>
      <w:tblStyleRowBandSize w:val="1"/>
      <w:tblStyleColBandSize w:val="1"/>
      <w:tblBorders>
        <w:top w:val="single" w:sz="4" w:space="0" w:color="4BB3B5"/>
        <w:bottom w:val="single" w:sz="4" w:space="0" w:color="4BB3B5"/>
        <w:insideH w:val="single" w:sz="4" w:space="0" w:color="4BB3B5"/>
      </w:tblBorders>
    </w:tblPr>
    <w:tblStylePr w:type="firstRow">
      <w:rPr>
        <w:b/>
        <w:color w:val="FFFFFF"/>
      </w:rPr>
      <w:tblPr/>
      <w:trPr>
        <w:tblHeader/>
      </w:trPr>
      <w:tcPr>
        <w:tcBorders>
          <w:top w:val="nil"/>
          <w:bottom w:val="nil"/>
        </w:tcBorders>
        <w:shd w:val="clear" w:color="auto" w:fill="081E3E"/>
      </w:tcPr>
    </w:tblStylePr>
    <w:tblStylePr w:type="lastRow">
      <w:rPr>
        <w:b/>
      </w:rPr>
      <w:tblPr/>
      <w:tcPr>
        <w:shd w:val="clear" w:color="auto" w:fill="F2F6E8"/>
      </w:tcPr>
    </w:tblStylePr>
    <w:tblStylePr w:type="firstCol">
      <w:rPr>
        <w:b/>
      </w:rPr>
    </w:tblStylePr>
    <w:tblStylePr w:type="band2Vert">
      <w:tblPr/>
      <w:tcPr>
        <w:shd w:val="clear" w:color="auto" w:fill="F2F2F2"/>
      </w:tcPr>
    </w:tblStylePr>
    <w:tblStylePr w:type="band2Horz">
      <w:tblPr/>
      <w:tcPr>
        <w:shd w:val="clear" w:color="auto" w:fill="F2F2F2"/>
      </w:tcPr>
    </w:tblStylePr>
  </w:style>
  <w:style w:type="table" w:styleId="TableGrid">
    <w:name w:val="Table Grid"/>
    <w:basedOn w:val="TableNormal"/>
    <w:uiPriority w:val="39"/>
    <w:rsid w:val="00AC6195"/>
    <w:pPr>
      <w:spacing w:after="0" w:line="240" w:lineRule="auto"/>
    </w:pPr>
    <w:rPr>
      <w:color w:val="00000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ullet1">
    <w:name w:val="Bullet 1"/>
    <w:basedOn w:val="Normal"/>
    <w:uiPriority w:val="3"/>
    <w:qFormat/>
    <w:rsid w:val="007E2F4C"/>
    <w:pPr>
      <w:numPr>
        <w:numId w:val="18"/>
      </w:numPr>
      <w:suppressAutoHyphens/>
      <w:spacing w:after="120"/>
      <w:ind w:left="567" w:hanging="567"/>
    </w:pPr>
    <w:rPr>
      <w:rFonts w:asciiTheme="minorHAnsi" w:hAnsiTheme="minorHAnsi"/>
      <w:color w:val="000000" w:themeColor="text1"/>
      <w:kern w:val="12"/>
      <w:sz w:val="20"/>
      <w:szCs w:val="20"/>
      <w:lang w:val="x-none"/>
    </w:rPr>
  </w:style>
  <w:style w:type="paragraph" w:customStyle="1" w:styleId="Bullet2">
    <w:name w:val="Bullet 2"/>
    <w:basedOn w:val="Bullet1"/>
    <w:uiPriority w:val="3"/>
    <w:rsid w:val="007E2F4C"/>
    <w:pPr>
      <w:numPr>
        <w:ilvl w:val="1"/>
      </w:numPr>
      <w:ind w:left="1134" w:hanging="567"/>
    </w:pPr>
  </w:style>
  <w:style w:type="paragraph" w:customStyle="1" w:styleId="Bullet3">
    <w:name w:val="Bullet 3"/>
    <w:basedOn w:val="Bullet2"/>
    <w:uiPriority w:val="3"/>
    <w:rsid w:val="00EC6304"/>
    <w:pPr>
      <w:numPr>
        <w:ilvl w:val="2"/>
      </w:numPr>
    </w:pPr>
  </w:style>
  <w:style w:type="numbering" w:customStyle="1" w:styleId="Bullets">
    <w:name w:val="Bullets"/>
    <w:uiPriority w:val="99"/>
    <w:rsid w:val="00EC6304"/>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1044826">
      <w:bodyDiv w:val="1"/>
      <w:marLeft w:val="0"/>
      <w:marRight w:val="0"/>
      <w:marTop w:val="0"/>
      <w:marBottom w:val="0"/>
      <w:divBdr>
        <w:top w:val="none" w:sz="0" w:space="0" w:color="auto"/>
        <w:left w:val="none" w:sz="0" w:space="0" w:color="auto"/>
        <w:bottom w:val="none" w:sz="0" w:space="0" w:color="auto"/>
        <w:right w:val="none" w:sz="0" w:space="0" w:color="auto"/>
      </w:divBdr>
    </w:div>
    <w:div w:id="1595896528">
      <w:bodyDiv w:val="1"/>
      <w:marLeft w:val="0"/>
      <w:marRight w:val="0"/>
      <w:marTop w:val="0"/>
      <w:marBottom w:val="0"/>
      <w:divBdr>
        <w:top w:val="none" w:sz="0" w:space="0" w:color="auto"/>
        <w:left w:val="none" w:sz="0" w:space="0" w:color="auto"/>
        <w:bottom w:val="none" w:sz="0" w:space="0" w:color="auto"/>
        <w:right w:val="none" w:sz="0" w:space="0" w:color="auto"/>
      </w:divBdr>
    </w:div>
    <w:div w:id="1670711105">
      <w:bodyDiv w:val="1"/>
      <w:marLeft w:val="0"/>
      <w:marRight w:val="0"/>
      <w:marTop w:val="0"/>
      <w:marBottom w:val="0"/>
      <w:divBdr>
        <w:top w:val="none" w:sz="0" w:space="0" w:color="auto"/>
        <w:left w:val="none" w:sz="0" w:space="0" w:color="auto"/>
        <w:bottom w:val="none" w:sz="0" w:space="0" w:color="auto"/>
        <w:right w:val="none" w:sz="0" w:space="0" w:color="auto"/>
      </w:divBdr>
    </w:div>
    <w:div w:id="2081948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legislation.gov.au/Details/C2022C00316" TargetMode="External"/><Relationship Id="rId18" Type="http://schemas.openxmlformats.org/officeDocument/2006/relationships/hyperlink" Target="https://www.legislation.gov.au/Details/F2020C0097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legislation.gov.au/Details/F2011C00213" TargetMode="External"/><Relationship Id="rId17" Type="http://schemas.openxmlformats.org/officeDocument/2006/relationships/hyperlink" Target="file:///C:\Users\haegan\AppData\Local\Microsoft\Windows\INetCache\Content.Outlook\UI4UI9PJ\infrastructure.gov.au\transport-standards-review" TargetMode="External"/><Relationship Id="rId2" Type="http://schemas.openxmlformats.org/officeDocument/2006/relationships/numbering" Target="numbering.xml"/><Relationship Id="rId16" Type="http://schemas.openxmlformats.org/officeDocument/2006/relationships/hyperlink" Target="mailto:DisabilityTransport@infrastructure.gov.au"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infrastructure.gov.au/have-your-say/2022-review-disability-standards-accessible-public-transport-2002" TargetMode="External"/><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yperlink" Target="https://www.infrastructure.gov.au/department/media/publications/discussion-paper-2022-review-disability-standards-accessible-public-transport-2002"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C890B2-C966-4F24-8613-2EBABF74C8C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730</Words>
  <Characters>4306</Characters>
  <Application>Microsoft Office Word</Application>
  <DocSecurity>0</DocSecurity>
  <Lines>76</Lines>
  <Paragraphs>50</Paragraphs>
  <ScaleCrop>false</ScaleCrop>
  <HeadingPairs>
    <vt:vector size="2" baseType="variant">
      <vt:variant>
        <vt:lpstr>Title</vt:lpstr>
      </vt:variant>
      <vt:variant>
        <vt:i4>1</vt:i4>
      </vt:variant>
    </vt:vector>
  </HeadingPairs>
  <TitlesOfParts>
    <vt:vector size="1" baseType="lpstr">
      <vt:lpstr>Frequently Asked Questions—2022 Review of the Disability Transport Standards</vt:lpstr>
    </vt:vector>
  </TitlesOfParts>
  <Company>Department of Infrastructure, Transport, Regional Development, Communications and the Arts</Company>
  <LinksUpToDate>false</LinksUpToDate>
  <CharactersWithSpaces>4986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Frequently Asked Questions—2022 Review of the Disability Transport Standards</dc:title>
  <dc:subject/>
  <dc:creator>Department of Infrastructure, Transport, Regional Development, Communications and the Arts</dc:creator>
  <cp:keywords/>
  <dc:description>22 July 2021</dc:description>
  <cp:lastModifiedBy>HALL Theresa</cp:lastModifiedBy>
  <cp:revision>4</cp:revision>
  <dcterms:created xsi:type="dcterms:W3CDTF">2023-01-23T04:10:00Z</dcterms:created>
  <dcterms:modified xsi:type="dcterms:W3CDTF">2023-01-23T04:16:00Z</dcterms:modified>
</cp:coreProperties>
</file>