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335A" w14:textId="77777777" w:rsidR="00133A45" w:rsidRDefault="001D5B5A" w:rsidP="00C817A5">
      <w:pPr>
        <w:spacing w:after="480"/>
      </w:pPr>
      <w:r>
        <w:rPr>
          <w:noProof/>
        </w:rPr>
        <w:drawing>
          <wp:inline distT="0" distB="0" distL="0" distR="0" wp14:anchorId="314734F1" wp14:editId="2A2D4B1B">
            <wp:extent cx="4857750" cy="800100"/>
            <wp:effectExtent l="0" t="0" r="0" b="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800100"/>
                    </a:xfrm>
                    <a:prstGeom prst="rect">
                      <a:avLst/>
                    </a:prstGeom>
                    <a:noFill/>
                    <a:ln>
                      <a:noFill/>
                    </a:ln>
                  </pic:spPr>
                </pic:pic>
              </a:graphicData>
            </a:graphic>
          </wp:inline>
        </w:drawing>
      </w:r>
    </w:p>
    <w:p w14:paraId="3147335B" w14:textId="77777777" w:rsidR="00C817A5" w:rsidRDefault="00C817A5" w:rsidP="000E29BE">
      <w:pPr>
        <w:spacing w:after="720"/>
        <w:sectPr w:rsidR="00C817A5" w:rsidSect="000E29BE">
          <w:headerReference w:type="even" r:id="rId11"/>
          <w:headerReference w:type="default" r:id="rId12"/>
          <w:footerReference w:type="even" r:id="rId13"/>
          <w:footerReference w:type="default" r:id="rId14"/>
          <w:footerReference w:type="first" r:id="rId15"/>
          <w:pgSz w:w="11906" w:h="16838"/>
          <w:pgMar w:top="1135" w:right="991" w:bottom="1276" w:left="1440" w:header="0" w:footer="113" w:gutter="0"/>
          <w:cols w:space="708"/>
          <w:titlePg/>
          <w:docGrid w:linePitch="360"/>
        </w:sectPr>
      </w:pPr>
    </w:p>
    <w:p w14:paraId="3147335D" w14:textId="4099FB21" w:rsidR="00B041CB" w:rsidRPr="00B041CB" w:rsidRDefault="000C331F" w:rsidP="00C817A5">
      <w:pPr>
        <w:pStyle w:val="Heading1"/>
      </w:pPr>
      <w:r w:rsidRPr="00B739CC">
        <w:rPr>
          <w:color w:val="auto"/>
          <w:sz w:val="48"/>
        </w:rPr>
        <w:t xml:space="preserve">Flying Considerately </w:t>
      </w:r>
      <w:r w:rsidR="00AE28C4">
        <w:rPr>
          <w:color w:val="auto"/>
          <w:sz w:val="48"/>
        </w:rPr>
        <w:t>Guidance</w:t>
      </w:r>
    </w:p>
    <w:p w14:paraId="3147335E" w14:textId="1820645B" w:rsidR="00B041CB" w:rsidRPr="00B041CB" w:rsidRDefault="00FD77FD" w:rsidP="00C817A5">
      <w:pPr>
        <w:pStyle w:val="Subtitle"/>
      </w:pPr>
      <w:r>
        <w:t>Aviation White Paper Initiative #34</w:t>
      </w:r>
    </w:p>
    <w:p w14:paraId="3147335F" w14:textId="17B3AEDD" w:rsidR="00B041CB" w:rsidRDefault="00C11FB9" w:rsidP="00C817A5">
      <w:pPr>
        <w:suppressAutoHyphens/>
        <w:spacing w:before="160" w:after="80"/>
        <w:ind w:left="1134"/>
        <w:rPr>
          <w:rFonts w:eastAsia="Calibri" w:cs="Times New Roman"/>
          <w:b/>
          <w:color w:val="081E3E"/>
          <w:kern w:val="12"/>
          <w:sz w:val="20"/>
          <w:szCs w:val="20"/>
        </w:rPr>
      </w:pPr>
      <w:r w:rsidRPr="004E61F6">
        <w:rPr>
          <w:rFonts w:eastAsia="Calibri" w:cs="Times New Roman"/>
          <w:b/>
          <w:color w:val="081E3E"/>
          <w:kern w:val="12"/>
          <w:sz w:val="20"/>
          <w:szCs w:val="20"/>
        </w:rPr>
        <w:t xml:space="preserve">May </w:t>
      </w:r>
      <w:r w:rsidR="00E466BE" w:rsidRPr="004E61F6">
        <w:rPr>
          <w:rFonts w:eastAsia="Calibri" w:cs="Times New Roman"/>
          <w:b/>
          <w:color w:val="081E3E"/>
          <w:kern w:val="12"/>
          <w:sz w:val="20"/>
          <w:szCs w:val="20"/>
        </w:rPr>
        <w:t>2026</w:t>
      </w:r>
    </w:p>
    <w:p w14:paraId="114E9CC7" w14:textId="77777777" w:rsidR="004E61F6" w:rsidRPr="00B041CB" w:rsidRDefault="004E61F6" w:rsidP="00C817A5">
      <w:pPr>
        <w:suppressAutoHyphens/>
        <w:spacing w:before="160" w:after="80"/>
        <w:ind w:left="1134"/>
        <w:rPr>
          <w:rFonts w:eastAsia="Calibri" w:cs="Times New Roman"/>
          <w:b/>
          <w:color w:val="081E3E"/>
          <w:kern w:val="12"/>
          <w:sz w:val="20"/>
          <w:szCs w:val="20"/>
        </w:rPr>
      </w:pPr>
    </w:p>
    <w:p w14:paraId="31473360" w14:textId="76038F94" w:rsidR="009C1ECD" w:rsidRDefault="00261FD0" w:rsidP="004E61F6">
      <w:pPr>
        <w:ind w:left="1134"/>
        <w:rPr>
          <w:rFonts w:eastAsia="Calibri" w:cs="Times New Roman"/>
          <w:color w:val="000000"/>
          <w:kern w:val="12"/>
          <w:sz w:val="20"/>
          <w:szCs w:val="20"/>
        </w:rPr>
      </w:pPr>
      <w:r w:rsidRPr="00BD2BDA">
        <w:rPr>
          <w:noProof/>
        </w:rPr>
        <w:drawing>
          <wp:inline distT="0" distB="0" distL="0" distR="0" wp14:anchorId="67EA97EC" wp14:editId="2E185ADD">
            <wp:extent cx="5057775" cy="3951605"/>
            <wp:effectExtent l="0" t="0" r="9525" b="0"/>
            <wp:docPr id="1503349818" name="Picture 3" descr="Photograph of a small single-engine airplane flying low over a runway with distant hills and trees under a clear blue sky. The plane is centered in the frame, highlighting its wingspan and landing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49818" name="Picture 3" descr="Photograph of a small single-engine airplane flying low over a runway with distant hills and trees under a clear blue sky. The plane is centered in the frame, highlighting its wingspan and landing gea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5548" t="18020" r="4501" b="-1"/>
                    <a:stretch>
                      <a:fillRect/>
                    </a:stretch>
                  </pic:blipFill>
                  <pic:spPr bwMode="auto">
                    <a:xfrm>
                      <a:off x="0" y="0"/>
                      <a:ext cx="5057775" cy="3951605"/>
                    </a:xfrm>
                    <a:prstGeom prst="rect">
                      <a:avLst/>
                    </a:prstGeom>
                    <a:noFill/>
                    <a:ln>
                      <a:noFill/>
                    </a:ln>
                    <a:extLst>
                      <a:ext uri="{53640926-AAD7-44D8-BBD7-CCE9431645EC}">
                        <a14:shadowObscured xmlns:a14="http://schemas.microsoft.com/office/drawing/2010/main"/>
                      </a:ext>
                    </a:extLst>
                  </pic:spPr>
                </pic:pic>
              </a:graphicData>
            </a:graphic>
          </wp:inline>
        </w:drawing>
      </w:r>
    </w:p>
    <w:p w14:paraId="31473361" w14:textId="15DDB8B4"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1473362" w14:textId="4FC7F320" w:rsidR="00C817A5" w:rsidRPr="000E5674" w:rsidRDefault="00C817A5" w:rsidP="00C817A5">
      <w:pPr>
        <w:pStyle w:val="NoSpacing"/>
        <w:spacing w:before="120"/>
      </w:pPr>
      <w:r w:rsidRPr="000E5674">
        <w:lastRenderedPageBreak/>
        <w:t xml:space="preserve">© Commonwealth of Australia </w:t>
      </w:r>
      <w:r w:rsidR="00EC7052">
        <w:t>2026</w:t>
      </w:r>
    </w:p>
    <w:p w14:paraId="76FE96A5" w14:textId="77777777" w:rsidR="009230C9" w:rsidRPr="002D4F15" w:rsidRDefault="009230C9" w:rsidP="009230C9">
      <w:pPr>
        <w:pStyle w:val="Heading2notshowing"/>
      </w:pPr>
      <w:r w:rsidRPr="002D4F15">
        <w:t>Ownership of intellectual property rights in this publication</w:t>
      </w:r>
    </w:p>
    <w:p w14:paraId="1FE6409D" w14:textId="77777777" w:rsidR="009230C9" w:rsidRPr="002D4F15" w:rsidRDefault="009230C9" w:rsidP="009230C9">
      <w:pPr>
        <w:spacing w:before="120"/>
        <w:rPr>
          <w:kern w:val="12"/>
          <w:lang w:val="x-none"/>
        </w:rPr>
      </w:pPr>
      <w:r w:rsidRPr="002D4F15">
        <w:rPr>
          <w:kern w:val="12"/>
          <w:lang w:val="x-none"/>
        </w:rPr>
        <w:t>Unless otherwise noted, copyright (and any other intellectual property rights, if any) in this publication is owned by the</w:t>
      </w:r>
      <w:r w:rsidRPr="002D4F15">
        <w:rPr>
          <w:kern w:val="12"/>
          <w:lang w:val="en-US"/>
        </w:rPr>
        <w:t xml:space="preserve"> </w:t>
      </w:r>
      <w:r w:rsidRPr="002D4F15">
        <w:rPr>
          <w:kern w:val="12"/>
          <w:lang w:val="x-none"/>
        </w:rPr>
        <w:t>Commonwealth of Australia (referred to below as the Commonwealth).</w:t>
      </w:r>
    </w:p>
    <w:p w14:paraId="5F49867F" w14:textId="77777777" w:rsidR="009230C9" w:rsidRPr="002D4F15" w:rsidRDefault="009230C9" w:rsidP="009230C9">
      <w:pPr>
        <w:pStyle w:val="Heading2notshowing"/>
      </w:pPr>
      <w:r w:rsidRPr="002D4F15">
        <w:t>Disclaimer</w:t>
      </w:r>
    </w:p>
    <w:p w14:paraId="22B9B092" w14:textId="77777777" w:rsidR="009230C9" w:rsidRPr="002D4F15" w:rsidRDefault="009230C9" w:rsidP="009230C9">
      <w:pPr>
        <w:spacing w:before="120"/>
        <w:rPr>
          <w:kern w:val="12"/>
          <w:lang w:val="x-none"/>
        </w:rPr>
      </w:pPr>
      <w:r w:rsidRPr="002D4F15">
        <w:rPr>
          <w:kern w:val="12"/>
          <w:lang w:val="x-none"/>
        </w:rPr>
        <w:t>The material contained in this publication is made available on the understanding that the Commonwealth is not</w:t>
      </w:r>
      <w:r w:rsidRPr="002D4F15">
        <w:rPr>
          <w:kern w:val="12"/>
          <w:lang w:val="en-US"/>
        </w:rPr>
        <w:t xml:space="preserve"> </w:t>
      </w:r>
      <w:r w:rsidRPr="002D4F15">
        <w:rPr>
          <w:kern w:val="12"/>
          <w:lang w:val="x-none"/>
        </w:rPr>
        <w:t>providing professional advice, and that users exercise their own skill and care with respect to its use, and seek</w:t>
      </w:r>
      <w:r w:rsidRPr="002D4F15">
        <w:rPr>
          <w:kern w:val="12"/>
          <w:lang w:val="en-US"/>
        </w:rPr>
        <w:t xml:space="preserve"> </w:t>
      </w:r>
      <w:r w:rsidRPr="002D4F15">
        <w:rPr>
          <w:kern w:val="12"/>
          <w:lang w:val="x-none"/>
        </w:rPr>
        <w:t>independent advice if necessary.</w:t>
      </w:r>
    </w:p>
    <w:p w14:paraId="48B7A33C" w14:textId="77777777" w:rsidR="009230C9" w:rsidRPr="002D4F15" w:rsidRDefault="009230C9" w:rsidP="009230C9">
      <w:pPr>
        <w:spacing w:before="120"/>
        <w:rPr>
          <w:kern w:val="12"/>
          <w:lang w:val="x-none"/>
        </w:rPr>
      </w:pPr>
      <w:r w:rsidRPr="002D4F15">
        <w:rPr>
          <w:kern w:val="12"/>
          <w:lang w:val="x-none"/>
        </w:rPr>
        <w:t>The Commonwealth makes no representations or warranties as to the contents or accuracy of the information contained</w:t>
      </w:r>
      <w:r w:rsidRPr="002D4F15">
        <w:rPr>
          <w:kern w:val="12"/>
          <w:lang w:val="en-US"/>
        </w:rPr>
        <w:t xml:space="preserve"> </w:t>
      </w:r>
      <w:r w:rsidRPr="002D4F15">
        <w:rPr>
          <w:kern w:val="12"/>
          <w:lang w:val="x-none"/>
        </w:rPr>
        <w:t>in this publication. To the extent permitted by law, the Commonwealth disclaims liability to any person or organisation in</w:t>
      </w:r>
      <w:r w:rsidRPr="002D4F15">
        <w:rPr>
          <w:kern w:val="12"/>
          <w:lang w:val="en-US"/>
        </w:rPr>
        <w:t xml:space="preserve"> </w:t>
      </w:r>
      <w:r w:rsidRPr="002D4F15">
        <w:rPr>
          <w:kern w:val="12"/>
          <w:lang w:val="x-none"/>
        </w:rPr>
        <w:t>respect of anything done, or omitted to be done, in reliance upon information contained in this publication.</w:t>
      </w:r>
    </w:p>
    <w:p w14:paraId="47FE189A" w14:textId="77777777" w:rsidR="009230C9" w:rsidRPr="002D4F15" w:rsidRDefault="009230C9" w:rsidP="009230C9">
      <w:pPr>
        <w:pStyle w:val="Heading2notshowing"/>
      </w:pPr>
      <w:r w:rsidRPr="002D4F15">
        <w:t>Creative Commons licence</w:t>
      </w:r>
    </w:p>
    <w:p w14:paraId="7A02A3AF" w14:textId="77777777" w:rsidR="009230C9" w:rsidRPr="002D4F15" w:rsidRDefault="009230C9" w:rsidP="009230C9">
      <w:pPr>
        <w:spacing w:before="120"/>
        <w:rPr>
          <w:b/>
          <w:kern w:val="12"/>
        </w:rPr>
      </w:pPr>
      <w:r w:rsidRPr="002D4F15">
        <w:rPr>
          <w:b/>
          <w:noProof/>
          <w:kern w:val="12"/>
          <w:lang w:val="x-none"/>
        </w:rPr>
        <w:drawing>
          <wp:inline distT="0" distB="0" distL="0" distR="0" wp14:anchorId="38F1679C" wp14:editId="202098A0">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524E6550" w14:textId="77777777" w:rsidR="009230C9" w:rsidRPr="002D4F15" w:rsidRDefault="009230C9" w:rsidP="009230C9">
      <w:pPr>
        <w:spacing w:before="120"/>
        <w:rPr>
          <w:kern w:val="12"/>
        </w:rPr>
      </w:pPr>
      <w:r w:rsidRPr="002D4F15">
        <w:rPr>
          <w:kern w:val="12"/>
        </w:rPr>
        <w:t>With the exception of (a) the Coat of Arms; (b) the Department of Infrastructure, Transport, Regional Development, Communications, Sport and the Arts photos and graphics; (c) content supplied by third parties; (d) content otherwise labelled; copyright in this publication is licensed under a Creative Commons BY Attribution 4.0 International Licence.</w:t>
      </w:r>
    </w:p>
    <w:p w14:paraId="249187E7" w14:textId="77777777" w:rsidR="009230C9" w:rsidRPr="002D4F15" w:rsidRDefault="009230C9" w:rsidP="009230C9">
      <w:pPr>
        <w:pStyle w:val="Heading2notshowing"/>
      </w:pPr>
      <w:r w:rsidRPr="002D4F15">
        <w:t>Use of the Coat of Arms</w:t>
      </w:r>
    </w:p>
    <w:p w14:paraId="7E177A96" w14:textId="77777777" w:rsidR="009230C9" w:rsidRPr="002D4F15" w:rsidRDefault="009230C9" w:rsidP="009230C9">
      <w:pPr>
        <w:spacing w:before="120"/>
        <w:rPr>
          <w:kern w:val="12"/>
          <w:lang w:val="x-none"/>
        </w:rPr>
      </w:pPr>
      <w:r w:rsidRPr="002D4F15">
        <w:rPr>
          <w:kern w:val="12"/>
          <w:lang w:val="x-none"/>
        </w:rPr>
        <w:t xml:space="preserve">The Department of the Prime Minister and Cabinet </w:t>
      </w:r>
      <w:r w:rsidRPr="002D4F15">
        <w:rPr>
          <w:kern w:val="12"/>
        </w:rPr>
        <w:t xml:space="preserve">(PM&amp;C) </w:t>
      </w:r>
      <w:r w:rsidRPr="002D4F15">
        <w:rPr>
          <w:kern w:val="12"/>
          <w:lang w:val="x-none"/>
        </w:rPr>
        <w:t>sets the terms under which the Coat of Arms is used. Please refer to</w:t>
      </w:r>
      <w:r w:rsidRPr="002D4F15">
        <w:rPr>
          <w:kern w:val="12"/>
          <w:lang w:val="en-US"/>
        </w:rPr>
        <w:t xml:space="preserve"> </w:t>
      </w:r>
      <w:r w:rsidRPr="002D4F15">
        <w:rPr>
          <w:kern w:val="12"/>
          <w:lang w:val="x-none"/>
        </w:rPr>
        <w:t xml:space="preserve">the </w:t>
      </w:r>
      <w:hyperlink r:id="rId18" w:history="1">
        <w:r w:rsidRPr="002D4F15">
          <w:rPr>
            <w:rStyle w:val="Hyperlink"/>
            <w:kern w:val="12"/>
          </w:rPr>
          <w:t>Commonwealth Coat of Arms Information and Guidelines | PM&amp;C</w:t>
        </w:r>
      </w:hyperlink>
      <w:r w:rsidRPr="002D4F15">
        <w:rPr>
          <w:kern w:val="12"/>
        </w:rPr>
        <w:t>.</w:t>
      </w:r>
    </w:p>
    <w:p w14:paraId="65C6CC3E" w14:textId="77777777" w:rsidR="009230C9" w:rsidRPr="002D4F15" w:rsidRDefault="009230C9" w:rsidP="009230C9">
      <w:pPr>
        <w:pStyle w:val="Heading2notshowing"/>
      </w:pPr>
      <w:r w:rsidRPr="002D4F15">
        <w:t>Contact us</w:t>
      </w:r>
    </w:p>
    <w:p w14:paraId="16965B31" w14:textId="77777777" w:rsidR="009230C9" w:rsidRPr="002D4F15" w:rsidRDefault="009230C9" w:rsidP="009230C9">
      <w:pPr>
        <w:spacing w:before="120"/>
        <w:rPr>
          <w:kern w:val="12"/>
          <w:lang w:val="x-none"/>
        </w:rPr>
      </w:pPr>
      <w:r w:rsidRPr="002D4F15">
        <w:rPr>
          <w:kern w:val="12"/>
          <w:lang w:val="x-none"/>
        </w:rPr>
        <w:t>This publication is available in</w:t>
      </w:r>
      <w:r w:rsidRPr="002D4F15">
        <w:rPr>
          <w:kern w:val="12"/>
          <w:lang w:val="en-US"/>
        </w:rPr>
        <w:t xml:space="preserve"> Word and PDF format</w:t>
      </w:r>
      <w:r w:rsidRPr="002D4F15">
        <w:rPr>
          <w:kern w:val="12"/>
          <w:lang w:val="x-none"/>
        </w:rPr>
        <w:t xml:space="preserve"> All other rights are reserved, including in relation to any</w:t>
      </w:r>
      <w:r w:rsidRPr="002D4F15">
        <w:rPr>
          <w:kern w:val="12"/>
          <w:lang w:val="en-US"/>
        </w:rPr>
        <w:t xml:space="preserve"> departmental</w:t>
      </w:r>
      <w:r w:rsidRPr="002D4F15">
        <w:rPr>
          <w:kern w:val="12"/>
          <w:lang w:val="x-none"/>
        </w:rPr>
        <w:t xml:space="preserve"> logos or trademarks which may exist. For enquiries regarding the licence and any use of this publication,</w:t>
      </w:r>
      <w:r w:rsidRPr="002D4F15">
        <w:rPr>
          <w:kern w:val="12"/>
          <w:lang w:val="en-US"/>
        </w:rPr>
        <w:t xml:space="preserve"> </w:t>
      </w:r>
      <w:r w:rsidRPr="002D4F15">
        <w:rPr>
          <w:kern w:val="12"/>
          <w:lang w:val="x-none"/>
        </w:rPr>
        <w:t>please contact:</w:t>
      </w:r>
    </w:p>
    <w:p w14:paraId="21351329" w14:textId="77777777" w:rsidR="009230C9" w:rsidRPr="002D4F15" w:rsidRDefault="009230C9" w:rsidP="009230C9">
      <w:pPr>
        <w:spacing w:before="120"/>
        <w:rPr>
          <w:kern w:val="12"/>
          <w:lang w:val="en-US"/>
        </w:rPr>
      </w:pPr>
      <w:r w:rsidRPr="002D4F15">
        <w:rPr>
          <w:kern w:val="12"/>
          <w:lang w:val="x-none"/>
        </w:rPr>
        <w:t xml:space="preserve">Email: </w:t>
      </w:r>
      <w:hyperlink r:id="rId19" w:history="1">
        <w:r w:rsidRPr="002D4F15">
          <w:rPr>
            <w:rStyle w:val="Hyperlink"/>
            <w:kern w:val="12"/>
            <w:lang w:val="en-US"/>
          </w:rPr>
          <w:t>dap@infrastructure.gov.au</w:t>
        </w:r>
      </w:hyperlink>
      <w:r w:rsidRPr="002D4F15">
        <w:rPr>
          <w:kern w:val="12"/>
          <w:lang w:val="en-US"/>
        </w:rPr>
        <w:t xml:space="preserve"> </w:t>
      </w:r>
    </w:p>
    <w:p w14:paraId="0C2CD3C1" w14:textId="77777777" w:rsidR="009230C9" w:rsidRPr="002D4F15" w:rsidRDefault="009230C9" w:rsidP="009230C9">
      <w:pPr>
        <w:spacing w:before="120"/>
        <w:rPr>
          <w:kern w:val="12"/>
        </w:rPr>
      </w:pPr>
      <w:r w:rsidRPr="002D4F15">
        <w:rPr>
          <w:kern w:val="12"/>
          <w:lang w:val="x-none"/>
        </w:rPr>
        <w:t>Website:</w:t>
      </w:r>
      <w:r w:rsidRPr="002D4F15">
        <w:rPr>
          <w:kern w:val="12"/>
          <w:lang w:val="en-US"/>
        </w:rPr>
        <w:t xml:space="preserve"> </w:t>
      </w:r>
      <w:bookmarkStart w:id="0" w:name="_Hlk210056508"/>
      <w:r w:rsidRPr="002D4F15">
        <w:rPr>
          <w:kern w:val="12"/>
          <w:lang w:val="en-US"/>
        </w:rPr>
        <w:fldChar w:fldCharType="begin"/>
      </w:r>
      <w:r w:rsidRPr="002D4F15">
        <w:rPr>
          <w:kern w:val="12"/>
          <w:lang w:val="en-US"/>
        </w:rPr>
        <w:instrText xml:space="preserve"> HYPERLINK "http://www.infrastructure.gov.au/have-your-say/" </w:instrText>
      </w:r>
      <w:r w:rsidRPr="002D4F15">
        <w:rPr>
          <w:kern w:val="12"/>
          <w:lang w:val="en-US"/>
        </w:rPr>
      </w:r>
      <w:r w:rsidRPr="002D4F15">
        <w:rPr>
          <w:kern w:val="12"/>
          <w:lang w:val="en-US"/>
        </w:rPr>
        <w:fldChar w:fldCharType="separate"/>
      </w:r>
      <w:r w:rsidRPr="002D4F15">
        <w:rPr>
          <w:rStyle w:val="Hyperlink"/>
          <w:kern w:val="12"/>
          <w:lang w:val="en-US"/>
        </w:rPr>
        <w:t>www.infrastructure.gov.au/have-your-say/</w:t>
      </w:r>
      <w:r w:rsidRPr="002D4F15">
        <w:rPr>
          <w:kern w:val="12"/>
        </w:rPr>
        <w:fldChar w:fldCharType="end"/>
      </w:r>
      <w:r w:rsidRPr="002D4F15">
        <w:rPr>
          <w:kern w:val="12"/>
          <w:lang w:val="en-US"/>
        </w:rPr>
        <w:t xml:space="preserve"> </w:t>
      </w:r>
      <w:bookmarkEnd w:id="0"/>
    </w:p>
    <w:p w14:paraId="2EC44E02" w14:textId="07456513" w:rsidR="009230C9" w:rsidRPr="002D4F15" w:rsidRDefault="009230C9" w:rsidP="009230C9">
      <w:pPr>
        <w:pStyle w:val="Heading2notshowing"/>
      </w:pPr>
      <w:r w:rsidRPr="002D4F15">
        <w:t>Image credit</w:t>
      </w:r>
    </w:p>
    <w:p w14:paraId="3BF173BA" w14:textId="3B18F38B" w:rsidR="009230C9" w:rsidRPr="002D4F15" w:rsidRDefault="009230C9" w:rsidP="009230C9">
      <w:pPr>
        <w:spacing w:before="120"/>
        <w:rPr>
          <w:kern w:val="12"/>
        </w:rPr>
      </w:pPr>
      <w:r w:rsidRPr="002D4F15">
        <w:rPr>
          <w:kern w:val="12"/>
        </w:rPr>
        <w:t xml:space="preserve">Cover image: </w:t>
      </w:r>
      <w:r w:rsidRPr="002E6F93">
        <w:rPr>
          <w:kern w:val="12"/>
        </w:rPr>
        <w:t>D</w:t>
      </w:r>
      <w:r>
        <w:rPr>
          <w:kern w:val="12"/>
        </w:rPr>
        <w:t>epartment of Infrastructure, Transport, Regional Development, Communications, Sport and the Arts.</w:t>
      </w:r>
    </w:p>
    <w:p w14:paraId="31473393" w14:textId="77777777" w:rsidR="00796AB4" w:rsidRDefault="00796AB4">
      <w:pPr>
        <w:spacing w:line="259" w:lineRule="auto"/>
        <w:sectPr w:rsidR="00796AB4" w:rsidSect="000E29BE">
          <w:footerReference w:type="default" r:id="rId20"/>
          <w:type w:val="continuous"/>
          <w:pgSz w:w="11906" w:h="16838"/>
          <w:pgMar w:top="1276" w:right="991" w:bottom="1276" w:left="1440" w:header="567" w:footer="0" w:gutter="0"/>
          <w:cols w:space="708"/>
          <w:titlePg/>
          <w:docGrid w:linePitch="360"/>
        </w:sectPr>
      </w:pPr>
    </w:p>
    <w:p w14:paraId="024AC48A" w14:textId="71CA8B2B" w:rsidR="00D02A65" w:rsidRPr="00CD299C" w:rsidRDefault="00D02A65" w:rsidP="00173850">
      <w:bookmarkStart w:id="1" w:name="_How_to_add"/>
      <w:bookmarkStart w:id="2" w:name="_Toc206685086"/>
      <w:bookmarkStart w:id="3" w:name="_Toc207021341"/>
      <w:bookmarkEnd w:id="1"/>
      <w:bookmarkEnd w:id="2"/>
      <w:bookmarkEnd w:id="3"/>
    </w:p>
    <w:p w14:paraId="247465F9" w14:textId="0AABF1D3" w:rsidR="00D02A65" w:rsidRPr="00366A81" w:rsidRDefault="00C64AFF" w:rsidP="00C64AFF">
      <w:pPr>
        <w:pStyle w:val="Heading3"/>
      </w:pPr>
      <w:bookmarkStart w:id="4" w:name="_Toc219888052"/>
      <w:bookmarkStart w:id="5" w:name="_Toc221269152"/>
      <w:bookmarkStart w:id="6" w:name="_Hlk203650517"/>
      <w:r>
        <w:t xml:space="preserve">1.1 </w:t>
      </w:r>
      <w:r w:rsidR="00D02A65">
        <w:t>Background</w:t>
      </w:r>
      <w:bookmarkEnd w:id="4"/>
      <w:bookmarkEnd w:id="5"/>
    </w:p>
    <w:p w14:paraId="521506C5" w14:textId="142A654C" w:rsidR="00D02A65" w:rsidRDefault="00D02A65" w:rsidP="00D02A65">
      <w:pPr>
        <w:pStyle w:val="Bullet3"/>
        <w:numPr>
          <w:ilvl w:val="0"/>
          <w:numId w:val="0"/>
        </w:numPr>
        <w:rPr>
          <w:lang w:val="en-AU"/>
        </w:rPr>
      </w:pPr>
      <w:r>
        <w:rPr>
          <w:lang w:val="en-AU"/>
        </w:rPr>
        <w:t>The Flying Considerately guidance provides a single, national reference for voluntary good practices that pilots and operators can adopt to minimise the impact of GA activity</w:t>
      </w:r>
      <w:r w:rsidR="00BD6D9C">
        <w:rPr>
          <w:rStyle w:val="FootnoteReference"/>
          <w:lang w:val="en-AU"/>
        </w:rPr>
        <w:footnoteReference w:id="1"/>
      </w:r>
      <w:r>
        <w:rPr>
          <w:lang w:val="en-AU"/>
        </w:rPr>
        <w:t xml:space="preserve"> on local communities. It is designed to complement existing safety regulations while promoting consistent, practical approaches to considerate flying across Class G airspace in Australia. </w:t>
      </w:r>
    </w:p>
    <w:p w14:paraId="0BB19D1B" w14:textId="0AAC6F90" w:rsidR="00D02A65" w:rsidRDefault="00D02A65" w:rsidP="00D02A65">
      <w:pPr>
        <w:pStyle w:val="Bullet3"/>
        <w:numPr>
          <w:ilvl w:val="0"/>
          <w:numId w:val="0"/>
        </w:numPr>
        <w:rPr>
          <w:color w:val="auto"/>
        </w:rPr>
      </w:pPr>
      <w:r>
        <w:t xml:space="preserve">Class G refers to airspace without an </w:t>
      </w:r>
      <w:r w:rsidR="000A1F9D">
        <w:t>A</w:t>
      </w:r>
      <w:r w:rsidR="00CC1B75">
        <w:t xml:space="preserve">ir </w:t>
      </w:r>
      <w:r w:rsidR="000A1F9D">
        <w:t>T</w:t>
      </w:r>
      <w:r w:rsidR="00CC1B75">
        <w:t xml:space="preserve">raffic </w:t>
      </w:r>
      <w:r w:rsidR="000A1F9D">
        <w:t>C</w:t>
      </w:r>
      <w:r w:rsidR="00CC1B75">
        <w:t>ontrol</w:t>
      </w:r>
      <w:r>
        <w:t xml:space="preserve"> service. Pilots in uncontrolled airspace are not separated by </w:t>
      </w:r>
      <w:r w:rsidR="000A1F9D">
        <w:t>ATC</w:t>
      </w:r>
      <w:r>
        <w:t xml:space="preserve"> and have increased responsibility for being aware of surrounding aircraft and obstacles. </w:t>
      </w:r>
      <w:r w:rsidRPr="00FB340C">
        <w:rPr>
          <w:color w:val="auto"/>
        </w:rPr>
        <w:t xml:space="preserve">A diagram of different </w:t>
      </w:r>
      <w:r>
        <w:rPr>
          <w:color w:val="auto"/>
        </w:rPr>
        <w:t xml:space="preserve">airspace </w:t>
      </w:r>
      <w:r w:rsidRPr="00FB340C">
        <w:rPr>
          <w:color w:val="auto"/>
        </w:rPr>
        <w:t>classes is provided at Figure 1</w:t>
      </w:r>
      <w:r w:rsidR="003860C9">
        <w:rPr>
          <w:color w:val="auto"/>
        </w:rPr>
        <w:t>.</w:t>
      </w:r>
      <w:r w:rsidR="00A411E5">
        <w:rPr>
          <w:color w:val="auto"/>
        </w:rPr>
        <w:t xml:space="preserve"> </w:t>
      </w:r>
      <w:r w:rsidR="00137EDD">
        <w:rPr>
          <w:rStyle w:val="FootnoteReference"/>
          <w:color w:val="auto"/>
        </w:rPr>
        <w:footnoteReference w:id="2"/>
      </w:r>
    </w:p>
    <w:p w14:paraId="1CCB9CB5" w14:textId="77777777" w:rsidR="00C64AFF" w:rsidRDefault="00D02A65" w:rsidP="00C64AFF">
      <w:pPr>
        <w:pStyle w:val="Tablefigureheading"/>
      </w:pPr>
      <w:bookmarkStart w:id="7" w:name="_Toc221269182"/>
      <w:r w:rsidRPr="00014235">
        <w:t>Figure 1: Airspace classes – horizontal cross-section (Airservices Australia)</w:t>
      </w:r>
      <w:bookmarkEnd w:id="7"/>
    </w:p>
    <w:p w14:paraId="37E4D566" w14:textId="027D5251" w:rsidR="00D02A65" w:rsidRDefault="00D02A65" w:rsidP="00C64AFF">
      <w:r>
        <w:rPr>
          <w:noProof/>
        </w:rPr>
        <w:drawing>
          <wp:inline distT="0" distB="0" distL="0" distR="0" wp14:anchorId="055D8ED4" wp14:editId="277D352E">
            <wp:extent cx="5800725" cy="3240405"/>
            <wp:effectExtent l="0" t="0" r="9525" b="0"/>
            <wp:docPr id="6" name="Picture 6" descr="The diagram represents the classes of airspace in Australia and how they connect and overlap. The graph is broken up by altitude on the Y-Axis. Class A is represented at the top of the diagram from 18,000 to 60,000 ft. Class C is in the middle of the diagram, with a drawing of a jet and a major airport. Class E is placed to the side of the diagram from 8,500ft to 12,500 ft. Class G is from 8,500 ft down to 0 ft. Class D is represented as airspace below 1,500ft around a drawing of a general aviation and regional air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diagram represents the classes of airspace in Australia and how they connect and overlap. The graph is broken up by altitude on the Y-Axis. Class A is represented at the top of the diagram from 18,000 to 60,000 ft. Class C is in the middle of the diagram, with a drawing of a jet and a major airport. Class E is placed to the side of the diagram from 8,500ft to 12,500 ft. Class G is from 8,500 ft down to 0 ft. Class D is represented as airspace below 1,500ft around a drawing of a general aviation and regional airport."/>
                    <pic:cNvPicPr/>
                  </pic:nvPicPr>
                  <pic:blipFill>
                    <a:blip r:embed="rId21">
                      <a:extLst>
                        <a:ext uri="{28A0092B-C50C-407E-A947-70E740481C1C}">
                          <a14:useLocalDpi xmlns:a14="http://schemas.microsoft.com/office/drawing/2010/main" val="0"/>
                        </a:ext>
                      </a:extLst>
                    </a:blip>
                    <a:stretch>
                      <a:fillRect/>
                    </a:stretch>
                  </pic:blipFill>
                  <pic:spPr>
                    <a:xfrm>
                      <a:off x="0" y="0"/>
                      <a:ext cx="5800725" cy="3240405"/>
                    </a:xfrm>
                    <a:prstGeom prst="rect">
                      <a:avLst/>
                    </a:prstGeom>
                  </pic:spPr>
                </pic:pic>
              </a:graphicData>
            </a:graphic>
          </wp:inline>
        </w:drawing>
      </w:r>
    </w:p>
    <w:bookmarkEnd w:id="6"/>
    <w:p w14:paraId="1C0CFDB1" w14:textId="29CFA038" w:rsidR="00D02A65" w:rsidRDefault="00D02A65" w:rsidP="00B14E02">
      <w:r>
        <w:t>The guidance is designed to set clear, nationally consistent expectations that encourage considerate flying behaviours, while leaving pilots with the discretion to prioritise safety and adapt to local conditions. Its voluntary nature encourages innovation and collaboration, building on successful local initiatives without adding new regulatory burdens.</w:t>
      </w:r>
    </w:p>
    <w:p w14:paraId="2B3519F5" w14:textId="08398993" w:rsidR="00D02A65" w:rsidRDefault="00825568" w:rsidP="00825568">
      <w:pPr>
        <w:pStyle w:val="Heading3"/>
      </w:pPr>
      <w:bookmarkStart w:id="8" w:name="_Toc219888053"/>
      <w:bookmarkStart w:id="9" w:name="_Toc221269153"/>
      <w:r>
        <w:t xml:space="preserve">1.2 </w:t>
      </w:r>
      <w:r w:rsidR="00D02A65">
        <w:t>Guiding principles</w:t>
      </w:r>
      <w:bookmarkEnd w:id="8"/>
      <w:bookmarkEnd w:id="9"/>
    </w:p>
    <w:p w14:paraId="2F3198BB" w14:textId="77777777" w:rsidR="00D02A65" w:rsidRDefault="00D02A65" w:rsidP="00D02A65">
      <w:r>
        <w:t>Before using the guidance, pilots and operators should keep three key principles in mind. These principles ensure that flying considerately supports, not conflicts with, the broader goals of safety, regulatory compliance, and practical day-to-day flying.</w:t>
      </w:r>
    </w:p>
    <w:p w14:paraId="1CBD17C6" w14:textId="77777777" w:rsidR="00D02A65" w:rsidRPr="004257C8" w:rsidRDefault="00D02A65" w:rsidP="00825568">
      <w:pPr>
        <w:pStyle w:val="Listparagraphbullets"/>
      </w:pPr>
      <w:r w:rsidRPr="00AD3A00">
        <w:rPr>
          <w:b/>
        </w:rPr>
        <w:t>Safety First:</w:t>
      </w:r>
      <w:r w:rsidRPr="004257C8">
        <w:t xml:space="preserve"> Safety remains the paramount consideration. </w:t>
      </w:r>
      <w:r>
        <w:t>This ensures pilots will never take action that puts lives at risk, even when balancing noise concerns.</w:t>
      </w:r>
    </w:p>
    <w:p w14:paraId="1D45D89B" w14:textId="77777777" w:rsidR="00D02A65" w:rsidRPr="004257C8" w:rsidRDefault="00D02A65" w:rsidP="00825568">
      <w:pPr>
        <w:pStyle w:val="Listparagraphbullets"/>
      </w:pPr>
      <w:r w:rsidRPr="00AD3A00">
        <w:rPr>
          <w:b/>
        </w:rPr>
        <w:t>Community awareness:</w:t>
      </w:r>
      <w:r w:rsidRPr="004257C8">
        <w:t xml:space="preserve"> General aviation operators are encouraged to be good neighbours </w:t>
      </w:r>
      <w:r>
        <w:t>by</w:t>
      </w:r>
      <w:r w:rsidRPr="004257C8">
        <w:t xml:space="preserve"> consider</w:t>
      </w:r>
      <w:r>
        <w:t>ing</w:t>
      </w:r>
      <w:r w:rsidRPr="004257C8">
        <w:t xml:space="preserve"> the impact of their operations on local communities.</w:t>
      </w:r>
    </w:p>
    <w:p w14:paraId="1B936556" w14:textId="77777777" w:rsidR="00D02A65" w:rsidRDefault="00D02A65" w:rsidP="00825568">
      <w:pPr>
        <w:pStyle w:val="Listparagraphbullets"/>
      </w:pPr>
      <w:r w:rsidRPr="00C75C86">
        <w:rPr>
          <w:b/>
        </w:rPr>
        <w:t>Practical Application</w:t>
      </w:r>
      <w:r w:rsidRPr="004257C8">
        <w:t xml:space="preserve">: Recommendations </w:t>
      </w:r>
      <w:r>
        <w:t xml:space="preserve">from the guidance are designed to be applied where they are operationally feasible and consistent with regulations. </w:t>
      </w:r>
    </w:p>
    <w:p w14:paraId="04787CD2" w14:textId="53680348" w:rsidR="00F60F01" w:rsidRPr="00AD3A00" w:rsidRDefault="00D02A65" w:rsidP="00D02A65">
      <w:r>
        <w:lastRenderedPageBreak/>
        <w:t>These principles give communities confidence that aviation activity in their area is shaped by an approach that balances safety, neighbourliness, and practicality.</w:t>
      </w:r>
      <w:r w:rsidR="00CC1B75">
        <w:t xml:space="preserve"> </w:t>
      </w:r>
      <w:r>
        <w:t>This approach can help reduce noise exposure, share noise impacts more fairly, and avoid particularly sensitive locations.</w:t>
      </w:r>
    </w:p>
    <w:p w14:paraId="3F416738" w14:textId="4E0D64D1" w:rsidR="005D42BD" w:rsidRPr="00F57050" w:rsidRDefault="00B46FB9" w:rsidP="00B46FB9">
      <w:pPr>
        <w:pStyle w:val="Heading3"/>
      </w:pPr>
      <w:bookmarkStart w:id="10" w:name="_Toc219888058"/>
      <w:bookmarkStart w:id="11" w:name="_Toc221269158"/>
      <w:bookmarkStart w:id="12" w:name="_Hlk208485447"/>
      <w:r>
        <w:t xml:space="preserve">2. </w:t>
      </w:r>
      <w:r w:rsidR="00F60F01">
        <w:t xml:space="preserve">Flying Considerately </w:t>
      </w:r>
      <w:r w:rsidR="005D42BD" w:rsidRPr="00F57050">
        <w:t xml:space="preserve">Guidance for </w:t>
      </w:r>
      <w:r w:rsidR="005D42BD">
        <w:t>p</w:t>
      </w:r>
      <w:r w:rsidR="005D42BD" w:rsidRPr="00F57050">
        <w:t xml:space="preserve">ilots operating in Class G </w:t>
      </w:r>
      <w:r w:rsidR="005D42BD">
        <w:t>a</w:t>
      </w:r>
      <w:r w:rsidR="005D42BD" w:rsidRPr="00F57050">
        <w:t>irspace</w:t>
      </w:r>
      <w:bookmarkEnd w:id="10"/>
      <w:bookmarkEnd w:id="11"/>
    </w:p>
    <w:p w14:paraId="4B2197F3" w14:textId="1FDD51FE" w:rsidR="005D42BD" w:rsidRDefault="00B46FB9" w:rsidP="00B46FB9">
      <w:pPr>
        <w:pStyle w:val="Heading4"/>
      </w:pPr>
      <w:bookmarkStart w:id="13" w:name="_Toc219888059"/>
      <w:bookmarkStart w:id="14" w:name="_Toc221269159"/>
      <w:r>
        <w:t xml:space="preserve">2.1.1 </w:t>
      </w:r>
      <w:r w:rsidR="005D42BD">
        <w:t>Respect communities</w:t>
      </w:r>
      <w:bookmarkEnd w:id="13"/>
      <w:bookmarkEnd w:id="14"/>
    </w:p>
    <w:p w14:paraId="62CF1F7D" w14:textId="1DCA10C2" w:rsidR="005D42BD" w:rsidRPr="00B727C8" w:rsidRDefault="005D42BD" w:rsidP="00442A3B">
      <w:pPr>
        <w:pStyle w:val="Listparagraphbullets"/>
      </w:pPr>
      <w:r w:rsidRPr="00B727C8">
        <w:rPr>
          <w:b/>
        </w:rPr>
        <w:t xml:space="preserve">Noise awareness: </w:t>
      </w:r>
      <w:r>
        <w:t>Minimise</w:t>
      </w:r>
      <w:r w:rsidRPr="00B727C8">
        <w:t xml:space="preserve"> repeated circuits over built-up areas</w:t>
      </w:r>
      <w:r w:rsidR="000A70BA">
        <w:t>. Where safe and practical, prioritise routes over waterways, major transport corridors and industrial areas in preference to residential overflight. Follow published noise abatement procedures and climb promptly after take-off to reduce the time spent at low altitudes.</w:t>
      </w:r>
    </w:p>
    <w:p w14:paraId="3EF7F2ED" w14:textId="77777777" w:rsidR="005D42BD" w:rsidRPr="00B727C8" w:rsidRDefault="005D42BD" w:rsidP="00442A3B">
      <w:pPr>
        <w:pStyle w:val="Listparagraphbullets"/>
      </w:pPr>
      <w:r>
        <w:rPr>
          <w:b/>
        </w:rPr>
        <w:t>Be aware of operating hours</w:t>
      </w:r>
      <w:r w:rsidRPr="00B727C8">
        <w:t xml:space="preserve">: Observe published airport operating hours and </w:t>
      </w:r>
      <w:r>
        <w:t>avoid unnecessary early-morning or late-night operations, especially</w:t>
      </w:r>
      <w:r w:rsidRPr="00B727C8">
        <w:t xml:space="preserve"> </w:t>
      </w:r>
      <w:r>
        <w:t>in noise-sensitive areas</w:t>
      </w:r>
      <w:r w:rsidRPr="00B727C8">
        <w:t>.</w:t>
      </w:r>
    </w:p>
    <w:p w14:paraId="492F32E2" w14:textId="216C5FDC" w:rsidR="005D42BD" w:rsidRPr="00B727C8" w:rsidRDefault="005D42BD" w:rsidP="00442A3B">
      <w:pPr>
        <w:pStyle w:val="Listparagraphbullets"/>
      </w:pPr>
      <w:r w:rsidRPr="00B727C8">
        <w:rPr>
          <w:b/>
        </w:rPr>
        <w:t>Flight paths</w:t>
      </w:r>
      <w:r w:rsidRPr="00B727C8">
        <w:t xml:space="preserve">: </w:t>
      </w:r>
      <w:r>
        <w:t xml:space="preserve">Where guidance exists, stay on recommended tracks and avoid low overflights of sensitive sites like hospitals, schools, cultural landmarks, </w:t>
      </w:r>
      <w:r w:rsidR="00676C76">
        <w:t xml:space="preserve">defence sites, </w:t>
      </w:r>
      <w:r>
        <w:t>or areas with livestock</w:t>
      </w:r>
      <w:r w:rsidR="00F433AC">
        <w:t xml:space="preserve"> where safe and practical</w:t>
      </w:r>
      <w:r>
        <w:t>.</w:t>
      </w:r>
    </w:p>
    <w:p w14:paraId="32BFD833" w14:textId="50486FDD" w:rsidR="005D42BD" w:rsidRDefault="005D42BD" w:rsidP="00442A3B">
      <w:pPr>
        <w:pStyle w:val="Listparagraphbullets"/>
      </w:pPr>
      <w:r w:rsidRPr="00B727C8">
        <w:rPr>
          <w:b/>
        </w:rPr>
        <w:t>Fly Neighbourly Agreements</w:t>
      </w:r>
      <w:r w:rsidRPr="00B727C8">
        <w:t xml:space="preserve">: </w:t>
      </w:r>
      <w:r>
        <w:t>Review local FNAs before flying and encourage fellow pilots, students and visiting crews to do the same. Using these agreements shows the community GA pilots are committed to responsible and considerate operations.</w:t>
      </w:r>
    </w:p>
    <w:p w14:paraId="04D5FD0A" w14:textId="77777777" w:rsidR="005D42BD" w:rsidRPr="000D1996" w:rsidRDefault="005D42BD" w:rsidP="00442A3B">
      <w:pPr>
        <w:pStyle w:val="Listparagraphbullets"/>
      </w:pPr>
      <w:r w:rsidRPr="000D1996">
        <w:rPr>
          <w:b/>
        </w:rPr>
        <w:t>Communication</w:t>
      </w:r>
      <w:r>
        <w:rPr>
          <w:b/>
        </w:rPr>
        <w:t xml:space="preserve">: </w:t>
      </w:r>
      <w:r w:rsidRPr="000D1996">
        <w:t xml:space="preserve">Where possible, engage with local community groups and airfield neighbours to explain GA’s role and respond respectfully to concerns. Share the </w:t>
      </w:r>
      <w:r>
        <w:t>a</w:t>
      </w:r>
      <w:r w:rsidRPr="000D1996" w:rsidDel="006000E8">
        <w:t>i</w:t>
      </w:r>
      <w:r w:rsidRPr="000D1996">
        <w:t>rspace</w:t>
      </w:r>
      <w:r>
        <w:t>.</w:t>
      </w:r>
    </w:p>
    <w:p w14:paraId="20591A50" w14:textId="77777777" w:rsidR="005D42BD" w:rsidRPr="00B727C8" w:rsidRDefault="005D42BD" w:rsidP="00442A3B">
      <w:pPr>
        <w:pStyle w:val="Listparagraphbullets"/>
      </w:pPr>
      <w:r w:rsidRPr="00B727C8">
        <w:rPr>
          <w:b/>
        </w:rPr>
        <w:t>Separation and lookout</w:t>
      </w:r>
      <w:r w:rsidRPr="00B727C8">
        <w:t xml:space="preserve">: Maintain vigilant see-and-avoid practices. </w:t>
      </w:r>
      <w:r>
        <w:t xml:space="preserve">Broadcast your position and intentions on Common Traffic Advisory Frequency (CTAF) clearly </w:t>
      </w:r>
      <w:r w:rsidRPr="00B727C8">
        <w:t>and respond courteously to other pilots.</w:t>
      </w:r>
    </w:p>
    <w:p w14:paraId="155332F3" w14:textId="77777777" w:rsidR="005D42BD" w:rsidRPr="00B727C8" w:rsidRDefault="005D42BD" w:rsidP="00442A3B">
      <w:pPr>
        <w:pStyle w:val="Listparagraphbullets"/>
      </w:pPr>
      <w:r w:rsidRPr="00B727C8">
        <w:rPr>
          <w:b/>
        </w:rPr>
        <w:t>Circuit discipline:</w:t>
      </w:r>
      <w:r w:rsidRPr="00B727C8">
        <w:t xml:space="preserve"> </w:t>
      </w:r>
      <w:r>
        <w:t>Follow standard circuit patterns, avoid cutting in, and give way in accordance with the rules of the air.</w:t>
      </w:r>
    </w:p>
    <w:p w14:paraId="33D65D7C" w14:textId="329F94FD" w:rsidR="005D42BD" w:rsidRPr="00B727C8" w:rsidRDefault="005D42BD" w:rsidP="00442A3B">
      <w:pPr>
        <w:pStyle w:val="Listparagraphbullets"/>
      </w:pPr>
      <w:r w:rsidRPr="00B727C8">
        <w:rPr>
          <w:b/>
        </w:rPr>
        <w:t>Respect controlled airspace:</w:t>
      </w:r>
      <w:r w:rsidRPr="00B727C8">
        <w:t xml:space="preserve"> </w:t>
      </w:r>
      <w:r>
        <w:t xml:space="preserve">When transitioning through controlled airspace, follow </w:t>
      </w:r>
      <w:r w:rsidR="000A1F9D">
        <w:t>ATC</w:t>
      </w:r>
      <w:r>
        <w:t xml:space="preserve"> instructions precisely and plan ahead to avoid unnecessary frequency congestion or delays. </w:t>
      </w:r>
    </w:p>
    <w:p w14:paraId="41CD2348" w14:textId="40E9831D" w:rsidR="005D42BD" w:rsidRPr="00F57050" w:rsidRDefault="00442A3B" w:rsidP="00442A3B">
      <w:pPr>
        <w:pStyle w:val="Heading4"/>
      </w:pPr>
      <w:bookmarkStart w:id="15" w:name="_Toc219888060"/>
      <w:bookmarkStart w:id="16" w:name="_Toc221269160"/>
      <w:r>
        <w:t xml:space="preserve">2.1.2 </w:t>
      </w:r>
      <w:r w:rsidR="005D42BD" w:rsidRPr="00F57050">
        <w:t xml:space="preserve">Support </w:t>
      </w:r>
      <w:r w:rsidR="005D42BD">
        <w:t>s</w:t>
      </w:r>
      <w:r w:rsidR="005D42BD" w:rsidRPr="00F57050">
        <w:t xml:space="preserve">afety and </w:t>
      </w:r>
      <w:r w:rsidR="005D42BD">
        <w:t>p</w:t>
      </w:r>
      <w:r w:rsidR="005D42BD" w:rsidRPr="00F57050">
        <w:t>rofessionalism</w:t>
      </w:r>
      <w:bookmarkEnd w:id="15"/>
      <w:bookmarkEnd w:id="16"/>
    </w:p>
    <w:p w14:paraId="75CF54B3" w14:textId="77777777" w:rsidR="005D42BD" w:rsidRPr="00B727C8" w:rsidRDefault="005D42BD" w:rsidP="00442A3B">
      <w:pPr>
        <w:pStyle w:val="Listparagraphbullets"/>
      </w:pPr>
      <w:r w:rsidRPr="00B727C8">
        <w:rPr>
          <w:b/>
        </w:rPr>
        <w:t>Noise and safety are linked:</w:t>
      </w:r>
      <w:r w:rsidRPr="00B727C8">
        <w:t xml:space="preserve"> Smooth, </w:t>
      </w:r>
      <w:r>
        <w:t xml:space="preserve">predictable </w:t>
      </w:r>
      <w:r w:rsidRPr="00B727C8">
        <w:t xml:space="preserve">flying </w:t>
      </w:r>
      <w:r>
        <w:t>typically creates</w:t>
      </w:r>
      <w:r w:rsidRPr="00B727C8">
        <w:t xml:space="preserve"> less noise</w:t>
      </w:r>
      <w:r>
        <w:t xml:space="preserve"> and fewer risks</w:t>
      </w:r>
      <w:r w:rsidRPr="00B727C8">
        <w:t xml:space="preserve">. Avoid </w:t>
      </w:r>
      <w:r>
        <w:t>aggressive</w:t>
      </w:r>
      <w:r w:rsidRPr="00B727C8">
        <w:t xml:space="preserve"> manoeuvres</w:t>
      </w:r>
      <w:r>
        <w:t xml:space="preserve"> or prolonged low-level operations near populated areas</w:t>
      </w:r>
      <w:r w:rsidRPr="00B727C8">
        <w:t>.</w:t>
      </w:r>
    </w:p>
    <w:p w14:paraId="2DF1452C" w14:textId="5384C33B" w:rsidR="005D42BD" w:rsidRDefault="005D42BD" w:rsidP="00442A3B">
      <w:pPr>
        <w:pStyle w:val="Listparagraphbullets"/>
      </w:pPr>
      <w:r w:rsidRPr="00B727C8">
        <w:rPr>
          <w:b/>
        </w:rPr>
        <w:t>Training with courtesy</w:t>
      </w:r>
      <w:r w:rsidRPr="00B727C8">
        <w:t xml:space="preserve">: Spread training activity across </w:t>
      </w:r>
      <w:r>
        <w:t>multiple</w:t>
      </w:r>
      <w:r w:rsidRPr="00B727C8">
        <w:t xml:space="preserve"> practice areas where possible to </w:t>
      </w:r>
      <w:r>
        <w:t xml:space="preserve">avoid </w:t>
      </w:r>
      <w:r w:rsidR="00321C97">
        <w:t>concentrating noise over a single area</w:t>
      </w:r>
      <w:r>
        <w:t xml:space="preserve">. </w:t>
      </w:r>
      <w:r w:rsidR="00F11FAB">
        <w:t>P</w:t>
      </w:r>
      <w:r w:rsidR="00321C97">
        <w:t xml:space="preserve">ilots and instructors are encouraged to rotate locations and vary routes to distribute impacts more evenly across the surrounding area. </w:t>
      </w:r>
      <w:r>
        <w:t>Instructors should explain FNAs and noise-sensitive areas during pre-flight briefings.</w:t>
      </w:r>
    </w:p>
    <w:p w14:paraId="65F72A07" w14:textId="3D02D584" w:rsidR="000A70BA" w:rsidRDefault="000A70BA" w:rsidP="00442A3B">
      <w:pPr>
        <w:pStyle w:val="Listparagraphbullets"/>
      </w:pPr>
      <w:r>
        <w:rPr>
          <w:b/>
        </w:rPr>
        <w:t>Helicopter and aerial work operations</w:t>
      </w:r>
      <w:r w:rsidRPr="00751205">
        <w:t>:</w:t>
      </w:r>
      <w:r>
        <w:t xml:space="preserve"> Helicopter and aerial work operators are encouraged to avoid extended hovering or repeated manoeuvres over residential areas, and to select transit routes over transport corridors, waterways, or industrial zones where feasible. </w:t>
      </w:r>
    </w:p>
    <w:p w14:paraId="088340FC" w14:textId="3754CA56" w:rsidR="003402FB" w:rsidRPr="00B727C8" w:rsidRDefault="005D42BD" w:rsidP="00B14E02">
      <w:pPr>
        <w:pStyle w:val="Listparagraphbullets"/>
      </w:pPr>
      <w:r w:rsidRPr="00B727C8">
        <w:rPr>
          <w:b/>
        </w:rPr>
        <w:t>Pre-flight preparation</w:t>
      </w:r>
      <w:r w:rsidRPr="00B727C8">
        <w:t xml:space="preserve">: </w:t>
      </w:r>
      <w:r>
        <w:t>Use flight planning tools to map altitudes and tracks that balance operational needs, airspace requirements, and community considerations.</w:t>
      </w:r>
    </w:p>
    <w:p w14:paraId="0179A94B" w14:textId="6D790641" w:rsidR="005D42BD" w:rsidRPr="008F0796" w:rsidRDefault="00442A3B" w:rsidP="00442A3B">
      <w:pPr>
        <w:pStyle w:val="Heading4"/>
      </w:pPr>
      <w:bookmarkStart w:id="17" w:name="_Toc219888061"/>
      <w:bookmarkStart w:id="18" w:name="_Toc221269161"/>
      <w:r>
        <w:t xml:space="preserve">2.1.3 </w:t>
      </w:r>
      <w:r w:rsidR="005D42BD" w:rsidRPr="00A06228">
        <w:t>Contextual</w:t>
      </w:r>
      <w:r w:rsidR="005D42BD" w:rsidRPr="008F0796">
        <w:t xml:space="preserve"> awareness</w:t>
      </w:r>
      <w:bookmarkEnd w:id="17"/>
      <w:bookmarkEnd w:id="18"/>
    </w:p>
    <w:p w14:paraId="33605AAB" w14:textId="77777777" w:rsidR="005D42BD" w:rsidRDefault="005D42BD" w:rsidP="00442A3B">
      <w:pPr>
        <w:pStyle w:val="Listparagraphbullets"/>
      </w:pPr>
      <w:r w:rsidRPr="00ED48F9">
        <w:rPr>
          <w:b/>
        </w:rPr>
        <w:t>Wildlife sensitivity</w:t>
      </w:r>
      <w:r w:rsidRPr="00ED48F9">
        <w:t xml:space="preserve">: Avoid low flying over </w:t>
      </w:r>
      <w:r>
        <w:t>marine parks, wetlands, nesting areas, and national parks where wildlife disturbance is likely.</w:t>
      </w:r>
    </w:p>
    <w:p w14:paraId="12832359" w14:textId="77777777" w:rsidR="005D42BD" w:rsidRPr="00ED48F9" w:rsidRDefault="005D42BD" w:rsidP="00442A3B">
      <w:pPr>
        <w:pStyle w:val="Listparagraphbullets"/>
      </w:pPr>
      <w:r>
        <w:rPr>
          <w:b/>
        </w:rPr>
        <w:t xml:space="preserve">Be aware of local areas of cultural significance: </w:t>
      </w:r>
      <w:r>
        <w:t>Check FNAs or local sources for culturally significant sites and avoid overflying them at low altitudes.</w:t>
      </w:r>
    </w:p>
    <w:p w14:paraId="4BEFC86A" w14:textId="77777777" w:rsidR="005D42BD" w:rsidRPr="00A06228" w:rsidRDefault="005D42BD" w:rsidP="00442A3B">
      <w:pPr>
        <w:pStyle w:val="Listparagraphbullets"/>
      </w:pPr>
      <w:r w:rsidRPr="00A06228">
        <w:rPr>
          <w:b/>
        </w:rPr>
        <w:t>Efficient choices</w:t>
      </w:r>
      <w:r w:rsidRPr="00A06228">
        <w:t>: Where possible, use quieter, more efficient aircraft or new technologies.</w:t>
      </w:r>
    </w:p>
    <w:p w14:paraId="14C7BE45" w14:textId="6FDD6F39" w:rsidR="005D42BD" w:rsidRPr="00F57050" w:rsidRDefault="00637435" w:rsidP="00637435">
      <w:pPr>
        <w:pStyle w:val="Heading3"/>
      </w:pPr>
      <w:bookmarkStart w:id="19" w:name="_Toc219888062"/>
      <w:bookmarkStart w:id="20" w:name="_Toc221269162"/>
      <w:r>
        <w:lastRenderedPageBreak/>
        <w:t xml:space="preserve">2.2 </w:t>
      </w:r>
      <w:r w:rsidR="005D42BD" w:rsidRPr="00F57050">
        <w:t>Supporting implementation of</w:t>
      </w:r>
      <w:r w:rsidR="005D42BD">
        <w:t xml:space="preserve"> the guidance</w:t>
      </w:r>
      <w:bookmarkEnd w:id="19"/>
      <w:bookmarkEnd w:id="20"/>
    </w:p>
    <w:p w14:paraId="4DDB144A" w14:textId="7C92C923" w:rsidR="005D42BD" w:rsidRPr="00E51E6E" w:rsidRDefault="00637435" w:rsidP="00637435">
      <w:pPr>
        <w:pStyle w:val="Heading4"/>
      </w:pPr>
      <w:bookmarkStart w:id="21" w:name="_Toc219888063"/>
      <w:bookmarkStart w:id="22" w:name="_Toc221269163"/>
      <w:r>
        <w:t xml:space="preserve">2.2.1 </w:t>
      </w:r>
      <w:r w:rsidR="005D42BD" w:rsidRPr="00E51E6E">
        <w:t>Monitoring and continuous improvement</w:t>
      </w:r>
      <w:bookmarkEnd w:id="21"/>
      <w:bookmarkEnd w:id="22"/>
    </w:p>
    <w:p w14:paraId="68A62FB3" w14:textId="77777777" w:rsidR="005D42BD" w:rsidRPr="00E51E6E" w:rsidRDefault="005D42BD" w:rsidP="00637435">
      <w:pPr>
        <w:keepNext/>
        <w:spacing w:before="80" w:after="120"/>
        <w:rPr>
          <w:rFonts w:eastAsia="Times New Roman" w:cstheme="minorHAnsi"/>
          <w:lang w:eastAsia="en-AU"/>
        </w:rPr>
      </w:pPr>
      <w:r w:rsidRPr="00E51E6E">
        <w:rPr>
          <w:rFonts w:eastAsia="Times New Roman" w:cstheme="minorHAnsi"/>
          <w:lang w:eastAsia="en-AU"/>
        </w:rPr>
        <w:t>Aircraft and/or airport operators and pilots are encouraged to:</w:t>
      </w:r>
    </w:p>
    <w:p w14:paraId="4A80D78B" w14:textId="30C60FE8" w:rsidR="005D42BD" w:rsidRPr="00E51E6E" w:rsidRDefault="005D42BD" w:rsidP="00637435">
      <w:pPr>
        <w:pStyle w:val="Listparagraphbullets"/>
        <w:keepNext/>
      </w:pPr>
      <w:r w:rsidRPr="00E51E6E">
        <w:t>Review flight tracks regularly using GPS logs</w:t>
      </w:r>
      <w:r w:rsidR="00F4732B">
        <w:t>,</w:t>
      </w:r>
      <w:r w:rsidR="00D50A4E">
        <w:t xml:space="preserve"> </w:t>
      </w:r>
      <w:r w:rsidRPr="00E51E6E">
        <w:t>airport tools</w:t>
      </w:r>
      <w:r w:rsidR="00DA2E16">
        <w:t>,</w:t>
      </w:r>
      <w:r w:rsidRPr="00E51E6E">
        <w:t xml:space="preserve"> </w:t>
      </w:r>
      <w:r w:rsidR="00F4732B">
        <w:t>or resources like Airservices’</w:t>
      </w:r>
      <w:r w:rsidR="00EC2A55">
        <w:t xml:space="preserve"> </w:t>
      </w:r>
      <w:r w:rsidR="00F4732B">
        <w:t xml:space="preserve">WebTrak </w:t>
      </w:r>
      <w:r w:rsidRPr="00E51E6E">
        <w:t>to identify opportunities for reduced noise or congestion</w:t>
      </w:r>
      <w:r w:rsidR="007D03B6">
        <w:t>. Where patterns of repeated overflight are identified, consider whether adjustments to routes or timing can aid in reducing cumulative exposure for affected communities</w:t>
      </w:r>
    </w:p>
    <w:p w14:paraId="4BD9D074" w14:textId="0EB5B50D" w:rsidR="005D42BD" w:rsidRPr="00E51E6E" w:rsidRDefault="005D42BD" w:rsidP="00637435">
      <w:pPr>
        <w:pStyle w:val="Listparagraphbullets"/>
      </w:pPr>
      <w:r w:rsidRPr="00E51E6E">
        <w:t>Seek feedback from local communities and airport operators on noise concerns</w:t>
      </w:r>
      <w:r w:rsidR="007D03B6">
        <w:t>, and communica</w:t>
      </w:r>
      <w:r w:rsidR="00DD5CB3">
        <w:t>te</w:t>
      </w:r>
      <w:r w:rsidR="007D03B6">
        <w:t xml:space="preserve"> what action, if any, </w:t>
      </w:r>
      <w:r w:rsidR="00DD5CB3">
        <w:t xml:space="preserve">can </w:t>
      </w:r>
      <w:r w:rsidR="007D03B6">
        <w:t>be taken in response</w:t>
      </w:r>
    </w:p>
    <w:p w14:paraId="7E1ECDA0" w14:textId="77777777" w:rsidR="005D42BD" w:rsidRPr="00E51E6E" w:rsidRDefault="005D42BD" w:rsidP="00637435">
      <w:pPr>
        <w:pStyle w:val="Listparagraphbullets"/>
      </w:pPr>
      <w:r w:rsidRPr="00E51E6E">
        <w:t>Participate in airport or council-led noise monitoring programs where available</w:t>
      </w:r>
    </w:p>
    <w:p w14:paraId="7EC36B02" w14:textId="6BEF7D00" w:rsidR="005D42BD" w:rsidRPr="00E51E6E" w:rsidRDefault="005D42BD" w:rsidP="00637435">
      <w:pPr>
        <w:pStyle w:val="Listparagraphbullets"/>
      </w:pPr>
      <w:r w:rsidRPr="00E51E6E">
        <w:t>Implement lessons learned from noise abatement initiatives and effective practices through pilot forums, aero clubs, or industry associations</w:t>
      </w:r>
    </w:p>
    <w:p w14:paraId="29ED1D8B" w14:textId="5D9B5B90" w:rsidR="005D42BD" w:rsidRPr="00E51E6E" w:rsidRDefault="005D42BD" w:rsidP="00637435">
      <w:pPr>
        <w:pStyle w:val="Listparagraphbullets"/>
      </w:pPr>
      <w:r w:rsidRPr="00E51E6E">
        <w:t>Support research into quieter operations, including flight path design, operational procedures, and technology adoption</w:t>
      </w:r>
    </w:p>
    <w:p w14:paraId="0893340B" w14:textId="77777777" w:rsidR="005D42BD" w:rsidRPr="00E51E6E" w:rsidRDefault="005D42BD" w:rsidP="00637435">
      <w:pPr>
        <w:pStyle w:val="Listparagraphbullets"/>
      </w:pPr>
      <w:r w:rsidRPr="00E51E6E">
        <w:t>Collaborate with airports and communities on noise abatement initiatives.</w:t>
      </w:r>
    </w:p>
    <w:p w14:paraId="1240359C" w14:textId="1419C1AB" w:rsidR="005D42BD" w:rsidRPr="00E51E6E" w:rsidRDefault="00637435" w:rsidP="00637435">
      <w:pPr>
        <w:pStyle w:val="Heading4"/>
      </w:pPr>
      <w:bookmarkStart w:id="23" w:name="_Toc219888064"/>
      <w:bookmarkStart w:id="24" w:name="_Toc221269164"/>
      <w:r>
        <w:t xml:space="preserve">2.2.2 </w:t>
      </w:r>
      <w:r w:rsidR="005D42BD" w:rsidRPr="00E51E6E">
        <w:t>Aviation regulations</w:t>
      </w:r>
      <w:bookmarkEnd w:id="23"/>
      <w:bookmarkEnd w:id="24"/>
      <w:r w:rsidR="005D42BD" w:rsidRPr="00E51E6E">
        <w:t xml:space="preserve"> </w:t>
      </w:r>
    </w:p>
    <w:p w14:paraId="44554A35" w14:textId="77777777" w:rsidR="005D42BD" w:rsidRPr="00E51E6E" w:rsidRDefault="005D42BD" w:rsidP="005D42BD">
      <w:pPr>
        <w:spacing w:before="80"/>
        <w:rPr>
          <w:rFonts w:eastAsia="Times New Roman" w:cstheme="minorHAnsi"/>
          <w:lang w:eastAsia="en-AU"/>
        </w:rPr>
      </w:pPr>
      <w:r w:rsidRPr="00E51E6E">
        <w:rPr>
          <w:rFonts w:eastAsia="Times New Roman" w:cstheme="minorHAnsi"/>
          <w:lang w:eastAsia="en-AU"/>
        </w:rPr>
        <w:t>This guidance complements existing safety and operational requirements. Pilots and aircraft and/or airport operators must continue to comply with:</w:t>
      </w:r>
    </w:p>
    <w:p w14:paraId="170CB75C" w14:textId="77777777" w:rsidR="005D42BD" w:rsidRPr="00E51E6E" w:rsidRDefault="005D42BD" w:rsidP="00637435">
      <w:pPr>
        <w:pStyle w:val="Listparagraphbullets"/>
      </w:pPr>
      <w:r w:rsidRPr="00E51E6E">
        <w:t>Civil Aviation Safety Regulations (CASR)</w:t>
      </w:r>
    </w:p>
    <w:p w14:paraId="0446FD11" w14:textId="7814CDFD" w:rsidR="00D61BCF" w:rsidRDefault="00D61BCF" w:rsidP="00637435">
      <w:pPr>
        <w:pStyle w:val="Listparagraphbullets"/>
      </w:pPr>
      <w:r w:rsidRPr="00D61BCF">
        <w:t>Air Navigation (Aircraft Noise) Regulations</w:t>
      </w:r>
    </w:p>
    <w:p w14:paraId="113B5F45" w14:textId="3B66905B" w:rsidR="009D5E14" w:rsidRPr="00E51E6E" w:rsidRDefault="009D5E14" w:rsidP="00637435">
      <w:pPr>
        <w:pStyle w:val="Listparagraphbullets"/>
      </w:pPr>
      <w:r>
        <w:t>Curfew Regulations</w:t>
      </w:r>
    </w:p>
    <w:p w14:paraId="5DE311AC" w14:textId="77777777" w:rsidR="005D42BD" w:rsidRPr="00E51E6E" w:rsidRDefault="005D42BD" w:rsidP="00637435">
      <w:pPr>
        <w:pStyle w:val="Listparagraphbullets"/>
      </w:pPr>
      <w:r w:rsidRPr="00E51E6E">
        <w:t>ATC instructions</w:t>
      </w:r>
    </w:p>
    <w:p w14:paraId="6B29D7BC" w14:textId="77777777" w:rsidR="005D42BD" w:rsidRPr="00E51E6E" w:rsidRDefault="005D42BD" w:rsidP="00637435">
      <w:pPr>
        <w:pStyle w:val="Listparagraphbullets"/>
      </w:pPr>
      <w:r w:rsidRPr="00E51E6E">
        <w:t>Aeronautical Information Publications (AIP)</w:t>
      </w:r>
    </w:p>
    <w:p w14:paraId="3F4648D9" w14:textId="77777777" w:rsidR="005D42BD" w:rsidRPr="00E51E6E" w:rsidRDefault="005D42BD" w:rsidP="00637435">
      <w:pPr>
        <w:pStyle w:val="Listparagraphbullets"/>
      </w:pPr>
      <w:r w:rsidRPr="00E51E6E">
        <w:t>Notices to Air</w:t>
      </w:r>
      <w:r>
        <w:t>men</w:t>
      </w:r>
      <w:r w:rsidRPr="00E51E6E">
        <w:t xml:space="preserve"> (NOTAMs)</w:t>
      </w:r>
    </w:p>
    <w:p w14:paraId="066588EC" w14:textId="77777777" w:rsidR="005D42BD" w:rsidRPr="00E51E6E" w:rsidRDefault="005D42BD" w:rsidP="00637435">
      <w:pPr>
        <w:pStyle w:val="Listparagraphbullets"/>
      </w:pPr>
      <w:r w:rsidRPr="00E51E6E">
        <w:t>Local airport operating procedures and requirements.</w:t>
      </w:r>
    </w:p>
    <w:p w14:paraId="00428248" w14:textId="28DF7E44" w:rsidR="005D42BD" w:rsidRPr="00E51E6E" w:rsidRDefault="00637435" w:rsidP="00637435">
      <w:pPr>
        <w:pStyle w:val="Heading4"/>
      </w:pPr>
      <w:bookmarkStart w:id="25" w:name="_Toc219888065"/>
      <w:bookmarkStart w:id="26" w:name="_Toc221269165"/>
      <w:r>
        <w:t xml:space="preserve">2.2.3 </w:t>
      </w:r>
      <w:r w:rsidR="005D42BD" w:rsidRPr="00E51E6E">
        <w:t>Resources and assistance</w:t>
      </w:r>
      <w:bookmarkEnd w:id="25"/>
      <w:bookmarkEnd w:id="26"/>
    </w:p>
    <w:p w14:paraId="128CAEA5" w14:textId="77777777" w:rsidR="005D42BD" w:rsidRPr="00E51E6E" w:rsidRDefault="005D42BD" w:rsidP="005D42BD">
      <w:pPr>
        <w:spacing w:before="80"/>
        <w:rPr>
          <w:rFonts w:eastAsia="Times New Roman" w:cstheme="minorHAnsi"/>
          <w:lang w:eastAsia="en-AU"/>
        </w:rPr>
      </w:pPr>
      <w:r w:rsidRPr="00E51E6E">
        <w:rPr>
          <w:rFonts w:eastAsia="Times New Roman" w:cstheme="minorHAnsi"/>
          <w:lang w:eastAsia="en-AU"/>
        </w:rPr>
        <w:t>Aircraft and/or airport operators seeking to implement Flying Considerately practices can access:</w:t>
      </w:r>
    </w:p>
    <w:p w14:paraId="3A14A30B" w14:textId="77777777" w:rsidR="005D42BD" w:rsidRPr="00E51E6E" w:rsidRDefault="005D42BD" w:rsidP="00637435">
      <w:pPr>
        <w:pStyle w:val="Listparagraphbullets"/>
      </w:pPr>
      <w:r w:rsidRPr="00E51E6E">
        <w:t>Airport noise abatement procedures on Airservices Australia or airport websites</w:t>
      </w:r>
    </w:p>
    <w:p w14:paraId="69358914" w14:textId="5A5B7646" w:rsidR="008530EE" w:rsidRPr="00E51E6E" w:rsidRDefault="008530EE" w:rsidP="00637435">
      <w:pPr>
        <w:pStyle w:val="Listparagraphbullets"/>
      </w:pPr>
      <w:r>
        <w:t>Curfew information (for Sydney, Adelaide, Gold Coast and Essendon Fields Airports) on the Department</w:t>
      </w:r>
      <w:r w:rsidR="00B87A51">
        <w:t xml:space="preserve">’s </w:t>
      </w:r>
      <w:r>
        <w:t>website</w:t>
      </w:r>
    </w:p>
    <w:p w14:paraId="44BFC08F" w14:textId="77777777" w:rsidR="005D42BD" w:rsidRPr="00E51E6E" w:rsidRDefault="005D42BD" w:rsidP="00637435">
      <w:pPr>
        <w:pStyle w:val="Listparagraphbullets"/>
      </w:pPr>
      <w:r w:rsidRPr="00E51E6E">
        <w:t xml:space="preserve">Industry association guidance and training materials </w:t>
      </w:r>
    </w:p>
    <w:p w14:paraId="0B4AF8A8" w14:textId="77777777" w:rsidR="005D42BD" w:rsidRDefault="005D42BD" w:rsidP="00637435">
      <w:pPr>
        <w:pStyle w:val="Listparagraphbullets"/>
      </w:pPr>
      <w:r w:rsidRPr="00E51E6E">
        <w:t>Community liaison programs and consultation opportunities at major GA airports</w:t>
      </w:r>
      <w:r>
        <w:t>, including Community Aviation Consultation Groups (CACGs)</w:t>
      </w:r>
    </w:p>
    <w:p w14:paraId="06008D38" w14:textId="536BE6C2" w:rsidR="00CC1B75" w:rsidRDefault="005D42BD" w:rsidP="008115AE">
      <w:pPr>
        <w:pStyle w:val="Listparagraphbullets"/>
      </w:pPr>
      <w:r w:rsidRPr="00E51E6E">
        <w:t>Technical advice on aircraft modifications that reduce noise impacts</w:t>
      </w:r>
      <w:r>
        <w:t>, accessible via aircraft manufacturers (OEM) websites, aviation maintenance providers, and relevant industry associations</w:t>
      </w:r>
      <w:r w:rsidRPr="00E51E6E">
        <w:t>.</w:t>
      </w:r>
      <w:bookmarkStart w:id="27" w:name="_Toc219888066"/>
      <w:bookmarkStart w:id="28" w:name="_Toc221269166"/>
    </w:p>
    <w:p w14:paraId="56A43E8F" w14:textId="6B078B4D" w:rsidR="005D42BD" w:rsidRPr="00E51E6E" w:rsidRDefault="00637435" w:rsidP="00637435">
      <w:pPr>
        <w:pStyle w:val="Heading4"/>
      </w:pPr>
      <w:r>
        <w:t xml:space="preserve">2.2.4 </w:t>
      </w:r>
      <w:r w:rsidR="005D42BD" w:rsidRPr="00E51E6E">
        <w:t>Training and education</w:t>
      </w:r>
      <w:bookmarkEnd w:id="27"/>
      <w:bookmarkEnd w:id="28"/>
    </w:p>
    <w:p w14:paraId="7600E995" w14:textId="77777777" w:rsidR="005D42BD" w:rsidRPr="00E51E6E" w:rsidRDefault="005D42BD" w:rsidP="005D42BD">
      <w:pPr>
        <w:spacing w:before="80"/>
        <w:rPr>
          <w:rFonts w:eastAsia="Times New Roman" w:cstheme="minorHAnsi"/>
          <w:lang w:eastAsia="en-AU"/>
        </w:rPr>
      </w:pPr>
      <w:r w:rsidRPr="00E51E6E">
        <w:rPr>
          <w:rFonts w:eastAsia="Times New Roman" w:cstheme="minorHAnsi"/>
          <w:lang w:eastAsia="en-AU"/>
        </w:rPr>
        <w:t>Flight training organisations are encouraged to:</w:t>
      </w:r>
    </w:p>
    <w:p w14:paraId="1C0E0014" w14:textId="77777777" w:rsidR="005D42BD" w:rsidRPr="00E51E6E" w:rsidRDefault="005D42BD" w:rsidP="00637435">
      <w:pPr>
        <w:pStyle w:val="Listparagraphbullets"/>
      </w:pPr>
      <w:r w:rsidRPr="00E51E6E">
        <w:t>Incorporate noise awareness and community engagement into initial and recurrent training</w:t>
      </w:r>
    </w:p>
    <w:p w14:paraId="6025B7FC" w14:textId="77777777" w:rsidR="005D42BD" w:rsidRPr="00E51E6E" w:rsidRDefault="005D42BD" w:rsidP="00637435">
      <w:pPr>
        <w:pStyle w:val="Listparagraphbullets"/>
      </w:pPr>
      <w:r w:rsidRPr="00E51E6E">
        <w:t>Include noise abatement scenarios in flight simulator exercises where available</w:t>
      </w:r>
    </w:p>
    <w:p w14:paraId="22102BA5" w14:textId="77777777" w:rsidR="005D42BD" w:rsidRPr="00E51E6E" w:rsidRDefault="005D42BD" w:rsidP="00637435">
      <w:pPr>
        <w:pStyle w:val="Listparagraphbullets"/>
      </w:pPr>
      <w:r w:rsidRPr="00E51E6E">
        <w:t>Assess student knowledge of considerate flying practices during check flights</w:t>
      </w:r>
    </w:p>
    <w:p w14:paraId="61671E66" w14:textId="2C14992D" w:rsidR="005D42BD" w:rsidRDefault="005D42BD" w:rsidP="00637435">
      <w:pPr>
        <w:pStyle w:val="Listparagraphbullets"/>
      </w:pPr>
      <w:r w:rsidRPr="00E51E6E">
        <w:t>Provide instructors with updated resources on noise-sensitive areas and FNAs</w:t>
      </w:r>
    </w:p>
    <w:p w14:paraId="1743394F" w14:textId="71D2362F" w:rsidR="000A70BA" w:rsidRPr="00E51E6E" w:rsidRDefault="000A70BA" w:rsidP="00637435">
      <w:pPr>
        <w:pStyle w:val="Listparagraphbullets"/>
      </w:pPr>
      <w:r>
        <w:lastRenderedPageBreak/>
        <w:t>Embed considerate flying principles into standard operating procedures and pre-flight briefing processes, so that community impact considerations are a routine part of flight planning and instructions.</w:t>
      </w:r>
    </w:p>
    <w:p w14:paraId="20C091A6" w14:textId="6117580F" w:rsidR="005D42BD" w:rsidRPr="00637435" w:rsidRDefault="00000000" w:rsidP="008115AE">
      <w:pPr>
        <w:spacing w:after="0"/>
      </w:pPr>
      <w:r>
        <w:rPr>
          <w:rFonts w:eastAsia="Times New Roman" w:cstheme="minorHAnsi"/>
          <w:szCs w:val="24"/>
          <w:lang w:eastAsia="en-AU"/>
        </w:rPr>
        <w:pict w14:anchorId="1D81E1F5">
          <v:rect id="_x0000_i1025" style="width:0;height:1.5pt" o:hralign="center" o:hrstd="t" o:hr="t" fillcolor="#a0a0a0" stroked="f"/>
        </w:pict>
      </w:r>
      <w:bookmarkStart w:id="29" w:name="_Toc207120511"/>
      <w:bookmarkStart w:id="30" w:name="_Toc207120578"/>
      <w:bookmarkStart w:id="31" w:name="_Toc206144225"/>
      <w:bookmarkStart w:id="32" w:name="_Toc206144284"/>
      <w:bookmarkStart w:id="33" w:name="_Toc206149346"/>
      <w:bookmarkStart w:id="34" w:name="_Toc206149406"/>
      <w:bookmarkStart w:id="35" w:name="_Toc206149507"/>
      <w:bookmarkStart w:id="36" w:name="_Toc206144226"/>
      <w:bookmarkStart w:id="37" w:name="_Toc206144285"/>
      <w:bookmarkStart w:id="38" w:name="_Toc206149347"/>
      <w:bookmarkStart w:id="39" w:name="_Toc206149407"/>
      <w:bookmarkStart w:id="40" w:name="_Toc206149508"/>
      <w:bookmarkStart w:id="41" w:name="_Toc206144227"/>
      <w:bookmarkStart w:id="42" w:name="_Toc206144286"/>
      <w:bookmarkStart w:id="43" w:name="_Toc206149348"/>
      <w:bookmarkStart w:id="44" w:name="_Toc206149408"/>
      <w:bookmarkStart w:id="45" w:name="_Toc206149509"/>
      <w:bookmarkStart w:id="46" w:name="_Toc206144228"/>
      <w:bookmarkStart w:id="47" w:name="_Toc206144287"/>
      <w:bookmarkStart w:id="48" w:name="_Toc206149349"/>
      <w:bookmarkStart w:id="49" w:name="_Toc206149409"/>
      <w:bookmarkStart w:id="50" w:name="_Toc206149510"/>
      <w:bookmarkEnd w:id="1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BC6E291" w14:textId="18BE0352" w:rsidR="002B4008" w:rsidRDefault="002B4008" w:rsidP="002B4008">
      <w:pPr>
        <w:rPr>
          <w:kern w:val="12"/>
          <w:sz w:val="20"/>
          <w:szCs w:val="20"/>
        </w:rPr>
      </w:pPr>
      <w:bookmarkStart w:id="51" w:name="_Hlk207357053"/>
    </w:p>
    <w:bookmarkEnd w:id="51"/>
    <w:p w14:paraId="6D3386C8" w14:textId="77777777" w:rsidR="00D02A65" w:rsidRDefault="00D02A65" w:rsidP="00D07D69"/>
    <w:sectPr w:rsidR="00D02A65" w:rsidSect="00796AB4">
      <w:headerReference w:type="default" r:id="rId22"/>
      <w:headerReference w:type="first" r:id="rId23"/>
      <w:footerReference w:type="first" r:id="rId24"/>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BE51" w14:textId="77777777" w:rsidR="005E5859" w:rsidRDefault="005E5859" w:rsidP="00FC413F">
      <w:pPr>
        <w:spacing w:after="0"/>
      </w:pPr>
      <w:r>
        <w:separator/>
      </w:r>
    </w:p>
  </w:endnote>
  <w:endnote w:type="continuationSeparator" w:id="0">
    <w:p w14:paraId="67819F1F" w14:textId="77777777" w:rsidR="005E5859" w:rsidRDefault="005E5859"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0" w14:textId="5A03AF57" w:rsidR="007B0826" w:rsidRDefault="00E466BE">
    <w:pPr>
      <w:pStyle w:val="Footer"/>
    </w:pPr>
    <w:r>
      <w:rPr>
        <w:noProof/>
      </w:rPr>
      <mc:AlternateContent>
        <mc:Choice Requires="wps">
          <w:drawing>
            <wp:anchor distT="0" distB="0" distL="0" distR="0" simplePos="0" relativeHeight="251658241" behindDoc="0" locked="0" layoutInCell="1" allowOverlap="1" wp14:anchorId="5A6A7FCF" wp14:editId="2512C396">
              <wp:simplePos x="635" y="635"/>
              <wp:positionH relativeFrom="page">
                <wp:align>center</wp:align>
              </wp:positionH>
              <wp:positionV relativeFrom="page">
                <wp:align>bottom</wp:align>
              </wp:positionV>
              <wp:extent cx="726440" cy="407670"/>
              <wp:effectExtent l="0" t="0" r="16510" b="0"/>
              <wp:wrapNone/>
              <wp:docPr id="179288626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B03C52C" w14:textId="3AB008E5"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A7FCF" id="_x0000_t202" coordsize="21600,21600" o:spt="202" path="m,l,21600r21600,l21600,xe">
              <v:stroke joinstyle="miter"/>
              <v:path gradientshapeok="t" o:connecttype="rect"/>
            </v:shapetype>
            <v:shape id="Text Box 7" o:spid="_x0000_s1027"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5B03C52C" w14:textId="3AB008E5"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1" w14:textId="25C62853" w:rsidR="00C30A4B" w:rsidRDefault="00E466B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2" behindDoc="0" locked="0" layoutInCell="1" allowOverlap="1" wp14:anchorId="3E05B43F" wp14:editId="15698834">
              <wp:simplePos x="635" y="635"/>
              <wp:positionH relativeFrom="page">
                <wp:align>center</wp:align>
              </wp:positionH>
              <wp:positionV relativeFrom="page">
                <wp:align>bottom</wp:align>
              </wp:positionV>
              <wp:extent cx="726440" cy="407670"/>
              <wp:effectExtent l="0" t="0" r="16510" b="0"/>
              <wp:wrapNone/>
              <wp:docPr id="24984810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75A650F" w14:textId="61E3F3A6"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5B43F" id="_x0000_t202" coordsize="21600,21600" o:spt="202" path="m,l,21600r21600,l21600,xe">
              <v:stroke joinstyle="miter"/>
              <v:path gradientshapeok="t" o:connecttype="rect"/>
            </v:shapetype>
            <v:shape id="Text Box 8" o:spid="_x0000_s1028" type="#_x0000_t202" alt="OFFICIAL" style="position:absolute;margin-left:0;margin-top:0;width:57.2pt;height:32.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775A650F" w14:textId="61E3F3A6"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v:textbox>
              <w10:wrap anchorx="page" anchory="page"/>
            </v:shape>
          </w:pict>
        </mc:Fallback>
      </mc:AlternateContent>
    </w:r>
    <w:r w:rsidR="00C30A4B">
      <w:rPr>
        <w:rFonts w:cs="Segoe UI"/>
        <w:noProof/>
        <w:szCs w:val="18"/>
      </w:rPr>
      <w:fldChar w:fldCharType="begin"/>
    </w:r>
    <w:r w:rsidR="00C30A4B">
      <w:rPr>
        <w:rFonts w:cs="Segoe UI"/>
        <w:noProof/>
        <w:szCs w:val="18"/>
      </w:rPr>
      <w:instrText xml:space="preserve"> STYLEREF  "Heading 1"  \* MERGEFORMAT </w:instrText>
    </w:r>
    <w:r w:rsidR="00C30A4B">
      <w:rPr>
        <w:rFonts w:cs="Segoe UI"/>
        <w:noProof/>
        <w:szCs w:val="18"/>
      </w:rPr>
      <w:fldChar w:fldCharType="separate"/>
    </w:r>
    <w:r w:rsidR="00C30A4B">
      <w:rPr>
        <w:rFonts w:cs="Segoe UI"/>
        <w:noProof/>
        <w:szCs w:val="18"/>
      </w:rPr>
      <w:t>[H1]Title—subtitle</w:t>
    </w:r>
    <w:r w:rsidR="00C30A4B">
      <w:rPr>
        <w:rFonts w:cs="Segoe UI"/>
        <w:noProof/>
        <w:szCs w:val="18"/>
      </w:rPr>
      <w:fldChar w:fldCharType="end"/>
    </w:r>
    <w:r w:rsidR="00C30A4B">
      <w:rPr>
        <w:rFonts w:cs="Segoe UI"/>
        <w:szCs w:val="18"/>
      </w:rPr>
      <w:tab/>
    </w:r>
    <w:r w:rsidR="00C30A4B">
      <w:rPr>
        <w:rFonts w:cs="Segoe UI"/>
        <w:szCs w:val="18"/>
      </w:rPr>
      <w:fldChar w:fldCharType="begin"/>
    </w:r>
    <w:r w:rsidR="00C30A4B">
      <w:rPr>
        <w:rFonts w:cs="Segoe UI"/>
        <w:szCs w:val="18"/>
      </w:rPr>
      <w:instrText xml:space="preserve"> PAGE  \* Arabic  \* MERGEFORMAT </w:instrText>
    </w:r>
    <w:r w:rsidR="00C30A4B">
      <w:rPr>
        <w:rFonts w:cs="Segoe UI"/>
        <w:szCs w:val="18"/>
      </w:rPr>
      <w:fldChar w:fldCharType="separate"/>
    </w:r>
    <w:r w:rsidR="00C30A4B">
      <w:rPr>
        <w:rFonts w:cs="Segoe UI"/>
        <w:szCs w:val="18"/>
      </w:rPr>
      <w:t>2</w:t>
    </w:r>
    <w:r w:rsidR="00C30A4B">
      <w:rPr>
        <w:rFonts w:cs="Segoe UI"/>
        <w:szCs w:val="18"/>
      </w:rPr>
      <w:fldChar w:fldCharType="end"/>
    </w:r>
    <w:r w:rsidR="00C30A4B" w:rsidRPr="00FC413F">
      <w:rPr>
        <w:rFonts w:cs="Segoe UI"/>
        <w:noProof/>
        <w:szCs w:val="18"/>
      </w:rPr>
      <w:t>.</w:t>
    </w:r>
  </w:p>
  <w:p w14:paraId="31473502" w14:textId="77777777" w:rsidR="00C30A4B" w:rsidRPr="00FC413F" w:rsidRDefault="00C30A4B" w:rsidP="00953CCD">
    <w:pPr>
      <w:pStyle w:val="Footer"/>
      <w:tabs>
        <w:tab w:val="clear" w:pos="4513"/>
        <w:tab w:val="clear" w:pos="9026"/>
      </w:tabs>
      <w:ind w:left="-1418"/>
      <w:rPr>
        <w:rFonts w:cs="Segoe UI"/>
        <w:szCs w:val="18"/>
      </w:rPr>
    </w:pPr>
    <w:r>
      <w:rPr>
        <w:noProof/>
        <w:lang w:eastAsia="en-AU"/>
      </w:rPr>
      <w:drawing>
        <wp:inline distT="0" distB="0" distL="0" distR="0" wp14:anchorId="3147350D" wp14:editId="3147350E">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4" w14:textId="3054FA73" w:rsidR="00C30A4B" w:rsidRPr="00FC413F" w:rsidRDefault="00C30A4B" w:rsidP="00113A03">
    <w:pPr>
      <w:pStyle w:val="Footer"/>
      <w:tabs>
        <w:tab w:val="clear" w:pos="4513"/>
        <w:tab w:val="clear" w:pos="9026"/>
      </w:tabs>
      <w:ind w:left="-1418"/>
      <w:rPr>
        <w:rFonts w:cs="Segoe UI"/>
        <w:szCs w:val="18"/>
      </w:rPr>
    </w:pPr>
    <w:r>
      <w:rPr>
        <w:noProof/>
        <w:lang w:eastAsia="en-AU"/>
      </w:rPr>
      <w:drawing>
        <wp:inline distT="0" distB="0" distL="0" distR="0" wp14:anchorId="3147350F" wp14:editId="4718DC27">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5" w14:textId="63B176F4" w:rsidR="00C30A4B" w:rsidRDefault="00C30A4B"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4E61F6">
      <w:rPr>
        <w:rFonts w:cs="Segoe UI"/>
        <w:noProof/>
        <w:szCs w:val="18"/>
      </w:rPr>
      <w:t>Flying Considerately Guidance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31473506" w14:textId="77777777" w:rsidR="00C30A4B" w:rsidRPr="00FC413F" w:rsidRDefault="00C30A4B" w:rsidP="00953CCD">
    <w:pPr>
      <w:pStyle w:val="Footer"/>
      <w:tabs>
        <w:tab w:val="clear" w:pos="4513"/>
        <w:tab w:val="clear" w:pos="9026"/>
      </w:tabs>
      <w:ind w:left="-1418"/>
      <w:rPr>
        <w:rFonts w:cs="Segoe UI"/>
        <w:szCs w:val="18"/>
      </w:rPr>
    </w:pPr>
    <w:r>
      <w:rPr>
        <w:noProof/>
        <w:lang w:eastAsia="en-AU"/>
      </w:rPr>
      <w:drawing>
        <wp:inline distT="0" distB="0" distL="0" distR="0" wp14:anchorId="31473511" wp14:editId="31473512">
          <wp:extent cx="7559650" cy="150641"/>
          <wp:effectExtent l="0" t="0" r="0" b="1905"/>
          <wp:docPr id="4" name="Picture 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B" w14:textId="20360A1E" w:rsidR="00C30A4B" w:rsidRDefault="00C30A4B" w:rsidP="00796AB4">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4E61F6">
      <w:rPr>
        <w:rFonts w:cs="Segoe UI"/>
        <w:noProof/>
        <w:szCs w:val="18"/>
      </w:rPr>
      <w:t>Flying Considerately Guidance</w:t>
    </w:r>
    <w:r>
      <w:rPr>
        <w:rFonts w:cs="Segoe UI"/>
        <w:noProof/>
        <w:szCs w:val="18"/>
      </w:rPr>
      <w:fldChar w:fldCharType="end"/>
    </w:r>
    <w:r>
      <w:rPr>
        <w:rFonts w:cs="Segoe UI"/>
        <w:szCs w:val="18"/>
      </w:rPr>
      <w:tab/>
    </w:r>
    <w:r w:rsidR="007B0826" w:rsidRPr="00654E6E">
      <w:rPr>
        <w:szCs w:val="18"/>
        <w:lang w:val="en-US"/>
      </w:rPr>
      <w:t xml:space="preserve"> </w:t>
    </w:r>
    <w:r w:rsidR="007B0826" w:rsidRPr="00654E6E">
      <w:rPr>
        <w:szCs w:val="18"/>
        <w:lang w:val="en-US"/>
      </w:rPr>
      <w:fldChar w:fldCharType="begin"/>
    </w:r>
    <w:r w:rsidR="007B0826" w:rsidRPr="00654E6E">
      <w:rPr>
        <w:szCs w:val="18"/>
        <w:lang w:val="en-US"/>
      </w:rPr>
      <w:instrText xml:space="preserve"> PAGE   \* MERGEFORMAT </w:instrText>
    </w:r>
    <w:r w:rsidR="007B0826" w:rsidRPr="00654E6E">
      <w:rPr>
        <w:szCs w:val="18"/>
        <w:lang w:val="en-US"/>
      </w:rPr>
      <w:fldChar w:fldCharType="separate"/>
    </w:r>
    <w:r w:rsidR="007B0826">
      <w:rPr>
        <w:szCs w:val="18"/>
        <w:lang w:val="en-US"/>
      </w:rPr>
      <w:t>9</w:t>
    </w:r>
    <w:r w:rsidR="007B0826" w:rsidRPr="00654E6E">
      <w:rPr>
        <w:noProof/>
        <w:szCs w:val="18"/>
        <w:lang w:val="en-US"/>
      </w:rPr>
      <w:fldChar w:fldCharType="end"/>
    </w:r>
    <w:r w:rsidR="007B0826" w:rsidRPr="00654E6E">
      <w:rPr>
        <w:noProof/>
        <w:szCs w:val="18"/>
        <w:lang w:val="en-US"/>
      </w:rPr>
      <w:t xml:space="preserve"> </w:t>
    </w:r>
  </w:p>
  <w:p w14:paraId="3147350C" w14:textId="77777777" w:rsidR="00C30A4B" w:rsidRPr="00FC413F" w:rsidRDefault="00C30A4B" w:rsidP="00796AB4">
    <w:pPr>
      <w:pStyle w:val="Footer"/>
      <w:tabs>
        <w:tab w:val="clear" w:pos="4513"/>
        <w:tab w:val="clear" w:pos="9026"/>
      </w:tabs>
      <w:ind w:left="-1418"/>
      <w:rPr>
        <w:rFonts w:cs="Segoe UI"/>
        <w:szCs w:val="18"/>
      </w:rPr>
    </w:pPr>
    <w:r>
      <w:rPr>
        <w:noProof/>
        <w:lang w:eastAsia="en-AU"/>
      </w:rPr>
      <w:drawing>
        <wp:inline distT="0" distB="0" distL="0" distR="0" wp14:anchorId="31473513" wp14:editId="31473514">
          <wp:extent cx="7559650" cy="150641"/>
          <wp:effectExtent l="0" t="0" r="0" b="1905"/>
          <wp:docPr id="2" name="Picture 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DEC6" w14:textId="77777777" w:rsidR="005E5859" w:rsidRDefault="005E5859" w:rsidP="00FC413F">
      <w:pPr>
        <w:spacing w:after="0"/>
      </w:pPr>
      <w:r>
        <w:separator/>
      </w:r>
    </w:p>
  </w:footnote>
  <w:footnote w:type="continuationSeparator" w:id="0">
    <w:p w14:paraId="26EF5DC2" w14:textId="77777777" w:rsidR="005E5859" w:rsidRDefault="005E5859" w:rsidP="00FC413F">
      <w:pPr>
        <w:spacing w:after="0"/>
      </w:pPr>
      <w:r>
        <w:continuationSeparator/>
      </w:r>
    </w:p>
  </w:footnote>
  <w:footnote w:id="1">
    <w:p w14:paraId="6A93802E" w14:textId="12ADB6F7" w:rsidR="00BD6D9C" w:rsidRPr="00751205" w:rsidRDefault="00BD6D9C">
      <w:pPr>
        <w:pStyle w:val="FootnoteText"/>
        <w:rPr>
          <w:sz w:val="16"/>
          <w:szCs w:val="16"/>
        </w:rPr>
      </w:pPr>
      <w:r w:rsidRPr="00751205">
        <w:rPr>
          <w:rStyle w:val="FootnoteReference"/>
          <w:sz w:val="16"/>
          <w:szCs w:val="16"/>
        </w:rPr>
        <w:footnoteRef/>
      </w:r>
      <w:r w:rsidRPr="00751205">
        <w:rPr>
          <w:sz w:val="16"/>
          <w:szCs w:val="16"/>
        </w:rPr>
        <w:t xml:space="preserve"> Flying Considerately guidance is not intended for commercial air transport operations.</w:t>
      </w:r>
    </w:p>
  </w:footnote>
  <w:footnote w:id="2">
    <w:p w14:paraId="2418C7F5" w14:textId="0292AE1A" w:rsidR="00137EDD" w:rsidRDefault="00137EDD">
      <w:pPr>
        <w:pStyle w:val="FootnoteText"/>
      </w:pPr>
      <w:r>
        <w:rPr>
          <w:rStyle w:val="FootnoteReference"/>
        </w:rPr>
        <w:footnoteRef/>
      </w:r>
      <w:r>
        <w:t xml:space="preserve"> </w:t>
      </w:r>
      <w:r w:rsidRPr="00751205">
        <w:rPr>
          <w:sz w:val="16"/>
          <w:szCs w:val="16"/>
        </w:rPr>
        <w:t>How airspace is managed - Airservices &lt;https://www.airservicesaustralia.com/about-us/our-services/how-airtraffic-control-works/how-airspace-is-managed/&gt;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4FD" w14:textId="7E2444B5" w:rsidR="007B0826" w:rsidRDefault="00E466BE">
    <w:pPr>
      <w:pStyle w:val="Header"/>
    </w:pPr>
    <w:r>
      <w:rPr>
        <w:noProof/>
      </w:rPr>
      <mc:AlternateContent>
        <mc:Choice Requires="wps">
          <w:drawing>
            <wp:anchor distT="0" distB="0" distL="0" distR="0" simplePos="0" relativeHeight="251658240" behindDoc="0" locked="0" layoutInCell="1" allowOverlap="1" wp14:anchorId="506CDF1F" wp14:editId="13734DDD">
              <wp:simplePos x="635" y="635"/>
              <wp:positionH relativeFrom="page">
                <wp:align>center</wp:align>
              </wp:positionH>
              <wp:positionV relativeFrom="page">
                <wp:align>top</wp:align>
              </wp:positionV>
              <wp:extent cx="726440" cy="407670"/>
              <wp:effectExtent l="0" t="0" r="16510" b="11430"/>
              <wp:wrapNone/>
              <wp:docPr id="158960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83E75C0" w14:textId="5F380683"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CDF1F"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083E75C0" w14:textId="5F380683" w:rsidR="00E466BE" w:rsidRPr="00E466BE" w:rsidRDefault="00E466BE" w:rsidP="00E466BE">
                    <w:pPr>
                      <w:spacing w:after="0"/>
                      <w:rPr>
                        <w:rFonts w:ascii="Aptos" w:eastAsia="Aptos" w:hAnsi="Aptos" w:cs="Aptos"/>
                        <w:noProof/>
                        <w:color w:val="FF0000"/>
                        <w:sz w:val="28"/>
                        <w:szCs w:val="28"/>
                      </w:rPr>
                    </w:pPr>
                    <w:r w:rsidRPr="00E466B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4FF" w14:textId="3F340DC1" w:rsidR="00C30A4B" w:rsidRPr="00D56936" w:rsidRDefault="00C30A4B" w:rsidP="00C817A5">
    <w:pPr>
      <w:pStyle w:val="Header"/>
      <w:tabs>
        <w:tab w:val="clear" w:pos="4678"/>
      </w:tabs>
      <w:spacing w:after="100" w:afterAutospacing="1"/>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4E61F6">
      <w:rPr>
        <w:rFonts w:cs="Segoe UI Light"/>
        <w:noProof/>
        <w:color w:val="001C40"/>
        <w:sz w:val="20"/>
        <w:szCs w:val="20"/>
      </w:rPr>
      <w:t>Ownership of intellectual property rights in this publication</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8" w14:textId="520C74B6" w:rsidR="00C30A4B" w:rsidRPr="00D56936" w:rsidRDefault="003402FB" w:rsidP="00C817A5">
    <w:pPr>
      <w:pStyle w:val="Header"/>
      <w:tabs>
        <w:tab w:val="clear" w:pos="4678"/>
      </w:tabs>
      <w:spacing w:after="240"/>
      <w:jc w:val="right"/>
      <w:rPr>
        <w:rFonts w:cs="Segoe UI Light"/>
        <w:color w:val="001C40"/>
        <w:sz w:val="20"/>
        <w:szCs w:val="20"/>
      </w:rPr>
    </w:pPr>
    <w:r>
      <w:rPr>
        <w:rFonts w:cs="Segoe UI Light"/>
        <w:color w:val="001C40"/>
        <w:sz w:val="20"/>
        <w:szCs w:val="20"/>
      </w:rPr>
      <w:t>Flying Considerately Guidance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350A" w14:textId="42E64E5F" w:rsidR="00C30A4B" w:rsidRPr="00290C8C" w:rsidRDefault="00CC1B75" w:rsidP="00C817A5">
    <w:pPr>
      <w:pStyle w:val="Header"/>
      <w:tabs>
        <w:tab w:val="clear" w:pos="4678"/>
      </w:tabs>
      <w:spacing w:after="240"/>
      <w:jc w:val="right"/>
      <w:rPr>
        <w:rFonts w:cs="Segoe UI Light"/>
        <w:color w:val="001C40"/>
        <w:sz w:val="20"/>
        <w:szCs w:val="20"/>
      </w:rPr>
    </w:pPr>
    <w:r>
      <w:rPr>
        <w:rFonts w:cs="Segoe UI Light"/>
        <w:color w:val="001C40"/>
        <w:sz w:val="20"/>
        <w:szCs w:val="20"/>
      </w:rPr>
      <w:t>Flying Considerately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C182E"/>
    <w:multiLevelType w:val="hybridMultilevel"/>
    <w:tmpl w:val="C8F88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D621AED"/>
    <w:multiLevelType w:val="multilevel"/>
    <w:tmpl w:val="C2EED61A"/>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4CF72E4"/>
    <w:multiLevelType w:val="hybridMultilevel"/>
    <w:tmpl w:val="A69AF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020356"/>
    <w:multiLevelType w:val="multilevel"/>
    <w:tmpl w:val="7670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AE0AE8"/>
    <w:multiLevelType w:val="hybridMultilevel"/>
    <w:tmpl w:val="4AE0C3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130C5C"/>
    <w:multiLevelType w:val="multilevel"/>
    <w:tmpl w:val="A6A6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383FAC"/>
    <w:multiLevelType w:val="hybridMultilevel"/>
    <w:tmpl w:val="C5142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215585F"/>
    <w:multiLevelType w:val="hybridMultilevel"/>
    <w:tmpl w:val="ECB6B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426252"/>
    <w:multiLevelType w:val="multilevel"/>
    <w:tmpl w:val="5B18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BF56BE"/>
    <w:multiLevelType w:val="multilevel"/>
    <w:tmpl w:val="ECA0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74631"/>
    <w:multiLevelType w:val="multilevel"/>
    <w:tmpl w:val="F7D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F23E1"/>
    <w:multiLevelType w:val="hybridMultilevel"/>
    <w:tmpl w:val="38CE89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E7485E"/>
    <w:multiLevelType w:val="multilevel"/>
    <w:tmpl w:val="EB3E3C0C"/>
    <w:styleLink w:val="BoxedBullets"/>
    <w:lvl w:ilvl="0">
      <w:start w:val="1"/>
      <w:numFmt w:val="bullet"/>
      <w:pStyle w:val="Box1Bullet1"/>
      <w:lvlText w:val=""/>
      <w:lvlJc w:val="left"/>
      <w:pPr>
        <w:ind w:left="567" w:hanging="283"/>
      </w:pPr>
      <w:rPr>
        <w:rFonts w:ascii="Symbol" w:hAnsi="Symbol" w:hint="default"/>
        <w:color w:val="auto"/>
      </w:rPr>
    </w:lvl>
    <w:lvl w:ilvl="1">
      <w:start w:val="1"/>
      <w:numFmt w:val="decimal"/>
      <w:pStyle w:val="Box2Bullet1"/>
      <w:lvlText w:val="%2."/>
      <w:lvlJc w:val="left"/>
      <w:pPr>
        <w:ind w:left="567" w:hanging="283"/>
      </w:pPr>
      <w:rPr>
        <w:rFonts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E8377A"/>
    <w:multiLevelType w:val="hybridMultilevel"/>
    <w:tmpl w:val="EE6C2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756948115">
    <w:abstractNumId w:val="28"/>
  </w:num>
  <w:num w:numId="2" w16cid:durableId="633759042">
    <w:abstractNumId w:val="16"/>
  </w:num>
  <w:num w:numId="3" w16cid:durableId="697126228">
    <w:abstractNumId w:val="22"/>
  </w:num>
  <w:num w:numId="4" w16cid:durableId="69694092">
    <w:abstractNumId w:val="9"/>
  </w:num>
  <w:num w:numId="5" w16cid:durableId="151485153">
    <w:abstractNumId w:val="7"/>
  </w:num>
  <w:num w:numId="6" w16cid:durableId="497043208">
    <w:abstractNumId w:val="6"/>
  </w:num>
  <w:num w:numId="7" w16cid:durableId="846166825">
    <w:abstractNumId w:val="5"/>
  </w:num>
  <w:num w:numId="8" w16cid:durableId="1854764578">
    <w:abstractNumId w:val="4"/>
  </w:num>
  <w:num w:numId="9" w16cid:durableId="804544411">
    <w:abstractNumId w:val="8"/>
  </w:num>
  <w:num w:numId="10" w16cid:durableId="425002937">
    <w:abstractNumId w:val="3"/>
  </w:num>
  <w:num w:numId="11" w16cid:durableId="762264765">
    <w:abstractNumId w:val="2"/>
  </w:num>
  <w:num w:numId="12" w16cid:durableId="580141043">
    <w:abstractNumId w:val="1"/>
  </w:num>
  <w:num w:numId="13" w16cid:durableId="1935702002">
    <w:abstractNumId w:val="0"/>
  </w:num>
  <w:num w:numId="14" w16cid:durableId="1287154507">
    <w:abstractNumId w:val="29"/>
  </w:num>
  <w:num w:numId="15" w16cid:durableId="2946818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7236450">
    <w:abstractNumId w:val="12"/>
  </w:num>
  <w:num w:numId="17" w16cid:durableId="801846948">
    <w:abstractNumId w:val="12"/>
    <w:lvlOverride w:ilvl="0">
      <w:startOverride w:val="1"/>
    </w:lvlOverride>
  </w:num>
  <w:num w:numId="18" w16cid:durableId="305160845">
    <w:abstractNumId w:val="19"/>
  </w:num>
  <w:num w:numId="19" w16cid:durableId="1859539142">
    <w:abstractNumId w:val="11"/>
  </w:num>
  <w:num w:numId="20" w16cid:durableId="8593919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490972">
    <w:abstractNumId w:val="20"/>
  </w:num>
  <w:num w:numId="22" w16cid:durableId="1606617544">
    <w:abstractNumId w:val="24"/>
  </w:num>
  <w:num w:numId="23" w16cid:durableId="1260454337">
    <w:abstractNumId w:val="23"/>
  </w:num>
  <w:num w:numId="24" w16cid:durableId="843321893">
    <w:abstractNumId w:val="21"/>
  </w:num>
  <w:num w:numId="25" w16cid:durableId="604311750">
    <w:abstractNumId w:val="15"/>
  </w:num>
  <w:num w:numId="26" w16cid:durableId="526404594">
    <w:abstractNumId w:val="17"/>
  </w:num>
  <w:num w:numId="27" w16cid:durableId="1012532279">
    <w:abstractNumId w:val="25"/>
  </w:num>
  <w:num w:numId="28" w16cid:durableId="1764690497">
    <w:abstractNumId w:val="13"/>
  </w:num>
  <w:num w:numId="29" w16cid:durableId="1797597991">
    <w:abstractNumId w:val="10"/>
  </w:num>
  <w:num w:numId="30" w16cid:durableId="487017584">
    <w:abstractNumId w:val="18"/>
  </w:num>
  <w:num w:numId="31" w16cid:durableId="1881505036">
    <w:abstractNumId w:val="27"/>
  </w:num>
  <w:num w:numId="32" w16cid:durableId="1269118397">
    <w:abstractNumId w:val="26"/>
  </w:num>
  <w:num w:numId="33" w16cid:durableId="1508180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0752E"/>
    <w:rsid w:val="00012D3A"/>
    <w:rsid w:val="00021DCE"/>
    <w:rsid w:val="00033897"/>
    <w:rsid w:val="00033E1A"/>
    <w:rsid w:val="0003502E"/>
    <w:rsid w:val="000522EB"/>
    <w:rsid w:val="00067AC3"/>
    <w:rsid w:val="00072195"/>
    <w:rsid w:val="000740FB"/>
    <w:rsid w:val="000746D1"/>
    <w:rsid w:val="000836F3"/>
    <w:rsid w:val="00090E62"/>
    <w:rsid w:val="00093E11"/>
    <w:rsid w:val="000A1F9D"/>
    <w:rsid w:val="000A70BA"/>
    <w:rsid w:val="000B1E86"/>
    <w:rsid w:val="000B2BD9"/>
    <w:rsid w:val="000C0244"/>
    <w:rsid w:val="000C331F"/>
    <w:rsid w:val="000D4B3B"/>
    <w:rsid w:val="000D6FE4"/>
    <w:rsid w:val="000E1816"/>
    <w:rsid w:val="000E1F26"/>
    <w:rsid w:val="000E29BE"/>
    <w:rsid w:val="000E478F"/>
    <w:rsid w:val="00105DA4"/>
    <w:rsid w:val="001131D3"/>
    <w:rsid w:val="00113A03"/>
    <w:rsid w:val="00124882"/>
    <w:rsid w:val="00131E17"/>
    <w:rsid w:val="00133216"/>
    <w:rsid w:val="00133645"/>
    <w:rsid w:val="00133A45"/>
    <w:rsid w:val="00137EDD"/>
    <w:rsid w:val="00143894"/>
    <w:rsid w:val="001670C3"/>
    <w:rsid w:val="00173850"/>
    <w:rsid w:val="00184875"/>
    <w:rsid w:val="00190A0C"/>
    <w:rsid w:val="00196609"/>
    <w:rsid w:val="001B493C"/>
    <w:rsid w:val="001C2BBA"/>
    <w:rsid w:val="001C52B2"/>
    <w:rsid w:val="001D583B"/>
    <w:rsid w:val="001D5B5A"/>
    <w:rsid w:val="001E4471"/>
    <w:rsid w:val="001E7AC4"/>
    <w:rsid w:val="001F53D3"/>
    <w:rsid w:val="00204A64"/>
    <w:rsid w:val="00217C11"/>
    <w:rsid w:val="0022154B"/>
    <w:rsid w:val="00236F1B"/>
    <w:rsid w:val="00256CC5"/>
    <w:rsid w:val="00260308"/>
    <w:rsid w:val="00260A61"/>
    <w:rsid w:val="00261FD0"/>
    <w:rsid w:val="00261FFA"/>
    <w:rsid w:val="00263ABF"/>
    <w:rsid w:val="00270E8B"/>
    <w:rsid w:val="00272324"/>
    <w:rsid w:val="00272982"/>
    <w:rsid w:val="00286B1A"/>
    <w:rsid w:val="00287C7E"/>
    <w:rsid w:val="00290C8C"/>
    <w:rsid w:val="0029156F"/>
    <w:rsid w:val="002A5AB5"/>
    <w:rsid w:val="002B4008"/>
    <w:rsid w:val="002F1A23"/>
    <w:rsid w:val="002F30B5"/>
    <w:rsid w:val="002F5118"/>
    <w:rsid w:val="00300077"/>
    <w:rsid w:val="00305E36"/>
    <w:rsid w:val="00310148"/>
    <w:rsid w:val="00311329"/>
    <w:rsid w:val="00312678"/>
    <w:rsid w:val="00321C97"/>
    <w:rsid w:val="00323710"/>
    <w:rsid w:val="003402FB"/>
    <w:rsid w:val="003406F9"/>
    <w:rsid w:val="0034206D"/>
    <w:rsid w:val="00342348"/>
    <w:rsid w:val="003508A8"/>
    <w:rsid w:val="00381BDA"/>
    <w:rsid w:val="003860C9"/>
    <w:rsid w:val="0039169B"/>
    <w:rsid w:val="003932EE"/>
    <w:rsid w:val="003A04FA"/>
    <w:rsid w:val="003B4139"/>
    <w:rsid w:val="003B6D01"/>
    <w:rsid w:val="003C575A"/>
    <w:rsid w:val="003D71C5"/>
    <w:rsid w:val="003F2754"/>
    <w:rsid w:val="003F2E2F"/>
    <w:rsid w:val="003F3CB7"/>
    <w:rsid w:val="00402259"/>
    <w:rsid w:val="00412182"/>
    <w:rsid w:val="0041234D"/>
    <w:rsid w:val="00416734"/>
    <w:rsid w:val="004176DA"/>
    <w:rsid w:val="004261F9"/>
    <w:rsid w:val="00432A56"/>
    <w:rsid w:val="00436898"/>
    <w:rsid w:val="00442A3B"/>
    <w:rsid w:val="00445017"/>
    <w:rsid w:val="00452480"/>
    <w:rsid w:val="00454343"/>
    <w:rsid w:val="0045437E"/>
    <w:rsid w:val="00462C9A"/>
    <w:rsid w:val="004729CA"/>
    <w:rsid w:val="00485524"/>
    <w:rsid w:val="00496F2D"/>
    <w:rsid w:val="004A3207"/>
    <w:rsid w:val="004B6455"/>
    <w:rsid w:val="004C30E2"/>
    <w:rsid w:val="004D11E0"/>
    <w:rsid w:val="004E03E4"/>
    <w:rsid w:val="004E61F6"/>
    <w:rsid w:val="005078B1"/>
    <w:rsid w:val="005135E0"/>
    <w:rsid w:val="00521544"/>
    <w:rsid w:val="00524D75"/>
    <w:rsid w:val="00525680"/>
    <w:rsid w:val="00533184"/>
    <w:rsid w:val="005413E7"/>
    <w:rsid w:val="00541B22"/>
    <w:rsid w:val="00546058"/>
    <w:rsid w:val="0054776C"/>
    <w:rsid w:val="00557F3E"/>
    <w:rsid w:val="00572094"/>
    <w:rsid w:val="005941FC"/>
    <w:rsid w:val="005A1B18"/>
    <w:rsid w:val="005B2548"/>
    <w:rsid w:val="005B52D6"/>
    <w:rsid w:val="005C0459"/>
    <w:rsid w:val="005C0881"/>
    <w:rsid w:val="005C2DDB"/>
    <w:rsid w:val="005C37D2"/>
    <w:rsid w:val="005D038B"/>
    <w:rsid w:val="005D13A4"/>
    <w:rsid w:val="005D42BD"/>
    <w:rsid w:val="005E55BD"/>
    <w:rsid w:val="005E5859"/>
    <w:rsid w:val="005E7929"/>
    <w:rsid w:val="00600A37"/>
    <w:rsid w:val="00610225"/>
    <w:rsid w:val="00627891"/>
    <w:rsid w:val="00630D43"/>
    <w:rsid w:val="00632020"/>
    <w:rsid w:val="0063554C"/>
    <w:rsid w:val="00637435"/>
    <w:rsid w:val="006440C8"/>
    <w:rsid w:val="006452B1"/>
    <w:rsid w:val="0064544C"/>
    <w:rsid w:val="006542FA"/>
    <w:rsid w:val="00654F9E"/>
    <w:rsid w:val="006650D7"/>
    <w:rsid w:val="00670726"/>
    <w:rsid w:val="00676C76"/>
    <w:rsid w:val="00683642"/>
    <w:rsid w:val="00691FA2"/>
    <w:rsid w:val="0069694C"/>
    <w:rsid w:val="006A4012"/>
    <w:rsid w:val="006C67DD"/>
    <w:rsid w:val="006D43C7"/>
    <w:rsid w:val="006E139E"/>
    <w:rsid w:val="006E5952"/>
    <w:rsid w:val="00710621"/>
    <w:rsid w:val="00713826"/>
    <w:rsid w:val="00731351"/>
    <w:rsid w:val="007352EF"/>
    <w:rsid w:val="007367BB"/>
    <w:rsid w:val="00744CD2"/>
    <w:rsid w:val="00750176"/>
    <w:rsid w:val="00751205"/>
    <w:rsid w:val="00761F9A"/>
    <w:rsid w:val="00772C27"/>
    <w:rsid w:val="00781618"/>
    <w:rsid w:val="00790CFC"/>
    <w:rsid w:val="00790F25"/>
    <w:rsid w:val="00793843"/>
    <w:rsid w:val="00795527"/>
    <w:rsid w:val="00796AB4"/>
    <w:rsid w:val="0079788A"/>
    <w:rsid w:val="007A0DC5"/>
    <w:rsid w:val="007A70A7"/>
    <w:rsid w:val="007A73F3"/>
    <w:rsid w:val="007B0826"/>
    <w:rsid w:val="007B68AB"/>
    <w:rsid w:val="007C40F3"/>
    <w:rsid w:val="007D03B6"/>
    <w:rsid w:val="007E096F"/>
    <w:rsid w:val="007E6F35"/>
    <w:rsid w:val="007F4C13"/>
    <w:rsid w:val="00804484"/>
    <w:rsid w:val="008115AE"/>
    <w:rsid w:val="00820E40"/>
    <w:rsid w:val="00822DBF"/>
    <w:rsid w:val="00825568"/>
    <w:rsid w:val="00832E91"/>
    <w:rsid w:val="00846B0F"/>
    <w:rsid w:val="008530EE"/>
    <w:rsid w:val="00857B4A"/>
    <w:rsid w:val="00861C57"/>
    <w:rsid w:val="00865841"/>
    <w:rsid w:val="008A3B71"/>
    <w:rsid w:val="008A7B93"/>
    <w:rsid w:val="008B05CF"/>
    <w:rsid w:val="008B7158"/>
    <w:rsid w:val="008C456D"/>
    <w:rsid w:val="008C6BFA"/>
    <w:rsid w:val="008D4156"/>
    <w:rsid w:val="008E0885"/>
    <w:rsid w:val="008E534F"/>
    <w:rsid w:val="008E5BCF"/>
    <w:rsid w:val="008F16D5"/>
    <w:rsid w:val="008F24DE"/>
    <w:rsid w:val="00904917"/>
    <w:rsid w:val="00912D17"/>
    <w:rsid w:val="00922843"/>
    <w:rsid w:val="009230C9"/>
    <w:rsid w:val="009276A3"/>
    <w:rsid w:val="009279AE"/>
    <w:rsid w:val="00931907"/>
    <w:rsid w:val="00934FDB"/>
    <w:rsid w:val="00935A30"/>
    <w:rsid w:val="00940149"/>
    <w:rsid w:val="009407E7"/>
    <w:rsid w:val="00944067"/>
    <w:rsid w:val="0094697D"/>
    <w:rsid w:val="00953CCD"/>
    <w:rsid w:val="00956894"/>
    <w:rsid w:val="00972698"/>
    <w:rsid w:val="00973C81"/>
    <w:rsid w:val="00985DD5"/>
    <w:rsid w:val="009B0BBE"/>
    <w:rsid w:val="009B4126"/>
    <w:rsid w:val="009B4C73"/>
    <w:rsid w:val="009C1ECD"/>
    <w:rsid w:val="009D5E14"/>
    <w:rsid w:val="009E50C2"/>
    <w:rsid w:val="009E5B72"/>
    <w:rsid w:val="00A00F9D"/>
    <w:rsid w:val="00A03B7B"/>
    <w:rsid w:val="00A05439"/>
    <w:rsid w:val="00A12D0A"/>
    <w:rsid w:val="00A24200"/>
    <w:rsid w:val="00A31593"/>
    <w:rsid w:val="00A32D82"/>
    <w:rsid w:val="00A411E5"/>
    <w:rsid w:val="00A4422F"/>
    <w:rsid w:val="00A44C57"/>
    <w:rsid w:val="00A44E4B"/>
    <w:rsid w:val="00A4759C"/>
    <w:rsid w:val="00A5600C"/>
    <w:rsid w:val="00A63390"/>
    <w:rsid w:val="00A652AD"/>
    <w:rsid w:val="00A704B9"/>
    <w:rsid w:val="00A82DAF"/>
    <w:rsid w:val="00A86AF3"/>
    <w:rsid w:val="00A90C66"/>
    <w:rsid w:val="00A9699D"/>
    <w:rsid w:val="00AA517C"/>
    <w:rsid w:val="00AB31AC"/>
    <w:rsid w:val="00AB335D"/>
    <w:rsid w:val="00AB6249"/>
    <w:rsid w:val="00AC6195"/>
    <w:rsid w:val="00AC753F"/>
    <w:rsid w:val="00AD4AAE"/>
    <w:rsid w:val="00AE28C4"/>
    <w:rsid w:val="00AE61A6"/>
    <w:rsid w:val="00B041CB"/>
    <w:rsid w:val="00B12FC1"/>
    <w:rsid w:val="00B14E02"/>
    <w:rsid w:val="00B1713F"/>
    <w:rsid w:val="00B33B43"/>
    <w:rsid w:val="00B36FAC"/>
    <w:rsid w:val="00B3785F"/>
    <w:rsid w:val="00B43F55"/>
    <w:rsid w:val="00B46FB9"/>
    <w:rsid w:val="00B5393D"/>
    <w:rsid w:val="00B74715"/>
    <w:rsid w:val="00B75995"/>
    <w:rsid w:val="00B7690F"/>
    <w:rsid w:val="00B76D03"/>
    <w:rsid w:val="00B87A51"/>
    <w:rsid w:val="00BA7D5E"/>
    <w:rsid w:val="00BA7F28"/>
    <w:rsid w:val="00BB3D46"/>
    <w:rsid w:val="00BC0598"/>
    <w:rsid w:val="00BD2AD9"/>
    <w:rsid w:val="00BD6D9C"/>
    <w:rsid w:val="00BE48FB"/>
    <w:rsid w:val="00BF0242"/>
    <w:rsid w:val="00BF5FA4"/>
    <w:rsid w:val="00C02452"/>
    <w:rsid w:val="00C104C4"/>
    <w:rsid w:val="00C11FB9"/>
    <w:rsid w:val="00C30A4B"/>
    <w:rsid w:val="00C32353"/>
    <w:rsid w:val="00C36E40"/>
    <w:rsid w:val="00C55A2B"/>
    <w:rsid w:val="00C62177"/>
    <w:rsid w:val="00C64AFF"/>
    <w:rsid w:val="00C75966"/>
    <w:rsid w:val="00C76811"/>
    <w:rsid w:val="00C817A5"/>
    <w:rsid w:val="00CA5147"/>
    <w:rsid w:val="00CB0AFA"/>
    <w:rsid w:val="00CB3DA1"/>
    <w:rsid w:val="00CC1B75"/>
    <w:rsid w:val="00CC1DD2"/>
    <w:rsid w:val="00CD0046"/>
    <w:rsid w:val="00CD299C"/>
    <w:rsid w:val="00CE2AB8"/>
    <w:rsid w:val="00D02A65"/>
    <w:rsid w:val="00D07D69"/>
    <w:rsid w:val="00D10954"/>
    <w:rsid w:val="00D2075B"/>
    <w:rsid w:val="00D36B96"/>
    <w:rsid w:val="00D43D1A"/>
    <w:rsid w:val="00D44B86"/>
    <w:rsid w:val="00D47BFD"/>
    <w:rsid w:val="00D50A4E"/>
    <w:rsid w:val="00D56936"/>
    <w:rsid w:val="00D61BCF"/>
    <w:rsid w:val="00D64922"/>
    <w:rsid w:val="00D81F2F"/>
    <w:rsid w:val="00D85DEB"/>
    <w:rsid w:val="00D90DBC"/>
    <w:rsid w:val="00D90FCA"/>
    <w:rsid w:val="00DA2E16"/>
    <w:rsid w:val="00DB4DD4"/>
    <w:rsid w:val="00DC5DC8"/>
    <w:rsid w:val="00DD3C23"/>
    <w:rsid w:val="00DD5CB3"/>
    <w:rsid w:val="00DE1784"/>
    <w:rsid w:val="00E0455D"/>
    <w:rsid w:val="00E466BE"/>
    <w:rsid w:val="00E57246"/>
    <w:rsid w:val="00E704E9"/>
    <w:rsid w:val="00E7227D"/>
    <w:rsid w:val="00E76BC6"/>
    <w:rsid w:val="00E80E04"/>
    <w:rsid w:val="00E90266"/>
    <w:rsid w:val="00EA415A"/>
    <w:rsid w:val="00EC2A55"/>
    <w:rsid w:val="00EC7052"/>
    <w:rsid w:val="00ED2CA8"/>
    <w:rsid w:val="00ED40AF"/>
    <w:rsid w:val="00ED761D"/>
    <w:rsid w:val="00EE6EE8"/>
    <w:rsid w:val="00EF5B98"/>
    <w:rsid w:val="00F02493"/>
    <w:rsid w:val="00F02E2C"/>
    <w:rsid w:val="00F11FAB"/>
    <w:rsid w:val="00F162C6"/>
    <w:rsid w:val="00F352FC"/>
    <w:rsid w:val="00F35B85"/>
    <w:rsid w:val="00F41576"/>
    <w:rsid w:val="00F4249A"/>
    <w:rsid w:val="00F433AC"/>
    <w:rsid w:val="00F4732B"/>
    <w:rsid w:val="00F53104"/>
    <w:rsid w:val="00F60041"/>
    <w:rsid w:val="00F6010C"/>
    <w:rsid w:val="00F60F01"/>
    <w:rsid w:val="00F61FA1"/>
    <w:rsid w:val="00F76F3D"/>
    <w:rsid w:val="00F814AD"/>
    <w:rsid w:val="00FA52B1"/>
    <w:rsid w:val="00FA64C7"/>
    <w:rsid w:val="00FC413F"/>
    <w:rsid w:val="00FC4B5B"/>
    <w:rsid w:val="00FC7DDF"/>
    <w:rsid w:val="00FD1AE3"/>
    <w:rsid w:val="00FD3DAB"/>
    <w:rsid w:val="00FD77FD"/>
    <w:rsid w:val="00FE54D8"/>
    <w:rsid w:val="00FF1CC7"/>
    <w:rsid w:val="00FF51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73359"/>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BB"/>
    <w:pPr>
      <w:spacing w:line="240" w:lineRule="auto"/>
    </w:pPr>
    <w:rPr>
      <w:rFonts w:ascii="Calibri" w:hAnsi="Calibri"/>
    </w:rPr>
  </w:style>
  <w:style w:type="paragraph" w:styleId="Heading1">
    <w:name w:val="heading 1"/>
    <w:basedOn w:val="Normal"/>
    <w:next w:val="Normal"/>
    <w:link w:val="Heading1Char"/>
    <w:uiPriority w:val="9"/>
    <w:qFormat/>
    <w:rsid w:val="00C817A5"/>
    <w:pPr>
      <w:numPr>
        <w:ilvl w:val="1"/>
      </w:numPr>
      <w:suppressAutoHyphens/>
      <w:spacing w:before="240"/>
      <w:ind w:left="1134"/>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C817A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ImprintHeading"/>
    <w:next w:val="Normal"/>
    <w:qFormat/>
    <w:rsid w:val="00C30A4B"/>
    <w:pPr>
      <w:spacing w:before="120" w:after="80"/>
    </w:p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99"/>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C817A5"/>
    <w:pPr>
      <w:numPr>
        <w:ilvl w:val="1"/>
      </w:numPr>
      <w:suppressAutoHyphens/>
      <w:spacing w:before="240"/>
      <w:ind w:left="1134"/>
    </w:pPr>
    <w:rPr>
      <w:rFonts w:eastAsia="SimSun" w:cs="Times New Roman"/>
      <w:color w:val="377B88"/>
      <w:kern w:val="12"/>
      <w:sz w:val="44"/>
    </w:rPr>
  </w:style>
  <w:style w:type="character" w:customStyle="1" w:styleId="SubtitleChar">
    <w:name w:val="Subtitle Char"/>
    <w:basedOn w:val="DefaultParagraphFont"/>
    <w:link w:val="Subtitle"/>
    <w:uiPriority w:val="18"/>
    <w:rsid w:val="00C817A5"/>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14"/>
    <w:unhideWhenUsed/>
    <w:qFormat/>
    <w:rsid w:val="00A32D8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C76811"/>
    <w:rPr>
      <w:color w:val="954F72" w:themeColor="followedHyperlink"/>
      <w:u w:val="single"/>
    </w:rPr>
  </w:style>
  <w:style w:type="paragraph" w:customStyle="1" w:styleId="Introduction">
    <w:name w:val="Introduction"/>
    <w:basedOn w:val="Normal"/>
    <w:uiPriority w:val="2"/>
    <w:qFormat/>
    <w:rsid w:val="00B75995"/>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C30A4B"/>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C30A4B"/>
    <w:pPr>
      <w:numPr>
        <w:ilvl w:val="1"/>
      </w:numPr>
    </w:pPr>
  </w:style>
  <w:style w:type="paragraph" w:customStyle="1" w:styleId="Bullet3">
    <w:name w:val="Bullet 3"/>
    <w:basedOn w:val="Bullet2"/>
    <w:uiPriority w:val="3"/>
    <w:rsid w:val="00C30A4B"/>
    <w:pPr>
      <w:numPr>
        <w:ilvl w:val="2"/>
      </w:numPr>
    </w:pPr>
  </w:style>
  <w:style w:type="table" w:customStyle="1" w:styleId="IconBoxTable">
    <w:name w:val="Icon Box Table"/>
    <w:basedOn w:val="TableNormal"/>
    <w:uiPriority w:val="99"/>
    <w:rsid w:val="00C30A4B"/>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C30A4B"/>
    <w:pPr>
      <w:numPr>
        <w:numId w:val="18"/>
      </w:numPr>
    </w:pPr>
  </w:style>
  <w:style w:type="paragraph" w:customStyle="1" w:styleId="Heading1Numbered">
    <w:name w:val="Heading 1 Numbered"/>
    <w:basedOn w:val="Heading1"/>
    <w:uiPriority w:val="10"/>
    <w:rsid w:val="00D02A65"/>
    <w:pPr>
      <w:keepNext/>
      <w:keepLines/>
      <w:numPr>
        <w:ilvl w:val="0"/>
        <w:numId w:val="19"/>
      </w:numPr>
      <w:spacing w:before="480"/>
      <w:contextualSpacing/>
    </w:pPr>
    <w:rPr>
      <w:rFonts w:asciiTheme="majorHAnsi" w:eastAsiaTheme="majorEastAsia" w:hAnsiTheme="majorHAnsi" w:cstheme="majorBidi"/>
      <w:b w:val="0"/>
      <w:color w:val="44546A" w:themeColor="text2"/>
      <w:kern w:val="0"/>
      <w:sz w:val="44"/>
      <w:szCs w:val="32"/>
    </w:rPr>
  </w:style>
  <w:style w:type="paragraph" w:customStyle="1" w:styleId="Heading2Numbered">
    <w:name w:val="Heading 2 Numbered"/>
    <w:basedOn w:val="Heading2"/>
    <w:uiPriority w:val="10"/>
    <w:rsid w:val="00D02A65"/>
    <w:pPr>
      <w:numPr>
        <w:ilvl w:val="1"/>
        <w:numId w:val="19"/>
      </w:numPr>
    </w:pPr>
    <w:rPr>
      <w:rFonts w:asciiTheme="majorHAnsi" w:eastAsiaTheme="majorEastAsia" w:hAnsiTheme="majorHAnsi" w:cstheme="majorBidi"/>
      <w:color w:val="44546A" w:themeColor="text2"/>
      <w:kern w:val="0"/>
    </w:rPr>
  </w:style>
  <w:style w:type="paragraph" w:customStyle="1" w:styleId="Heading3Numbered">
    <w:name w:val="Heading 3 Numbered"/>
    <w:basedOn w:val="Heading3"/>
    <w:uiPriority w:val="10"/>
    <w:rsid w:val="00D02A65"/>
    <w:pPr>
      <w:numPr>
        <w:ilvl w:val="2"/>
        <w:numId w:val="19"/>
      </w:numPr>
    </w:pPr>
    <w:rPr>
      <w:rFonts w:asciiTheme="majorHAnsi" w:eastAsiaTheme="majorEastAsia" w:hAnsiTheme="majorHAnsi" w:cstheme="majorBidi"/>
      <w:color w:val="BF8F00" w:themeColor="accent4" w:themeShade="BF"/>
      <w:kern w:val="0"/>
    </w:rPr>
  </w:style>
  <w:style w:type="paragraph" w:customStyle="1" w:styleId="Heading4Numbered">
    <w:name w:val="Heading 4 Numbered"/>
    <w:basedOn w:val="Heading4"/>
    <w:uiPriority w:val="10"/>
    <w:rsid w:val="00D02A65"/>
    <w:pPr>
      <w:numPr>
        <w:ilvl w:val="3"/>
        <w:numId w:val="19"/>
      </w:numPr>
    </w:pPr>
    <w:rPr>
      <w:rFonts w:asciiTheme="majorHAnsi" w:eastAsiaTheme="majorEastAsia" w:hAnsiTheme="majorHAnsi" w:cstheme="majorBidi"/>
      <w:color w:val="806000" w:themeColor="accent4" w:themeShade="80"/>
      <w:kern w:val="0"/>
      <w:szCs w:val="22"/>
    </w:rPr>
  </w:style>
  <w:style w:type="paragraph" w:customStyle="1" w:styleId="Heading5Numbered">
    <w:name w:val="Heading 5 Numbered"/>
    <w:basedOn w:val="Heading5"/>
    <w:uiPriority w:val="10"/>
    <w:rsid w:val="00D02A65"/>
    <w:pPr>
      <w:keepLines/>
      <w:numPr>
        <w:ilvl w:val="4"/>
        <w:numId w:val="19"/>
      </w:numPr>
      <w:suppressAutoHyphens/>
      <w:spacing w:before="240" w:after="160"/>
    </w:pPr>
    <w:rPr>
      <w:rFonts w:asciiTheme="majorHAnsi" w:eastAsiaTheme="majorEastAsia" w:hAnsiTheme="majorHAnsi" w:cstheme="majorBidi"/>
      <w:color w:val="44546A" w:themeColor="text2"/>
      <w:sz w:val="22"/>
      <w:szCs w:val="22"/>
    </w:rPr>
  </w:style>
  <w:style w:type="paragraph" w:customStyle="1" w:styleId="Box1Bullet1">
    <w:name w:val="Box 1 Bullet 1"/>
    <w:basedOn w:val="Normal"/>
    <w:uiPriority w:val="24"/>
    <w:qFormat/>
    <w:rsid w:val="002B4008"/>
    <w:pPr>
      <w:numPr>
        <w:numId w:val="32"/>
      </w:num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80" w:after="80"/>
      <w:ind w:right="284"/>
    </w:pPr>
    <w:rPr>
      <w:rFonts w:asciiTheme="minorHAnsi" w:hAnsiTheme="minorHAnsi"/>
      <w:color w:val="000000" w:themeColor="text1"/>
      <w:kern w:val="12"/>
      <w:sz w:val="20"/>
      <w:szCs w:val="20"/>
      <w:lang w:val="x-none"/>
    </w:rPr>
  </w:style>
  <w:style w:type="paragraph" w:customStyle="1" w:styleId="Box2Text">
    <w:name w:val="Box 2 Text"/>
    <w:basedOn w:val="Normal"/>
    <w:uiPriority w:val="24"/>
    <w:qFormat/>
    <w:rsid w:val="002B4008"/>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2B4008"/>
    <w:rPr>
      <w:b/>
    </w:rPr>
  </w:style>
  <w:style w:type="paragraph" w:customStyle="1" w:styleId="Box2Bullet1">
    <w:name w:val="Box 2 Bullet 1"/>
    <w:basedOn w:val="Box2Text"/>
    <w:uiPriority w:val="25"/>
    <w:qFormat/>
    <w:rsid w:val="002B4008"/>
    <w:pPr>
      <w:numPr>
        <w:ilvl w:val="1"/>
        <w:numId w:val="32"/>
      </w:numPr>
      <w:spacing w:before="80"/>
    </w:pPr>
    <w:rPr>
      <w:kern w:val="12"/>
      <w:sz w:val="20"/>
      <w:szCs w:val="20"/>
    </w:rPr>
  </w:style>
  <w:style w:type="paragraph" w:customStyle="1" w:styleId="Box2Checklist">
    <w:name w:val="Box 2 Checklist"/>
    <w:basedOn w:val="Box2Text"/>
    <w:uiPriority w:val="26"/>
    <w:qFormat/>
    <w:rsid w:val="002B4008"/>
    <w:pPr>
      <w:numPr>
        <w:ilvl w:val="2"/>
        <w:numId w:val="32"/>
      </w:numPr>
    </w:pPr>
    <w:rPr>
      <w:kern w:val="12"/>
      <w:sz w:val="20"/>
      <w:szCs w:val="20"/>
    </w:rPr>
  </w:style>
  <w:style w:type="numbering" w:customStyle="1" w:styleId="BoxedBullets">
    <w:name w:val="Boxed Bullets"/>
    <w:uiPriority w:val="99"/>
    <w:rsid w:val="002B4008"/>
    <w:pPr>
      <w:numPr>
        <w:numId w:val="32"/>
      </w:numPr>
    </w:pPr>
  </w:style>
  <w:style w:type="paragraph" w:styleId="Revision">
    <w:name w:val="Revision"/>
    <w:hidden/>
    <w:uiPriority w:val="99"/>
    <w:semiHidden/>
    <w:rsid w:val="00AC753F"/>
    <w:pPr>
      <w:spacing w:after="0" w:line="240" w:lineRule="auto"/>
    </w:pPr>
    <w:rPr>
      <w:rFonts w:ascii="Calibri" w:hAnsi="Calibri"/>
    </w:rPr>
  </w:style>
  <w:style w:type="character" w:styleId="CommentReference">
    <w:name w:val="annotation reference"/>
    <w:basedOn w:val="DefaultParagraphFont"/>
    <w:uiPriority w:val="99"/>
    <w:semiHidden/>
    <w:unhideWhenUsed/>
    <w:rsid w:val="00256CC5"/>
    <w:rPr>
      <w:sz w:val="16"/>
      <w:szCs w:val="16"/>
    </w:rPr>
  </w:style>
  <w:style w:type="paragraph" w:styleId="CommentText">
    <w:name w:val="annotation text"/>
    <w:basedOn w:val="Normal"/>
    <w:link w:val="CommentTextChar"/>
    <w:uiPriority w:val="99"/>
    <w:unhideWhenUsed/>
    <w:rsid w:val="00256CC5"/>
    <w:rPr>
      <w:sz w:val="20"/>
      <w:szCs w:val="20"/>
    </w:rPr>
  </w:style>
  <w:style w:type="character" w:customStyle="1" w:styleId="CommentTextChar">
    <w:name w:val="Comment Text Char"/>
    <w:basedOn w:val="DefaultParagraphFont"/>
    <w:link w:val="CommentText"/>
    <w:uiPriority w:val="99"/>
    <w:rsid w:val="00256CC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56CC5"/>
    <w:rPr>
      <w:b/>
      <w:bCs/>
    </w:rPr>
  </w:style>
  <w:style w:type="character" w:customStyle="1" w:styleId="CommentSubjectChar">
    <w:name w:val="Comment Subject Char"/>
    <w:basedOn w:val="CommentTextChar"/>
    <w:link w:val="CommentSubject"/>
    <w:uiPriority w:val="99"/>
    <w:semiHidden/>
    <w:rsid w:val="00256CC5"/>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pmc.gov.au/resources/commonwealth-coat-arms-information-and-guidelin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yperlink" Target="mailto:dap@infrastructure.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6062B487FA63498A1752E575CA25BC" ma:contentTypeVersion="3" ma:contentTypeDescription="Create a new document." ma:contentTypeScope="" ma:versionID="e66aa2565e3e42391d59fbec28743de6">
  <xsd:schema xmlns:xsd="http://www.w3.org/2001/XMLSchema" xmlns:xs="http://www.w3.org/2001/XMLSchema" xmlns:p="http://schemas.microsoft.com/office/2006/metadata/properties" xmlns:ns2="b4c53a8a-b56b-4911-91b0-78b06edc0c3c" targetNamespace="http://schemas.microsoft.com/office/2006/metadata/properties" ma:root="true" ma:fieldsID="cd1369b53acc047b30c211b9701a12ba" ns2:_="">
    <xsd:import namespace="b4c53a8a-b56b-4911-91b0-78b06edc0c3c"/>
    <xsd:element name="properties">
      <xsd:complexType>
        <xsd:sequence>
          <xsd:element name="documentManagement">
            <xsd:complexType>
              <xsd:all>
                <xsd:element ref="ns2:RecordNumber" minOccurs="0"/>
                <xsd:element ref="ns2:l7577746a61d49d4b9fc93b328803f6e" minOccurs="0"/>
                <xsd:element ref="ns2:TaxCatchAll" minOccurs="0"/>
                <xsd:element ref="ns2:TaxCatchAllLabel" minOccurs="0"/>
                <xsd:element ref="ns2:l1853d32f34a47dea747ce536051590c"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53a8a-b56b-4911-91b0-78b06edc0c3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l7577746a61d49d4b9fc93b328803f6e" ma:index="9" ma:taxonomy="true" ma:internalName="l7577746a61d49d4b9fc93b328803f6e" ma:taxonomyFieldName="Security_x0020_Classification" ma:displayName="Security Classification" ma:readOnly="false" ma:default="1;#OFFICIAL|66ee57a8-59d0-46bc-a5fc-78440ee0cf81" ma:fieldId="{57577746-a61d-49d4-b9fc-93b328803f6e}"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37562a4a-6971-47f4-bad1-2cc12963a662}" ma:internalName="TaxCatchAll" ma:showField="CatchAllData" ma:web="b4c53a8a-b56b-4911-91b0-78b06edc0c3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7562a4a-6971-47f4-bad1-2cc12963a662}" ma:internalName="TaxCatchAllLabel" ma:readOnly="true" ma:showField="CatchAllDataLabel" ma:web="b4c53a8a-b56b-4911-91b0-78b06edc0c3c">
      <xsd:complexType>
        <xsd:complexContent>
          <xsd:extension base="dms:MultiChoiceLookup">
            <xsd:sequence>
              <xsd:element name="Value" type="dms:Lookup" maxOccurs="unbounded" minOccurs="0" nillable="true"/>
            </xsd:sequence>
          </xsd:extension>
        </xsd:complexContent>
      </xsd:complexType>
    </xsd:element>
    <xsd:element name="l1853d32f34a47dea747ce536051590c" ma:index="13" nillable="true" ma:taxonomy="true" ma:internalName="l1853d32f34a47dea747ce536051590c" ma:taxonomyFieldName="Information_x0020_Management_x0020_Marker" ma:displayName="Information Management Marker" ma:default="" ma:fieldId="{51853d32-f34a-47de-a747-ce536051590c}"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hidden="true" ma:internalName="Document_x0020_SP_x0020_Type"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DC5F8-41D3-4B24-B97B-B85AE350A1F9}">
  <ds:schemaRefs>
    <ds:schemaRef ds:uri="http://schemas.openxmlformats.org/officeDocument/2006/bibliography"/>
  </ds:schemaRefs>
</ds:datastoreItem>
</file>

<file path=customXml/itemProps2.xml><?xml version="1.0" encoding="utf-8"?>
<ds:datastoreItem xmlns:ds="http://schemas.openxmlformats.org/officeDocument/2006/customXml" ds:itemID="{A0AD1B33-1E42-4416-A3AA-5D9F93773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53a8a-b56b-4911-91b0-78b06edc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FE5D8-CC0E-41E9-B055-9F8BA88C15BD}">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1397</Words>
  <Characters>8943</Characters>
  <Application>Microsoft Office Word</Application>
  <DocSecurity>0</DocSecurity>
  <Lines>159</Lines>
  <Paragraphs>94</Paragraphs>
  <ScaleCrop>false</ScaleCrop>
  <HeadingPairs>
    <vt:vector size="2" baseType="variant">
      <vt:variant>
        <vt:lpstr>Title</vt:lpstr>
      </vt:variant>
      <vt:variant>
        <vt:i4>1</vt:i4>
      </vt:variant>
    </vt:vector>
  </HeadingPairs>
  <TitlesOfParts>
    <vt:vector size="1" baseType="lpstr">
      <vt:lpstr>— 2026</vt:lpstr>
    </vt:vector>
  </TitlesOfParts>
  <Company>Australian Government, Department of Infrastructure, Transport, Regional Development, Communications, Sport and the Arts</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2026</dc:title>
  <dc:subject/>
  <cp:keywords>Flying Considerately Consultation Paper—Aviation White Paper Initiative #34—February 2026</cp:keywords>
  <dc:description>20 January 2026</dc:description>
  <cp:revision>3</cp:revision>
  <dcterms:created xsi:type="dcterms:W3CDTF">2026-05-27T00:28:00Z</dcterms:created>
  <dcterms:modified xsi:type="dcterms:W3CDTF">2026-05-29T03:16:00Z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4239095f,5ebf704b,26e1e252,784446ce,5995aca</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7d13029e,6add45f5,ee4612d,a52c73a,6dedb8f6</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y fmtid="{D5CDD505-2E9C-101B-9397-08002B2CF9AE}" pid="8" name="ContentTypeId">
    <vt:lpwstr>0x010100FB6062B487FA63498A1752E575CA25BC</vt:lpwstr>
  </property>
</Properties>
</file>