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8942573"/>
    <w:bookmarkStart w:id="1" w:name="_Hlk148942357"/>
    <w:bookmarkStart w:id="2" w:name="_Hlk150152067"/>
    <w:p w14:paraId="29C1222C" w14:textId="044C42D3" w:rsidR="001D659E" w:rsidRPr="0069753D" w:rsidRDefault="00C43B8B" w:rsidP="00140888">
      <w:pPr>
        <w:pStyle w:val="SecurityMarker"/>
        <w:framePr w:w="11873" w:h="465" w:hRule="exact" w:hSpace="181" w:wrap="around" w:vAnchor="page" w:hAnchor="page" w:x="29" w:y="353" w:anchorLock="1"/>
        <w:tabs>
          <w:tab w:val="center" w:pos="4932"/>
          <w:tab w:val="left" w:pos="7290"/>
        </w:tabs>
        <w:rPr>
          <w:color w:val="FF0000"/>
        </w:rPr>
      </w:pPr>
      <w:sdt>
        <w:sdtPr>
          <w:rPr>
            <w:shd w:val="clear" w:color="auto" w:fill="auto"/>
          </w:rPr>
          <w:alias w:val="SecClass"/>
          <w:tag w:val="SecClass"/>
          <w:id w:val="-1644493544"/>
          <w:placeholder>
            <w:docPart w:val="BC607156A6FA4A89BC591EE89E0032EE"/>
          </w:placeholder>
          <w:comboBox>
            <w:listItem w:displayText="Select security classification" w:value="Select security classification"/>
            <w:listItem w:displayText="OFFICIAL" w:value="1"/>
            <w:listItem w:displayText="OFFICIAL: SENSITIVE" w:value="2"/>
            <w:listItem w:displayText="PROTECTED" w:value="3"/>
          </w:comboBox>
        </w:sdtPr>
        <w:sdtEndPr/>
        <w:sdtContent>
          <w:r>
            <w:rPr>
              <w:shd w:val="clear" w:color="auto" w:fill="auto"/>
            </w:rPr>
            <w:t>OFFICIAL</w:t>
          </w:r>
        </w:sdtContent>
      </w:sdt>
      <w:bookmarkEnd w:id="0"/>
    </w:p>
    <w:bookmarkEnd w:id="2" w:displacedByCustomXml="next"/>
    <w:bookmarkEnd w:id="1" w:displacedByCustomXml="next"/>
    <w:sdt>
      <w:sdtPr>
        <w:rPr>
          <w:sz w:val="52"/>
          <w:szCs w:val="52"/>
        </w:rPr>
        <w:alias w:val="Title"/>
        <w:tag w:val=""/>
        <w:id w:val="975726233"/>
        <w:placeholder>
          <w:docPart w:val="7EDE802F698048CAB6F6CE83824705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148C5FA" w14:textId="77777777" w:rsidR="00C0066A" w:rsidRPr="00117099" w:rsidRDefault="00C0066A" w:rsidP="00C0066A">
          <w:pPr>
            <w:pStyle w:val="Title"/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Fact Sheet – Thriving Suburbs Program</w:t>
          </w:r>
        </w:p>
      </w:sdtContent>
    </w:sdt>
    <w:p w14:paraId="0FDFF96A" w14:textId="77777777" w:rsidR="00C0066A" w:rsidRPr="0038663C" w:rsidRDefault="00C0066A" w:rsidP="00C0066A">
      <w:pPr>
        <w:pStyle w:val="ListParagraph"/>
        <w:numPr>
          <w:ilvl w:val="0"/>
          <w:numId w:val="30"/>
        </w:numPr>
      </w:pPr>
      <w:r w:rsidRPr="00117099">
        <w:t xml:space="preserve">The </w:t>
      </w:r>
      <w:r>
        <w:t xml:space="preserve">Australian </w:t>
      </w:r>
      <w:r w:rsidRPr="00117099">
        <w:t xml:space="preserve">Government </w:t>
      </w:r>
      <w:r w:rsidRPr="00593DA3">
        <w:t xml:space="preserve">has </w:t>
      </w:r>
      <w:r>
        <w:t>funded 70 projects, totalling</w:t>
      </w:r>
      <w:r w:rsidRPr="0038663C">
        <w:t xml:space="preserve"> </w:t>
      </w:r>
      <w:r>
        <w:t xml:space="preserve">$317.7 million </w:t>
      </w:r>
      <w:r w:rsidRPr="0038663C">
        <w:t xml:space="preserve">over three years, from 2024-25 to 2026-27, </w:t>
      </w:r>
      <w:r>
        <w:t xml:space="preserve">under </w:t>
      </w:r>
      <w:r w:rsidRPr="00593DA3">
        <w:t>the</w:t>
      </w:r>
      <w:r w:rsidRPr="0038663C">
        <w:t xml:space="preserve"> Thriving Suburbs Program</w:t>
      </w:r>
      <w:r>
        <w:t>,</w:t>
      </w:r>
      <w:r w:rsidRPr="0038663C">
        <w:t xml:space="preserve"> </w:t>
      </w:r>
      <w:r w:rsidRPr="00593DA3">
        <w:t>to deliver investment in locally-driven</w:t>
      </w:r>
      <w:r w:rsidRPr="0038663C">
        <w:t xml:space="preserve"> urban, suburban and peri-urban community infrastructure projects across Australia</w:t>
      </w:r>
      <w:r w:rsidRPr="00593DA3">
        <w:t>.</w:t>
      </w:r>
    </w:p>
    <w:p w14:paraId="1E701913" w14:textId="77777777" w:rsidR="00C0066A" w:rsidRDefault="00C0066A" w:rsidP="00C0066A">
      <w:pPr>
        <w:pStyle w:val="ListParagraph"/>
        <w:numPr>
          <w:ilvl w:val="0"/>
          <w:numId w:val="30"/>
        </w:numPr>
      </w:pPr>
      <w:r w:rsidRPr="00593DA3">
        <w:t>Funding between</w:t>
      </w:r>
      <w:r w:rsidRPr="00962E87">
        <w:t xml:space="preserve"> $500,000</w:t>
      </w:r>
      <w:r w:rsidRPr="00593DA3">
        <w:t xml:space="preserve"> </w:t>
      </w:r>
      <w:r w:rsidRPr="00962E87">
        <w:t>and</w:t>
      </w:r>
      <w:r w:rsidRPr="00593DA3">
        <w:t xml:space="preserve"> </w:t>
      </w:r>
      <w:r w:rsidRPr="00962E87">
        <w:t>$15 million</w:t>
      </w:r>
      <w:r w:rsidRPr="00593DA3">
        <w:t xml:space="preserve"> has been awarded to </w:t>
      </w:r>
      <w:r w:rsidRPr="00962E87">
        <w:t>eligible local government entities and incorporated not-for-profit organisations</w:t>
      </w:r>
      <w:r w:rsidRPr="00593DA3">
        <w:t xml:space="preserve"> to deliver </w:t>
      </w:r>
      <w:r>
        <w:t>the</w:t>
      </w:r>
      <w:r w:rsidRPr="00593DA3">
        <w:t xml:space="preserve"> </w:t>
      </w:r>
      <w:r w:rsidRPr="00962E87">
        <w:t>priority</w:t>
      </w:r>
      <w:r w:rsidRPr="00593DA3">
        <w:t xml:space="preserve"> community infrastructure projects</w:t>
      </w:r>
      <w:r>
        <w:t xml:space="preserve"> across Australia</w:t>
      </w:r>
      <w:r w:rsidRPr="00593DA3">
        <w:t xml:space="preserve">. </w:t>
      </w:r>
    </w:p>
    <w:p w14:paraId="4D7E9EE8" w14:textId="77777777" w:rsidR="00C0066A" w:rsidRPr="0038663C" w:rsidRDefault="00C0066A" w:rsidP="00C0066A">
      <w:pPr>
        <w:pStyle w:val="ListParagraph"/>
        <w:numPr>
          <w:ilvl w:val="0"/>
          <w:numId w:val="30"/>
        </w:numPr>
      </w:pPr>
      <w:r>
        <w:t>D</w:t>
      </w:r>
      <w:r w:rsidRPr="00C81B2C">
        <w:t>eliver</w:t>
      </w:r>
      <w:r>
        <w:t xml:space="preserve">y of </w:t>
      </w:r>
      <w:r w:rsidRPr="00C81B2C">
        <w:t xml:space="preserve">new community infrastructure programs </w:t>
      </w:r>
      <w:r>
        <w:t xml:space="preserve">is </w:t>
      </w:r>
      <w:r w:rsidRPr="00C81B2C">
        <w:t>through partnership</w:t>
      </w:r>
      <w:r>
        <w:t xml:space="preserve"> arrangements</w:t>
      </w:r>
      <w:r w:rsidRPr="00C81B2C">
        <w:t xml:space="preserve"> </w:t>
      </w:r>
      <w:r>
        <w:t>between</w:t>
      </w:r>
      <w:r w:rsidRPr="00C81B2C">
        <w:t xml:space="preserve"> </w:t>
      </w:r>
      <w:r>
        <w:t>the</w:t>
      </w:r>
      <w:r w:rsidRPr="00C81B2C">
        <w:t xml:space="preserve"> Australian Government </w:t>
      </w:r>
      <w:r>
        <w:t>and</w:t>
      </w:r>
      <w:r w:rsidRPr="00C81B2C">
        <w:t xml:space="preserve"> </w:t>
      </w:r>
      <w:r>
        <w:t>S</w:t>
      </w:r>
      <w:r w:rsidRPr="00C81B2C">
        <w:t xml:space="preserve">tate and </w:t>
      </w:r>
      <w:r>
        <w:t>T</w:t>
      </w:r>
      <w:r w:rsidRPr="00C81B2C">
        <w:t xml:space="preserve">erritory </w:t>
      </w:r>
      <w:r>
        <w:t>g</w:t>
      </w:r>
      <w:r w:rsidRPr="00C81B2C">
        <w:t>overnments.</w:t>
      </w:r>
      <w:r>
        <w:t xml:space="preserve"> Under these arrangements, State and Territory governments are responsible for administering projects, working with approved project proponents to prepare and execute funding agreements, and make payments based on agreed milestones.</w:t>
      </w:r>
    </w:p>
    <w:p w14:paraId="0DA2FC2E" w14:textId="77777777" w:rsidR="00C0066A" w:rsidRPr="00593DA3" w:rsidRDefault="00C0066A" w:rsidP="00C0066A">
      <w:pPr>
        <w:pStyle w:val="ListParagraph"/>
        <w:numPr>
          <w:ilvl w:val="0"/>
          <w:numId w:val="30"/>
        </w:numPr>
      </w:pPr>
      <w:r>
        <w:t>P</w:t>
      </w:r>
      <w:r w:rsidRPr="00593DA3">
        <w:t xml:space="preserve">rojects </w:t>
      </w:r>
      <w:r>
        <w:t>are</w:t>
      </w:r>
      <w:r w:rsidRPr="0038663C">
        <w:t xml:space="preserve"> located</w:t>
      </w:r>
      <w:r w:rsidRPr="00593DA3">
        <w:t xml:space="preserve"> </w:t>
      </w:r>
      <w:r w:rsidRPr="0038663C">
        <w:t>in the Greater Capital City Statistical Areas</w:t>
      </w:r>
      <w:r w:rsidRPr="00593DA3">
        <w:t xml:space="preserve"> (GCCSAs) as defined by </w:t>
      </w:r>
      <w:r>
        <w:t xml:space="preserve">the </w:t>
      </w:r>
      <w:r w:rsidRPr="00593DA3">
        <w:t>Australian Bureau of Statistics.</w:t>
      </w:r>
    </w:p>
    <w:p w14:paraId="40B138A4" w14:textId="77777777" w:rsidR="00C0066A" w:rsidRPr="00863D7C" w:rsidRDefault="00C0066A" w:rsidP="00C0066A">
      <w:pPr>
        <w:pStyle w:val="ListParagraph"/>
        <w:numPr>
          <w:ilvl w:val="0"/>
          <w:numId w:val="30"/>
        </w:numPr>
        <w:rPr>
          <w:color w:val="auto"/>
        </w:rPr>
      </w:pPr>
      <w:r w:rsidRPr="00593DA3">
        <w:t xml:space="preserve">The Government also opened the </w:t>
      </w:r>
      <w:r w:rsidRPr="0038663C">
        <w:t>$600 million</w:t>
      </w:r>
      <w:r w:rsidRPr="00593DA3">
        <w:t xml:space="preserve"> </w:t>
      </w:r>
      <w:r w:rsidRPr="0038663C">
        <w:t>Growing Regions Program</w:t>
      </w:r>
      <w:r w:rsidRPr="00593DA3">
        <w:t xml:space="preserve"> on 5 July 2023 and this program cover</w:t>
      </w:r>
      <w:r>
        <w:t>s</w:t>
      </w:r>
      <w:r w:rsidRPr="00593DA3">
        <w:t xml:space="preserve"> all communities outside the GCCSAs. </w:t>
      </w:r>
      <w:r>
        <w:t>For more information on this program see</w:t>
      </w:r>
      <w:r w:rsidRPr="00863D7C">
        <w:rPr>
          <w:color w:val="auto"/>
        </w:rPr>
        <w:t xml:space="preserve">:   </w:t>
      </w:r>
      <w:hyperlink r:id="rId11" w:history="1">
        <w:r w:rsidRPr="00863D7C">
          <w:rPr>
            <w:rStyle w:val="Hyperlink"/>
            <w:color w:val="auto"/>
          </w:rPr>
          <w:t>Growing Regions Program | Department of Infrastructure, Transport, Regional Development, Communications and the Arts</w:t>
        </w:r>
      </w:hyperlink>
    </w:p>
    <w:p w14:paraId="69D6D3CD" w14:textId="77777777" w:rsidR="00C0066A" w:rsidRPr="00593DA3" w:rsidRDefault="00C0066A" w:rsidP="00C0066A">
      <w:pPr>
        <w:pStyle w:val="ListParagraph"/>
        <w:numPr>
          <w:ilvl w:val="0"/>
          <w:numId w:val="30"/>
        </w:numPr>
      </w:pPr>
      <w:r w:rsidRPr="00593DA3">
        <w:t xml:space="preserve">The Government has redesigned </w:t>
      </w:r>
      <w:r>
        <w:t xml:space="preserve">urban and </w:t>
      </w:r>
      <w:r w:rsidRPr="00593DA3">
        <w:t xml:space="preserve">regional investments to ensure best </w:t>
      </w:r>
      <w:r w:rsidRPr="00962E87">
        <w:t>practice transparency and consistency</w:t>
      </w:r>
      <w:r w:rsidRPr="00593DA3">
        <w:t xml:space="preserve"> of process, as well as </w:t>
      </w:r>
      <w:r w:rsidRPr="00962E87">
        <w:t>fairer distribution of funds</w:t>
      </w:r>
      <w:r w:rsidRPr="00593DA3">
        <w:t xml:space="preserve"> to ensure people can have confidence in the programs.</w:t>
      </w:r>
    </w:p>
    <w:p w14:paraId="718852B6" w14:textId="77777777" w:rsidR="00C0066A" w:rsidRPr="001D4B3E" w:rsidRDefault="00C0066A" w:rsidP="00C0066A">
      <w:pPr>
        <w:rPr>
          <w:b/>
        </w:rPr>
      </w:pPr>
      <w:r w:rsidRPr="001D4B3E">
        <w:rPr>
          <w:b/>
        </w:rPr>
        <w:t>Background</w:t>
      </w:r>
    </w:p>
    <w:p w14:paraId="15D9F7E5" w14:textId="77777777" w:rsidR="00C0066A" w:rsidRPr="00593DA3" w:rsidRDefault="00C0066A" w:rsidP="00C0066A">
      <w:pPr>
        <w:pStyle w:val="ListParagraph"/>
        <w:numPr>
          <w:ilvl w:val="0"/>
          <w:numId w:val="30"/>
        </w:numPr>
      </w:pPr>
      <w:r w:rsidRPr="00593DA3">
        <w:t xml:space="preserve">The Thriving Suburbs Program </w:t>
      </w:r>
      <w:r w:rsidRPr="00962E87">
        <w:t>Forecast Funding Opportunity</w:t>
      </w:r>
      <w:r w:rsidRPr="00593DA3">
        <w:t xml:space="preserve"> </w:t>
      </w:r>
      <w:r w:rsidRPr="00962E87">
        <w:t xml:space="preserve">was released on 16 May 2024 </w:t>
      </w:r>
      <w:r w:rsidRPr="00593DA3">
        <w:t>to allow</w:t>
      </w:r>
      <w:r w:rsidRPr="00962E87">
        <w:t xml:space="preserve"> eligible </w:t>
      </w:r>
      <w:r w:rsidRPr="00593DA3">
        <w:t xml:space="preserve">applicants time to start preparing applications ahead of the program opening. This </w:t>
      </w:r>
      <w:r>
        <w:t>was</w:t>
      </w:r>
      <w:r w:rsidRPr="00962E87">
        <w:t xml:space="preserve"> replaced</w:t>
      </w:r>
      <w:r w:rsidRPr="00593DA3">
        <w:t xml:space="preserve"> with the approved </w:t>
      </w:r>
      <w:r>
        <w:t>P</w:t>
      </w:r>
      <w:r w:rsidRPr="00593DA3">
        <w:t xml:space="preserve">rogram </w:t>
      </w:r>
      <w:r>
        <w:t>G</w:t>
      </w:r>
      <w:r w:rsidRPr="00593DA3">
        <w:t>uidelines</w:t>
      </w:r>
      <w:r>
        <w:t xml:space="preserve"> on 27 July 2024</w:t>
      </w:r>
      <w:r w:rsidRPr="00593DA3">
        <w:t>.</w:t>
      </w:r>
    </w:p>
    <w:p w14:paraId="6607D5B2" w14:textId="77777777" w:rsidR="00C0066A" w:rsidRPr="00962E87" w:rsidRDefault="00C0066A" w:rsidP="00C0066A">
      <w:pPr>
        <w:pStyle w:val="ListParagraph"/>
        <w:numPr>
          <w:ilvl w:val="0"/>
          <w:numId w:val="30"/>
        </w:numPr>
      </w:pPr>
      <w:r w:rsidRPr="00962E87">
        <w:t>Applications opened</w:t>
      </w:r>
      <w:r w:rsidRPr="00593DA3">
        <w:t xml:space="preserve"> on </w:t>
      </w:r>
      <w:r w:rsidRPr="00962E87">
        <w:t>27 July 2024 and closed on 2 September 2024 (the former closing date was 26</w:t>
      </w:r>
      <w:r>
        <w:t> </w:t>
      </w:r>
      <w:r w:rsidRPr="00962E87">
        <w:t>August 2024).</w:t>
      </w:r>
    </w:p>
    <w:p w14:paraId="559DEEC5" w14:textId="77777777" w:rsidR="00C0066A" w:rsidRPr="0038663C" w:rsidRDefault="00C0066A" w:rsidP="00C0066A">
      <w:pPr>
        <w:pStyle w:val="ListParagraph"/>
        <w:numPr>
          <w:ilvl w:val="0"/>
          <w:numId w:val="30"/>
        </w:numPr>
      </w:pPr>
      <w:r>
        <w:t>A</w:t>
      </w:r>
      <w:r w:rsidRPr="0038663C">
        <w:t xml:space="preserve">ll local government areas in Australia </w:t>
      </w:r>
      <w:r>
        <w:t>were</w:t>
      </w:r>
      <w:r w:rsidRPr="0038663C">
        <w:t xml:space="preserve"> eligible for funding opportunities under </w:t>
      </w:r>
      <w:r>
        <w:t>the Thriving Suburbs Program or the Growing Regions P</w:t>
      </w:r>
      <w:r w:rsidRPr="0038663C">
        <w:t>rogram</w:t>
      </w:r>
      <w:r w:rsidRPr="00593DA3">
        <w:t>.</w:t>
      </w:r>
      <w:r>
        <w:t xml:space="preserve"> </w:t>
      </w:r>
    </w:p>
    <w:p w14:paraId="26DDE4FE" w14:textId="77777777" w:rsidR="00C0066A" w:rsidRPr="0038663C" w:rsidRDefault="00C0066A" w:rsidP="00C0066A">
      <w:pPr>
        <w:pStyle w:val="ListParagraph"/>
        <w:numPr>
          <w:ilvl w:val="0"/>
          <w:numId w:val="30"/>
        </w:numPr>
      </w:pPr>
      <w:r w:rsidRPr="0038663C">
        <w:t>Fairness and transparency</w:t>
      </w:r>
      <w:r w:rsidRPr="00593DA3">
        <w:t xml:space="preserve"> in funding administration </w:t>
      </w:r>
      <w:r>
        <w:t xml:space="preserve">was </w:t>
      </w:r>
      <w:r w:rsidRPr="00593DA3">
        <w:t xml:space="preserve">demonstrated in the </w:t>
      </w:r>
      <w:r w:rsidRPr="0038663C">
        <w:t>Thriving Suburbs Program</w:t>
      </w:r>
      <w:r w:rsidRPr="00593DA3">
        <w:t xml:space="preserve"> through the </w:t>
      </w:r>
      <w:r>
        <w:t>use</w:t>
      </w:r>
      <w:r w:rsidRPr="00593DA3">
        <w:t xml:space="preserve"> of a </w:t>
      </w:r>
      <w:r w:rsidRPr="0038663C">
        <w:t>multi-party Parliamentary panel</w:t>
      </w:r>
      <w:r w:rsidRPr="00593DA3">
        <w:t>. The panel recommend</w:t>
      </w:r>
      <w:r>
        <w:t>ed</w:t>
      </w:r>
      <w:r w:rsidRPr="00593DA3">
        <w:t xml:space="preserve"> projects that contribute to social and community inclusion, are aligned with Government priorities</w:t>
      </w:r>
      <w:r>
        <w:t>,</w:t>
      </w:r>
      <w:r w:rsidRPr="00593DA3">
        <w:t xml:space="preserve"> can be delivered </w:t>
      </w:r>
      <w:r>
        <w:t xml:space="preserve">within the required timeframe </w:t>
      </w:r>
      <w:r w:rsidRPr="00593DA3">
        <w:t xml:space="preserve">and </w:t>
      </w:r>
      <w:r>
        <w:t xml:space="preserve">are </w:t>
      </w:r>
      <w:r w:rsidRPr="00593DA3">
        <w:t>sustain</w:t>
      </w:r>
      <w:r>
        <w:t>able</w:t>
      </w:r>
      <w:r w:rsidRPr="00593DA3">
        <w:t xml:space="preserve">. </w:t>
      </w:r>
    </w:p>
    <w:p w14:paraId="29A6AD8E" w14:textId="77777777" w:rsidR="00C0066A" w:rsidRPr="0038663C" w:rsidRDefault="00C0066A" w:rsidP="00C0066A">
      <w:pPr>
        <w:pStyle w:val="ListParagraph"/>
        <w:numPr>
          <w:ilvl w:val="0"/>
          <w:numId w:val="30"/>
        </w:numPr>
      </w:pPr>
      <w:r w:rsidRPr="00593DA3">
        <w:t xml:space="preserve">An </w:t>
      </w:r>
      <w:r w:rsidRPr="0038663C">
        <w:t>external probity advisor</w:t>
      </w:r>
      <w:r>
        <w:t>,</w:t>
      </w:r>
      <w:r w:rsidRPr="0038663C">
        <w:t xml:space="preserve"> </w:t>
      </w:r>
      <w:r w:rsidRPr="00593DA3">
        <w:t>appointed by the department</w:t>
      </w:r>
      <w:r>
        <w:t>,</w:t>
      </w:r>
      <w:r w:rsidRPr="00593DA3">
        <w:t xml:space="preserve"> provide</w:t>
      </w:r>
      <w:r>
        <w:t>d</w:t>
      </w:r>
      <w:r w:rsidRPr="00593DA3">
        <w:t xml:space="preserve"> advice to the </w:t>
      </w:r>
      <w:r w:rsidRPr="0038663C">
        <w:t>multi-party Parliamentary panel</w:t>
      </w:r>
      <w:r w:rsidRPr="00593DA3">
        <w:t>.</w:t>
      </w:r>
    </w:p>
    <w:p w14:paraId="7A5CECC9" w14:textId="77777777" w:rsidR="00C0066A" w:rsidRPr="00593DA3" w:rsidRDefault="00C0066A" w:rsidP="00C0066A">
      <w:pPr>
        <w:pStyle w:val="ListParagraph"/>
        <w:numPr>
          <w:ilvl w:val="0"/>
          <w:numId w:val="30"/>
        </w:numPr>
      </w:pPr>
      <w:r w:rsidRPr="00593DA3">
        <w:t xml:space="preserve">The Thriving Suburbs Program </w:t>
      </w:r>
      <w:r>
        <w:t xml:space="preserve">projects were selected through </w:t>
      </w:r>
      <w:r w:rsidRPr="00962E87">
        <w:t>an open competitive</w:t>
      </w:r>
      <w:r w:rsidRPr="00593DA3">
        <w:t xml:space="preserve"> pro</w:t>
      </w:r>
      <w:r>
        <w:t xml:space="preserve">cess, including a single stage application process, with </w:t>
      </w:r>
      <w:r w:rsidRPr="00593DA3">
        <w:t xml:space="preserve">funding awarded on a </w:t>
      </w:r>
      <w:r w:rsidRPr="00962E87">
        <w:t>merit basis</w:t>
      </w:r>
      <w:r w:rsidRPr="00593DA3">
        <w:t xml:space="preserve">.  </w:t>
      </w:r>
    </w:p>
    <w:p w14:paraId="59F4D0CE" w14:textId="77777777" w:rsidR="00C0066A" w:rsidRDefault="00C0066A" w:rsidP="00C0066A">
      <w:pPr>
        <w:pStyle w:val="ListParagraph"/>
        <w:numPr>
          <w:ilvl w:val="0"/>
          <w:numId w:val="30"/>
        </w:numPr>
      </w:pPr>
      <w:r w:rsidRPr="00593DA3">
        <w:t xml:space="preserve">The </w:t>
      </w:r>
      <w:r>
        <w:t>department’s website provides:</w:t>
      </w:r>
    </w:p>
    <w:p w14:paraId="1FFB5D5C" w14:textId="77777777" w:rsidR="00C0066A" w:rsidRPr="0038663C" w:rsidRDefault="00C0066A" w:rsidP="00C0066A">
      <w:pPr>
        <w:pStyle w:val="ListParagraph"/>
        <w:numPr>
          <w:ilvl w:val="1"/>
          <w:numId w:val="30"/>
        </w:numPr>
      </w:pPr>
      <w:r w:rsidRPr="0038663C">
        <w:t>Thriving Suburbs Program Guidelines</w:t>
      </w:r>
      <w:r>
        <w:t>,</w:t>
      </w:r>
      <w:r w:rsidRPr="0038663C">
        <w:t xml:space="preserve"> </w:t>
      </w:r>
      <w:r>
        <w:t xml:space="preserve">as </w:t>
      </w:r>
      <w:r w:rsidRPr="0038663C">
        <w:t xml:space="preserve">published on </w:t>
      </w:r>
      <w:r w:rsidRPr="0038663C">
        <w:rPr>
          <w:color w:val="auto"/>
        </w:rPr>
        <w:t xml:space="preserve">27 </w:t>
      </w:r>
      <w:r w:rsidRPr="0038663C">
        <w:t>July 2024</w:t>
      </w:r>
      <w:r>
        <w:t>;</w:t>
      </w:r>
    </w:p>
    <w:p w14:paraId="093942D4" w14:textId="77777777" w:rsidR="00C0066A" w:rsidRDefault="00C0066A" w:rsidP="00C0066A">
      <w:pPr>
        <w:pStyle w:val="ListParagraph"/>
        <w:numPr>
          <w:ilvl w:val="1"/>
          <w:numId w:val="30"/>
        </w:numPr>
      </w:pPr>
      <w:r>
        <w:t>Approved projects</w:t>
      </w:r>
      <w:r w:rsidRPr="00593DA3">
        <w:t xml:space="preserve"> </w:t>
      </w:r>
      <w:r>
        <w:t>that</w:t>
      </w:r>
      <w:r w:rsidRPr="00593DA3">
        <w:t xml:space="preserve"> were announced in </w:t>
      </w:r>
      <w:r>
        <w:t>December 2024.</w:t>
      </w:r>
    </w:p>
    <w:p w14:paraId="74C57F87" w14:textId="77777777" w:rsidR="00C0066A" w:rsidRDefault="00C0066A" w:rsidP="00C0066A">
      <w:pPr>
        <w:jc w:val="center"/>
      </w:pPr>
    </w:p>
    <w:p w14:paraId="57BA46F1" w14:textId="77777777" w:rsidR="00C0066A" w:rsidRPr="00117099" w:rsidRDefault="00C0066A" w:rsidP="00C0066A">
      <w:pPr>
        <w:rPr>
          <w:b/>
        </w:rPr>
      </w:pPr>
      <w:r w:rsidRPr="00117099">
        <w:rPr>
          <w:b/>
        </w:rPr>
        <w:lastRenderedPageBreak/>
        <w:t>The objectives of the program</w:t>
      </w:r>
      <w:r>
        <w:rPr>
          <w:b/>
        </w:rPr>
        <w:t xml:space="preserve"> are:</w:t>
      </w:r>
    </w:p>
    <w:p w14:paraId="204070C8" w14:textId="77777777" w:rsidR="00C0066A" w:rsidRPr="00C30AB3" w:rsidRDefault="00C0066A" w:rsidP="00C0066A">
      <w:pPr>
        <w:pStyle w:val="ListBulle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30AB3">
        <w:rPr>
          <w:rFonts w:asciiTheme="minorHAnsi" w:hAnsiTheme="minorHAnsi" w:cstheme="minorHAnsi"/>
          <w:sz w:val="22"/>
          <w:szCs w:val="22"/>
        </w:rPr>
        <w:t>constructing or upgrading community infrastructure that fills an identified and immediate gap or unmet need for community infrastructure, particularly for communities that have experienced substantial growth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3336B57" w14:textId="77777777" w:rsidR="00C0066A" w:rsidRPr="00C30AB3" w:rsidRDefault="00C0066A" w:rsidP="00C0066A">
      <w:pPr>
        <w:pStyle w:val="ListBulle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30AB3">
        <w:rPr>
          <w:rFonts w:asciiTheme="minorHAnsi" w:hAnsiTheme="minorHAnsi" w:cstheme="minorHAnsi"/>
          <w:sz w:val="22"/>
          <w:szCs w:val="22"/>
        </w:rPr>
        <w:t>contributing to achieving social outcomes and increased community cohesion, liveability and accessibility for urban, suburban and peri-urban growth areas, fringe areas and inner suburbs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6A9DBC5" w14:textId="77777777" w:rsidR="00C0066A" w:rsidRPr="00C30AB3" w:rsidRDefault="00C0066A" w:rsidP="00C0066A">
      <w:pPr>
        <w:pStyle w:val="ListBulle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C30AB3">
        <w:rPr>
          <w:rFonts w:asciiTheme="minorHAnsi" w:hAnsiTheme="minorHAnsi" w:cstheme="minorHAnsi"/>
          <w:sz w:val="22"/>
          <w:szCs w:val="22"/>
        </w:rPr>
        <w:t xml:space="preserve">strategic alignment with the Australian Government’s National Urban Policy to deliver targeted and place-based investment that promotes sustainable growth and enables communities to thrive. </w:t>
      </w:r>
    </w:p>
    <w:p w14:paraId="7D60F55F" w14:textId="77777777" w:rsidR="00C0066A" w:rsidRDefault="00C0066A" w:rsidP="00C0066A">
      <w:pPr>
        <w:rPr>
          <w:b/>
        </w:rPr>
      </w:pPr>
      <w:r w:rsidRPr="00117099">
        <w:rPr>
          <w:b/>
        </w:rPr>
        <w:t>The intended outcomes of the program</w:t>
      </w:r>
      <w:r>
        <w:rPr>
          <w:b/>
        </w:rPr>
        <w:t xml:space="preserve"> are:</w:t>
      </w:r>
    </w:p>
    <w:p w14:paraId="0BB2316E" w14:textId="77777777" w:rsidR="00C0066A" w:rsidRPr="00C30AB3" w:rsidRDefault="00C0066A" w:rsidP="00C0066A">
      <w:pPr>
        <w:pStyle w:val="ListBulle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eastAsia="en-AU"/>
        </w:rPr>
      </w:pPr>
      <w:r w:rsidRPr="00C30AB3">
        <w:rPr>
          <w:rFonts w:asciiTheme="minorHAnsi" w:hAnsiTheme="minorHAnsi" w:cstheme="minorHAnsi"/>
          <w:sz w:val="22"/>
          <w:szCs w:val="22"/>
          <w:lang w:eastAsia="en-AU"/>
        </w:rPr>
        <w:t>provi</w:t>
      </w:r>
      <w:r>
        <w:rPr>
          <w:rFonts w:asciiTheme="minorHAnsi" w:hAnsiTheme="minorHAnsi" w:cstheme="minorHAnsi"/>
          <w:sz w:val="22"/>
          <w:szCs w:val="22"/>
          <w:lang w:eastAsia="en-AU"/>
        </w:rPr>
        <w:t>ding</w:t>
      </w:r>
      <w:r w:rsidRPr="00C30AB3">
        <w:rPr>
          <w:rFonts w:asciiTheme="minorHAnsi" w:hAnsiTheme="minorHAnsi" w:cstheme="minorHAnsi"/>
          <w:sz w:val="22"/>
          <w:szCs w:val="22"/>
          <w:lang w:eastAsia="en-AU"/>
        </w:rPr>
        <w:t xml:space="preserve"> multi-use infrastructure which benefits a broad section of the community by improving access, equity and social inclusion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4E1EFC70" w14:textId="77777777" w:rsidR="00C0066A" w:rsidRPr="00C30AB3" w:rsidRDefault="00C0066A" w:rsidP="00C0066A">
      <w:pPr>
        <w:pStyle w:val="ListBulle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eastAsia="en-AU"/>
        </w:rPr>
      </w:pPr>
      <w:r w:rsidRPr="00C30AB3">
        <w:rPr>
          <w:rFonts w:asciiTheme="minorHAnsi" w:hAnsiTheme="minorHAnsi" w:cstheme="minorHAnsi"/>
          <w:sz w:val="22"/>
          <w:szCs w:val="22"/>
          <w:lang w:eastAsia="en-AU"/>
        </w:rPr>
        <w:t>enhanc</w:t>
      </w:r>
      <w:r>
        <w:rPr>
          <w:rFonts w:asciiTheme="minorHAnsi" w:hAnsiTheme="minorHAnsi" w:cstheme="minorHAnsi"/>
          <w:sz w:val="22"/>
          <w:szCs w:val="22"/>
          <w:lang w:eastAsia="en-AU"/>
        </w:rPr>
        <w:t>ing</w:t>
      </w:r>
      <w:r w:rsidRPr="00C30AB3">
        <w:rPr>
          <w:rFonts w:asciiTheme="minorHAnsi" w:hAnsiTheme="minorHAnsi" w:cstheme="minorHAnsi"/>
          <w:sz w:val="22"/>
          <w:szCs w:val="22"/>
          <w:lang w:eastAsia="en-AU"/>
        </w:rPr>
        <w:t xml:space="preserve"> amenity and liveability, particularly in suburban and peri-urban areas (new and outer suburbs) that are experiencing growth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15C7265D" w14:textId="77777777" w:rsidR="00C0066A" w:rsidRPr="00C30AB3" w:rsidRDefault="00C0066A" w:rsidP="00C0066A">
      <w:pPr>
        <w:pStyle w:val="ListBullet"/>
        <w:numPr>
          <w:ilvl w:val="0"/>
          <w:numId w:val="33"/>
        </w:numPr>
        <w:rPr>
          <w:rFonts w:asciiTheme="minorHAnsi" w:hAnsiTheme="minorHAnsi" w:cstheme="minorHAnsi"/>
          <w:strike/>
          <w:sz w:val="22"/>
          <w:szCs w:val="22"/>
          <w:lang w:eastAsia="en-AU"/>
        </w:rPr>
      </w:pPr>
      <w:r w:rsidRPr="00C30AB3">
        <w:rPr>
          <w:rFonts w:asciiTheme="minorHAnsi" w:hAnsiTheme="minorHAnsi" w:cstheme="minorHAnsi"/>
          <w:sz w:val="22"/>
          <w:szCs w:val="22"/>
          <w:lang w:eastAsia="en-AU"/>
        </w:rPr>
        <w:t>contribut</w:t>
      </w:r>
      <w:r>
        <w:rPr>
          <w:rFonts w:asciiTheme="minorHAnsi" w:hAnsiTheme="minorHAnsi" w:cstheme="minorHAnsi"/>
          <w:sz w:val="22"/>
          <w:szCs w:val="22"/>
          <w:lang w:eastAsia="en-AU"/>
        </w:rPr>
        <w:t>ing</w:t>
      </w:r>
      <w:r w:rsidRPr="00C30AB3">
        <w:rPr>
          <w:rFonts w:asciiTheme="minorHAnsi" w:hAnsiTheme="minorHAnsi" w:cstheme="minorHAnsi"/>
          <w:sz w:val="22"/>
          <w:szCs w:val="22"/>
          <w:lang w:eastAsia="en-AU"/>
        </w:rPr>
        <w:t xml:space="preserve"> to the achievement of Government priorities supporting the resilience, adaptability, accessibility, sustainability and liveability of communities, including in First Nations communities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  <w:r w:rsidRPr="00C30AB3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</w:p>
    <w:p w14:paraId="141770D0" w14:textId="77777777" w:rsidR="00C0066A" w:rsidRPr="00C30AB3" w:rsidRDefault="00C0066A" w:rsidP="00C0066A">
      <w:pPr>
        <w:pStyle w:val="ListBulle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eastAsia="en-AU"/>
        </w:rPr>
      </w:pPr>
      <w:r w:rsidRPr="00C30AB3">
        <w:rPr>
          <w:rFonts w:asciiTheme="minorHAnsi" w:hAnsiTheme="minorHAnsi" w:cstheme="minorHAnsi"/>
          <w:sz w:val="22"/>
          <w:szCs w:val="22"/>
          <w:lang w:eastAsia="en-AU"/>
        </w:rPr>
        <w:t>deliver</w:t>
      </w:r>
      <w:r>
        <w:rPr>
          <w:rFonts w:asciiTheme="minorHAnsi" w:hAnsiTheme="minorHAnsi" w:cstheme="minorHAnsi"/>
          <w:sz w:val="22"/>
          <w:szCs w:val="22"/>
          <w:lang w:eastAsia="en-AU"/>
        </w:rPr>
        <w:t>ing</w:t>
      </w:r>
      <w:r w:rsidRPr="00C30AB3">
        <w:rPr>
          <w:rFonts w:asciiTheme="minorHAnsi" w:hAnsiTheme="minorHAnsi" w:cstheme="minorHAnsi"/>
          <w:sz w:val="22"/>
          <w:szCs w:val="22"/>
          <w:lang w:eastAsia="en-AU"/>
        </w:rPr>
        <w:t xml:space="preserve"> funding where it is needed across a broad geographic spread of urban, suburban and peri-urban areas in Australia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624FA9C9" w14:textId="77777777" w:rsidR="00C0066A" w:rsidRPr="00C30AB3" w:rsidRDefault="00C0066A" w:rsidP="00C0066A">
      <w:pPr>
        <w:pStyle w:val="ListBulle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eastAsia="en-AU"/>
        </w:rPr>
      </w:pPr>
      <w:r w:rsidRPr="00C30AB3">
        <w:rPr>
          <w:rFonts w:asciiTheme="minorHAnsi" w:hAnsiTheme="minorHAnsi" w:cstheme="minorHAnsi"/>
          <w:sz w:val="22"/>
          <w:szCs w:val="22"/>
          <w:lang w:eastAsia="en-AU"/>
        </w:rPr>
        <w:t>deliver</w:t>
      </w:r>
      <w:r>
        <w:rPr>
          <w:rFonts w:asciiTheme="minorHAnsi" w:hAnsiTheme="minorHAnsi" w:cstheme="minorHAnsi"/>
          <w:sz w:val="22"/>
          <w:szCs w:val="22"/>
          <w:lang w:eastAsia="en-AU"/>
        </w:rPr>
        <w:t>ing</w:t>
      </w:r>
      <w:r w:rsidRPr="00C30AB3">
        <w:rPr>
          <w:rFonts w:asciiTheme="minorHAnsi" w:hAnsiTheme="minorHAnsi" w:cstheme="minorHAnsi"/>
          <w:sz w:val="22"/>
          <w:szCs w:val="22"/>
          <w:lang w:eastAsia="en-AU"/>
        </w:rPr>
        <w:t xml:space="preserve"> diverse project types and a balance of large and small projects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25317623" w14:textId="77777777" w:rsidR="00C0066A" w:rsidRDefault="00C0066A" w:rsidP="00C0066A">
      <w:pPr>
        <w:pStyle w:val="ListBulle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  <w:lang w:eastAsia="en-AU"/>
        </w:rPr>
      </w:pPr>
      <w:r w:rsidRPr="00C30AB3">
        <w:rPr>
          <w:rFonts w:asciiTheme="minorHAnsi" w:hAnsiTheme="minorHAnsi" w:cstheme="minorHAnsi"/>
          <w:sz w:val="22"/>
          <w:szCs w:val="22"/>
          <w:lang w:eastAsia="en-AU"/>
        </w:rPr>
        <w:t>supporting and encouraging projects from lesser-resourced project proponents and low rate-based councils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758DE8B0" w14:textId="77777777" w:rsidR="00C0066A" w:rsidRPr="00DC3432" w:rsidRDefault="00C0066A" w:rsidP="00C0066A">
      <w:pPr>
        <w:rPr>
          <w:rFonts w:cstheme="minorHAnsi"/>
          <w:b/>
        </w:rPr>
      </w:pPr>
      <w:r w:rsidRPr="00DC3432">
        <w:rPr>
          <w:rFonts w:cstheme="minorHAnsi"/>
          <w:b/>
        </w:rPr>
        <w:t>Further information</w:t>
      </w:r>
    </w:p>
    <w:p w14:paraId="6024AF2E" w14:textId="77777777" w:rsidR="00C0066A" w:rsidRDefault="00C0066A" w:rsidP="00C0066A">
      <w:pPr>
        <w:pStyle w:val="ListBullet"/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C3432">
        <w:rPr>
          <w:rFonts w:asciiTheme="minorHAnsi" w:hAnsiTheme="minorHAnsi" w:cstheme="minorHAnsi"/>
          <w:sz w:val="22"/>
          <w:szCs w:val="22"/>
        </w:rPr>
        <w:t xml:space="preserve">This fact sheet is intended to complement </w:t>
      </w:r>
      <w:r>
        <w:rPr>
          <w:rFonts w:asciiTheme="minorHAnsi" w:hAnsiTheme="minorHAnsi" w:cstheme="minorHAnsi"/>
          <w:sz w:val="22"/>
          <w:szCs w:val="22"/>
        </w:rPr>
        <w:t>the</w:t>
      </w:r>
      <w:r w:rsidRPr="00DC34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Program</w:t>
      </w:r>
      <w:r w:rsidRPr="00DC3432">
        <w:rPr>
          <w:rFonts w:asciiTheme="minorHAnsi" w:hAnsiTheme="minorHAnsi" w:cstheme="minorHAnsi"/>
          <w:sz w:val="22"/>
          <w:szCs w:val="22"/>
        </w:rPr>
        <w:t xml:space="preserve"> Guidelines for this program. </w:t>
      </w:r>
      <w:r>
        <w:rPr>
          <w:rFonts w:asciiTheme="minorHAnsi" w:hAnsiTheme="minorHAnsi" w:cstheme="minorHAnsi"/>
          <w:sz w:val="22"/>
          <w:szCs w:val="22"/>
        </w:rPr>
        <w:t>The guidelines are the primary source of information for the program</w:t>
      </w:r>
      <w:r w:rsidRPr="00DC34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6172AA" w14:textId="77777777" w:rsidR="00C0066A" w:rsidRDefault="00C0066A" w:rsidP="00C0066A">
      <w:pPr>
        <w:pStyle w:val="ListBullet"/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further information on geographic project locations please refer to the guidelines and use the mapping tool available on the program webpage. </w:t>
      </w:r>
    </w:p>
    <w:p w14:paraId="0778E6BC" w14:textId="77777777" w:rsidR="00C0066A" w:rsidRDefault="00C0066A" w:rsidP="00C0066A">
      <w:pPr>
        <w:pStyle w:val="ListBullet"/>
        <w:numPr>
          <w:ilvl w:val="0"/>
          <w:numId w:val="32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guidelines, mapping tool and approved projects are available at </w:t>
      </w:r>
      <w:hyperlink r:id="rId12" w:history="1">
        <w:r w:rsidRPr="00863D7C">
          <w:rPr>
            <w:rFonts w:asciiTheme="minorHAnsi" w:eastAsiaTheme="minorHAnsi" w:hAnsiTheme="minorHAnsi" w:cstheme="minorBidi"/>
            <w:sz w:val="22"/>
            <w:szCs w:val="22"/>
            <w:u w:val="single"/>
          </w:rPr>
          <w:t>Thriving Suburbs Program | Department of Infrastructure, Transport, Regional Development, Communications and the Arts</w:t>
        </w:r>
      </w:hyperlink>
    </w:p>
    <w:p w14:paraId="44388141" w14:textId="77777777" w:rsidR="00C0066A" w:rsidRPr="00DC3432" w:rsidRDefault="00C0066A" w:rsidP="00C0066A">
      <w:pPr>
        <w:pStyle w:val="ListBullet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6C374FA" w14:textId="77777777" w:rsidR="00C0066A" w:rsidRDefault="00C0066A" w:rsidP="00C0066A">
      <w:pPr>
        <w:pStyle w:val="AreaHeading"/>
      </w:pPr>
    </w:p>
    <w:p w14:paraId="536B76E8" w14:textId="77777777" w:rsidR="00C0066A" w:rsidRPr="00C0066A" w:rsidRDefault="00C0066A" w:rsidP="00C0066A"/>
    <w:p w14:paraId="5CBD852F" w14:textId="77777777" w:rsidR="00C0066A" w:rsidRPr="00C0066A" w:rsidRDefault="00C0066A" w:rsidP="00C0066A"/>
    <w:p w14:paraId="6DAB5348" w14:textId="77777777" w:rsidR="00C0066A" w:rsidRPr="00C0066A" w:rsidRDefault="00C0066A" w:rsidP="00C0066A"/>
    <w:p w14:paraId="60A6F0FB" w14:textId="77777777" w:rsidR="00C0066A" w:rsidRPr="00C0066A" w:rsidRDefault="00C0066A" w:rsidP="00C0066A"/>
    <w:p w14:paraId="7F77C8E3" w14:textId="77777777" w:rsidR="00C0066A" w:rsidRPr="00C0066A" w:rsidRDefault="00C0066A" w:rsidP="00C0066A"/>
    <w:p w14:paraId="3162A866" w14:textId="77777777" w:rsidR="00C0066A" w:rsidRPr="00C0066A" w:rsidRDefault="00C0066A" w:rsidP="00C0066A"/>
    <w:p w14:paraId="30E31551" w14:textId="77777777" w:rsidR="00C0066A" w:rsidRPr="00C0066A" w:rsidRDefault="00C0066A" w:rsidP="00C0066A"/>
    <w:p w14:paraId="12B58A1D" w14:textId="77777777" w:rsidR="00C0066A" w:rsidRPr="00C0066A" w:rsidRDefault="00C0066A" w:rsidP="00C0066A"/>
    <w:p w14:paraId="59802B2A" w14:textId="77777777" w:rsidR="00C0066A" w:rsidRPr="00C0066A" w:rsidRDefault="00C0066A" w:rsidP="00C0066A"/>
    <w:p w14:paraId="2504BFAE" w14:textId="77777777" w:rsidR="00C0066A" w:rsidRPr="00C0066A" w:rsidRDefault="00C0066A" w:rsidP="00C0066A"/>
    <w:p w14:paraId="423A2C62" w14:textId="77777777" w:rsidR="00430511" w:rsidRPr="00C0066A" w:rsidRDefault="00C0066A" w:rsidP="00C0066A">
      <w:pPr>
        <w:tabs>
          <w:tab w:val="left" w:pos="4230"/>
        </w:tabs>
      </w:pPr>
      <w:r>
        <w:tab/>
      </w:r>
    </w:p>
    <w:sectPr w:rsidR="00430511" w:rsidRPr="00C0066A" w:rsidSect="00C0066A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21" w:right="1021" w:bottom="1021" w:left="102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DF26B" w14:textId="77777777" w:rsidR="00C0066A" w:rsidRDefault="00C0066A" w:rsidP="008456D5">
      <w:pPr>
        <w:spacing w:before="0" w:after="0"/>
      </w:pPr>
      <w:r>
        <w:separator/>
      </w:r>
    </w:p>
  </w:endnote>
  <w:endnote w:type="continuationSeparator" w:id="0">
    <w:p w14:paraId="5149C930" w14:textId="77777777" w:rsidR="00C0066A" w:rsidRDefault="00C0066A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33594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inline distT="0" distB="0" distL="0" distR="0" wp14:anchorId="1B66FFC1" wp14:editId="596E4DD4">
              <wp:extent cx="1007280" cy="539280"/>
              <wp:effectExtent l="0" t="0" r="2540" b="0"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DF0BA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66FF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width:79.3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14:paraId="56BDF0BA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FC8F83F" w14:textId="77777777" w:rsidR="00C15F0D" w:rsidRDefault="00C15F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3BAB" w14:textId="77777777" w:rsidR="00AB3238" w:rsidRDefault="00AB3238" w:rsidP="00AB3238">
    <w:pPr>
      <w:framePr w:w="11907" w:h="284" w:hSpace="181" w:wrap="around" w:vAnchor="page" w:hAnchor="page" w:yAlign="bottom"/>
      <w:spacing w:before="0" w:after="0"/>
    </w:pPr>
    <w:r>
      <w:rPr>
        <w:noProof/>
      </w:rPr>
      <w:drawing>
        <wp:inline distT="0" distB="0" distL="0" distR="0" wp14:anchorId="77AC9920" wp14:editId="337B5C08">
          <wp:extent cx="7562850" cy="179922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4DAE0" w14:textId="77777777" w:rsidR="006851B3" w:rsidRPr="00654E6E" w:rsidRDefault="00C43B8B" w:rsidP="006851B3">
    <w:pPr>
      <w:pStyle w:val="Footer"/>
      <w:tabs>
        <w:tab w:val="clear" w:pos="4513"/>
        <w:tab w:val="clear" w:pos="9026"/>
        <w:tab w:val="center" w:pos="4820"/>
        <w:tab w:val="right" w:pos="14742"/>
      </w:tabs>
      <w:spacing w:after="160"/>
      <w:rPr>
        <w:color w:val="auto"/>
      </w:rPr>
    </w:pPr>
    <w:sdt>
      <w:sdtPr>
        <w:rPr>
          <w:color w:val="auto"/>
          <w:sz w:val="18"/>
          <w:szCs w:val="18"/>
          <w:lang w:val="en-US"/>
        </w:rPr>
        <w:alias w:val="Title"/>
        <w:tag w:val=""/>
        <w:id w:val="-20064252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066A">
          <w:rPr>
            <w:color w:val="auto"/>
            <w:sz w:val="18"/>
            <w:szCs w:val="18"/>
            <w:lang w:val="en-US"/>
          </w:rPr>
          <w:t>Fact Sheet – Thriving Suburbs Program</w:t>
        </w:r>
      </w:sdtContent>
    </w:sdt>
    <w:r w:rsidR="006851B3" w:rsidRPr="00654E6E">
      <w:rPr>
        <w:color w:val="auto"/>
        <w:sz w:val="18"/>
        <w:szCs w:val="18"/>
        <w:lang w:val="en-US"/>
      </w:rPr>
      <w:tab/>
    </w:r>
    <w:r w:rsidR="006851B3" w:rsidRPr="00654E6E">
      <w:rPr>
        <w:color w:val="auto"/>
        <w:sz w:val="18"/>
        <w:szCs w:val="18"/>
        <w:lang w:val="en-US"/>
      </w:rPr>
      <w:tab/>
      <w:t xml:space="preserve">Page </w:t>
    </w:r>
    <w:r w:rsidR="006851B3" w:rsidRPr="00654E6E">
      <w:rPr>
        <w:color w:val="auto"/>
        <w:sz w:val="18"/>
        <w:szCs w:val="18"/>
        <w:lang w:val="en-US"/>
      </w:rPr>
      <w:fldChar w:fldCharType="begin"/>
    </w:r>
    <w:r w:rsidR="006851B3" w:rsidRPr="00654E6E">
      <w:rPr>
        <w:color w:val="auto"/>
        <w:sz w:val="18"/>
        <w:szCs w:val="18"/>
        <w:lang w:val="en-US"/>
      </w:rPr>
      <w:instrText xml:space="preserve"> PAGE   \* MERGEFORMAT </w:instrText>
    </w:r>
    <w:r w:rsidR="006851B3" w:rsidRPr="00654E6E">
      <w:rPr>
        <w:color w:val="auto"/>
        <w:sz w:val="18"/>
        <w:szCs w:val="18"/>
        <w:lang w:val="en-US"/>
      </w:rPr>
      <w:fldChar w:fldCharType="separate"/>
    </w:r>
    <w:r w:rsidR="006851B3">
      <w:rPr>
        <w:color w:val="auto"/>
        <w:sz w:val="18"/>
        <w:szCs w:val="18"/>
        <w:lang w:val="en-US"/>
      </w:rPr>
      <w:t>3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  <w:r w:rsidR="006851B3" w:rsidRPr="00654E6E">
      <w:rPr>
        <w:noProof/>
        <w:color w:val="auto"/>
        <w:sz w:val="18"/>
        <w:szCs w:val="18"/>
        <w:lang w:val="en-US"/>
      </w:rPr>
      <w:t xml:space="preserve"> of </w:t>
    </w:r>
    <w:r w:rsidR="006851B3" w:rsidRPr="00654E6E">
      <w:rPr>
        <w:noProof/>
        <w:color w:val="auto"/>
        <w:sz w:val="18"/>
        <w:szCs w:val="18"/>
        <w:lang w:val="en-US"/>
      </w:rPr>
      <w:fldChar w:fldCharType="begin"/>
    </w:r>
    <w:r w:rsidR="006851B3" w:rsidRPr="00654E6E">
      <w:rPr>
        <w:noProof/>
        <w:color w:val="auto"/>
        <w:sz w:val="18"/>
        <w:szCs w:val="18"/>
        <w:lang w:val="en-US"/>
      </w:rPr>
      <w:instrText xml:space="preserve"> NUMPAGES   \* MERGEFORMAT </w:instrText>
    </w:r>
    <w:r w:rsidR="006851B3" w:rsidRPr="00654E6E">
      <w:rPr>
        <w:noProof/>
        <w:color w:val="auto"/>
        <w:sz w:val="18"/>
        <w:szCs w:val="18"/>
        <w:lang w:val="en-US"/>
      </w:rPr>
      <w:fldChar w:fldCharType="separate"/>
    </w:r>
    <w:r w:rsidR="006851B3">
      <w:rPr>
        <w:noProof/>
        <w:color w:val="auto"/>
        <w:sz w:val="18"/>
        <w:szCs w:val="18"/>
        <w:lang w:val="en-US"/>
      </w:rPr>
      <w:t>9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A7A6" w14:textId="77777777" w:rsidR="001D659E" w:rsidRDefault="009E7E52" w:rsidP="006B1647">
    <w:pPr>
      <w:framePr w:w="11907" w:h="284" w:hSpace="181" w:wrap="around" w:vAnchor="page" w:hAnchor="page" w:yAlign="bottom"/>
      <w:spacing w:before="0" w:after="0"/>
    </w:pPr>
    <w:r>
      <w:rPr>
        <w:noProof/>
      </w:rPr>
      <w:drawing>
        <wp:inline distT="0" distB="0" distL="0" distR="0" wp14:anchorId="32D866A1" wp14:editId="32E5F5F9">
          <wp:extent cx="7562850" cy="179922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E56AE" w14:textId="77777777" w:rsidR="006851B3" w:rsidRPr="00654E6E" w:rsidRDefault="00C43B8B" w:rsidP="006851B3">
    <w:pPr>
      <w:pStyle w:val="Footer"/>
      <w:tabs>
        <w:tab w:val="clear" w:pos="4513"/>
        <w:tab w:val="clear" w:pos="9026"/>
        <w:tab w:val="center" w:pos="4820"/>
        <w:tab w:val="right" w:pos="14742"/>
      </w:tabs>
      <w:spacing w:after="160"/>
      <w:rPr>
        <w:color w:val="auto"/>
      </w:rPr>
    </w:pPr>
    <w:sdt>
      <w:sdtPr>
        <w:rPr>
          <w:color w:val="auto"/>
          <w:sz w:val="18"/>
          <w:szCs w:val="18"/>
          <w:lang w:val="en-US"/>
        </w:rPr>
        <w:alias w:val="Title"/>
        <w:tag w:val=""/>
        <w:id w:val="87496247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066A">
          <w:rPr>
            <w:color w:val="auto"/>
            <w:sz w:val="18"/>
            <w:szCs w:val="18"/>
            <w:lang w:val="en-US"/>
          </w:rPr>
          <w:t>Fact Sheet – Thriving Suburbs Program</w:t>
        </w:r>
      </w:sdtContent>
    </w:sdt>
    <w:r w:rsidR="006851B3" w:rsidRPr="00654E6E">
      <w:rPr>
        <w:color w:val="auto"/>
        <w:sz w:val="18"/>
        <w:szCs w:val="18"/>
        <w:lang w:val="en-US"/>
      </w:rPr>
      <w:tab/>
    </w:r>
    <w:r w:rsidR="006851B3" w:rsidRPr="00654E6E">
      <w:rPr>
        <w:color w:val="auto"/>
        <w:sz w:val="18"/>
        <w:szCs w:val="18"/>
        <w:lang w:val="en-US"/>
      </w:rPr>
      <w:tab/>
      <w:t xml:space="preserve">Page </w:t>
    </w:r>
    <w:r w:rsidR="006851B3" w:rsidRPr="00654E6E">
      <w:rPr>
        <w:color w:val="auto"/>
        <w:sz w:val="18"/>
        <w:szCs w:val="18"/>
        <w:lang w:val="en-US"/>
      </w:rPr>
      <w:fldChar w:fldCharType="begin"/>
    </w:r>
    <w:r w:rsidR="006851B3" w:rsidRPr="00654E6E">
      <w:rPr>
        <w:color w:val="auto"/>
        <w:sz w:val="18"/>
        <w:szCs w:val="18"/>
        <w:lang w:val="en-US"/>
      </w:rPr>
      <w:instrText xml:space="preserve"> PAGE   \* MERGEFORMAT </w:instrText>
    </w:r>
    <w:r w:rsidR="006851B3" w:rsidRPr="00654E6E">
      <w:rPr>
        <w:color w:val="auto"/>
        <w:sz w:val="18"/>
        <w:szCs w:val="18"/>
        <w:lang w:val="en-US"/>
      </w:rPr>
      <w:fldChar w:fldCharType="separate"/>
    </w:r>
    <w:r w:rsidR="006851B3">
      <w:rPr>
        <w:color w:val="auto"/>
        <w:sz w:val="18"/>
        <w:szCs w:val="18"/>
        <w:lang w:val="en-US"/>
      </w:rPr>
      <w:t>3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  <w:r w:rsidR="006851B3" w:rsidRPr="00654E6E">
      <w:rPr>
        <w:noProof/>
        <w:color w:val="auto"/>
        <w:sz w:val="18"/>
        <w:szCs w:val="18"/>
        <w:lang w:val="en-US"/>
      </w:rPr>
      <w:t xml:space="preserve"> of </w:t>
    </w:r>
    <w:r w:rsidR="006851B3" w:rsidRPr="00654E6E">
      <w:rPr>
        <w:noProof/>
        <w:color w:val="auto"/>
        <w:sz w:val="18"/>
        <w:szCs w:val="18"/>
        <w:lang w:val="en-US"/>
      </w:rPr>
      <w:fldChar w:fldCharType="begin"/>
    </w:r>
    <w:r w:rsidR="006851B3" w:rsidRPr="00654E6E">
      <w:rPr>
        <w:noProof/>
        <w:color w:val="auto"/>
        <w:sz w:val="18"/>
        <w:szCs w:val="18"/>
        <w:lang w:val="en-US"/>
      </w:rPr>
      <w:instrText xml:space="preserve"> NUMPAGES   \* MERGEFORMAT </w:instrText>
    </w:r>
    <w:r w:rsidR="006851B3" w:rsidRPr="00654E6E">
      <w:rPr>
        <w:noProof/>
        <w:color w:val="auto"/>
        <w:sz w:val="18"/>
        <w:szCs w:val="18"/>
        <w:lang w:val="en-US"/>
      </w:rPr>
      <w:fldChar w:fldCharType="separate"/>
    </w:r>
    <w:r w:rsidR="006851B3">
      <w:rPr>
        <w:noProof/>
        <w:color w:val="auto"/>
        <w:sz w:val="18"/>
        <w:szCs w:val="18"/>
        <w:lang w:val="en-US"/>
      </w:rPr>
      <w:t>9</w:t>
    </w:r>
    <w:r w:rsidR="006851B3" w:rsidRPr="00654E6E">
      <w:rPr>
        <w:noProof/>
        <w:color w:val="auto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4713" w14:textId="77777777" w:rsidR="00C0066A" w:rsidRPr="00EF7FF3" w:rsidRDefault="00C0066A" w:rsidP="005912BE">
      <w:pPr>
        <w:spacing w:before="300"/>
        <w:rPr>
          <w:color w:val="081E3E" w:themeColor="text2"/>
        </w:rPr>
      </w:pPr>
      <w:r w:rsidRPr="00EF7FF3">
        <w:rPr>
          <w:color w:val="081E3E" w:themeColor="text2"/>
        </w:rPr>
        <w:t>----------</w:t>
      </w:r>
    </w:p>
  </w:footnote>
  <w:footnote w:type="continuationSeparator" w:id="0">
    <w:p w14:paraId="15B3731B" w14:textId="77777777" w:rsidR="00C0066A" w:rsidRDefault="00C0066A" w:rsidP="008456D5">
      <w:pPr>
        <w:spacing w:before="0" w:after="0"/>
      </w:pPr>
      <w:r>
        <w:continuationSeparator/>
      </w:r>
    </w:p>
  </w:footnote>
  <w:footnote w:type="continuationNotice" w:id="1">
    <w:p w14:paraId="3430A385" w14:textId="77777777" w:rsidR="00C0066A" w:rsidRDefault="00C0066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D1C20" w14:textId="77777777" w:rsidR="00180B5B" w:rsidRDefault="00C43B8B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C0066A">
      <w:rPr>
        <w:noProof/>
      </w:rPr>
      <w:t>Heading 1</w:t>
    </w:r>
    <w:r>
      <w:rPr>
        <w:noProof/>
      </w:rPr>
      <w:fldChar w:fldCharType="end"/>
    </w:r>
  </w:p>
  <w:p w14:paraId="24ACD357" w14:textId="77777777" w:rsidR="00C15F0D" w:rsidRDefault="00C15F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15095" w14:textId="77777777" w:rsidR="00D2335F" w:rsidRDefault="00D2335F" w:rsidP="00D2335F">
    <w:pPr>
      <w:framePr w:w="11907" w:h="3062" w:wrap="around" w:vAnchor="page" w:hAnchor="page" w:x="12" w:yAlign="top" w:anchorLock="1"/>
      <w:spacing w:before="0" w:after="400"/>
    </w:pPr>
    <w:bookmarkStart w:id="3" w:name="_Hlk148680551"/>
    <w:bookmarkStart w:id="4" w:name="_Hlk168414111"/>
    <w:bookmarkStart w:id="5" w:name="_Hlk168414112"/>
    <w:r>
      <w:rPr>
        <w:noProof/>
      </w:rPr>
      <w:drawing>
        <wp:inline distT="0" distB="0" distL="0" distR="0" wp14:anchorId="617FF0D6" wp14:editId="0447306A">
          <wp:extent cx="7553115" cy="19431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115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bookmarkEnd w:id="4"/>
  <w:bookmarkEnd w:id="5"/>
  <w:p w14:paraId="58FD125C" w14:textId="77777777" w:rsidR="008E5BFD" w:rsidRDefault="008E5BFD" w:rsidP="008E5BFD">
    <w:pPr>
      <w:framePr w:w="6521" w:h="1134" w:hSpace="181" w:wrap="around" w:vAnchor="page" w:hAnchor="page" w:x="1022" w:y="852" w:anchorLock="1"/>
      <w:spacing w:after="0"/>
      <w:rPr>
        <w:noProof/>
      </w:rPr>
    </w:pPr>
    <w:r>
      <w:rPr>
        <w:noProof/>
      </w:rPr>
      <w:drawing>
        <wp:inline distT="0" distB="0" distL="0" distR="0" wp14:anchorId="3F3D1AED" wp14:editId="263EC047">
          <wp:extent cx="4068000" cy="669600"/>
          <wp:effectExtent l="0" t="0" r="0" b="0"/>
          <wp:docPr id="5" name="Picture 5" descr="Australian Government&#10;Department of Infrastructure, Transport, Regional Development, Communications, Sport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680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3008" w14:textId="77777777" w:rsidR="00D2335F" w:rsidRPr="0069753D" w:rsidRDefault="00D2335F" w:rsidP="00D2335F">
    <w:pPr>
      <w:pStyle w:val="Header"/>
      <w:ind w:left="-992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588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AE653F7"/>
    <w:multiLevelType w:val="hybridMultilevel"/>
    <w:tmpl w:val="F0D0F4FC"/>
    <w:lvl w:ilvl="0" w:tplc="058A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01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8B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2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62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A3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02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67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CD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D621AED"/>
    <w:multiLevelType w:val="multilevel"/>
    <w:tmpl w:val="C2EED61A"/>
    <w:numStyleLink w:val="NumberedHeadings"/>
  </w:abstractNum>
  <w:abstractNum w:abstractNumId="14" w15:restartNumberingAfterBreak="0">
    <w:nsid w:val="19BD12E7"/>
    <w:multiLevelType w:val="multilevel"/>
    <w:tmpl w:val="BFB281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512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3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59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672" w:hanging="360"/>
      </w:pPr>
      <w:rPr>
        <w:rFonts w:ascii="Symbol" w:hAnsi="Symbol" w:hint="default"/>
      </w:rPr>
    </w:lvl>
  </w:abstractNum>
  <w:abstractNum w:abstractNumId="15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A51938"/>
    <w:multiLevelType w:val="multilevel"/>
    <w:tmpl w:val="298C34E4"/>
    <w:numStyleLink w:val="AppendixNumbers"/>
  </w:abstractNum>
  <w:abstractNum w:abstractNumId="17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545B01A1"/>
    <w:multiLevelType w:val="hybridMultilevel"/>
    <w:tmpl w:val="4AEEF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0B135E0"/>
    <w:multiLevelType w:val="hybridMultilevel"/>
    <w:tmpl w:val="245672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200487A"/>
    <w:multiLevelType w:val="hybridMultilevel"/>
    <w:tmpl w:val="24623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F3BD4"/>
    <w:multiLevelType w:val="multilevel"/>
    <w:tmpl w:val="50EA9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512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3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59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672" w:hanging="360"/>
      </w:pPr>
      <w:rPr>
        <w:rFonts w:ascii="Symbol" w:hAnsi="Symbol" w:hint="default"/>
      </w:rPr>
    </w:lvl>
  </w:abstractNum>
  <w:abstractNum w:abstractNumId="25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1"/>
  </w:num>
  <w:num w:numId="31">
    <w:abstractNumId w:val="14"/>
  </w:num>
  <w:num w:numId="32">
    <w:abstractNumId w:val="23"/>
  </w:num>
  <w:num w:numId="33">
    <w:abstractNumId w:val="24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6A"/>
    <w:rsid w:val="0001430B"/>
    <w:rsid w:val="00024E97"/>
    <w:rsid w:val="000341E0"/>
    <w:rsid w:val="00060354"/>
    <w:rsid w:val="00062740"/>
    <w:rsid w:val="00067445"/>
    <w:rsid w:val="00072740"/>
    <w:rsid w:val="0009564F"/>
    <w:rsid w:val="000B08D1"/>
    <w:rsid w:val="000E24BA"/>
    <w:rsid w:val="000E5674"/>
    <w:rsid w:val="000E7E9F"/>
    <w:rsid w:val="001109C3"/>
    <w:rsid w:val="001349C6"/>
    <w:rsid w:val="00140888"/>
    <w:rsid w:val="001606C9"/>
    <w:rsid w:val="001653B4"/>
    <w:rsid w:val="00180B5B"/>
    <w:rsid w:val="001D659E"/>
    <w:rsid w:val="001E1D59"/>
    <w:rsid w:val="00203702"/>
    <w:rsid w:val="002179CC"/>
    <w:rsid w:val="00222611"/>
    <w:rsid w:val="002229F7"/>
    <w:rsid w:val="00224BE3"/>
    <w:rsid w:val="002254D5"/>
    <w:rsid w:val="0022611D"/>
    <w:rsid w:val="00234E65"/>
    <w:rsid w:val="0026422D"/>
    <w:rsid w:val="00266955"/>
    <w:rsid w:val="002773D1"/>
    <w:rsid w:val="00284164"/>
    <w:rsid w:val="002959FB"/>
    <w:rsid w:val="002B3569"/>
    <w:rsid w:val="002B7197"/>
    <w:rsid w:val="002D233D"/>
    <w:rsid w:val="002E1ADA"/>
    <w:rsid w:val="002F7111"/>
    <w:rsid w:val="003720E9"/>
    <w:rsid w:val="00372DCC"/>
    <w:rsid w:val="0038444F"/>
    <w:rsid w:val="003C625A"/>
    <w:rsid w:val="003E16B6"/>
    <w:rsid w:val="003F1371"/>
    <w:rsid w:val="003F775D"/>
    <w:rsid w:val="00420F04"/>
    <w:rsid w:val="00427326"/>
    <w:rsid w:val="00430511"/>
    <w:rsid w:val="00436294"/>
    <w:rsid w:val="00450D0E"/>
    <w:rsid w:val="00454FED"/>
    <w:rsid w:val="00477E77"/>
    <w:rsid w:val="0048292A"/>
    <w:rsid w:val="00483596"/>
    <w:rsid w:val="0049153B"/>
    <w:rsid w:val="004A4EB9"/>
    <w:rsid w:val="004C3600"/>
    <w:rsid w:val="004E1EB0"/>
    <w:rsid w:val="004F77AA"/>
    <w:rsid w:val="00526674"/>
    <w:rsid w:val="00526CD7"/>
    <w:rsid w:val="00541213"/>
    <w:rsid w:val="00546218"/>
    <w:rsid w:val="005653A9"/>
    <w:rsid w:val="0057419C"/>
    <w:rsid w:val="00580E6C"/>
    <w:rsid w:val="00582A04"/>
    <w:rsid w:val="005912BE"/>
    <w:rsid w:val="005D50BC"/>
    <w:rsid w:val="005F794B"/>
    <w:rsid w:val="00611CC1"/>
    <w:rsid w:val="006335BA"/>
    <w:rsid w:val="006851B3"/>
    <w:rsid w:val="00686A7B"/>
    <w:rsid w:val="006A0F8A"/>
    <w:rsid w:val="006A266A"/>
    <w:rsid w:val="006B1647"/>
    <w:rsid w:val="006E1ECA"/>
    <w:rsid w:val="006E2A0E"/>
    <w:rsid w:val="006F42E5"/>
    <w:rsid w:val="007A05BE"/>
    <w:rsid w:val="007A0CD1"/>
    <w:rsid w:val="007D7CD4"/>
    <w:rsid w:val="007E40AE"/>
    <w:rsid w:val="0080482C"/>
    <w:rsid w:val="008067A1"/>
    <w:rsid w:val="00823E03"/>
    <w:rsid w:val="00833543"/>
    <w:rsid w:val="00835773"/>
    <w:rsid w:val="00840953"/>
    <w:rsid w:val="008456D5"/>
    <w:rsid w:val="0084634B"/>
    <w:rsid w:val="008500E4"/>
    <w:rsid w:val="00884E68"/>
    <w:rsid w:val="008A1887"/>
    <w:rsid w:val="008A3E38"/>
    <w:rsid w:val="008B3901"/>
    <w:rsid w:val="008B6A81"/>
    <w:rsid w:val="008E2A0D"/>
    <w:rsid w:val="008E5BFD"/>
    <w:rsid w:val="00924CF8"/>
    <w:rsid w:val="00946BCD"/>
    <w:rsid w:val="00981F9A"/>
    <w:rsid w:val="009909EC"/>
    <w:rsid w:val="0099647D"/>
    <w:rsid w:val="00996B8C"/>
    <w:rsid w:val="009B00F2"/>
    <w:rsid w:val="009D6C76"/>
    <w:rsid w:val="009E7E52"/>
    <w:rsid w:val="00A070A2"/>
    <w:rsid w:val="00A103B6"/>
    <w:rsid w:val="00A146EE"/>
    <w:rsid w:val="00A55479"/>
    <w:rsid w:val="00A70111"/>
    <w:rsid w:val="00A84ADF"/>
    <w:rsid w:val="00A95970"/>
    <w:rsid w:val="00AB3238"/>
    <w:rsid w:val="00AC4537"/>
    <w:rsid w:val="00AD4EF7"/>
    <w:rsid w:val="00AD7703"/>
    <w:rsid w:val="00AE1A3E"/>
    <w:rsid w:val="00AE4F99"/>
    <w:rsid w:val="00B0484D"/>
    <w:rsid w:val="00B42AC2"/>
    <w:rsid w:val="00B666D4"/>
    <w:rsid w:val="00B800E2"/>
    <w:rsid w:val="00B9430D"/>
    <w:rsid w:val="00BB266D"/>
    <w:rsid w:val="00BB3AAC"/>
    <w:rsid w:val="00BB68A9"/>
    <w:rsid w:val="00BE198C"/>
    <w:rsid w:val="00BE3AD8"/>
    <w:rsid w:val="00BE5DEC"/>
    <w:rsid w:val="00BF19D6"/>
    <w:rsid w:val="00C0066A"/>
    <w:rsid w:val="00C0455C"/>
    <w:rsid w:val="00C10346"/>
    <w:rsid w:val="00C15F0D"/>
    <w:rsid w:val="00C27C02"/>
    <w:rsid w:val="00C43B8B"/>
    <w:rsid w:val="00C5653D"/>
    <w:rsid w:val="00C57766"/>
    <w:rsid w:val="00C60146"/>
    <w:rsid w:val="00C76275"/>
    <w:rsid w:val="00C76D5B"/>
    <w:rsid w:val="00CD233E"/>
    <w:rsid w:val="00CD6739"/>
    <w:rsid w:val="00CF6CFD"/>
    <w:rsid w:val="00CF763F"/>
    <w:rsid w:val="00CF78A5"/>
    <w:rsid w:val="00D02062"/>
    <w:rsid w:val="00D23311"/>
    <w:rsid w:val="00D2335F"/>
    <w:rsid w:val="00D26896"/>
    <w:rsid w:val="00D3125C"/>
    <w:rsid w:val="00D56075"/>
    <w:rsid w:val="00D5655E"/>
    <w:rsid w:val="00D62C1B"/>
    <w:rsid w:val="00D67DEB"/>
    <w:rsid w:val="00D71E3A"/>
    <w:rsid w:val="00D93AEC"/>
    <w:rsid w:val="00D96BC0"/>
    <w:rsid w:val="00DA6576"/>
    <w:rsid w:val="00DD09C2"/>
    <w:rsid w:val="00DD73BD"/>
    <w:rsid w:val="00DE4362"/>
    <w:rsid w:val="00DE4FE2"/>
    <w:rsid w:val="00E00CD9"/>
    <w:rsid w:val="00E04908"/>
    <w:rsid w:val="00E16D1E"/>
    <w:rsid w:val="00E2218A"/>
    <w:rsid w:val="00E26A00"/>
    <w:rsid w:val="00E30EB4"/>
    <w:rsid w:val="00E51F03"/>
    <w:rsid w:val="00E5444D"/>
    <w:rsid w:val="00E55BB2"/>
    <w:rsid w:val="00E70F26"/>
    <w:rsid w:val="00E800D9"/>
    <w:rsid w:val="00E94FDD"/>
    <w:rsid w:val="00E95BA5"/>
    <w:rsid w:val="00EF7FF3"/>
    <w:rsid w:val="00F11869"/>
    <w:rsid w:val="00F1428D"/>
    <w:rsid w:val="00F472C5"/>
    <w:rsid w:val="00F67CDB"/>
    <w:rsid w:val="00FB5D36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363CD2"/>
  <w15:chartTrackingRefBased/>
  <w15:docId w15:val="{986684BD-4257-408D-83BD-BC367BBA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2773D1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3D1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3D1"/>
    <w:pPr>
      <w:keepNext/>
      <w:keepLines/>
      <w:tabs>
        <w:tab w:val="center" w:pos="4932"/>
      </w:tabs>
      <w:spacing w:before="240" w:after="160"/>
      <w:outlineLvl w:val="2"/>
    </w:pPr>
    <w:rPr>
      <w:rFonts w:asciiTheme="majorHAnsi" w:eastAsiaTheme="majorEastAsia" w:hAnsiTheme="majorHAnsi" w:cstheme="majorBidi"/>
      <w:b/>
      <w:color w:val="49515C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773D1"/>
    <w:pPr>
      <w:numPr>
        <w:ilvl w:val="1"/>
      </w:numPr>
      <w:tabs>
        <w:tab w:val="left" w:pos="6045"/>
      </w:tabs>
      <w:spacing w:before="240" w:after="160"/>
    </w:pPr>
    <w:rPr>
      <w:rFonts w:asciiTheme="majorHAnsi" w:eastAsiaTheme="minorEastAsia" w:hAnsiTheme="majorHAnsi"/>
      <w:color w:val="337B7E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773D1"/>
    <w:rPr>
      <w:rFonts w:asciiTheme="majorHAnsi" w:eastAsiaTheme="minorEastAsia" w:hAnsiTheme="majorHAnsi"/>
      <w:color w:val="337B7E"/>
      <w:sz w:val="44"/>
    </w:rPr>
  </w:style>
  <w:style w:type="paragraph" w:customStyle="1" w:styleId="CoverDate">
    <w:name w:val="Cover Date"/>
    <w:basedOn w:val="Normal"/>
    <w:uiPriority w:val="19"/>
    <w:qFormat/>
    <w:rsid w:val="002773D1"/>
    <w:rPr>
      <w:b/>
      <w:color w:val="081E3F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773D1"/>
    <w:rPr>
      <w:rFonts w:asciiTheme="majorHAnsi" w:eastAsiaTheme="majorEastAsia" w:hAnsiTheme="majorHAnsi" w:cstheme="majorBidi"/>
      <w:color w:val="081E3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3D1"/>
    <w:rPr>
      <w:rFonts w:asciiTheme="majorHAnsi" w:eastAsiaTheme="majorEastAsia" w:hAnsiTheme="majorHAnsi" w:cstheme="majorBidi"/>
      <w:color w:val="081E3F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773D1"/>
    <w:pPr>
      <w:spacing w:before="240" w:after="240"/>
    </w:pPr>
    <w:rPr>
      <w:color w:val="347C7E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773D1"/>
    <w:rPr>
      <w:rFonts w:asciiTheme="majorHAnsi" w:eastAsiaTheme="majorEastAsia" w:hAnsiTheme="majorHAnsi" w:cstheme="majorBidi"/>
      <w:b/>
      <w:color w:val="49515C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347C7E" w:themeColor="accent2"/>
        <w:bottom w:val="single" w:sz="4" w:space="0" w:color="347C7E" w:themeColor="accent2"/>
        <w:insideH w:val="single" w:sz="4" w:space="0" w:color="347C7E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347C7E" w:themeColor="accent2"/>
        <w:left w:val="single" w:sz="4" w:space="14" w:color="347C7E" w:themeColor="accent2"/>
        <w:bottom w:val="single" w:sz="4" w:space="14" w:color="347C7E" w:themeColor="accent2"/>
        <w:right w:val="single" w:sz="4" w:space="14" w:color="347C7E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347C7E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D26896"/>
    <w:pPr>
      <w:spacing w:before="0" w:after="240"/>
      <w:ind w:left="-1021" w:firstLine="1021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paragraph" w:customStyle="1" w:styleId="SecurityMarker">
    <w:name w:val="Security Marker"/>
    <w:basedOn w:val="Normal"/>
    <w:qFormat/>
    <w:rsid w:val="001D659E"/>
    <w:pPr>
      <w:spacing w:before="60" w:after="60"/>
      <w:jc w:val="center"/>
    </w:pPr>
    <w:rPr>
      <w:b/>
      <w:bCs/>
      <w:caps/>
      <w:color w:val="E10000"/>
      <w:sz w:val="28"/>
      <w:szCs w:val="28"/>
      <w:shd w:val="clear" w:color="auto" w:fill="FFFFFF" w:themeFill="background1"/>
    </w:rPr>
  </w:style>
  <w:style w:type="paragraph" w:customStyle="1" w:styleId="Tagline">
    <w:name w:val="Tagline"/>
    <w:basedOn w:val="Normal"/>
    <w:qFormat/>
    <w:rsid w:val="0099647D"/>
    <w:pPr>
      <w:framePr w:wrap="notBeside" w:vAnchor="text" w:hAnchor="text" w:y="1"/>
      <w:spacing w:before="500" w:after="120"/>
    </w:pPr>
    <w:rPr>
      <w:color w:val="49515C"/>
    </w:rPr>
  </w:style>
  <w:style w:type="character" w:styleId="UnresolvedMention">
    <w:name w:val="Unresolved Mention"/>
    <w:basedOn w:val="DefaultParagraphFont"/>
    <w:uiPriority w:val="99"/>
    <w:semiHidden/>
    <w:unhideWhenUsed/>
    <w:rsid w:val="001D65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48292A"/>
    <w:pPr>
      <w:ind w:left="720"/>
      <w:contextualSpacing/>
    </w:pPr>
  </w:style>
  <w:style w:type="paragraph" w:customStyle="1" w:styleId="DocHeading">
    <w:name w:val="DocHeading"/>
    <w:basedOn w:val="Heading1"/>
    <w:qFormat/>
    <w:rsid w:val="006E2A0E"/>
    <w:pPr>
      <w:spacing w:before="160" w:after="220"/>
    </w:pPr>
    <w:rPr>
      <w:rFonts w:asciiTheme="minorHAnsi" w:hAnsiTheme="minorHAnsi" w:cstheme="minorHAnsi"/>
      <w:b/>
      <w:color w:val="081E3E" w:themeColor="text2"/>
    </w:rPr>
  </w:style>
  <w:style w:type="paragraph" w:styleId="ListBullet">
    <w:name w:val="List Bullet"/>
    <w:basedOn w:val="Normal"/>
    <w:qFormat/>
    <w:rsid w:val="00C0066A"/>
    <w:pPr>
      <w:suppressAutoHyphens w:val="0"/>
      <w:spacing w:before="40" w:line="280" w:lineRule="atLeast"/>
    </w:pPr>
    <w:rPr>
      <w:rFonts w:ascii="Arial" w:eastAsia="SimSun" w:hAnsi="Arial" w:cs="Times New Roman"/>
      <w:color w:val="auto"/>
      <w:sz w:val="20"/>
      <w:szCs w:val="24"/>
    </w:rPr>
  </w:style>
  <w:style w:type="paragraph" w:customStyle="1" w:styleId="NumberedList1">
    <w:name w:val="Numbered List 1"/>
    <w:basedOn w:val="Normal"/>
    <w:qFormat/>
    <w:rsid w:val="00C0066A"/>
    <w:pPr>
      <w:numPr>
        <w:numId w:val="35"/>
      </w:numPr>
      <w:spacing w:before="180" w:after="60" w:line="280" w:lineRule="atLeast"/>
    </w:pPr>
    <w:rPr>
      <w:color w:val="auto"/>
    </w:rPr>
  </w:style>
  <w:style w:type="paragraph" w:customStyle="1" w:styleId="NumberedList2">
    <w:name w:val="Numbered List 2"/>
    <w:basedOn w:val="NumberedList1"/>
    <w:qFormat/>
    <w:rsid w:val="00C0066A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C0066A"/>
    <w:pPr>
      <w:numPr>
        <w:ilvl w:val="2"/>
      </w:numPr>
      <w:ind w:left="851"/>
    </w:pPr>
  </w:style>
  <w:style w:type="numbering" w:customStyle="1" w:styleId="Numberedlist">
    <w:name w:val="Numbered list"/>
    <w:uiPriority w:val="99"/>
    <w:rsid w:val="00C0066A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frastructure.gov.au/territories-regions-cities/cities/thriving-suburbs-progra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frastructure.gov.au/territories-regions-cities/regional-australia/regional-and-community-programs/growing-regions-progr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Standard%20portrait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607156A6FA4A89BC591EE89E00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3E443-C4AE-451A-A4E7-2D847C83221B}"/>
      </w:docPartPr>
      <w:docPartBody>
        <w:p w:rsidR="00EE7033" w:rsidRDefault="008A656D">
          <w:pPr>
            <w:pStyle w:val="BC607156A6FA4A89BC591EE89E0032EE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7EDE802F698048CAB6F6CE8382470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1170-25AD-43CC-8450-CE2FD1450617}"/>
      </w:docPartPr>
      <w:docPartBody>
        <w:p w:rsidR="00EE7033" w:rsidRDefault="008A656D" w:rsidP="008A656D">
          <w:pPr>
            <w:pStyle w:val="7EDE802F698048CAB6F6CE83824705F6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6D"/>
    <w:rsid w:val="008A656D"/>
    <w:rsid w:val="00E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56D"/>
    <w:rPr>
      <w:color w:val="808080"/>
    </w:rPr>
  </w:style>
  <w:style w:type="paragraph" w:customStyle="1" w:styleId="BC607156A6FA4A89BC591EE89E0032EE">
    <w:name w:val="BC607156A6FA4A89BC591EE89E0032EE"/>
  </w:style>
  <w:style w:type="paragraph" w:customStyle="1" w:styleId="4A346DD0D39049E38C222B1B7B864F2F">
    <w:name w:val="4A346DD0D39049E38C222B1B7B864F2F"/>
  </w:style>
  <w:style w:type="paragraph" w:customStyle="1" w:styleId="A6D1CB205BDE4A51AF79418CE784B757">
    <w:name w:val="A6D1CB205BDE4A51AF79418CE784B757"/>
  </w:style>
  <w:style w:type="paragraph" w:customStyle="1" w:styleId="A933B8587D0B4177859E2EB4653AFFA9">
    <w:name w:val="A933B8587D0B4177859E2EB4653AFFA9"/>
    <w:rsid w:val="008A656D"/>
  </w:style>
  <w:style w:type="paragraph" w:customStyle="1" w:styleId="245D4516A55147EB940AF8E7AEE74D17">
    <w:name w:val="245D4516A55147EB940AF8E7AEE74D17"/>
    <w:rsid w:val="008A656D"/>
  </w:style>
  <w:style w:type="paragraph" w:customStyle="1" w:styleId="7EDE802F698048CAB6F6CE83824705F6">
    <w:name w:val="7EDE802F698048CAB6F6CE83824705F6"/>
    <w:rsid w:val="008A656D"/>
  </w:style>
  <w:style w:type="paragraph" w:customStyle="1" w:styleId="01907E7ECA8A4F2CA69B086EC392D76E">
    <w:name w:val="01907E7ECA8A4F2CA69B086EC392D76E"/>
    <w:rsid w:val="008A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347C7E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2025-05-15T00:00:00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4C2ED6474624087625D5BC8BDA46B" ma:contentTypeVersion="9" ma:contentTypeDescription="Create a new document." ma:contentTypeScope="" ma:versionID="9b55e86ec32ddf62e867b6ff51eb1982">
  <xsd:schema xmlns:xsd="http://www.w3.org/2001/XMLSchema" xmlns:xs="http://www.w3.org/2001/XMLSchema" xmlns:p="http://schemas.microsoft.com/office/2006/metadata/properties" xmlns:ns2="b3b9b181-06e0-4268-af22-c6840c33967c" xmlns:ns3="40b89a2c-dbe8-4aa4-bd74-be5189addec4" targetNamespace="http://schemas.microsoft.com/office/2006/metadata/properties" ma:root="true" ma:fieldsID="59add822de70a2ee165fa5d5abf4bd24" ns2:_="" ns3:_="">
    <xsd:import namespace="b3b9b181-06e0-4268-af22-c6840c33967c"/>
    <xsd:import namespace="40b89a2c-dbe8-4aa4-bd74-be5189addec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g7a2f445ab5e4aa2ad49ebf38fd81cc6" minOccurs="0"/>
                <xsd:element ref="ns2:TaxCatchAll" minOccurs="0"/>
                <xsd:element ref="ns2:TaxCatchAllLabel" minOccurs="0"/>
                <xsd:element ref="ns2:ne6d73d4a8b14472a6a14c195f235605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  <xsd:element ref="ns3:Project_x0020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b181-06e0-4268-af22-c6840c33967c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g7a2f445ab5e4aa2ad49ebf38fd81cc6" ma:index="9" ma:taxonomy="true" ma:internalName="g7a2f445ab5e4aa2ad49ebf38fd81cc6" ma:taxonomyFieldName="Security_x0020_Classification" ma:displayName="Security Classification" ma:readOnly="false" ma:default="1;#OFFICIAL|66ee57a8-59d0-46bc-a5fc-78440ee0cf81" ma:fieldId="{07a2f445-ab5e-4aa2-ad49-ebf38fd81cc6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652d38-8c68-4034-afbd-1c7523511a25}" ma:internalName="TaxCatchAll" ma:showField="CatchAllData" ma:web="b3b9b181-06e0-4268-af22-c6840c33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652d38-8c68-4034-afbd-1c7523511a25}" ma:internalName="TaxCatchAllLabel" ma:readOnly="true" ma:showField="CatchAllDataLabel" ma:web="b3b9b181-06e0-4268-af22-c6840c33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e6d73d4a8b14472a6a14c195f235605" ma:index="13" nillable="true" ma:taxonomy="true" ma:internalName="ne6d73d4a8b14472a6a14c195f235605" ma:taxonomyFieldName="Information_x0020_Management_x0020_Marker" ma:displayName="Information Management Marker" ma:default="" ma:fieldId="{7e6d73d4-a8b1-4472-a6a1-4c195f235605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9a2c-dbe8-4aa4-bd74-be5189addec4" elementFormDefault="qualified">
    <xsd:import namespace="http://schemas.microsoft.com/office/2006/documentManagement/types"/>
    <xsd:import namespace="http://schemas.microsoft.com/office/infopath/2007/PartnerControls"/>
    <xsd:element name="Project_x0020_activity" ma:index="21" nillable="true" ma:displayName="Project activity" ma:default="None" ma:description="Document types/phases of the project" ma:internalName="Project_x0020_activit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E72961-E5FF-4F43-9532-FD7B95D48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7BF70-5496-4570-8665-E2B3EA49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9b181-06e0-4268-af22-c6840c33967c"/>
    <ds:schemaRef ds:uri="40b89a2c-dbe8-4aa4-bd74-be5189add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0FA6B-CC87-46AB-B881-0C9AF4A8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portrait A4.dotx</Template>
  <TotalTime>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– Thriving Suburbs Program</vt:lpstr>
    </vt:vector>
  </TitlesOfParts>
  <Company>Department of Infrastructure &amp; Regional Development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– Thriving Suburbs Program</dc:title>
  <dc:subject/>
  <dc:creator>Australian Government, Department of Infrastructure, Transport, Regional Development, Communications, Sport and the Arts</dc:creator>
  <cp:keywords/>
  <dc:description/>
  <cp:revision>3</cp:revision>
  <dcterms:created xsi:type="dcterms:W3CDTF">2025-06-26T07:33:00Z</dcterms:created>
  <dcterms:modified xsi:type="dcterms:W3CDTF">2025-06-27T05:35:00Z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0x0101005204C2ED6474624087625D5BC8BDA46B</vt:lpwstr>
  </property>
</Properties>
</file>