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C1B5" w14:textId="77777777" w:rsidR="00906533" w:rsidRDefault="00247ED9" w:rsidP="00822DBF">
      <w:pPr>
        <w:spacing w:after="0"/>
        <w:ind w:left="-1418"/>
      </w:pPr>
      <w:r>
        <w:rPr>
          <w:noProof/>
        </w:rPr>
        <w:drawing>
          <wp:inline distT="0" distB="0" distL="0" distR="0" wp14:anchorId="3784A344" wp14:editId="76784A75">
            <wp:extent cx="7538135" cy="1936750"/>
            <wp:effectExtent l="0" t="0" r="5715" b="6350"/>
            <wp:docPr id="3" name="Picture 3" descr="Australian Government, Department of Infrastructure, Transport, Regional Development, Communications, Sport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-with-inline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010" cy="194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0AD1C" w14:textId="77777777" w:rsidR="00D13C03" w:rsidRDefault="00D13C03" w:rsidP="00906533">
      <w:pPr>
        <w:spacing w:after="0"/>
        <w:sectPr w:rsidR="00D13C03" w:rsidSect="00EA415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0" w:right="991" w:bottom="1276" w:left="1440" w:header="0" w:footer="0" w:gutter="0"/>
          <w:cols w:space="708"/>
          <w:titlePg/>
          <w:docGrid w:linePitch="360"/>
        </w:sectPr>
      </w:pPr>
    </w:p>
    <w:p w14:paraId="0D3224A1" w14:textId="1D951467" w:rsidR="00054EF4" w:rsidRPr="00B041CB" w:rsidRDefault="00680777" w:rsidP="00076775">
      <w:pPr>
        <w:pStyle w:val="Heading1"/>
      </w:pPr>
      <w:r w:rsidRPr="002C45A3">
        <w:rPr>
          <w:lang w:val="en-US"/>
        </w:rPr>
        <w:t xml:space="preserve">Fact sheet: </w:t>
      </w:r>
      <w:r w:rsidRPr="00680777">
        <w:t>fuel</w:t>
      </w:r>
      <w:r w:rsidRPr="002C45A3">
        <w:rPr>
          <w:lang w:val="en-US"/>
        </w:rPr>
        <w:t xml:space="preserve"> excise relief measures from 1 April 202</w:t>
      </w:r>
      <w:r>
        <w:rPr>
          <w:lang w:val="en-US"/>
        </w:rPr>
        <w:t>6</w:t>
      </w:r>
    </w:p>
    <w:p w14:paraId="2A866F89" w14:textId="2411B974" w:rsidR="00054EF4" w:rsidRPr="00B041CB" w:rsidRDefault="00680777" w:rsidP="00076775">
      <w:pPr>
        <w:suppressAutoHyphens/>
        <w:spacing w:before="120" w:after="80"/>
        <w:rPr>
          <w:rFonts w:eastAsia="Calibri" w:cs="Times New Roman"/>
          <w:b/>
          <w:color w:val="081E3E"/>
          <w:kern w:val="12"/>
          <w:szCs w:val="20"/>
        </w:rPr>
      </w:pPr>
      <w:r>
        <w:rPr>
          <w:rFonts w:eastAsia="Calibri" w:cs="Times New Roman"/>
          <w:b/>
          <w:color w:val="081E3E"/>
          <w:kern w:val="12"/>
          <w:szCs w:val="20"/>
        </w:rPr>
        <w:t xml:space="preserve">2 </w:t>
      </w:r>
      <w:r w:rsidR="003A2E2B">
        <w:rPr>
          <w:rFonts w:eastAsia="Calibri" w:cs="Times New Roman"/>
          <w:b/>
          <w:color w:val="081E3E"/>
          <w:kern w:val="12"/>
          <w:szCs w:val="20"/>
        </w:rPr>
        <w:t>April</w:t>
      </w:r>
      <w:r w:rsidR="00054EF4" w:rsidRPr="00B041CB">
        <w:rPr>
          <w:rFonts w:eastAsia="Calibri" w:cs="Times New Roman"/>
          <w:b/>
          <w:color w:val="081E3E"/>
          <w:kern w:val="12"/>
          <w:szCs w:val="20"/>
        </w:rPr>
        <w:t xml:space="preserve"> </w:t>
      </w:r>
      <w:r w:rsidR="00054EF4">
        <w:rPr>
          <w:rFonts w:eastAsia="Calibri" w:cs="Times New Roman"/>
          <w:b/>
          <w:color w:val="081E3E"/>
          <w:kern w:val="12"/>
          <w:szCs w:val="20"/>
        </w:rPr>
        <w:t>2026</w:t>
      </w:r>
    </w:p>
    <w:p w14:paraId="5FA34C41" w14:textId="77777777" w:rsidR="00B041CB" w:rsidRPr="00B041CB" w:rsidRDefault="00B041CB" w:rsidP="00403A0B">
      <w:pPr>
        <w:pBdr>
          <w:bottom w:val="single" w:sz="4" w:space="1" w:color="C0D48F"/>
        </w:pBdr>
        <w:suppressAutoHyphens/>
        <w:spacing w:after="80"/>
        <w:rPr>
          <w:rFonts w:eastAsia="Calibri" w:cs="Times New Roman"/>
          <w:color w:val="000000"/>
          <w:kern w:val="12"/>
          <w:szCs w:val="20"/>
        </w:rPr>
      </w:pPr>
    </w:p>
    <w:p w14:paraId="16B14969" w14:textId="77777777" w:rsidR="00FE6ADD" w:rsidRDefault="00FE6ADD" w:rsidP="00403A0B">
      <w:pPr>
        <w:pStyle w:val="Subtitle"/>
        <w:spacing w:before="0" w:after="80"/>
        <w:sectPr w:rsidR="00FE6ADD" w:rsidSect="00953CCD">
          <w:type w:val="continuous"/>
          <w:pgSz w:w="11906" w:h="16838"/>
          <w:pgMar w:top="1276" w:right="991" w:bottom="1276" w:left="1440" w:header="567" w:footer="0" w:gutter="0"/>
          <w:cols w:space="708"/>
          <w:titlePg/>
          <w:docGrid w:linePitch="360"/>
        </w:sectPr>
      </w:pPr>
    </w:p>
    <w:p w14:paraId="2FD721F3" w14:textId="77777777" w:rsidR="00680777" w:rsidRPr="002C45A3" w:rsidRDefault="00680777" w:rsidP="00076775">
      <w:pPr>
        <w:pStyle w:val="Heading2"/>
        <w:spacing w:before="0"/>
        <w:rPr>
          <w:lang w:val="en-US"/>
        </w:rPr>
      </w:pPr>
      <w:r w:rsidRPr="002C45A3">
        <w:rPr>
          <w:lang w:val="en-US"/>
        </w:rPr>
        <w:t>Key facts and figures</w:t>
      </w:r>
    </w:p>
    <w:p w14:paraId="4D4AB485" w14:textId="247E9FAC" w:rsidR="00413DDE" w:rsidRPr="002C45A3" w:rsidRDefault="00413DDE" w:rsidP="00413DDE">
      <w:pPr>
        <w:pStyle w:val="Listparagraphbullets"/>
        <w:rPr>
          <w:lang w:val="en-US"/>
        </w:rPr>
      </w:pPr>
      <w:r>
        <w:rPr>
          <w:lang w:val="en-US"/>
        </w:rPr>
        <w:t>The f</w:t>
      </w:r>
      <w:r w:rsidRPr="002C45A3">
        <w:rPr>
          <w:lang w:val="en-US"/>
        </w:rPr>
        <w:t xml:space="preserve">uel excise </w:t>
      </w:r>
      <w:r>
        <w:rPr>
          <w:lang w:val="en-US"/>
        </w:rPr>
        <w:t xml:space="preserve">paid per </w:t>
      </w:r>
      <w:proofErr w:type="spellStart"/>
      <w:r>
        <w:rPr>
          <w:lang w:val="en-US"/>
        </w:rPr>
        <w:t>litre</w:t>
      </w:r>
      <w:proofErr w:type="spellEnd"/>
      <w:r>
        <w:rPr>
          <w:lang w:val="en-US"/>
        </w:rPr>
        <w:t xml:space="preserve"> has been </w:t>
      </w:r>
      <w:r w:rsidRPr="002C45A3">
        <w:rPr>
          <w:lang w:val="en-US"/>
        </w:rPr>
        <w:t>reduced from 52.6 c</w:t>
      </w:r>
      <w:r>
        <w:rPr>
          <w:lang w:val="en-US"/>
        </w:rPr>
        <w:t>ents</w:t>
      </w:r>
      <w:r w:rsidRPr="002C45A3">
        <w:rPr>
          <w:lang w:val="en-US"/>
        </w:rPr>
        <w:t xml:space="preserve"> to 2</w:t>
      </w:r>
      <w:r>
        <w:rPr>
          <w:lang w:val="en-US"/>
        </w:rPr>
        <w:t>0.6</w:t>
      </w:r>
      <w:r w:rsidRPr="002C45A3">
        <w:rPr>
          <w:lang w:val="en-US"/>
        </w:rPr>
        <w:t xml:space="preserve"> c</w:t>
      </w:r>
      <w:r>
        <w:rPr>
          <w:lang w:val="en-US"/>
        </w:rPr>
        <w:t xml:space="preserve">ents. This took effect from </w:t>
      </w:r>
      <w:r w:rsidRPr="002C45A3">
        <w:rPr>
          <w:lang w:val="en-US"/>
        </w:rPr>
        <w:t>1</w:t>
      </w:r>
      <w:r w:rsidR="00403A0B">
        <w:rPr>
          <w:lang w:val="en-US"/>
        </w:rPr>
        <w:t> </w:t>
      </w:r>
      <w:r w:rsidRPr="002C45A3">
        <w:rPr>
          <w:lang w:val="en-US"/>
        </w:rPr>
        <w:t xml:space="preserve">April </w:t>
      </w:r>
      <w:r>
        <w:rPr>
          <w:lang w:val="en-US"/>
        </w:rPr>
        <w:t xml:space="preserve">and will run for </w:t>
      </w:r>
      <w:r w:rsidRPr="002C45A3">
        <w:rPr>
          <w:lang w:val="en-US"/>
        </w:rPr>
        <w:t xml:space="preserve">three months. </w:t>
      </w:r>
      <w:r>
        <w:rPr>
          <w:lang w:val="en-US"/>
        </w:rPr>
        <w:t>Fuel is expected to be 32</w:t>
      </w:r>
      <w:r w:rsidRPr="002C45A3">
        <w:rPr>
          <w:lang w:val="en-US"/>
        </w:rPr>
        <w:t xml:space="preserve"> c</w:t>
      </w:r>
      <w:r>
        <w:rPr>
          <w:lang w:val="en-US"/>
        </w:rPr>
        <w:t xml:space="preserve">ents per </w:t>
      </w:r>
      <w:proofErr w:type="spellStart"/>
      <w:r>
        <w:rPr>
          <w:lang w:val="en-US"/>
        </w:rPr>
        <w:t>litre</w:t>
      </w:r>
      <w:proofErr w:type="spellEnd"/>
      <w:r w:rsidRPr="002C45A3">
        <w:rPr>
          <w:lang w:val="en-US"/>
        </w:rPr>
        <w:t xml:space="preserve"> (plus GST) </w:t>
      </w:r>
      <w:r>
        <w:rPr>
          <w:lang w:val="en-US"/>
        </w:rPr>
        <w:t xml:space="preserve">cheaper </w:t>
      </w:r>
      <w:r w:rsidRPr="002C45A3">
        <w:rPr>
          <w:lang w:val="en-US"/>
        </w:rPr>
        <w:t>at the bowser.</w:t>
      </w:r>
    </w:p>
    <w:p w14:paraId="32C8BBE5" w14:textId="77777777" w:rsidR="003515BF" w:rsidRPr="00AE1E39" w:rsidRDefault="003515BF" w:rsidP="003515BF">
      <w:pPr>
        <w:pStyle w:val="Listparagraphbullets"/>
        <w:rPr>
          <w:lang w:val="en-US"/>
        </w:rPr>
      </w:pPr>
      <w:r>
        <w:rPr>
          <w:lang w:val="en-US"/>
        </w:rPr>
        <w:t xml:space="preserve">The Australian Government has also reduced the </w:t>
      </w:r>
      <w:r w:rsidRPr="002C45A3">
        <w:rPr>
          <w:lang w:val="en-US"/>
        </w:rPr>
        <w:t xml:space="preserve">road user charge </w:t>
      </w:r>
      <w:r>
        <w:rPr>
          <w:lang w:val="en-US"/>
        </w:rPr>
        <w:t xml:space="preserve">(RUC) </w:t>
      </w:r>
      <w:r w:rsidRPr="002C45A3">
        <w:rPr>
          <w:lang w:val="en-US"/>
        </w:rPr>
        <w:t>from 32.4 c</w:t>
      </w:r>
      <w:r>
        <w:rPr>
          <w:lang w:val="en-US"/>
        </w:rPr>
        <w:t xml:space="preserve">ents per </w:t>
      </w:r>
      <w:proofErr w:type="spellStart"/>
      <w:r>
        <w:rPr>
          <w:lang w:val="en-US"/>
        </w:rPr>
        <w:t>litre</w:t>
      </w:r>
      <w:proofErr w:type="spellEnd"/>
      <w:r w:rsidRPr="002C45A3">
        <w:rPr>
          <w:lang w:val="en-US"/>
        </w:rPr>
        <w:t xml:space="preserve"> to zero for three months.</w:t>
      </w:r>
    </w:p>
    <w:p w14:paraId="1B7DCC5F" w14:textId="77777777" w:rsidR="00F8350A" w:rsidRPr="00451080" w:rsidRDefault="00F8350A" w:rsidP="00F8350A">
      <w:pPr>
        <w:pStyle w:val="Listparagraphbullets"/>
        <w:rPr>
          <w:b/>
          <w:bCs/>
          <w:lang w:val="en-US"/>
        </w:rPr>
      </w:pPr>
      <w:r>
        <w:rPr>
          <w:lang w:val="en-US"/>
        </w:rPr>
        <w:t>In total</w:t>
      </w:r>
      <w:r w:rsidRPr="00817368">
        <w:rPr>
          <w:lang w:val="en-US"/>
        </w:rPr>
        <w:t xml:space="preserve">, heavy vehicle operators </w:t>
      </w:r>
      <w:r>
        <w:rPr>
          <w:lang w:val="en-US"/>
        </w:rPr>
        <w:t xml:space="preserve">are expected to save </w:t>
      </w:r>
      <w:r w:rsidRPr="00817368">
        <w:rPr>
          <w:lang w:val="en-US"/>
        </w:rPr>
        <w:t>32.4 c</w:t>
      </w:r>
      <w:r>
        <w:rPr>
          <w:lang w:val="en-US"/>
        </w:rPr>
        <w:t xml:space="preserve">ents for every </w:t>
      </w:r>
      <w:proofErr w:type="spellStart"/>
      <w:r>
        <w:rPr>
          <w:lang w:val="en-US"/>
        </w:rPr>
        <w:t>litre</w:t>
      </w:r>
      <w:proofErr w:type="spellEnd"/>
      <w:r>
        <w:rPr>
          <w:lang w:val="en-US"/>
        </w:rPr>
        <w:t xml:space="preserve"> purchased over this period.</w:t>
      </w:r>
    </w:p>
    <w:p w14:paraId="5BE75BBD" w14:textId="77777777" w:rsidR="00C74B67" w:rsidRDefault="00C74B67" w:rsidP="00C74B67">
      <w:pPr>
        <w:pStyle w:val="Listparagraphbullets"/>
        <w:rPr>
          <w:b/>
          <w:bCs/>
          <w:lang w:val="en-US"/>
        </w:rPr>
      </w:pPr>
      <w:r>
        <w:rPr>
          <w:lang w:val="en-US"/>
        </w:rPr>
        <w:t xml:space="preserve">For every 200-litre tank filled, that means a $64.80 saving. </w:t>
      </w:r>
    </w:p>
    <w:p w14:paraId="2A56D3FF" w14:textId="09531F19" w:rsidR="00680777" w:rsidRPr="002C45A3" w:rsidRDefault="00656B7D" w:rsidP="00680777">
      <w:pPr>
        <w:pStyle w:val="Heading2"/>
        <w:rPr>
          <w:lang w:val="en-US"/>
        </w:rPr>
      </w:pPr>
      <w:r w:rsidRPr="002C45A3">
        <w:rPr>
          <w:spacing w:val="-2"/>
          <w:lang w:val="en-US"/>
        </w:rPr>
        <w:t xml:space="preserve">How </w:t>
      </w:r>
      <w:r>
        <w:rPr>
          <w:spacing w:val="-2"/>
          <w:lang w:val="en-US"/>
        </w:rPr>
        <w:t>do these measures</w:t>
      </w:r>
      <w:r w:rsidRPr="002C45A3">
        <w:rPr>
          <w:spacing w:val="-2"/>
          <w:lang w:val="en-US"/>
        </w:rPr>
        <w:t xml:space="preserve"> affect heavy vehicle operators</w:t>
      </w:r>
      <w:r w:rsidR="00680777" w:rsidRPr="002C45A3">
        <w:rPr>
          <w:lang w:val="en-US"/>
        </w:rPr>
        <w:t>?</w:t>
      </w:r>
    </w:p>
    <w:p w14:paraId="68306087" w14:textId="77777777" w:rsidR="006F0864" w:rsidRPr="002C45A3" w:rsidRDefault="006F0864" w:rsidP="006F0864">
      <w:pPr>
        <w:pStyle w:val="Listparagraphbullets"/>
        <w:rPr>
          <w:lang w:val="en-US"/>
        </w:rPr>
      </w:pPr>
      <w:r w:rsidRPr="0B28F824">
        <w:rPr>
          <w:lang w:val="en-US"/>
        </w:rPr>
        <w:t xml:space="preserve">Every </w:t>
      </w:r>
      <w:proofErr w:type="spellStart"/>
      <w:r w:rsidRPr="0B28F824">
        <w:rPr>
          <w:lang w:val="en-US"/>
        </w:rPr>
        <w:t>litre</w:t>
      </w:r>
      <w:proofErr w:type="spellEnd"/>
      <w:r w:rsidRPr="0B28F824">
        <w:rPr>
          <w:lang w:val="en-US"/>
        </w:rPr>
        <w:t xml:space="preserve"> of fuel sold in Australia is subject to Commonwealth fuel excise</w:t>
      </w:r>
      <w:r w:rsidRPr="5D376834">
        <w:rPr>
          <w:lang w:val="en-US"/>
        </w:rPr>
        <w:t xml:space="preserve"> or excise-equivalent customs duty (</w:t>
      </w:r>
      <w:r w:rsidRPr="4D8B05BA">
        <w:rPr>
          <w:lang w:val="en-US"/>
        </w:rPr>
        <w:t>fuel duty)</w:t>
      </w:r>
      <w:r w:rsidRPr="0B28F824">
        <w:rPr>
          <w:lang w:val="en-US"/>
        </w:rPr>
        <w:t xml:space="preserve"> imposed at </w:t>
      </w:r>
      <w:r>
        <w:rPr>
          <w:lang w:val="en-US"/>
        </w:rPr>
        <w:t xml:space="preserve">either </w:t>
      </w:r>
      <w:r w:rsidRPr="0B28F824">
        <w:rPr>
          <w:lang w:val="en-US"/>
        </w:rPr>
        <w:t>the point of fuel manufacture or import.</w:t>
      </w:r>
    </w:p>
    <w:p w14:paraId="3C41202C" w14:textId="77777777" w:rsidR="003D1BC5" w:rsidRPr="002C45A3" w:rsidRDefault="003D1BC5" w:rsidP="003D1BC5">
      <w:pPr>
        <w:pStyle w:val="Listparagraphbullets"/>
        <w:rPr>
          <w:lang w:val="en-US"/>
        </w:rPr>
      </w:pPr>
      <w:r w:rsidRPr="002C45A3">
        <w:rPr>
          <w:lang w:val="en-US"/>
        </w:rPr>
        <w:t>Where fuel is</w:t>
      </w:r>
      <w:r>
        <w:rPr>
          <w:lang w:val="en-US"/>
        </w:rPr>
        <w:t xml:space="preserve"> purchased as a business expense, </w:t>
      </w:r>
      <w:r w:rsidRPr="2D955D7A">
        <w:rPr>
          <w:lang w:val="en-US"/>
        </w:rPr>
        <w:t xml:space="preserve">eligible </w:t>
      </w:r>
      <w:r w:rsidRPr="002C45A3">
        <w:rPr>
          <w:lang w:val="en-US"/>
        </w:rPr>
        <w:t>business</w:t>
      </w:r>
      <w:r w:rsidRPr="2D955D7A">
        <w:rPr>
          <w:lang w:val="en-US"/>
        </w:rPr>
        <w:t>es</w:t>
      </w:r>
      <w:r w:rsidRPr="002C45A3">
        <w:rPr>
          <w:lang w:val="en-US"/>
        </w:rPr>
        <w:t xml:space="preserve"> can claim back the full amount of fuel </w:t>
      </w:r>
      <w:r w:rsidRPr="2D955D7A">
        <w:rPr>
          <w:lang w:val="en-US"/>
        </w:rPr>
        <w:t>duty</w:t>
      </w:r>
      <w:r w:rsidRPr="002C45A3">
        <w:rPr>
          <w:lang w:val="en-US"/>
        </w:rPr>
        <w:t xml:space="preserve"> via the fuel tax credit (FTC) scheme.</w:t>
      </w:r>
    </w:p>
    <w:p w14:paraId="0DB243CE" w14:textId="77777777" w:rsidR="00C05724" w:rsidRDefault="00C05724" w:rsidP="00C05724">
      <w:pPr>
        <w:pStyle w:val="Listparagraphbullets"/>
        <w:rPr>
          <w:lang w:val="en-US"/>
        </w:rPr>
      </w:pPr>
      <w:r>
        <w:rPr>
          <w:lang w:val="en-US"/>
        </w:rPr>
        <w:t xml:space="preserve">The </w:t>
      </w:r>
      <w:r w:rsidRPr="002C45A3">
        <w:rPr>
          <w:lang w:val="en-US"/>
        </w:rPr>
        <w:t>road user charge</w:t>
      </w:r>
      <w:r>
        <w:rPr>
          <w:lang w:val="en-US"/>
        </w:rPr>
        <w:t xml:space="preserve"> is paid by o</w:t>
      </w:r>
      <w:r w:rsidRPr="002C45A3">
        <w:rPr>
          <w:lang w:val="en-US"/>
        </w:rPr>
        <w:t>perators of heavy vehicles travelling on public roads to recover—</w:t>
      </w:r>
      <w:r>
        <w:rPr>
          <w:lang w:val="en-US"/>
        </w:rPr>
        <w:t xml:space="preserve"> alongside</w:t>
      </w:r>
      <w:r w:rsidRPr="002C45A3">
        <w:rPr>
          <w:lang w:val="en-US"/>
        </w:rPr>
        <w:t xml:space="preserve"> state/territory registration fees—the heavy vehicle share of all-government road expenditure.</w:t>
      </w:r>
    </w:p>
    <w:p w14:paraId="23917A1A" w14:textId="194E913B" w:rsidR="00F95126" w:rsidRPr="002C45A3" w:rsidRDefault="00F95126" w:rsidP="00F95126">
      <w:pPr>
        <w:pStyle w:val="Listparagraphbullets"/>
        <w:rPr>
          <w:lang w:val="en-US"/>
        </w:rPr>
      </w:pPr>
      <w:r w:rsidRPr="002C45A3">
        <w:rPr>
          <w:lang w:val="en-US"/>
        </w:rPr>
        <w:t>With the RUC set temporarily to zero, heavy vehicle operators will be entitled to a full FTC of 2</w:t>
      </w:r>
      <w:r>
        <w:rPr>
          <w:lang w:val="en-US"/>
        </w:rPr>
        <w:t>0.6</w:t>
      </w:r>
      <w:r w:rsidRPr="002C45A3">
        <w:rPr>
          <w:lang w:val="en-US"/>
        </w:rPr>
        <w:t xml:space="preserve"> </w:t>
      </w:r>
      <w:r>
        <w:rPr>
          <w:lang w:val="en-US"/>
        </w:rPr>
        <w:t xml:space="preserve">cents per </w:t>
      </w:r>
      <w:proofErr w:type="spellStart"/>
      <w:r>
        <w:rPr>
          <w:lang w:val="en-US"/>
        </w:rPr>
        <w:t>litre</w:t>
      </w:r>
      <w:proofErr w:type="spellEnd"/>
      <w:r w:rsidRPr="002C45A3">
        <w:rPr>
          <w:lang w:val="en-US"/>
        </w:rPr>
        <w:t>.</w:t>
      </w:r>
    </w:p>
    <w:p w14:paraId="448FAFF0" w14:textId="62F49534" w:rsidR="00680777" w:rsidRPr="002C45A3" w:rsidRDefault="00680777" w:rsidP="00680777">
      <w:pPr>
        <w:pStyle w:val="Listparagraphbullets"/>
        <w:rPr>
          <w:lang w:val="en-US"/>
        </w:rPr>
      </w:pPr>
      <w:r w:rsidRPr="002C45A3">
        <w:rPr>
          <w:lang w:val="en-US"/>
        </w:rPr>
        <w:t xml:space="preserve">The ATO will soon update its </w:t>
      </w:r>
      <w:hyperlink r:id="rId14" w:history="1">
        <w:r w:rsidRPr="002C45A3">
          <w:rPr>
            <w:rStyle w:val="Hyperlink"/>
            <w:rFonts w:asciiTheme="minorHAnsi" w:hAnsiTheme="minorHAnsi"/>
            <w:spacing w:val="-2"/>
            <w:lang w:val="en-US"/>
          </w:rPr>
          <w:t>FTC calculator</w:t>
        </w:r>
      </w:hyperlink>
      <w:r w:rsidR="00D34383">
        <w:t xml:space="preserve"> to help operators understand the impact on their business</w:t>
      </w:r>
      <w:r w:rsidRPr="002C45A3">
        <w:rPr>
          <w:lang w:val="en-US"/>
        </w:rPr>
        <w:t>.</w:t>
      </w:r>
    </w:p>
    <w:p w14:paraId="575D5E42" w14:textId="77777777" w:rsidR="00680777" w:rsidRPr="002C45A3" w:rsidRDefault="00680777" w:rsidP="00680777">
      <w:pPr>
        <w:pStyle w:val="Heading2"/>
        <w:rPr>
          <w:lang w:val="en-US"/>
        </w:rPr>
      </w:pPr>
      <w:r w:rsidRPr="002C45A3">
        <w:rPr>
          <w:lang w:val="en-US"/>
        </w:rPr>
        <w:t>How long until we see the benefits?</w:t>
      </w:r>
    </w:p>
    <w:p w14:paraId="6B370CA1" w14:textId="77777777" w:rsidR="003327B6" w:rsidRPr="002C45A3" w:rsidRDefault="003327B6" w:rsidP="003327B6">
      <w:pPr>
        <w:pStyle w:val="Listparagraphbullets"/>
        <w:rPr>
          <w:lang w:val="en-US"/>
        </w:rPr>
      </w:pPr>
      <w:r>
        <w:rPr>
          <w:lang w:val="en-US"/>
        </w:rPr>
        <w:t xml:space="preserve">The benefits at the bowser will be passed on as fuel that is manufactured in Australia or imported is distributed around the country. </w:t>
      </w:r>
    </w:p>
    <w:p w14:paraId="162935F1" w14:textId="77777777" w:rsidR="003B615E" w:rsidRPr="002C45A3" w:rsidRDefault="003B615E" w:rsidP="003B615E">
      <w:pPr>
        <w:pStyle w:val="Listparagraphbullets"/>
        <w:rPr>
          <w:lang w:val="en-US"/>
        </w:rPr>
      </w:pPr>
      <w:r>
        <w:rPr>
          <w:lang w:val="en-US"/>
        </w:rPr>
        <w:t>H</w:t>
      </w:r>
      <w:r w:rsidRPr="45EC2ACD">
        <w:rPr>
          <w:lang w:val="en-US"/>
        </w:rPr>
        <w:t xml:space="preserve">eavy vehicle operators </w:t>
      </w:r>
      <w:r>
        <w:rPr>
          <w:lang w:val="en-US"/>
        </w:rPr>
        <w:t xml:space="preserve">can already claim the updated fuel tax credit from 1 April 2026. </w:t>
      </w:r>
    </w:p>
    <w:p w14:paraId="105DB79C" w14:textId="77777777" w:rsidR="00815567" w:rsidRPr="002C45A3" w:rsidRDefault="00815567" w:rsidP="00815567">
      <w:pPr>
        <w:pStyle w:val="Listparagraphbullets"/>
        <w:rPr>
          <w:lang w:val="en-US"/>
        </w:rPr>
      </w:pPr>
      <w:r w:rsidRPr="002C45A3">
        <w:rPr>
          <w:lang w:val="en-US"/>
        </w:rPr>
        <w:t xml:space="preserve">Heavy vehicle operators </w:t>
      </w:r>
      <w:r>
        <w:rPr>
          <w:lang w:val="en-US"/>
        </w:rPr>
        <w:t xml:space="preserve">do this through their monthly or </w:t>
      </w:r>
      <w:r w:rsidRPr="002C45A3">
        <w:rPr>
          <w:lang w:val="en-US"/>
        </w:rPr>
        <w:t>quarterly Business Activity Statement (BAS) submission to the Australian Tax Office</w:t>
      </w:r>
      <w:r>
        <w:rPr>
          <w:lang w:val="en-US"/>
        </w:rPr>
        <w:t>.</w:t>
      </w:r>
      <w:r w:rsidRPr="002C45A3">
        <w:rPr>
          <w:lang w:val="en-US"/>
        </w:rPr>
        <w:t xml:space="preserve"> </w:t>
      </w:r>
    </w:p>
    <w:p w14:paraId="34D10213" w14:textId="77777777" w:rsidR="00680777" w:rsidRPr="002C45A3" w:rsidRDefault="00680777" w:rsidP="00680777">
      <w:pPr>
        <w:pStyle w:val="Heading2"/>
        <w:rPr>
          <w:lang w:val="en-US"/>
        </w:rPr>
      </w:pPr>
      <w:r w:rsidRPr="002C45A3">
        <w:rPr>
          <w:lang w:val="en-US"/>
        </w:rPr>
        <w:t>How will this operate differently to the fuel tax cut of 2022?</w:t>
      </w:r>
    </w:p>
    <w:p w14:paraId="26E54864" w14:textId="65ECDA1F" w:rsidR="00CB0334" w:rsidRPr="002C45A3" w:rsidRDefault="00CB0334" w:rsidP="00CB0334">
      <w:pPr>
        <w:pStyle w:val="Listparagraphbullets"/>
      </w:pPr>
      <w:r w:rsidRPr="002C45A3">
        <w:t>When</w:t>
      </w:r>
      <w:r>
        <w:t xml:space="preserve"> a similar measure to halve fuel excise was announced in </w:t>
      </w:r>
      <w:r w:rsidRPr="002C45A3">
        <w:t>March 2022, some heavy vehicle industry</w:t>
      </w:r>
      <w:r>
        <w:t xml:space="preserve"> stakeholders expressed concern that the road u</w:t>
      </w:r>
      <w:r w:rsidR="005F5F93">
        <w:t>s</w:t>
      </w:r>
      <w:r>
        <w:t>er charge was not changed.</w:t>
      </w:r>
      <w:r w:rsidRPr="002C45A3">
        <w:t xml:space="preserve"> </w:t>
      </w:r>
    </w:p>
    <w:p w14:paraId="7F2C2EDE" w14:textId="379C935C" w:rsidR="00136EA3" w:rsidRPr="006F2DE6" w:rsidRDefault="00136EA3" w:rsidP="00136EA3">
      <w:pPr>
        <w:pStyle w:val="Listparagraphbullets"/>
      </w:pPr>
      <w:r w:rsidRPr="006F2DE6">
        <w:t xml:space="preserve">Even though heavy vehicle operators were better off at the bowser </w:t>
      </w:r>
      <w:r>
        <w:t xml:space="preserve">in 2022, </w:t>
      </w:r>
      <w:r w:rsidRPr="006F2DE6">
        <w:t xml:space="preserve">they lost their entitlement to </w:t>
      </w:r>
      <w:r>
        <w:t xml:space="preserve">claim </w:t>
      </w:r>
      <w:r w:rsidRPr="006F2DE6">
        <w:t xml:space="preserve">a partial fuel tax credit. Many smaller businesses rely on the quarterly </w:t>
      </w:r>
      <w:r>
        <w:t xml:space="preserve">tax credit </w:t>
      </w:r>
      <w:r w:rsidRPr="006F2DE6">
        <w:t>payment</w:t>
      </w:r>
      <w:r>
        <w:t>s</w:t>
      </w:r>
      <w:r w:rsidRPr="006F2DE6">
        <w:t xml:space="preserve"> to manage their cashflow.</w:t>
      </w:r>
    </w:p>
    <w:p w14:paraId="75A3AAA1" w14:textId="3558F635" w:rsidR="00C010BB" w:rsidRDefault="00A23CD2" w:rsidP="004C6B03">
      <w:pPr>
        <w:pStyle w:val="Listparagraphbullets"/>
      </w:pPr>
      <w:r w:rsidRPr="002C45A3">
        <w:t>This time</w:t>
      </w:r>
      <w:r>
        <w:t xml:space="preserve">, the Australian Government has </w:t>
      </w:r>
      <w:r w:rsidRPr="002C45A3">
        <w:t>reduc</w:t>
      </w:r>
      <w:r>
        <w:t>ed</w:t>
      </w:r>
      <w:r w:rsidRPr="002C45A3">
        <w:t xml:space="preserve"> the RUC to zero </w:t>
      </w:r>
      <w:r>
        <w:t>to help businesses manage cashflows.</w:t>
      </w:r>
    </w:p>
    <w:sectPr w:rsidR="00C010BB" w:rsidSect="00403A0B">
      <w:type w:val="continuous"/>
      <w:pgSz w:w="11906" w:h="16838"/>
      <w:pgMar w:top="1276" w:right="991" w:bottom="709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15A9" w14:textId="77777777" w:rsidR="005673D6" w:rsidRDefault="005673D6" w:rsidP="00FC413F">
      <w:pPr>
        <w:spacing w:after="0"/>
      </w:pPr>
      <w:r>
        <w:separator/>
      </w:r>
    </w:p>
  </w:endnote>
  <w:endnote w:type="continuationSeparator" w:id="0">
    <w:p w14:paraId="375C4D79" w14:textId="77777777" w:rsidR="005673D6" w:rsidRDefault="005673D6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2A48" w14:textId="5438208A" w:rsidR="00D53737" w:rsidRDefault="00D537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452A73" wp14:editId="507767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7773009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2E228" w14:textId="623AE328" w:rsidR="00D53737" w:rsidRPr="00D53737" w:rsidRDefault="00D53737" w:rsidP="00D537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537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52A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7.2pt;height:32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" filled="f" stroked="f">
              <v:textbox style="mso-fit-shape-to-text:t" inset="0,0,0,15pt">
                <w:txbxContent>
                  <w:p w14:paraId="11D2E228" w14:textId="623AE328" w:rsidR="00D53737" w:rsidRPr="00D53737" w:rsidRDefault="00D53737" w:rsidP="00D537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D53737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9F80" w14:textId="64D44AA7" w:rsidR="00C422C9" w:rsidRDefault="00C422C9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403A0B">
      <w:rPr>
        <w:rFonts w:cs="Segoe UI"/>
        <w:noProof/>
        <w:szCs w:val="18"/>
      </w:rPr>
      <w:t>Fact sheet: fuel excise relief measures from 1 April 2026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2</w:t>
    </w:r>
    <w:r>
      <w:rPr>
        <w:rFonts w:cs="Segoe UI"/>
        <w:szCs w:val="18"/>
      </w:rPr>
      <w:fldChar w:fldCharType="end"/>
    </w:r>
  </w:p>
  <w:p w14:paraId="0248C26D" w14:textId="77777777" w:rsidR="00C422C9" w:rsidRPr="00FC413F" w:rsidRDefault="00C422C9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3B988DCC" wp14:editId="66848E2B">
          <wp:extent cx="7559650" cy="150641"/>
          <wp:effectExtent l="0" t="0" r="0" b="1905"/>
          <wp:docPr id="1" name="Picture 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3633" w14:textId="0AA3435B" w:rsidR="00C422C9" w:rsidRDefault="00C422C9" w:rsidP="008B7158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6A1F05">
      <w:rPr>
        <w:rFonts w:cs="Segoe UI"/>
        <w:noProof/>
        <w:szCs w:val="18"/>
      </w:rPr>
      <w:t>Fact sheet: fuel excise relief measures from 1 April 2026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3</w:t>
    </w:r>
    <w:r>
      <w:rPr>
        <w:rFonts w:cs="Segoe UI"/>
        <w:szCs w:val="18"/>
      </w:rPr>
      <w:fldChar w:fldCharType="end"/>
    </w:r>
  </w:p>
  <w:p w14:paraId="64B0FB2C" w14:textId="77777777" w:rsidR="00C422C9" w:rsidRPr="00FC413F" w:rsidRDefault="00C422C9" w:rsidP="00113A0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415E3A73" wp14:editId="56F52C30">
          <wp:extent cx="7560000" cy="150515"/>
          <wp:effectExtent l="0" t="0" r="3175" b="1905"/>
          <wp:docPr id="6" name="Picture 6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CB34" w14:textId="77777777" w:rsidR="005673D6" w:rsidRDefault="005673D6" w:rsidP="00FC413F">
      <w:pPr>
        <w:spacing w:after="0"/>
      </w:pPr>
      <w:r>
        <w:separator/>
      </w:r>
    </w:p>
  </w:footnote>
  <w:footnote w:type="continuationSeparator" w:id="0">
    <w:p w14:paraId="7521EDA4" w14:textId="77777777" w:rsidR="005673D6" w:rsidRDefault="005673D6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A3ED" w14:textId="695C9193" w:rsidR="00D53737" w:rsidRDefault="00D537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998E2" wp14:editId="2F034E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5523645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BEF9A" w14:textId="2793D7B7" w:rsidR="00D53737" w:rsidRPr="00D53737" w:rsidRDefault="00D53737" w:rsidP="00D537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537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998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632BEF9A" w14:textId="2793D7B7" w:rsidR="00D53737" w:rsidRPr="00D53737" w:rsidRDefault="00D53737" w:rsidP="00D537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D53737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3240" w14:textId="246C279D" w:rsidR="00C422C9" w:rsidRPr="00305CB1" w:rsidRDefault="00C422C9" w:rsidP="00D56936">
    <w:pPr>
      <w:pStyle w:val="Header"/>
      <w:tabs>
        <w:tab w:val="clear" w:pos="4678"/>
      </w:tabs>
      <w:jc w:val="right"/>
      <w:rPr>
        <w:rFonts w:cs="Segoe UI Light"/>
        <w:color w:val="001C40"/>
        <w:sz w:val="20"/>
        <w:szCs w:val="20"/>
      </w:rPr>
    </w:pPr>
    <w:r w:rsidRPr="00305CB1">
      <w:rPr>
        <w:rFonts w:cs="Segoe UI Light"/>
        <w:color w:val="001C40"/>
        <w:sz w:val="20"/>
        <w:szCs w:val="20"/>
      </w:rPr>
      <w:fldChar w:fldCharType="begin"/>
    </w:r>
    <w:r w:rsidRPr="00305CB1">
      <w:rPr>
        <w:rFonts w:cs="Segoe UI Light"/>
        <w:color w:val="001C40"/>
        <w:sz w:val="20"/>
        <w:szCs w:val="20"/>
      </w:rPr>
      <w:instrText xml:space="preserve"> STYLEREF  "Heading 2"  \* MERGEFORMAT </w:instrText>
    </w:r>
    <w:r w:rsidRPr="00305CB1">
      <w:rPr>
        <w:rFonts w:cs="Segoe UI Light"/>
        <w:color w:val="001C40"/>
        <w:sz w:val="20"/>
        <w:szCs w:val="20"/>
      </w:rPr>
      <w:fldChar w:fldCharType="separate"/>
    </w:r>
    <w:r w:rsidR="00403A0B">
      <w:rPr>
        <w:rFonts w:cs="Segoe UI Light"/>
        <w:noProof/>
        <w:color w:val="001C40"/>
        <w:sz w:val="20"/>
        <w:szCs w:val="20"/>
      </w:rPr>
      <w:t>How will this operate differently to the fuel tax cut of 2022?</w:t>
    </w:r>
    <w:r w:rsidRPr="00305CB1">
      <w:rPr>
        <w:rFonts w:cs="Segoe UI Light"/>
        <w:color w:val="001C4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DA5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A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7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E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29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0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2C6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6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4C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7613"/>
    <w:multiLevelType w:val="hybridMultilevel"/>
    <w:tmpl w:val="2B48B512"/>
    <w:lvl w:ilvl="0" w:tplc="69AC7252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9B69DA"/>
    <w:multiLevelType w:val="hybridMultilevel"/>
    <w:tmpl w:val="4D8EBC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0FE3"/>
    <w:multiLevelType w:val="hybridMultilevel"/>
    <w:tmpl w:val="48C03D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83315D8"/>
    <w:multiLevelType w:val="hybridMultilevel"/>
    <w:tmpl w:val="915AC0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7B3DE5"/>
    <w:multiLevelType w:val="hybridMultilevel"/>
    <w:tmpl w:val="FFB2E57C"/>
    <w:lvl w:ilvl="0" w:tplc="888CE0A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27E7D"/>
    <w:multiLevelType w:val="hybridMultilevel"/>
    <w:tmpl w:val="900227B4"/>
    <w:lvl w:ilvl="0" w:tplc="7A24185A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54E84"/>
    <w:multiLevelType w:val="multilevel"/>
    <w:tmpl w:val="A5F2DDB2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635676401">
    <w:abstractNumId w:val="17"/>
  </w:num>
  <w:num w:numId="2" w16cid:durableId="168372359">
    <w:abstractNumId w:val="12"/>
  </w:num>
  <w:num w:numId="3" w16cid:durableId="487599509">
    <w:abstractNumId w:val="16"/>
  </w:num>
  <w:num w:numId="4" w16cid:durableId="978801605">
    <w:abstractNumId w:val="9"/>
  </w:num>
  <w:num w:numId="5" w16cid:durableId="1714571370">
    <w:abstractNumId w:val="7"/>
  </w:num>
  <w:num w:numId="6" w16cid:durableId="1191601962">
    <w:abstractNumId w:val="6"/>
  </w:num>
  <w:num w:numId="7" w16cid:durableId="1222449226">
    <w:abstractNumId w:val="5"/>
  </w:num>
  <w:num w:numId="8" w16cid:durableId="1954946135">
    <w:abstractNumId w:val="4"/>
  </w:num>
  <w:num w:numId="9" w16cid:durableId="1738820539">
    <w:abstractNumId w:val="8"/>
  </w:num>
  <w:num w:numId="10" w16cid:durableId="356322473">
    <w:abstractNumId w:val="3"/>
  </w:num>
  <w:num w:numId="11" w16cid:durableId="1964071110">
    <w:abstractNumId w:val="2"/>
  </w:num>
  <w:num w:numId="12" w16cid:durableId="27806648">
    <w:abstractNumId w:val="1"/>
  </w:num>
  <w:num w:numId="13" w16cid:durableId="1567105061">
    <w:abstractNumId w:val="0"/>
  </w:num>
  <w:num w:numId="14" w16cid:durableId="939947619">
    <w:abstractNumId w:val="18"/>
  </w:num>
  <w:num w:numId="15" w16cid:durableId="4547119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8095614">
    <w:abstractNumId w:val="10"/>
  </w:num>
  <w:num w:numId="17" w16cid:durableId="441806985">
    <w:abstractNumId w:val="10"/>
    <w:lvlOverride w:ilvl="0">
      <w:startOverride w:val="1"/>
    </w:lvlOverride>
  </w:num>
  <w:num w:numId="18" w16cid:durableId="1284114473">
    <w:abstractNumId w:val="14"/>
  </w:num>
  <w:num w:numId="19" w16cid:durableId="1359549247">
    <w:abstractNumId w:val="11"/>
  </w:num>
  <w:num w:numId="20" w16cid:durableId="1873303789">
    <w:abstractNumId w:val="15"/>
  </w:num>
  <w:num w:numId="21" w16cid:durableId="247857964">
    <w:abstractNumId w:val="13"/>
  </w:num>
  <w:num w:numId="22" w16cid:durableId="613563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56"/>
    <w:rsid w:val="0000270B"/>
    <w:rsid w:val="00012D3A"/>
    <w:rsid w:val="00022146"/>
    <w:rsid w:val="0003502E"/>
    <w:rsid w:val="000522EB"/>
    <w:rsid w:val="00054EF4"/>
    <w:rsid w:val="00072195"/>
    <w:rsid w:val="000740FB"/>
    <w:rsid w:val="00076537"/>
    <w:rsid w:val="00076775"/>
    <w:rsid w:val="00090E62"/>
    <w:rsid w:val="000A77D1"/>
    <w:rsid w:val="000B1E86"/>
    <w:rsid w:val="000B6FF7"/>
    <w:rsid w:val="000C0244"/>
    <w:rsid w:val="000D29F4"/>
    <w:rsid w:val="000D4B3B"/>
    <w:rsid w:val="00105DA4"/>
    <w:rsid w:val="00113A03"/>
    <w:rsid w:val="00133A45"/>
    <w:rsid w:val="00136EA3"/>
    <w:rsid w:val="0014278C"/>
    <w:rsid w:val="00142BF5"/>
    <w:rsid w:val="00143894"/>
    <w:rsid w:val="00190A0C"/>
    <w:rsid w:val="001B6947"/>
    <w:rsid w:val="001D583B"/>
    <w:rsid w:val="001D6D6B"/>
    <w:rsid w:val="001E4471"/>
    <w:rsid w:val="001E7AC4"/>
    <w:rsid w:val="001F2321"/>
    <w:rsid w:val="00204A64"/>
    <w:rsid w:val="00217C11"/>
    <w:rsid w:val="00236F1B"/>
    <w:rsid w:val="00247ED9"/>
    <w:rsid w:val="00252A7B"/>
    <w:rsid w:val="00261FFA"/>
    <w:rsid w:val="00267F8D"/>
    <w:rsid w:val="00272982"/>
    <w:rsid w:val="00287C7E"/>
    <w:rsid w:val="0029453A"/>
    <w:rsid w:val="002A5AB5"/>
    <w:rsid w:val="002B15B8"/>
    <w:rsid w:val="002F1A23"/>
    <w:rsid w:val="00300077"/>
    <w:rsid w:val="00302FDA"/>
    <w:rsid w:val="00305CB1"/>
    <w:rsid w:val="00310148"/>
    <w:rsid w:val="00323710"/>
    <w:rsid w:val="003327B6"/>
    <w:rsid w:val="00342348"/>
    <w:rsid w:val="003508A8"/>
    <w:rsid w:val="003515BF"/>
    <w:rsid w:val="00381BDA"/>
    <w:rsid w:val="003A2E2B"/>
    <w:rsid w:val="003B615E"/>
    <w:rsid w:val="003B6D01"/>
    <w:rsid w:val="003C575A"/>
    <w:rsid w:val="003D1BC5"/>
    <w:rsid w:val="003D71C5"/>
    <w:rsid w:val="003F3CB7"/>
    <w:rsid w:val="00403A0B"/>
    <w:rsid w:val="00413DDE"/>
    <w:rsid w:val="00416734"/>
    <w:rsid w:val="0042621F"/>
    <w:rsid w:val="00445017"/>
    <w:rsid w:val="00485524"/>
    <w:rsid w:val="00491BC5"/>
    <w:rsid w:val="00493C8D"/>
    <w:rsid w:val="004A3207"/>
    <w:rsid w:val="004B09B8"/>
    <w:rsid w:val="004D1545"/>
    <w:rsid w:val="004E791F"/>
    <w:rsid w:val="00531179"/>
    <w:rsid w:val="005413E7"/>
    <w:rsid w:val="00543D99"/>
    <w:rsid w:val="005673D6"/>
    <w:rsid w:val="0059569E"/>
    <w:rsid w:val="005C0459"/>
    <w:rsid w:val="005C37D2"/>
    <w:rsid w:val="005D038B"/>
    <w:rsid w:val="005E55BD"/>
    <w:rsid w:val="005F43A3"/>
    <w:rsid w:val="005F5F93"/>
    <w:rsid w:val="00601B4C"/>
    <w:rsid w:val="00610225"/>
    <w:rsid w:val="006142A5"/>
    <w:rsid w:val="00630D43"/>
    <w:rsid w:val="0063485E"/>
    <w:rsid w:val="006452B1"/>
    <w:rsid w:val="006542FA"/>
    <w:rsid w:val="00654F9E"/>
    <w:rsid w:val="00656B7D"/>
    <w:rsid w:val="00664613"/>
    <w:rsid w:val="00680777"/>
    <w:rsid w:val="00691FA2"/>
    <w:rsid w:val="006A1F05"/>
    <w:rsid w:val="006C31D3"/>
    <w:rsid w:val="006D43C7"/>
    <w:rsid w:val="006F0864"/>
    <w:rsid w:val="006F2D75"/>
    <w:rsid w:val="00716124"/>
    <w:rsid w:val="00731351"/>
    <w:rsid w:val="00744CD2"/>
    <w:rsid w:val="00754169"/>
    <w:rsid w:val="00767599"/>
    <w:rsid w:val="00772C27"/>
    <w:rsid w:val="00790F25"/>
    <w:rsid w:val="00793843"/>
    <w:rsid w:val="0079788A"/>
    <w:rsid w:val="007B68AB"/>
    <w:rsid w:val="007E598F"/>
    <w:rsid w:val="00815567"/>
    <w:rsid w:val="00822DBF"/>
    <w:rsid w:val="0082413B"/>
    <w:rsid w:val="00844881"/>
    <w:rsid w:val="00860B73"/>
    <w:rsid w:val="008A7B93"/>
    <w:rsid w:val="008B7158"/>
    <w:rsid w:val="008C6CB9"/>
    <w:rsid w:val="008D4156"/>
    <w:rsid w:val="008E534F"/>
    <w:rsid w:val="008F24DE"/>
    <w:rsid w:val="00906514"/>
    <w:rsid w:val="00906533"/>
    <w:rsid w:val="00912D17"/>
    <w:rsid w:val="00915453"/>
    <w:rsid w:val="009276A3"/>
    <w:rsid w:val="009279AE"/>
    <w:rsid w:val="00933112"/>
    <w:rsid w:val="00935A30"/>
    <w:rsid w:val="00953CCD"/>
    <w:rsid w:val="00956894"/>
    <w:rsid w:val="00985DD5"/>
    <w:rsid w:val="009A4253"/>
    <w:rsid w:val="009C3D4E"/>
    <w:rsid w:val="009E49A2"/>
    <w:rsid w:val="009E7626"/>
    <w:rsid w:val="009F6CDD"/>
    <w:rsid w:val="009F6E8F"/>
    <w:rsid w:val="00A23CD2"/>
    <w:rsid w:val="00A24200"/>
    <w:rsid w:val="00A44E4B"/>
    <w:rsid w:val="00A4759C"/>
    <w:rsid w:val="00A5600C"/>
    <w:rsid w:val="00A63390"/>
    <w:rsid w:val="00A671E6"/>
    <w:rsid w:val="00A82DAF"/>
    <w:rsid w:val="00A86AF3"/>
    <w:rsid w:val="00AC34ED"/>
    <w:rsid w:val="00AC6195"/>
    <w:rsid w:val="00AE61A6"/>
    <w:rsid w:val="00B000A4"/>
    <w:rsid w:val="00B041CB"/>
    <w:rsid w:val="00B12FC1"/>
    <w:rsid w:val="00B3785F"/>
    <w:rsid w:val="00B43F55"/>
    <w:rsid w:val="00B5393D"/>
    <w:rsid w:val="00B74715"/>
    <w:rsid w:val="00B76D03"/>
    <w:rsid w:val="00B86B45"/>
    <w:rsid w:val="00BB21A7"/>
    <w:rsid w:val="00BB3D46"/>
    <w:rsid w:val="00BC0598"/>
    <w:rsid w:val="00BF0594"/>
    <w:rsid w:val="00C010BB"/>
    <w:rsid w:val="00C02452"/>
    <w:rsid w:val="00C05724"/>
    <w:rsid w:val="00C11433"/>
    <w:rsid w:val="00C209D6"/>
    <w:rsid w:val="00C36E40"/>
    <w:rsid w:val="00C422C9"/>
    <w:rsid w:val="00C540F2"/>
    <w:rsid w:val="00C62177"/>
    <w:rsid w:val="00C634F4"/>
    <w:rsid w:val="00C74B67"/>
    <w:rsid w:val="00CA5147"/>
    <w:rsid w:val="00CB0334"/>
    <w:rsid w:val="00CD0046"/>
    <w:rsid w:val="00CD423C"/>
    <w:rsid w:val="00D13C03"/>
    <w:rsid w:val="00D22944"/>
    <w:rsid w:val="00D34383"/>
    <w:rsid w:val="00D47BFD"/>
    <w:rsid w:val="00D53737"/>
    <w:rsid w:val="00D56936"/>
    <w:rsid w:val="00D64922"/>
    <w:rsid w:val="00DC5DC8"/>
    <w:rsid w:val="00DD4F64"/>
    <w:rsid w:val="00E55F6F"/>
    <w:rsid w:val="00E7227D"/>
    <w:rsid w:val="00E76BC6"/>
    <w:rsid w:val="00E80E04"/>
    <w:rsid w:val="00EA415A"/>
    <w:rsid w:val="00ED02DB"/>
    <w:rsid w:val="00ED4DA7"/>
    <w:rsid w:val="00EE6EE8"/>
    <w:rsid w:val="00EF5B98"/>
    <w:rsid w:val="00F005AF"/>
    <w:rsid w:val="00F25913"/>
    <w:rsid w:val="00F41576"/>
    <w:rsid w:val="00F61FA1"/>
    <w:rsid w:val="00F814AD"/>
    <w:rsid w:val="00F8350A"/>
    <w:rsid w:val="00F95126"/>
    <w:rsid w:val="00FA64C7"/>
    <w:rsid w:val="00FC413F"/>
    <w:rsid w:val="00FD3DAB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74A71"/>
  <w15:chartTrackingRefBased/>
  <w15:docId w15:val="{DE9ED889-C8A3-47DF-8C41-980D252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45"/>
    <w:pPr>
      <w:spacing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91F"/>
    <w:pPr>
      <w:numPr>
        <w:ilvl w:val="1"/>
      </w:numPr>
      <w:suppressAutoHyphens/>
      <w:spacing w:before="120" w:after="120"/>
      <w:outlineLvl w:val="0"/>
    </w:pPr>
    <w:rPr>
      <w:rFonts w:eastAsia="SimSun" w:cs="Times New Roman"/>
      <w:b/>
      <w:color w:val="081E3E"/>
      <w:kern w:val="12"/>
      <w:sz w:val="40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A0B"/>
    <w:pPr>
      <w:keepNext/>
      <w:keepLines/>
      <w:suppressAutoHyphens/>
      <w:spacing w:before="120" w:after="120"/>
      <w:outlineLvl w:val="1"/>
    </w:pPr>
    <w:rPr>
      <w:rFonts w:eastAsia="SimSun" w:cs="Times New Roman"/>
      <w:b/>
      <w:color w:val="081E3E"/>
      <w:kern w:val="1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5B8"/>
    <w:pPr>
      <w:keepNext/>
      <w:keepLines/>
      <w:suppressAutoHyphens/>
      <w:spacing w:before="240"/>
      <w:outlineLvl w:val="2"/>
    </w:pPr>
    <w:rPr>
      <w:rFonts w:eastAsia="SimSun" w:cs="Times New Roman"/>
      <w:b/>
      <w:color w:val="595C6E"/>
      <w:kern w:val="1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B45"/>
    <w:pPr>
      <w:keepNext/>
      <w:keepLines/>
      <w:suppressAutoHyphens/>
      <w:outlineLvl w:val="3"/>
    </w:pPr>
    <w:rPr>
      <w:rFonts w:eastAsia="SimSun" w:cs="Times New Roman"/>
      <w:iCs/>
      <w:color w:val="595C6E"/>
      <w:kern w:val="12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A0C"/>
    <w:pPr>
      <w:keepNext/>
      <w:spacing w:before="120"/>
      <w:outlineLvl w:val="4"/>
    </w:pPr>
    <w:rPr>
      <w:rFonts w:eastAsia="MingLiU" w:cs="Segoe UI Semibold"/>
      <w:b/>
      <w:color w:val="4C556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A0C"/>
    <w:pPr>
      <w:keepNext/>
      <w:spacing w:before="120"/>
      <w:outlineLvl w:val="5"/>
    </w:pPr>
    <w:rPr>
      <w:rFonts w:eastAsia="MingLiU" w:cs="Segoe UI Semibold"/>
      <w:b/>
      <w:color w:val="4C556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A0C"/>
    <w:pPr>
      <w:keepNext/>
      <w:keepLines/>
      <w:spacing w:before="40" w:after="0"/>
      <w:outlineLvl w:val="6"/>
    </w:pPr>
    <w:rPr>
      <w:rFonts w:eastAsiaTheme="majorEastAsia" w:cs="Segoe UI Semibold"/>
      <w:b/>
      <w:iCs/>
      <w:color w:val="4C5564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953CCD"/>
    <w:pPr>
      <w:numPr>
        <w:numId w:val="1"/>
      </w:numPr>
      <w:spacing w:before="80" w:after="0"/>
      <w:ind w:left="1134" w:hanging="567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C413F"/>
    <w:rPr>
      <w:color w:val="002D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791F"/>
    <w:rPr>
      <w:rFonts w:ascii="Calibri" w:eastAsia="SimSun" w:hAnsi="Calibri" w:cs="Times New Roman"/>
      <w:b/>
      <w:color w:val="081E3E"/>
      <w:kern w:val="12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03A0B"/>
    <w:rPr>
      <w:rFonts w:ascii="Calibri" w:eastAsia="SimSun" w:hAnsi="Calibri" w:cs="Times New Roman"/>
      <w:b/>
      <w:color w:val="081E3E"/>
      <w:kern w:val="1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15B8"/>
    <w:rPr>
      <w:rFonts w:ascii="Calibri" w:eastAsia="SimSun" w:hAnsi="Calibri" w:cs="Times New Roman"/>
      <w:b/>
      <w:color w:val="595C6E"/>
      <w:kern w:val="1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6B45"/>
    <w:rPr>
      <w:rFonts w:ascii="Calibri" w:eastAsia="SimSun" w:hAnsi="Calibri" w:cs="Times New Roman"/>
      <w:iCs/>
      <w:color w:val="595C6E"/>
      <w:kern w:val="1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0A0C"/>
    <w:rPr>
      <w:rFonts w:ascii="Calibri" w:eastAsia="MingLiU" w:hAnsi="Calibri" w:cs="Segoe UI Semibold"/>
      <w:b/>
      <w:color w:val="4C556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0C"/>
    <w:rPr>
      <w:rFonts w:ascii="Calibri" w:eastAsia="MingLiU" w:hAnsi="Calibri" w:cs="Segoe UI Semibold"/>
      <w:b/>
      <w:color w:val="4C5564"/>
    </w:rPr>
  </w:style>
  <w:style w:type="character" w:customStyle="1" w:styleId="Heading7Char">
    <w:name w:val="Heading 7 Char"/>
    <w:basedOn w:val="DefaultParagraphFont"/>
    <w:link w:val="Heading7"/>
    <w:uiPriority w:val="9"/>
    <w:rsid w:val="00190A0C"/>
    <w:rPr>
      <w:rFonts w:ascii="Calibri" w:eastAsiaTheme="majorEastAsia" w:hAnsi="Calibri" w:cs="Segoe UI Semibold"/>
      <w:b/>
      <w:iCs/>
      <w:color w:val="4C5564"/>
      <w:sz w:val="20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190A0C"/>
    <w:pPr>
      <w:keepNext/>
      <w:outlineLvl w:val="1"/>
    </w:pPr>
    <w:rPr>
      <w:rFonts w:eastAsia="MingLiU" w:cs="Segoe UI Semibold"/>
      <w:b/>
      <w:color w:val="4C5564"/>
      <w:sz w:val="28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190A0C"/>
    <w:pPr>
      <w:keepNext/>
      <w:outlineLvl w:val="2"/>
    </w:pPr>
    <w:rPr>
      <w:rFonts w:eastAsia="MingLiU" w:cs="Segoe UI Semibold"/>
      <w:b/>
      <w:color w:val="4C5564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B86B45"/>
    <w:pPr>
      <w:pBdr>
        <w:left w:val="single" w:sz="48" w:space="22" w:color="4BB3B5"/>
      </w:pBdr>
      <w:suppressAutoHyphens/>
      <w:spacing w:before="160"/>
      <w:ind w:left="567" w:right="567"/>
    </w:pPr>
    <w:rPr>
      <w:rFonts w:eastAsia="Calibri" w:cs="Times New Roman"/>
      <w:b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86B45"/>
    <w:rPr>
      <w:rFonts w:ascii="Calibri" w:eastAsia="Calibri" w:hAnsi="Calibri" w:cs="Times New Roman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B5393D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basedOn w:val="Normal"/>
    <w:uiPriority w:val="34"/>
    <w:qFormat/>
    <w:rsid w:val="00B5393D"/>
    <w:pPr>
      <w:numPr>
        <w:numId w:val="3"/>
      </w:numPr>
      <w:ind w:left="567" w:hanging="567"/>
      <w:contextualSpacing/>
    </w:pPr>
  </w:style>
  <w:style w:type="paragraph" w:customStyle="1" w:styleId="Tabletext">
    <w:name w:val="Table text"/>
    <w:basedOn w:val="Normal"/>
    <w:qFormat/>
    <w:rsid w:val="008B7158"/>
    <w:pPr>
      <w:spacing w:before="40" w:after="4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0D29F4"/>
    <w:pPr>
      <w:shd w:val="clear" w:color="auto" w:fill="081E3E"/>
      <w:spacing w:before="60" w:after="60"/>
    </w:pPr>
    <w:rPr>
      <w:b/>
      <w:color w:val="FFFFFF" w:themeColor="background1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7C1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190A0C"/>
    <w:pPr>
      <w:keepNext/>
      <w:spacing w:after="0"/>
    </w:pPr>
    <w:rPr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8B7158"/>
    <w:pPr>
      <w:jc w:val="center"/>
    </w:pPr>
  </w:style>
  <w:style w:type="paragraph" w:customStyle="1" w:styleId="Tablerowcolumnheadingcentred">
    <w:name w:val="Table row/column heading—centred"/>
    <w:basedOn w:val="Tablerowcolumnheading"/>
    <w:next w:val="Normal"/>
    <w:rsid w:val="00CD0046"/>
    <w:pPr>
      <w:jc w:val="center"/>
    </w:pPr>
  </w:style>
  <w:style w:type="paragraph" w:customStyle="1" w:styleId="Sourcenote">
    <w:name w:val="Source / note"/>
    <w:basedOn w:val="Normal"/>
    <w:qFormat/>
    <w:rsid w:val="00654F9E"/>
    <w:rPr>
      <w:rFonts w:eastAsia="PMingLiU" w:cs="Mangal"/>
      <w:color w:val="595C6E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567" w:right="567" w:hanging="567"/>
    </w:pPr>
  </w:style>
  <w:style w:type="paragraph" w:styleId="TOC1">
    <w:name w:val="toc 1"/>
    <w:basedOn w:val="Normal"/>
    <w:next w:val="Normal"/>
    <w:autoRedefine/>
    <w:uiPriority w:val="39"/>
    <w:unhideWhenUsed/>
    <w:rsid w:val="000740FB"/>
    <w:pPr>
      <w:keepNext/>
      <w:tabs>
        <w:tab w:val="right" w:leader="dot" w:pos="9072"/>
      </w:tabs>
      <w:spacing w:before="120" w:after="0"/>
      <w:ind w:left="567" w:right="567" w:hanging="567"/>
    </w:pPr>
    <w:rPr>
      <w:b/>
      <w:color w:val="002D72"/>
    </w:rPr>
  </w:style>
  <w:style w:type="paragraph" w:styleId="TOC2">
    <w:name w:val="toc 2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134" w:right="567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701" w:right="567" w:hanging="567"/>
    </w:pPr>
  </w:style>
  <w:style w:type="paragraph" w:customStyle="1" w:styleId="Normaldisclaimerpage">
    <w:name w:val="Normal—disclaimer page"/>
    <w:basedOn w:val="Normal"/>
    <w:qFormat/>
    <w:rsid w:val="002F1A23"/>
    <w:rPr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BB3D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">
    <w:name w:val="Default Table 1"/>
    <w:basedOn w:val="TableNormal"/>
    <w:uiPriority w:val="99"/>
    <w:rsid w:val="00A63390"/>
    <w:pPr>
      <w:spacing w:before="80" w:after="8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bottom w:val="single" w:sz="4" w:space="0" w:color="595959" w:themeColor="text1" w:themeTint="A6"/>
        <w:insideH w:val="single" w:sz="4" w:space="0" w:color="595959" w:themeColor="text1" w:themeTint="A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shd w:val="clear" w:color="auto" w:fill="D9E2F3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bullets">
    <w:name w:val="Table text—bullets"/>
    <w:basedOn w:val="Listparagraphbullets"/>
    <w:qFormat/>
    <w:rsid w:val="00381BDA"/>
    <w:pPr>
      <w:spacing w:before="60" w:after="60"/>
      <w:ind w:left="284" w:hanging="284"/>
    </w:pPr>
    <w:rPr>
      <w:color w:val="000000" w:themeColor="text1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0B6FF7"/>
    <w:pPr>
      <w:numPr>
        <w:ilvl w:val="1"/>
      </w:numPr>
      <w:suppressAutoHyphens/>
      <w:spacing w:before="120"/>
    </w:pPr>
    <w:rPr>
      <w:rFonts w:eastAsia="SimSun" w:cs="Times New Roman"/>
      <w:color w:val="377B88"/>
      <w:kern w:val="12"/>
    </w:rPr>
  </w:style>
  <w:style w:type="character" w:customStyle="1" w:styleId="SubtitleChar">
    <w:name w:val="Subtitle Char"/>
    <w:basedOn w:val="DefaultParagraphFont"/>
    <w:link w:val="Subtitle"/>
    <w:uiPriority w:val="18"/>
    <w:rsid w:val="000B6FF7"/>
    <w:rPr>
      <w:rFonts w:ascii="Calibri" w:eastAsia="SimSun" w:hAnsi="Calibri" w:cs="Times New Roman"/>
      <w:color w:val="377B88"/>
      <w:kern w:val="12"/>
    </w:rPr>
  </w:style>
  <w:style w:type="paragraph" w:customStyle="1" w:styleId="AreaHeading">
    <w:name w:val="Area Heading"/>
    <w:basedOn w:val="Normal"/>
    <w:qFormat/>
    <w:rsid w:val="00B041CB"/>
    <w:pPr>
      <w:suppressAutoHyphens/>
      <w:spacing w:after="80"/>
      <w:ind w:left="-1020" w:firstLine="1020"/>
    </w:pPr>
    <w:rPr>
      <w:rFonts w:asciiTheme="minorHAnsi" w:hAnsiTheme="minorHAnsi" w:cs="Times New Roman (Body CS)"/>
      <w:caps/>
      <w:color w:val="BF8F00" w:themeColor="accent4" w:themeShade="BF"/>
      <w:kern w:val="12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1CB"/>
    <w:rPr>
      <w:color w:val="605E5C"/>
      <w:shd w:val="clear" w:color="auto" w:fill="E1DFDD"/>
    </w:rPr>
  </w:style>
  <w:style w:type="paragraph" w:customStyle="1" w:styleId="ListLegal1">
    <w:name w:val="List Legal 1"/>
    <w:basedOn w:val="Normal"/>
    <w:uiPriority w:val="3"/>
    <w:qFormat/>
    <w:rsid w:val="00B041CB"/>
    <w:pPr>
      <w:numPr>
        <w:numId w:val="14"/>
      </w:numPr>
      <w:suppressAutoHyphens/>
      <w:ind w:left="567" w:hanging="567"/>
    </w:pPr>
    <w:rPr>
      <w:color w:val="000000"/>
      <w:kern w:val="12"/>
      <w:szCs w:val="20"/>
      <w:lang w:val="x-none"/>
    </w:rPr>
  </w:style>
  <w:style w:type="paragraph" w:customStyle="1" w:styleId="ListLegal2">
    <w:name w:val="List Legal 2"/>
    <w:basedOn w:val="ListLegal1"/>
    <w:uiPriority w:val="3"/>
    <w:rsid w:val="00B041CB"/>
    <w:pPr>
      <w:numPr>
        <w:ilvl w:val="1"/>
      </w:numPr>
      <w:ind w:left="1134" w:hanging="567"/>
    </w:pPr>
  </w:style>
  <w:style w:type="paragraph" w:customStyle="1" w:styleId="ListLegal3">
    <w:name w:val="List Legal 3"/>
    <w:basedOn w:val="ListLegal2"/>
    <w:uiPriority w:val="3"/>
    <w:rsid w:val="00B041CB"/>
    <w:pPr>
      <w:numPr>
        <w:ilvl w:val="2"/>
      </w:numPr>
      <w:ind w:left="1701" w:hanging="567"/>
    </w:pPr>
  </w:style>
  <w:style w:type="numbering" w:customStyle="1" w:styleId="ListLegal">
    <w:name w:val="List Legal"/>
    <w:uiPriority w:val="99"/>
    <w:rsid w:val="00B041CB"/>
    <w:pPr>
      <w:numPr>
        <w:numId w:val="14"/>
      </w:numPr>
    </w:pPr>
  </w:style>
  <w:style w:type="table" w:customStyle="1" w:styleId="DefaultTable11">
    <w:name w:val="Default Table 11"/>
    <w:basedOn w:val="TableNormal"/>
    <w:uiPriority w:val="99"/>
    <w:rsid w:val="00654F9E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53CCD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AC6195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uiPriority w:val="2"/>
    <w:qFormat/>
    <w:rsid w:val="00906533"/>
    <w:pPr>
      <w:suppressAutoHyphens/>
      <w:spacing w:before="240" w:after="240"/>
    </w:pPr>
    <w:rPr>
      <w:rFonts w:asciiTheme="minorHAnsi" w:hAnsiTheme="minorHAnsi"/>
      <w:color w:val="377B88"/>
      <w:sz w:val="26"/>
      <w:lang w:val="x-none"/>
    </w:rPr>
  </w:style>
  <w:style w:type="paragraph" w:customStyle="1" w:styleId="Bullet1">
    <w:name w:val="Bullet 1"/>
    <w:basedOn w:val="Normal"/>
    <w:uiPriority w:val="3"/>
    <w:qFormat/>
    <w:rsid w:val="00906533"/>
    <w:pPr>
      <w:numPr>
        <w:numId w:val="18"/>
      </w:numPr>
      <w:suppressAutoHyphens/>
      <w:spacing w:before="80" w:after="80"/>
    </w:pPr>
    <w:rPr>
      <w:rFonts w:asciiTheme="minorHAnsi" w:hAnsiTheme="minorHAnsi"/>
      <w:color w:val="000000" w:themeColor="text1"/>
      <w:lang w:val="x-none"/>
    </w:rPr>
  </w:style>
  <w:style w:type="paragraph" w:customStyle="1" w:styleId="Bullet2">
    <w:name w:val="Bullet 2"/>
    <w:basedOn w:val="Bullet1"/>
    <w:uiPriority w:val="3"/>
    <w:rsid w:val="00906533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906533"/>
    <w:pPr>
      <w:numPr>
        <w:ilvl w:val="2"/>
      </w:numPr>
    </w:pPr>
  </w:style>
  <w:style w:type="table" w:customStyle="1" w:styleId="IconBoxTable">
    <w:name w:val="Icon Box Table"/>
    <w:basedOn w:val="TableNormal"/>
    <w:uiPriority w:val="99"/>
    <w:rsid w:val="00906533"/>
    <w:pPr>
      <w:spacing w:before="80" w:after="80" w:line="240" w:lineRule="auto"/>
    </w:pPr>
    <w:rPr>
      <w:color w:val="000000" w:themeColor="text1"/>
    </w:r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06533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209D6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0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80777"/>
    <w:pPr>
      <w:spacing w:after="0"/>
    </w:pPr>
    <w:rPr>
      <w:rFonts w:ascii="Aptos" w:hAnsi="Aptos" w:cs="Apto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ato.gov.au/businesses-and-organisations/income-deductions-and-concessions/incentives-and-concessions/fuel-schemes/fuel-tax-credits-business/rates-business/from-1-july-2025-to-30-june-202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6E4DC-A2B1-4DEB-A953-5F9AD3EC0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2001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— 2026</vt:lpstr>
    </vt:vector>
  </TitlesOfParts>
  <Company>Department of Infrastructure, Transport, Regional Development, Communications, Sport and the Arts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fuel excise relief measures from 1 April 2026—2 April 2026</dc:title>
  <dc:subject/>
  <dc:creator>Department of Infrastructure, Transport, Regional Development, Communications, Sport and the Arts</dc:creator>
  <cp:keywords/>
  <dc:description>20 January 2026</dc:description>
  <cp:lastModifiedBy>Hall, Theresa</cp:lastModifiedBy>
  <cp:revision>3</cp:revision>
  <dcterms:created xsi:type="dcterms:W3CDTF">2026-04-02T06:50:00Z</dcterms:created>
  <dcterms:modified xsi:type="dcterms:W3CDTF">2026-04-02T06:52:00Z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76ea7342,5c8733db,3f884012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6c7b6e49,69ef75c8,7b68ccef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</Properties>
</file>