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2069" w14:textId="6B8A1DFC" w:rsidR="006C3284" w:rsidRPr="006C3284" w:rsidRDefault="006C3284" w:rsidP="00D167A8">
      <w:pPr>
        <w:jc w:val="center"/>
        <w:rPr>
          <w:rFonts w:cstheme="minorHAnsi"/>
          <w:b/>
          <w:sz w:val="44"/>
          <w:szCs w:val="44"/>
        </w:rPr>
      </w:pPr>
      <w:bookmarkStart w:id="0" w:name="_GoBack"/>
      <w:bookmarkEnd w:id="0"/>
      <w:r w:rsidRPr="006C3284">
        <w:rPr>
          <w:rFonts w:cstheme="minorHAnsi"/>
          <w:b/>
          <w:sz w:val="44"/>
          <w:szCs w:val="44"/>
        </w:rPr>
        <w:t>EXPOSURE DRAFT</w:t>
      </w:r>
    </w:p>
    <w:p w14:paraId="6B8D071F" w14:textId="68EB39D9" w:rsidR="00D167A8" w:rsidRPr="006C3284" w:rsidRDefault="00D167A8" w:rsidP="00D167A8">
      <w:pPr>
        <w:jc w:val="center"/>
        <w:rPr>
          <w:rFonts w:cstheme="minorHAnsi"/>
          <w:b/>
          <w:sz w:val="24"/>
          <w:szCs w:val="24"/>
        </w:rPr>
      </w:pPr>
      <w:r w:rsidRPr="006C3284">
        <w:rPr>
          <w:rFonts w:cstheme="minorHAnsi"/>
          <w:b/>
          <w:sz w:val="24"/>
          <w:szCs w:val="24"/>
        </w:rPr>
        <w:t>Explanatory Statement</w:t>
      </w:r>
    </w:p>
    <w:p w14:paraId="1C572C1F" w14:textId="77777777" w:rsidR="00D167A8" w:rsidRPr="006C3284" w:rsidRDefault="00D167A8" w:rsidP="00D167A8">
      <w:pPr>
        <w:jc w:val="center"/>
        <w:rPr>
          <w:rFonts w:cstheme="minorHAnsi"/>
          <w:b/>
          <w:i/>
          <w:sz w:val="24"/>
          <w:szCs w:val="24"/>
        </w:rPr>
      </w:pPr>
      <w:r w:rsidRPr="006C3284">
        <w:rPr>
          <w:rFonts w:cstheme="minorHAnsi"/>
          <w:b/>
          <w:i/>
          <w:sz w:val="24"/>
          <w:szCs w:val="24"/>
        </w:rPr>
        <w:t>Radiocommunications Act 1992</w:t>
      </w:r>
    </w:p>
    <w:p w14:paraId="57445E7A" w14:textId="5B9F73CD" w:rsidR="00D167A8" w:rsidRPr="006C3284" w:rsidRDefault="00D167A8" w:rsidP="006C3284">
      <w:pPr>
        <w:pStyle w:val="Heading1"/>
      </w:pPr>
      <w:r w:rsidRPr="006C3284">
        <w:t xml:space="preserve">Radiocommunications (Spectrum </w:t>
      </w:r>
      <w:r w:rsidR="00287DC8" w:rsidRPr="006C3284">
        <w:t>Licence Limits</w:t>
      </w:r>
      <w:r w:rsidRPr="006C3284">
        <w:t>—8</w:t>
      </w:r>
      <w:r w:rsidR="00A40CBD" w:rsidRPr="006C3284">
        <w:t>50</w:t>
      </w:r>
      <w:r w:rsidRPr="006C3284">
        <w:t>/900 MHz Band) D</w:t>
      </w:r>
      <w:r w:rsidR="00287DC8" w:rsidRPr="006C3284">
        <w:t>irection 2021</w:t>
      </w:r>
    </w:p>
    <w:p w14:paraId="74E95784" w14:textId="5B6329B0" w:rsidR="00D167A8" w:rsidRPr="006C3284" w:rsidRDefault="00D167A8" w:rsidP="00D167A8">
      <w:pPr>
        <w:jc w:val="center"/>
        <w:rPr>
          <w:rFonts w:cstheme="minorHAnsi"/>
          <w:sz w:val="24"/>
          <w:szCs w:val="24"/>
        </w:rPr>
      </w:pPr>
      <w:r w:rsidRPr="006C3284">
        <w:rPr>
          <w:rFonts w:cstheme="minorHAnsi"/>
          <w:sz w:val="24"/>
          <w:szCs w:val="24"/>
        </w:rPr>
        <w:t xml:space="preserve">Issued by the authority of the Minister for Communications, </w:t>
      </w:r>
      <w:r w:rsidR="00287DC8" w:rsidRPr="006C3284">
        <w:rPr>
          <w:rFonts w:cstheme="minorHAnsi"/>
          <w:sz w:val="24"/>
          <w:szCs w:val="24"/>
        </w:rPr>
        <w:t>Urban Infrastructure, Cities</w:t>
      </w:r>
      <w:r w:rsidR="00FF2634">
        <w:rPr>
          <w:rFonts w:cstheme="minorHAnsi"/>
          <w:sz w:val="24"/>
          <w:szCs w:val="24"/>
        </w:rPr>
        <w:t> and the </w:t>
      </w:r>
      <w:r w:rsidRPr="006C3284">
        <w:rPr>
          <w:rFonts w:cstheme="minorHAnsi"/>
          <w:sz w:val="24"/>
          <w:szCs w:val="24"/>
        </w:rPr>
        <w:t>Arts</w:t>
      </w:r>
    </w:p>
    <w:p w14:paraId="36CF640E" w14:textId="77777777" w:rsidR="0080114A" w:rsidRPr="006C3284" w:rsidRDefault="00D167A8" w:rsidP="006C3284">
      <w:pPr>
        <w:pStyle w:val="Heading2"/>
      </w:pPr>
      <w:r w:rsidRPr="006C3284">
        <w:t>Purpose</w:t>
      </w:r>
    </w:p>
    <w:p w14:paraId="22F70C5F" w14:textId="276C9E26" w:rsidR="00B51477" w:rsidRPr="006C3284" w:rsidRDefault="00B51477" w:rsidP="00B51477">
      <w:pPr>
        <w:rPr>
          <w:rFonts w:cstheme="minorHAnsi"/>
          <w:sz w:val="24"/>
          <w:szCs w:val="24"/>
        </w:rPr>
      </w:pPr>
      <w:r w:rsidRPr="006C3284">
        <w:rPr>
          <w:rFonts w:cstheme="minorHAnsi"/>
          <w:sz w:val="24"/>
          <w:szCs w:val="24"/>
        </w:rPr>
        <w:t>The purpose of the Radiocommunications (Spectrum Licence Limits—850/900 MHz Band)</w:t>
      </w:r>
      <w:r w:rsidRPr="006C3284">
        <w:rPr>
          <w:rFonts w:cstheme="minorHAnsi"/>
          <w:i/>
          <w:sz w:val="24"/>
          <w:szCs w:val="24"/>
        </w:rPr>
        <w:t xml:space="preserve"> </w:t>
      </w:r>
      <w:r w:rsidRPr="006C3284">
        <w:rPr>
          <w:rFonts w:cstheme="minorHAnsi"/>
          <w:sz w:val="24"/>
          <w:szCs w:val="24"/>
        </w:rPr>
        <w:t>Direction 2021 (the Direction)</w:t>
      </w:r>
      <w:r w:rsidRPr="006C3284">
        <w:rPr>
          <w:rFonts w:cstheme="minorHAnsi"/>
          <w:i/>
          <w:sz w:val="24"/>
          <w:szCs w:val="24"/>
        </w:rPr>
        <w:t xml:space="preserve"> </w:t>
      </w:r>
      <w:r w:rsidRPr="006C3284">
        <w:rPr>
          <w:rFonts w:cstheme="minorHAnsi"/>
          <w:sz w:val="24"/>
          <w:szCs w:val="24"/>
        </w:rPr>
        <w:t>is to require the Australian Communications and Media Authority (ACMA) to impose</w:t>
      </w:r>
      <w:r w:rsidR="00B67CDC" w:rsidRPr="006C3284">
        <w:rPr>
          <w:rFonts w:cstheme="minorHAnsi"/>
          <w:sz w:val="24"/>
          <w:szCs w:val="24"/>
        </w:rPr>
        <w:t xml:space="preserve"> limits on the aggregate of the parts</w:t>
      </w:r>
      <w:r w:rsidRPr="006C3284">
        <w:rPr>
          <w:rFonts w:cstheme="minorHAnsi"/>
          <w:sz w:val="24"/>
          <w:szCs w:val="24"/>
        </w:rPr>
        <w:t xml:space="preserve"> of the spectrum that may be used </w:t>
      </w:r>
      <w:r w:rsidR="00950EAF" w:rsidRPr="006C3284">
        <w:rPr>
          <w:rFonts w:cstheme="minorHAnsi"/>
          <w:sz w:val="24"/>
          <w:szCs w:val="24"/>
        </w:rPr>
        <w:t>by persons</w:t>
      </w:r>
      <w:r w:rsidR="00B67CDC" w:rsidRPr="006C3284">
        <w:rPr>
          <w:rFonts w:cstheme="minorHAnsi"/>
          <w:sz w:val="24"/>
          <w:szCs w:val="24"/>
        </w:rPr>
        <w:t>,</w:t>
      </w:r>
      <w:r w:rsidR="00950EAF" w:rsidRPr="006C3284">
        <w:rPr>
          <w:rFonts w:cstheme="minorHAnsi"/>
          <w:sz w:val="24"/>
          <w:szCs w:val="24"/>
        </w:rPr>
        <w:t xml:space="preserve"> or groups of persons </w:t>
      </w:r>
      <w:r w:rsidR="00B67CDC" w:rsidRPr="006C3284">
        <w:rPr>
          <w:rFonts w:cstheme="minorHAnsi"/>
          <w:sz w:val="24"/>
          <w:szCs w:val="24"/>
        </w:rPr>
        <w:t xml:space="preserve">specified in the Direction, </w:t>
      </w:r>
      <w:r w:rsidR="00950EAF" w:rsidRPr="006C3284">
        <w:rPr>
          <w:rFonts w:cstheme="minorHAnsi"/>
          <w:sz w:val="24"/>
          <w:szCs w:val="24"/>
        </w:rPr>
        <w:t>as a result of the reallocation of spectrum in the 850/900 MHz band.</w:t>
      </w:r>
    </w:p>
    <w:p w14:paraId="41C4F17A" w14:textId="59D038E7" w:rsidR="00950EAF" w:rsidRPr="006C3284" w:rsidRDefault="00B51477" w:rsidP="00B51477">
      <w:pPr>
        <w:rPr>
          <w:rFonts w:cstheme="minorHAnsi"/>
          <w:sz w:val="24"/>
          <w:szCs w:val="24"/>
        </w:rPr>
      </w:pPr>
      <w:r w:rsidRPr="006C3284">
        <w:rPr>
          <w:rFonts w:cstheme="minorHAnsi"/>
          <w:sz w:val="24"/>
          <w:szCs w:val="24"/>
        </w:rPr>
        <w:t xml:space="preserve">The Direction has the effect of requiring </w:t>
      </w:r>
      <w:r w:rsidR="00BF0DE6" w:rsidRPr="006C3284">
        <w:rPr>
          <w:rFonts w:cstheme="minorHAnsi"/>
          <w:sz w:val="24"/>
          <w:szCs w:val="24"/>
        </w:rPr>
        <w:t xml:space="preserve">the </w:t>
      </w:r>
      <w:r w:rsidRPr="006C3284">
        <w:rPr>
          <w:rFonts w:cstheme="minorHAnsi"/>
          <w:sz w:val="24"/>
          <w:szCs w:val="24"/>
        </w:rPr>
        <w:t>ACMA</w:t>
      </w:r>
      <w:r w:rsidR="00950EAF" w:rsidRPr="006C3284">
        <w:rPr>
          <w:rFonts w:cstheme="minorHAnsi"/>
          <w:sz w:val="24"/>
          <w:szCs w:val="24"/>
        </w:rPr>
        <w:t>, in determining procedures to be applied for allocating spectrum in the 850/900 MHz band, to ensure that no person or relevant group of persons may use</w:t>
      </w:r>
      <w:r w:rsidR="00EE2550" w:rsidRPr="006C3284">
        <w:rPr>
          <w:rFonts w:cstheme="minorHAnsi"/>
          <w:sz w:val="24"/>
          <w:szCs w:val="24"/>
        </w:rPr>
        <w:t>, as a result of the allocation of spectrum licences,</w:t>
      </w:r>
      <w:r w:rsidR="00950EAF" w:rsidRPr="006C3284">
        <w:rPr>
          <w:rFonts w:cstheme="minorHAnsi"/>
          <w:sz w:val="24"/>
          <w:szCs w:val="24"/>
        </w:rPr>
        <w:t xml:space="preserve"> more than an aggregate of 82 MHz </w:t>
      </w:r>
      <w:r w:rsidR="00EE2550" w:rsidRPr="006C3284">
        <w:rPr>
          <w:rFonts w:cstheme="minorHAnsi"/>
          <w:sz w:val="24"/>
          <w:szCs w:val="24"/>
        </w:rPr>
        <w:t xml:space="preserve">(the 82 MHz limit) </w:t>
      </w:r>
      <w:r w:rsidR="00950EAF" w:rsidRPr="006C3284">
        <w:rPr>
          <w:rFonts w:cstheme="minorHAnsi"/>
          <w:sz w:val="24"/>
          <w:szCs w:val="24"/>
        </w:rPr>
        <w:t xml:space="preserve">of </w:t>
      </w:r>
      <w:r w:rsidR="00EE2550" w:rsidRPr="006C3284">
        <w:rPr>
          <w:rFonts w:cstheme="minorHAnsi"/>
          <w:sz w:val="24"/>
          <w:szCs w:val="24"/>
        </w:rPr>
        <w:t xml:space="preserve">spectrum below 1 GHz (the </w:t>
      </w:r>
      <w:r w:rsidR="006E33C5" w:rsidRPr="006C3284">
        <w:rPr>
          <w:rFonts w:cstheme="minorHAnsi"/>
          <w:sz w:val="24"/>
          <w:szCs w:val="24"/>
        </w:rPr>
        <w:t>sub-</w:t>
      </w:r>
      <w:r w:rsidR="00950EAF" w:rsidRPr="006C3284">
        <w:rPr>
          <w:rFonts w:cstheme="minorHAnsi"/>
          <w:sz w:val="24"/>
          <w:szCs w:val="24"/>
        </w:rPr>
        <w:t>1 GHz band</w:t>
      </w:r>
      <w:r w:rsidR="00EE2550" w:rsidRPr="006C3284">
        <w:rPr>
          <w:rFonts w:cstheme="minorHAnsi"/>
          <w:sz w:val="24"/>
          <w:szCs w:val="24"/>
        </w:rPr>
        <w:t>)</w:t>
      </w:r>
      <w:r w:rsidR="00AC2A2B" w:rsidRPr="006C3284">
        <w:rPr>
          <w:rFonts w:cstheme="minorHAnsi"/>
          <w:sz w:val="24"/>
          <w:szCs w:val="24"/>
        </w:rPr>
        <w:t xml:space="preserve"> </w:t>
      </w:r>
      <w:r w:rsidR="006E33C5" w:rsidRPr="006C3284">
        <w:rPr>
          <w:rFonts w:cstheme="minorHAnsi"/>
          <w:sz w:val="24"/>
          <w:szCs w:val="24"/>
        </w:rPr>
        <w:t xml:space="preserve">under spectrum licences </w:t>
      </w:r>
      <w:r w:rsidR="00950EAF" w:rsidRPr="006C3284">
        <w:rPr>
          <w:rFonts w:cstheme="minorHAnsi"/>
          <w:sz w:val="24"/>
          <w:szCs w:val="24"/>
        </w:rPr>
        <w:t>in the relevant area.</w:t>
      </w:r>
      <w:r w:rsidR="007F0421" w:rsidRPr="006C3284">
        <w:rPr>
          <w:rFonts w:cstheme="minorHAnsi"/>
          <w:sz w:val="24"/>
          <w:szCs w:val="24"/>
        </w:rPr>
        <w:t xml:space="preserve"> The </w:t>
      </w:r>
      <w:r w:rsidR="00081B1F" w:rsidRPr="006C3284">
        <w:rPr>
          <w:rFonts w:cstheme="minorHAnsi"/>
          <w:sz w:val="24"/>
          <w:szCs w:val="24"/>
        </w:rPr>
        <w:t xml:space="preserve">planning arrangements for </w:t>
      </w:r>
      <w:r w:rsidR="007F0421" w:rsidRPr="006C3284">
        <w:rPr>
          <w:rFonts w:cstheme="minorHAnsi"/>
          <w:sz w:val="24"/>
          <w:szCs w:val="24"/>
        </w:rPr>
        <w:t xml:space="preserve">spectrum reallocated in the 850/900 MHz band will be optimised for use in 4G and 5G mobile networks. </w:t>
      </w:r>
    </w:p>
    <w:p w14:paraId="32136232" w14:textId="0C922FA0" w:rsidR="00950EAF" w:rsidRPr="006C3284" w:rsidRDefault="007F0421" w:rsidP="00B51477">
      <w:pPr>
        <w:rPr>
          <w:rFonts w:cstheme="minorHAnsi"/>
          <w:sz w:val="24"/>
          <w:szCs w:val="24"/>
        </w:rPr>
      </w:pPr>
      <w:r w:rsidRPr="006C3284">
        <w:rPr>
          <w:rFonts w:cstheme="minorHAnsi"/>
          <w:sz w:val="24"/>
          <w:szCs w:val="24"/>
        </w:rPr>
        <w:t>Spectrum</w:t>
      </w:r>
      <w:r w:rsidR="006E33C5" w:rsidRPr="006C3284">
        <w:rPr>
          <w:rFonts w:cstheme="minorHAnsi"/>
          <w:sz w:val="24"/>
          <w:szCs w:val="24"/>
        </w:rPr>
        <w:t>-licensed bands</w:t>
      </w:r>
      <w:r w:rsidRPr="006C3284">
        <w:rPr>
          <w:rFonts w:cstheme="minorHAnsi"/>
          <w:sz w:val="24"/>
          <w:szCs w:val="24"/>
        </w:rPr>
        <w:t xml:space="preserve"> in the </w:t>
      </w:r>
      <w:r w:rsidR="006E33C5" w:rsidRPr="006C3284">
        <w:rPr>
          <w:rFonts w:cstheme="minorHAnsi"/>
          <w:sz w:val="24"/>
          <w:szCs w:val="24"/>
        </w:rPr>
        <w:t>sub-</w:t>
      </w:r>
      <w:r w:rsidRPr="006C3284">
        <w:rPr>
          <w:rFonts w:cstheme="minorHAnsi"/>
          <w:sz w:val="24"/>
          <w:szCs w:val="24"/>
        </w:rPr>
        <w:t>1 GHz band</w:t>
      </w:r>
      <w:r w:rsidR="00F4362E" w:rsidRPr="006C3284">
        <w:rPr>
          <w:rFonts w:cstheme="minorHAnsi"/>
          <w:sz w:val="24"/>
          <w:szCs w:val="24"/>
        </w:rPr>
        <w:t xml:space="preserve">, of which the 850/900 MHz band is part, is closely substitutable for the 850/900 MHz band. </w:t>
      </w:r>
      <w:r w:rsidR="00081B1F" w:rsidRPr="006C3284">
        <w:rPr>
          <w:rFonts w:cstheme="minorHAnsi"/>
          <w:sz w:val="24"/>
          <w:szCs w:val="24"/>
        </w:rPr>
        <w:t>This spectrum is well suited to providing</w:t>
      </w:r>
      <w:r w:rsidR="00B750D3" w:rsidRPr="006C3284">
        <w:rPr>
          <w:rFonts w:cstheme="minorHAnsi"/>
          <w:sz w:val="24"/>
          <w:szCs w:val="24"/>
        </w:rPr>
        <w:t xml:space="preserve"> wide-area and in-building</w:t>
      </w:r>
      <w:r w:rsidR="00081B1F" w:rsidRPr="006C3284">
        <w:rPr>
          <w:rFonts w:cstheme="minorHAnsi"/>
          <w:sz w:val="24"/>
          <w:szCs w:val="24"/>
        </w:rPr>
        <w:t xml:space="preserve"> coverage d</w:t>
      </w:r>
      <w:r w:rsidRPr="006C3284">
        <w:rPr>
          <w:rFonts w:cstheme="minorHAnsi"/>
          <w:sz w:val="24"/>
          <w:szCs w:val="24"/>
        </w:rPr>
        <w:t>ue to its unique propagation characteristics</w:t>
      </w:r>
      <w:r w:rsidR="00B750D3" w:rsidRPr="006C3284">
        <w:rPr>
          <w:rFonts w:cstheme="minorHAnsi"/>
          <w:sz w:val="24"/>
          <w:szCs w:val="24"/>
        </w:rPr>
        <w:t>,</w:t>
      </w:r>
      <w:r w:rsidR="00F4362E" w:rsidRPr="006C3284">
        <w:rPr>
          <w:rFonts w:cstheme="minorHAnsi"/>
          <w:sz w:val="24"/>
          <w:szCs w:val="24"/>
        </w:rPr>
        <w:t xml:space="preserve"> and is therefore highly sought after by mobile network operators (MNOs)</w:t>
      </w:r>
      <w:r w:rsidRPr="006C3284">
        <w:rPr>
          <w:rFonts w:cstheme="minorHAnsi"/>
          <w:sz w:val="24"/>
          <w:szCs w:val="24"/>
        </w:rPr>
        <w:t xml:space="preserve">. Disparity in </w:t>
      </w:r>
      <w:r w:rsidR="006E33C5" w:rsidRPr="006C3284">
        <w:rPr>
          <w:rFonts w:cstheme="minorHAnsi"/>
          <w:sz w:val="24"/>
          <w:szCs w:val="24"/>
        </w:rPr>
        <w:t>sub-</w:t>
      </w:r>
      <w:r w:rsidRPr="006C3284">
        <w:rPr>
          <w:rFonts w:cstheme="minorHAnsi"/>
          <w:sz w:val="24"/>
          <w:szCs w:val="24"/>
        </w:rPr>
        <w:t>1 GHz spectrum</w:t>
      </w:r>
      <w:r w:rsidR="006E33C5" w:rsidRPr="006C3284">
        <w:rPr>
          <w:rFonts w:cstheme="minorHAnsi"/>
          <w:sz w:val="24"/>
          <w:szCs w:val="24"/>
        </w:rPr>
        <w:t>-licensed</w:t>
      </w:r>
      <w:r w:rsidRPr="006C3284">
        <w:rPr>
          <w:rFonts w:cstheme="minorHAnsi"/>
          <w:sz w:val="24"/>
          <w:szCs w:val="24"/>
        </w:rPr>
        <w:t xml:space="preserve"> holdings between MNOs</w:t>
      </w:r>
      <w:r w:rsidR="00F9191D" w:rsidRPr="006C3284">
        <w:rPr>
          <w:rFonts w:cstheme="minorHAnsi"/>
          <w:sz w:val="24"/>
          <w:szCs w:val="24"/>
        </w:rPr>
        <w:t xml:space="preserve"> currently exists. If this disparity is not addressed, or asymmetry in </w:t>
      </w:r>
      <w:r w:rsidR="006E33C5" w:rsidRPr="006C3284">
        <w:rPr>
          <w:rFonts w:cstheme="minorHAnsi"/>
          <w:sz w:val="24"/>
          <w:szCs w:val="24"/>
        </w:rPr>
        <w:t>sub-</w:t>
      </w:r>
      <w:r w:rsidR="00F9191D" w:rsidRPr="006C3284">
        <w:rPr>
          <w:rFonts w:cstheme="minorHAnsi"/>
          <w:sz w:val="24"/>
          <w:szCs w:val="24"/>
        </w:rPr>
        <w:t>1 GHz band holdings</w:t>
      </w:r>
      <w:r w:rsidRPr="006C3284">
        <w:rPr>
          <w:rFonts w:cstheme="minorHAnsi"/>
          <w:sz w:val="24"/>
          <w:szCs w:val="24"/>
        </w:rPr>
        <w:t xml:space="preserve"> </w:t>
      </w:r>
      <w:r w:rsidR="00001E66" w:rsidRPr="006C3284">
        <w:rPr>
          <w:rFonts w:cstheme="minorHAnsi"/>
          <w:sz w:val="24"/>
          <w:szCs w:val="24"/>
        </w:rPr>
        <w:t xml:space="preserve">further increases it </w:t>
      </w:r>
      <w:r w:rsidRPr="006C3284">
        <w:rPr>
          <w:rFonts w:cstheme="minorHAnsi"/>
          <w:sz w:val="24"/>
          <w:szCs w:val="24"/>
        </w:rPr>
        <w:t xml:space="preserve">could constrain the ability of some MNOs to compete effectively in the </w:t>
      </w:r>
      <w:r w:rsidR="00001E66" w:rsidRPr="006C3284">
        <w:rPr>
          <w:rFonts w:cstheme="minorHAnsi"/>
          <w:sz w:val="24"/>
          <w:szCs w:val="24"/>
        </w:rPr>
        <w:t xml:space="preserve">downstream </w:t>
      </w:r>
      <w:r w:rsidR="006C3284" w:rsidRPr="006C3284">
        <w:rPr>
          <w:rFonts w:cstheme="minorHAnsi"/>
          <w:sz w:val="24"/>
          <w:szCs w:val="24"/>
        </w:rPr>
        <w:t>consumer mobile market.</w:t>
      </w:r>
    </w:p>
    <w:p w14:paraId="09303F4D" w14:textId="5F80381A" w:rsidR="00226B8E" w:rsidRPr="006C3284" w:rsidRDefault="00226B8E" w:rsidP="00226B8E">
      <w:pPr>
        <w:rPr>
          <w:rFonts w:cstheme="minorHAnsi"/>
          <w:sz w:val="24"/>
          <w:szCs w:val="24"/>
        </w:rPr>
      </w:pPr>
      <w:r w:rsidRPr="006C3284">
        <w:rPr>
          <w:rFonts w:cstheme="minorHAnsi"/>
          <w:sz w:val="24"/>
          <w:szCs w:val="24"/>
        </w:rPr>
        <w:t>Th</w:t>
      </w:r>
      <w:r w:rsidR="00141302" w:rsidRPr="006C3284">
        <w:rPr>
          <w:rFonts w:cstheme="minorHAnsi"/>
          <w:sz w:val="24"/>
          <w:szCs w:val="24"/>
        </w:rPr>
        <w:t xml:space="preserve">e </w:t>
      </w:r>
      <w:r w:rsidR="00F4362E" w:rsidRPr="006C3284">
        <w:rPr>
          <w:rFonts w:cstheme="minorHAnsi"/>
          <w:sz w:val="24"/>
          <w:szCs w:val="24"/>
        </w:rPr>
        <w:t xml:space="preserve">intent of the </w:t>
      </w:r>
      <w:r w:rsidR="00141302" w:rsidRPr="006C3284">
        <w:rPr>
          <w:rFonts w:cstheme="minorHAnsi"/>
          <w:sz w:val="24"/>
          <w:szCs w:val="24"/>
        </w:rPr>
        <w:t>82 MHz</w:t>
      </w:r>
      <w:r w:rsidRPr="006C3284">
        <w:rPr>
          <w:rFonts w:cstheme="minorHAnsi"/>
          <w:sz w:val="24"/>
          <w:szCs w:val="24"/>
        </w:rPr>
        <w:t xml:space="preserve"> limit is to prevent monopolisation of spectrum</w:t>
      </w:r>
      <w:r w:rsidR="006E33C5" w:rsidRPr="006C3284">
        <w:rPr>
          <w:rFonts w:cstheme="minorHAnsi"/>
          <w:sz w:val="24"/>
          <w:szCs w:val="24"/>
        </w:rPr>
        <w:t xml:space="preserve"> licences</w:t>
      </w:r>
      <w:r w:rsidRPr="006C3284">
        <w:rPr>
          <w:rFonts w:cstheme="minorHAnsi"/>
          <w:sz w:val="24"/>
          <w:szCs w:val="24"/>
        </w:rPr>
        <w:t xml:space="preserve"> in the </w:t>
      </w:r>
      <w:r w:rsidR="006E33C5" w:rsidRPr="006C3284">
        <w:rPr>
          <w:rFonts w:cstheme="minorHAnsi"/>
          <w:sz w:val="24"/>
          <w:szCs w:val="24"/>
        </w:rPr>
        <w:t>sub-</w:t>
      </w:r>
      <w:r w:rsidRPr="006C3284">
        <w:rPr>
          <w:rFonts w:cstheme="minorHAnsi"/>
          <w:sz w:val="24"/>
          <w:szCs w:val="24"/>
        </w:rPr>
        <w:t>1 GHz band</w:t>
      </w:r>
      <w:r w:rsidR="00F9191D" w:rsidRPr="006C3284">
        <w:rPr>
          <w:rFonts w:cstheme="minorHAnsi"/>
          <w:sz w:val="24"/>
          <w:szCs w:val="24"/>
        </w:rPr>
        <w:t xml:space="preserve">, partially addressing the disparity in </w:t>
      </w:r>
      <w:r w:rsidR="006E33C5" w:rsidRPr="006C3284">
        <w:rPr>
          <w:rFonts w:cstheme="minorHAnsi"/>
          <w:sz w:val="24"/>
          <w:szCs w:val="24"/>
        </w:rPr>
        <w:t>sub-</w:t>
      </w:r>
      <w:r w:rsidR="00F9191D" w:rsidRPr="006C3284">
        <w:rPr>
          <w:rFonts w:cstheme="minorHAnsi"/>
          <w:sz w:val="24"/>
          <w:szCs w:val="24"/>
        </w:rPr>
        <w:t>1 GHz band</w:t>
      </w:r>
      <w:r w:rsidR="006E33C5" w:rsidRPr="006C3284">
        <w:rPr>
          <w:rFonts w:cstheme="minorHAnsi"/>
          <w:sz w:val="24"/>
          <w:szCs w:val="24"/>
        </w:rPr>
        <w:t xml:space="preserve"> spectrum licence</w:t>
      </w:r>
      <w:r w:rsidR="00F9191D" w:rsidRPr="006C3284">
        <w:rPr>
          <w:rFonts w:cstheme="minorHAnsi"/>
          <w:sz w:val="24"/>
          <w:szCs w:val="24"/>
        </w:rPr>
        <w:t xml:space="preserve"> holdings between MNOs</w:t>
      </w:r>
      <w:r w:rsidRPr="006C3284">
        <w:rPr>
          <w:rFonts w:cstheme="minorHAnsi"/>
          <w:sz w:val="24"/>
          <w:szCs w:val="24"/>
        </w:rPr>
        <w:t>, whil</w:t>
      </w:r>
      <w:r w:rsidR="00081B1F" w:rsidRPr="006C3284">
        <w:rPr>
          <w:rFonts w:cstheme="minorHAnsi"/>
          <w:sz w:val="24"/>
          <w:szCs w:val="24"/>
        </w:rPr>
        <w:t>st</w:t>
      </w:r>
      <w:r w:rsidRPr="006C3284">
        <w:rPr>
          <w:rFonts w:cstheme="minorHAnsi"/>
          <w:sz w:val="24"/>
          <w:szCs w:val="24"/>
        </w:rPr>
        <w:t xml:space="preserve"> enabling competition between MNOs, and any other bidders. </w:t>
      </w:r>
      <w:r w:rsidR="00F4362E" w:rsidRPr="006C3284">
        <w:rPr>
          <w:rFonts w:cstheme="minorHAnsi"/>
          <w:sz w:val="24"/>
          <w:szCs w:val="24"/>
        </w:rPr>
        <w:t>This limit will enable the three national MNOs</w:t>
      </w:r>
      <w:r w:rsidR="00C22C61" w:rsidRPr="006C3284">
        <w:rPr>
          <w:rFonts w:cstheme="minorHAnsi"/>
          <w:sz w:val="24"/>
          <w:szCs w:val="24"/>
        </w:rPr>
        <w:t>—</w:t>
      </w:r>
      <w:r w:rsidR="00F4362E" w:rsidRPr="006C3284">
        <w:rPr>
          <w:rFonts w:cstheme="minorHAnsi"/>
          <w:sz w:val="24"/>
          <w:szCs w:val="24"/>
        </w:rPr>
        <w:t>Optus, Telstra and TPG Telecom</w:t>
      </w:r>
      <w:r w:rsidR="00C22C61" w:rsidRPr="006C3284">
        <w:rPr>
          <w:rFonts w:cstheme="minorHAnsi"/>
          <w:sz w:val="24"/>
          <w:szCs w:val="24"/>
        </w:rPr>
        <w:t>—</w:t>
      </w:r>
      <w:r w:rsidR="00F4362E" w:rsidRPr="006C3284">
        <w:rPr>
          <w:rFonts w:cstheme="minorHAnsi"/>
          <w:sz w:val="24"/>
          <w:szCs w:val="24"/>
        </w:rPr>
        <w:t xml:space="preserve">to acquire further spectrum below </w:t>
      </w:r>
      <w:r w:rsidR="006E33C5" w:rsidRPr="006C3284">
        <w:rPr>
          <w:rFonts w:cstheme="minorHAnsi"/>
          <w:sz w:val="24"/>
          <w:szCs w:val="24"/>
        </w:rPr>
        <w:t>sub-</w:t>
      </w:r>
      <w:r w:rsidR="00F4362E" w:rsidRPr="006C3284">
        <w:rPr>
          <w:rFonts w:cstheme="minorHAnsi"/>
          <w:sz w:val="24"/>
          <w:szCs w:val="24"/>
        </w:rPr>
        <w:t xml:space="preserve">1 GHz, but will prevent any one MNO from using more than 40% of </w:t>
      </w:r>
      <w:r w:rsidR="00B750D3" w:rsidRPr="006C3284">
        <w:rPr>
          <w:rFonts w:cstheme="minorHAnsi"/>
          <w:sz w:val="24"/>
          <w:szCs w:val="24"/>
        </w:rPr>
        <w:t xml:space="preserve">spectrum-licensed </w:t>
      </w:r>
      <w:r w:rsidR="00F4362E" w:rsidRPr="006C3284">
        <w:rPr>
          <w:rFonts w:cstheme="minorHAnsi"/>
          <w:sz w:val="24"/>
          <w:szCs w:val="24"/>
        </w:rPr>
        <w:t xml:space="preserve">spectrum in the </w:t>
      </w:r>
      <w:r w:rsidR="006E33C5" w:rsidRPr="006C3284">
        <w:rPr>
          <w:rFonts w:cstheme="minorHAnsi"/>
          <w:sz w:val="24"/>
          <w:szCs w:val="24"/>
        </w:rPr>
        <w:t>sub-</w:t>
      </w:r>
      <w:r w:rsidR="00F4362E" w:rsidRPr="006C3284">
        <w:rPr>
          <w:rFonts w:cstheme="minorHAnsi"/>
          <w:sz w:val="24"/>
          <w:szCs w:val="24"/>
        </w:rPr>
        <w:t>1 GHz band. The limit will support the government’s communications policy objectives of promoting competitive market outcomes for the long term benefit of consumers, supporting the deployment of 4G and 5G technologies and supporting continuity of services.</w:t>
      </w:r>
    </w:p>
    <w:p w14:paraId="12A9EC41" w14:textId="54F51616" w:rsidR="00723969" w:rsidRPr="006C3284" w:rsidRDefault="00723969" w:rsidP="00226B8E">
      <w:pPr>
        <w:rPr>
          <w:rFonts w:cstheme="minorHAnsi"/>
          <w:sz w:val="24"/>
          <w:szCs w:val="24"/>
        </w:rPr>
      </w:pPr>
      <w:r w:rsidRPr="006C3284">
        <w:rPr>
          <w:rFonts w:cstheme="minorHAnsi"/>
          <w:sz w:val="24"/>
          <w:szCs w:val="24"/>
        </w:rPr>
        <w:lastRenderedPageBreak/>
        <w:t xml:space="preserve">The 82 MHz limit aligns with advice provided to the Minister for Communications, Urban Infrastructure, Cities and the Arts (the Minister) by the Australian Competition and Consumer Commission (the ACCC), which recommended limits apply such that no person, or relevant group of persons, could use more than 80 MHz of spectrum in the </w:t>
      </w:r>
      <w:r w:rsidR="006E33C5" w:rsidRPr="006C3284">
        <w:rPr>
          <w:rFonts w:cstheme="minorHAnsi"/>
          <w:sz w:val="24"/>
          <w:szCs w:val="24"/>
        </w:rPr>
        <w:t>sub-</w:t>
      </w:r>
      <w:r w:rsidRPr="006C3284">
        <w:rPr>
          <w:rFonts w:cstheme="minorHAnsi"/>
          <w:sz w:val="24"/>
          <w:szCs w:val="24"/>
        </w:rPr>
        <w:t>1 GHz band. 2</w:t>
      </w:r>
      <w:r w:rsidR="00C22C61" w:rsidRPr="006C3284">
        <w:rPr>
          <w:rFonts w:cstheme="minorHAnsi"/>
          <w:sz w:val="24"/>
          <w:szCs w:val="24"/>
        </w:rPr>
        <w:t> </w:t>
      </w:r>
      <w:r w:rsidRPr="006C3284">
        <w:rPr>
          <w:rFonts w:cstheme="minorHAnsi"/>
          <w:sz w:val="24"/>
          <w:szCs w:val="24"/>
        </w:rPr>
        <w:t>MHz has been added to the recommended limit to account for the fact that 2 MHz of ‘downshift’ spectrum</w:t>
      </w:r>
      <w:r w:rsidR="00492C1C" w:rsidRPr="006C3284">
        <w:rPr>
          <w:rFonts w:cstheme="minorHAnsi"/>
          <w:sz w:val="24"/>
          <w:szCs w:val="24"/>
        </w:rPr>
        <w:t xml:space="preserve"> will be allocated to the winner of the lowest lot in the 900 MHz band. The downshift spectrum will facilitate a 1 MHz downshift of spectrum holdings in the adjacent 850 MHz band to align with internationally harmonised frequency ranges. It will also enable full utility of the lowest 900 MHz lot by removing the need for a 1 MHz guard band</w:t>
      </w:r>
      <w:r w:rsidRPr="006C3284">
        <w:rPr>
          <w:rFonts w:cstheme="minorHAnsi"/>
          <w:sz w:val="24"/>
          <w:szCs w:val="24"/>
        </w:rPr>
        <w:t xml:space="preserve">. An 82 MHz limit will not enable bidders to acquire any more lots </w:t>
      </w:r>
      <w:r w:rsidR="00F4362E" w:rsidRPr="006C3284">
        <w:rPr>
          <w:rFonts w:cstheme="minorHAnsi"/>
          <w:sz w:val="24"/>
          <w:szCs w:val="24"/>
        </w:rPr>
        <w:t xml:space="preserve">at the 850/900 MHz auction </w:t>
      </w:r>
      <w:r w:rsidRPr="006C3284">
        <w:rPr>
          <w:rFonts w:cstheme="minorHAnsi"/>
          <w:sz w:val="24"/>
          <w:szCs w:val="24"/>
        </w:rPr>
        <w:t>than an 80</w:t>
      </w:r>
      <w:r w:rsidR="00C22C61" w:rsidRPr="006C3284">
        <w:rPr>
          <w:rFonts w:cstheme="minorHAnsi"/>
          <w:sz w:val="24"/>
          <w:szCs w:val="24"/>
        </w:rPr>
        <w:t> </w:t>
      </w:r>
      <w:r w:rsidRPr="006C3284">
        <w:rPr>
          <w:rFonts w:cstheme="minorHAnsi"/>
          <w:sz w:val="24"/>
          <w:szCs w:val="24"/>
        </w:rPr>
        <w:t>MHz limit</w:t>
      </w:r>
      <w:r w:rsidR="00F4362E" w:rsidRPr="006C3284">
        <w:rPr>
          <w:rFonts w:cstheme="minorHAnsi"/>
          <w:sz w:val="24"/>
          <w:szCs w:val="24"/>
        </w:rPr>
        <w:t xml:space="preserve"> would have</w:t>
      </w:r>
      <w:r w:rsidRPr="006C3284">
        <w:rPr>
          <w:rFonts w:cstheme="minorHAnsi"/>
          <w:sz w:val="24"/>
          <w:szCs w:val="24"/>
        </w:rPr>
        <w:t>.</w:t>
      </w:r>
    </w:p>
    <w:p w14:paraId="5DD050E6" w14:textId="7CF06D37" w:rsidR="000E34D8" w:rsidRPr="006C3284" w:rsidRDefault="00950EAF" w:rsidP="00B51477">
      <w:pPr>
        <w:rPr>
          <w:rFonts w:cstheme="minorHAnsi"/>
          <w:sz w:val="24"/>
          <w:szCs w:val="24"/>
        </w:rPr>
      </w:pPr>
      <w:r w:rsidRPr="006C3284">
        <w:rPr>
          <w:rFonts w:cstheme="minorHAnsi"/>
          <w:sz w:val="24"/>
          <w:szCs w:val="24"/>
        </w:rPr>
        <w:t xml:space="preserve">The Direction also </w:t>
      </w:r>
      <w:r w:rsidR="00424E8A" w:rsidRPr="006C3284">
        <w:rPr>
          <w:rFonts w:cstheme="minorHAnsi"/>
          <w:sz w:val="24"/>
          <w:szCs w:val="24"/>
        </w:rPr>
        <w:t xml:space="preserve">has the effect of requiring </w:t>
      </w:r>
      <w:r w:rsidRPr="006C3284">
        <w:rPr>
          <w:rFonts w:cstheme="minorHAnsi"/>
          <w:sz w:val="24"/>
          <w:szCs w:val="24"/>
        </w:rPr>
        <w:t xml:space="preserve">ACMA </w:t>
      </w:r>
      <w:r w:rsidR="00F4362E" w:rsidRPr="006C3284">
        <w:rPr>
          <w:rFonts w:cstheme="minorHAnsi"/>
          <w:sz w:val="24"/>
          <w:szCs w:val="24"/>
        </w:rPr>
        <w:t>to set-</w:t>
      </w:r>
      <w:r w:rsidR="00B51477" w:rsidRPr="006C3284">
        <w:rPr>
          <w:rFonts w:cstheme="minorHAnsi"/>
          <w:sz w:val="24"/>
          <w:szCs w:val="24"/>
        </w:rPr>
        <w:t xml:space="preserve">aside </w:t>
      </w:r>
      <w:r w:rsidR="00F9191D" w:rsidRPr="006C3284">
        <w:rPr>
          <w:rFonts w:cstheme="minorHAnsi"/>
          <w:sz w:val="24"/>
          <w:szCs w:val="24"/>
        </w:rPr>
        <w:t>10</w:t>
      </w:r>
      <w:r w:rsidR="00B51477" w:rsidRPr="006C3284">
        <w:rPr>
          <w:rFonts w:cstheme="minorHAnsi"/>
          <w:sz w:val="24"/>
          <w:szCs w:val="24"/>
        </w:rPr>
        <w:t xml:space="preserve"> MHz of spectrum</w:t>
      </w:r>
      <w:r w:rsidR="00F168E3" w:rsidRPr="006C3284">
        <w:rPr>
          <w:rFonts w:cstheme="minorHAnsi"/>
          <w:sz w:val="24"/>
          <w:szCs w:val="24"/>
        </w:rPr>
        <w:t xml:space="preserve"> each</w:t>
      </w:r>
      <w:r w:rsidR="00B51477" w:rsidRPr="006C3284">
        <w:rPr>
          <w:rFonts w:cstheme="minorHAnsi"/>
          <w:sz w:val="24"/>
          <w:szCs w:val="24"/>
        </w:rPr>
        <w:t xml:space="preserve"> in the</w:t>
      </w:r>
      <w:r w:rsidR="00F4362E" w:rsidRPr="006C3284">
        <w:rPr>
          <w:rFonts w:cstheme="minorHAnsi"/>
          <w:sz w:val="24"/>
          <w:szCs w:val="24"/>
        </w:rPr>
        <w:t xml:space="preserve"> upper four lots of the</w:t>
      </w:r>
      <w:r w:rsidR="00B51477" w:rsidRPr="006C3284">
        <w:rPr>
          <w:rFonts w:cstheme="minorHAnsi"/>
          <w:sz w:val="24"/>
          <w:szCs w:val="24"/>
        </w:rPr>
        <w:t xml:space="preserve"> 900 MHz band (from 895 to 915 MHz and 940 to 960 MHz) for Optus and TPG Telecom</w:t>
      </w:r>
      <w:r w:rsidR="00424E8A" w:rsidRPr="006C3284">
        <w:rPr>
          <w:rFonts w:cstheme="minorHAnsi"/>
          <w:sz w:val="24"/>
          <w:szCs w:val="24"/>
        </w:rPr>
        <w:t xml:space="preserve"> and their relevant associate</w:t>
      </w:r>
      <w:r w:rsidR="001E0E0F" w:rsidRPr="006C3284">
        <w:rPr>
          <w:rFonts w:cstheme="minorHAnsi"/>
          <w:sz w:val="24"/>
          <w:szCs w:val="24"/>
        </w:rPr>
        <w:t>s</w:t>
      </w:r>
      <w:r w:rsidR="00B51477" w:rsidRPr="006C3284">
        <w:rPr>
          <w:rFonts w:cstheme="minorHAnsi"/>
          <w:sz w:val="24"/>
          <w:szCs w:val="24"/>
        </w:rPr>
        <w:t xml:space="preserve">, if they </w:t>
      </w:r>
      <w:r w:rsidR="00F4362E" w:rsidRPr="006C3284">
        <w:rPr>
          <w:rFonts w:cstheme="minorHAnsi"/>
          <w:sz w:val="24"/>
          <w:szCs w:val="24"/>
        </w:rPr>
        <w:t>elect</w:t>
      </w:r>
      <w:r w:rsidR="00B51477" w:rsidRPr="006C3284">
        <w:rPr>
          <w:rFonts w:cstheme="minorHAnsi"/>
          <w:sz w:val="24"/>
          <w:szCs w:val="24"/>
        </w:rPr>
        <w:t xml:space="preserve"> to take up </w:t>
      </w:r>
      <w:r w:rsidR="00F4362E" w:rsidRPr="006C3284">
        <w:rPr>
          <w:rFonts w:cstheme="minorHAnsi"/>
          <w:sz w:val="24"/>
          <w:szCs w:val="24"/>
        </w:rPr>
        <w:t xml:space="preserve">the </w:t>
      </w:r>
      <w:r w:rsidR="00B51477" w:rsidRPr="006C3284">
        <w:rPr>
          <w:rFonts w:cstheme="minorHAnsi"/>
          <w:sz w:val="24"/>
          <w:szCs w:val="24"/>
        </w:rPr>
        <w:t xml:space="preserve">spectrum set-aside. </w:t>
      </w:r>
      <w:r w:rsidRPr="006C3284">
        <w:rPr>
          <w:rFonts w:cstheme="minorHAnsi"/>
          <w:sz w:val="24"/>
          <w:szCs w:val="24"/>
        </w:rPr>
        <w:t>The Direction</w:t>
      </w:r>
      <w:r w:rsidR="00B51477" w:rsidRPr="006C3284">
        <w:rPr>
          <w:rFonts w:cstheme="minorHAnsi"/>
          <w:sz w:val="24"/>
          <w:szCs w:val="24"/>
        </w:rPr>
        <w:t xml:space="preserve"> does this by imposing limits on the amount of spectrum that other participants to the auction can acquire if either</w:t>
      </w:r>
      <w:r w:rsidR="00F4362E" w:rsidRPr="006C3284">
        <w:rPr>
          <w:rFonts w:cstheme="minorHAnsi"/>
          <w:sz w:val="24"/>
          <w:szCs w:val="24"/>
        </w:rPr>
        <w:t>,</w:t>
      </w:r>
      <w:r w:rsidR="00B51477" w:rsidRPr="006C3284">
        <w:rPr>
          <w:rFonts w:cstheme="minorHAnsi"/>
          <w:sz w:val="24"/>
          <w:szCs w:val="24"/>
        </w:rPr>
        <w:t xml:space="preserve"> or both of</w:t>
      </w:r>
      <w:r w:rsidR="00F4362E" w:rsidRPr="006C3284">
        <w:rPr>
          <w:rFonts w:cstheme="minorHAnsi"/>
          <w:sz w:val="24"/>
          <w:szCs w:val="24"/>
        </w:rPr>
        <w:t>,</w:t>
      </w:r>
      <w:r w:rsidR="00B51477" w:rsidRPr="006C3284">
        <w:rPr>
          <w:rFonts w:cstheme="minorHAnsi"/>
          <w:sz w:val="24"/>
          <w:szCs w:val="24"/>
        </w:rPr>
        <w:t xml:space="preserve"> Optus and TPG</w:t>
      </w:r>
      <w:r w:rsidR="00C22C61" w:rsidRPr="006C3284">
        <w:rPr>
          <w:rFonts w:cstheme="minorHAnsi"/>
          <w:sz w:val="24"/>
          <w:szCs w:val="24"/>
        </w:rPr>
        <w:t xml:space="preserve"> Telecom</w:t>
      </w:r>
      <w:r w:rsidR="00B51477" w:rsidRPr="006C3284">
        <w:rPr>
          <w:rFonts w:cstheme="minorHAnsi"/>
          <w:sz w:val="24"/>
          <w:szCs w:val="24"/>
        </w:rPr>
        <w:t xml:space="preserve"> elect to take up the spectrum set-aside. </w:t>
      </w:r>
    </w:p>
    <w:p w14:paraId="248766C8" w14:textId="11827111" w:rsidR="00B51477" w:rsidRPr="006C3284" w:rsidRDefault="00C95199" w:rsidP="00B51477">
      <w:pPr>
        <w:rPr>
          <w:rFonts w:cstheme="minorHAnsi"/>
          <w:sz w:val="24"/>
          <w:szCs w:val="24"/>
        </w:rPr>
      </w:pPr>
      <w:r w:rsidRPr="006C3284">
        <w:rPr>
          <w:rFonts w:cstheme="minorHAnsi"/>
          <w:sz w:val="24"/>
          <w:szCs w:val="24"/>
        </w:rPr>
        <w:t>The upper four lots of the</w:t>
      </w:r>
      <w:r w:rsidR="001B4070" w:rsidRPr="006C3284">
        <w:rPr>
          <w:rFonts w:cstheme="minorHAnsi"/>
          <w:sz w:val="24"/>
          <w:szCs w:val="24"/>
        </w:rPr>
        <w:t xml:space="preserve"> 900 MHz</w:t>
      </w:r>
      <w:r w:rsidRPr="006C3284">
        <w:rPr>
          <w:rFonts w:cstheme="minorHAnsi"/>
          <w:sz w:val="24"/>
          <w:szCs w:val="24"/>
        </w:rPr>
        <w:t xml:space="preserve"> band have been identified for set-asides </w:t>
      </w:r>
      <w:r w:rsidR="000E34D8" w:rsidRPr="006C3284">
        <w:rPr>
          <w:rFonts w:cstheme="minorHAnsi"/>
          <w:sz w:val="24"/>
          <w:szCs w:val="24"/>
        </w:rPr>
        <w:t>as</w:t>
      </w:r>
      <w:r w:rsidRPr="006C3284">
        <w:rPr>
          <w:rFonts w:cstheme="minorHAnsi"/>
          <w:sz w:val="24"/>
          <w:szCs w:val="24"/>
        </w:rPr>
        <w:t xml:space="preserve"> </w:t>
      </w:r>
      <w:r w:rsidR="000E34D8" w:rsidRPr="006C3284">
        <w:rPr>
          <w:rFonts w:cstheme="minorHAnsi"/>
          <w:sz w:val="24"/>
          <w:szCs w:val="24"/>
        </w:rPr>
        <w:t xml:space="preserve">these lots </w:t>
      </w:r>
      <w:r w:rsidR="00C22C61" w:rsidRPr="006C3284">
        <w:rPr>
          <w:rFonts w:cstheme="minorHAnsi"/>
          <w:sz w:val="24"/>
          <w:szCs w:val="24"/>
        </w:rPr>
        <w:t>provide the opportunity for Optus and TPG Telecom</w:t>
      </w:r>
      <w:r w:rsidR="003B23FB" w:rsidRPr="006C3284">
        <w:rPr>
          <w:rFonts w:cstheme="minorHAnsi"/>
          <w:sz w:val="24"/>
          <w:szCs w:val="24"/>
        </w:rPr>
        <w:t xml:space="preserve"> to acquire spectrum currently used by these MNOs under apparatus licences which will be cleared</w:t>
      </w:r>
      <w:r w:rsidR="005F6165" w:rsidRPr="006C3284">
        <w:rPr>
          <w:rFonts w:cstheme="minorHAnsi"/>
          <w:sz w:val="24"/>
          <w:szCs w:val="24"/>
        </w:rPr>
        <w:t xml:space="preserve"> as a result of the </w:t>
      </w:r>
      <w:r w:rsidR="00C57076" w:rsidRPr="006C3284">
        <w:rPr>
          <w:rFonts w:cstheme="minorHAnsi"/>
          <w:i/>
        </w:rPr>
        <w:t>Radiocommunications (Spectrum Re-allocation—850/900 MHz Band) Declaration 2020</w:t>
      </w:r>
      <w:r w:rsidR="006361A8" w:rsidRPr="006C3284">
        <w:rPr>
          <w:rFonts w:cstheme="minorHAnsi"/>
          <w:sz w:val="24"/>
          <w:szCs w:val="24"/>
        </w:rPr>
        <w:t>. This is in c</w:t>
      </w:r>
      <w:r w:rsidR="004379C7" w:rsidRPr="006C3284">
        <w:rPr>
          <w:rFonts w:cstheme="minorHAnsi"/>
          <w:sz w:val="24"/>
          <w:szCs w:val="24"/>
        </w:rPr>
        <w:t>ontrast to the lowe</w:t>
      </w:r>
      <w:r w:rsidR="000E34D8" w:rsidRPr="006C3284">
        <w:rPr>
          <w:rFonts w:cstheme="minorHAnsi"/>
          <w:sz w:val="24"/>
          <w:szCs w:val="24"/>
        </w:rPr>
        <w:t>st</w:t>
      </w:r>
      <w:r w:rsidR="004379C7" w:rsidRPr="006C3284">
        <w:rPr>
          <w:rFonts w:cstheme="minorHAnsi"/>
          <w:sz w:val="24"/>
          <w:szCs w:val="24"/>
        </w:rPr>
        <w:t xml:space="preserve"> lot in the </w:t>
      </w:r>
      <w:r w:rsidR="006361A8" w:rsidRPr="006C3284">
        <w:rPr>
          <w:rFonts w:cstheme="minorHAnsi"/>
          <w:sz w:val="24"/>
          <w:szCs w:val="24"/>
        </w:rPr>
        <w:t xml:space="preserve">900 MHz </w:t>
      </w:r>
      <w:r w:rsidR="004379C7" w:rsidRPr="006C3284">
        <w:rPr>
          <w:rFonts w:cstheme="minorHAnsi"/>
          <w:sz w:val="24"/>
          <w:szCs w:val="24"/>
        </w:rPr>
        <w:t>band</w:t>
      </w:r>
      <w:r w:rsidR="009B7F6A" w:rsidRPr="006C3284">
        <w:rPr>
          <w:rFonts w:cstheme="minorHAnsi"/>
          <w:sz w:val="24"/>
          <w:szCs w:val="24"/>
        </w:rPr>
        <w:t xml:space="preserve"> </w:t>
      </w:r>
      <w:r w:rsidR="003B23FB" w:rsidRPr="006C3284">
        <w:rPr>
          <w:rFonts w:cstheme="minorHAnsi"/>
          <w:sz w:val="24"/>
          <w:szCs w:val="24"/>
        </w:rPr>
        <w:t>which does not cover spectrum currently used by Optus or TPG Telecom. Th</w:t>
      </w:r>
      <w:r w:rsidR="00492C1C" w:rsidRPr="006C3284">
        <w:rPr>
          <w:rFonts w:cstheme="minorHAnsi"/>
          <w:sz w:val="24"/>
          <w:szCs w:val="24"/>
        </w:rPr>
        <w:t xml:space="preserve">is lot is adjacent to </w:t>
      </w:r>
      <w:r w:rsidR="000E34D8" w:rsidRPr="006C3284">
        <w:rPr>
          <w:rFonts w:cstheme="minorHAnsi"/>
          <w:sz w:val="24"/>
          <w:szCs w:val="24"/>
        </w:rPr>
        <w:t>the 850 MHz band and</w:t>
      </w:r>
      <w:r w:rsidR="004379C7" w:rsidRPr="006C3284">
        <w:rPr>
          <w:rFonts w:cstheme="minorHAnsi"/>
          <w:sz w:val="24"/>
          <w:szCs w:val="24"/>
        </w:rPr>
        <w:t xml:space="preserve"> </w:t>
      </w:r>
      <w:r w:rsidR="003111DF" w:rsidRPr="006C3284">
        <w:rPr>
          <w:rFonts w:cstheme="minorHAnsi"/>
          <w:sz w:val="24"/>
          <w:szCs w:val="24"/>
        </w:rPr>
        <w:t xml:space="preserve">therefore has different </w:t>
      </w:r>
      <w:r w:rsidR="00492C1C" w:rsidRPr="006C3284">
        <w:rPr>
          <w:rFonts w:cstheme="minorHAnsi"/>
          <w:sz w:val="24"/>
          <w:szCs w:val="24"/>
        </w:rPr>
        <w:t>spectrum utility due to a 1 MHz guard band with the 850 MHz band. Additionally,</w:t>
      </w:r>
      <w:r w:rsidR="000E34D8" w:rsidRPr="006C3284">
        <w:rPr>
          <w:rFonts w:cstheme="minorHAnsi"/>
          <w:sz w:val="24"/>
          <w:szCs w:val="24"/>
        </w:rPr>
        <w:t xml:space="preserve"> </w:t>
      </w:r>
      <w:r w:rsidR="00492C1C" w:rsidRPr="006C3284">
        <w:rPr>
          <w:rFonts w:cstheme="minorHAnsi"/>
          <w:sz w:val="24"/>
          <w:szCs w:val="24"/>
        </w:rPr>
        <w:t xml:space="preserve">the winner of this lot </w:t>
      </w:r>
      <w:r w:rsidR="003111DF" w:rsidRPr="006C3284">
        <w:rPr>
          <w:rFonts w:cstheme="minorHAnsi"/>
          <w:sz w:val="24"/>
          <w:szCs w:val="24"/>
        </w:rPr>
        <w:t>will</w:t>
      </w:r>
      <w:r w:rsidR="00492C1C" w:rsidRPr="006C3284">
        <w:rPr>
          <w:rFonts w:cstheme="minorHAnsi"/>
          <w:sz w:val="24"/>
          <w:szCs w:val="24"/>
        </w:rPr>
        <w:t xml:space="preserve"> also be allocated </w:t>
      </w:r>
      <w:r w:rsidR="003111DF" w:rsidRPr="006C3284">
        <w:rPr>
          <w:rFonts w:cstheme="minorHAnsi"/>
          <w:sz w:val="24"/>
          <w:szCs w:val="24"/>
        </w:rPr>
        <w:t>2 MHz of ‘downshift’ spectrum in the 850 MHz band.</w:t>
      </w:r>
      <w:r w:rsidR="004379C7" w:rsidRPr="006C3284">
        <w:rPr>
          <w:rFonts w:cstheme="minorHAnsi"/>
          <w:sz w:val="24"/>
          <w:szCs w:val="24"/>
        </w:rPr>
        <w:t xml:space="preserve"> </w:t>
      </w:r>
    </w:p>
    <w:p w14:paraId="0E7204E6" w14:textId="63E6B534" w:rsidR="000E34D8" w:rsidRPr="006C3284" w:rsidRDefault="00403D4B" w:rsidP="00342F11">
      <w:pPr>
        <w:rPr>
          <w:rFonts w:cstheme="minorHAnsi"/>
          <w:sz w:val="24"/>
          <w:szCs w:val="24"/>
        </w:rPr>
      </w:pPr>
      <w:r w:rsidRPr="006C3284">
        <w:rPr>
          <w:rFonts w:cstheme="minorHAnsi"/>
          <w:sz w:val="24"/>
          <w:szCs w:val="24"/>
        </w:rPr>
        <w:t xml:space="preserve">Supporting continuity of services </w:t>
      </w:r>
      <w:r w:rsidR="00240743" w:rsidRPr="006C3284">
        <w:rPr>
          <w:rFonts w:cstheme="minorHAnsi"/>
          <w:sz w:val="24"/>
          <w:szCs w:val="24"/>
        </w:rPr>
        <w:t>is one of the</w:t>
      </w:r>
      <w:r w:rsidRPr="006C3284">
        <w:rPr>
          <w:rFonts w:cstheme="minorHAnsi"/>
          <w:sz w:val="24"/>
          <w:szCs w:val="24"/>
        </w:rPr>
        <w:t xml:space="preserve"> </w:t>
      </w:r>
      <w:r w:rsidR="00240743" w:rsidRPr="006C3284">
        <w:rPr>
          <w:rFonts w:cstheme="minorHAnsi"/>
          <w:sz w:val="24"/>
          <w:szCs w:val="24"/>
        </w:rPr>
        <w:t>Government’s</w:t>
      </w:r>
      <w:r w:rsidR="002A5F19" w:rsidRPr="006C3284">
        <w:rPr>
          <w:rFonts w:cstheme="minorHAnsi"/>
          <w:sz w:val="24"/>
          <w:szCs w:val="24"/>
        </w:rPr>
        <w:t xml:space="preserve"> communications</w:t>
      </w:r>
      <w:r w:rsidR="00240743" w:rsidRPr="006C3284">
        <w:rPr>
          <w:rFonts w:cstheme="minorHAnsi"/>
          <w:sz w:val="24"/>
          <w:szCs w:val="24"/>
        </w:rPr>
        <w:t xml:space="preserve"> </w:t>
      </w:r>
      <w:r w:rsidRPr="006C3284">
        <w:rPr>
          <w:rFonts w:cstheme="minorHAnsi"/>
          <w:sz w:val="24"/>
          <w:szCs w:val="24"/>
        </w:rPr>
        <w:t xml:space="preserve">policy objectives underpinning the reallocation of spectrum in the 850/900 MHz band. </w:t>
      </w:r>
      <w:r w:rsidR="002A5F19" w:rsidRPr="006C3284">
        <w:rPr>
          <w:rFonts w:cstheme="minorHAnsi"/>
          <w:sz w:val="24"/>
          <w:szCs w:val="24"/>
        </w:rPr>
        <w:t xml:space="preserve">Optus and TPG Telecom rely heavily on their 900 MHz spectrum holdings to </w:t>
      </w:r>
      <w:r w:rsidR="003111DF" w:rsidRPr="006C3284">
        <w:rPr>
          <w:rFonts w:cstheme="minorHAnsi"/>
          <w:sz w:val="24"/>
          <w:szCs w:val="24"/>
        </w:rPr>
        <w:t>provide their services</w:t>
      </w:r>
      <w:r w:rsidR="002A5F19" w:rsidRPr="006C3284">
        <w:rPr>
          <w:rFonts w:cstheme="minorHAnsi"/>
          <w:sz w:val="24"/>
          <w:szCs w:val="24"/>
        </w:rPr>
        <w:t xml:space="preserve">. </w:t>
      </w:r>
      <w:r w:rsidR="00240743" w:rsidRPr="006C3284">
        <w:rPr>
          <w:rFonts w:cstheme="minorHAnsi"/>
          <w:sz w:val="24"/>
          <w:szCs w:val="24"/>
        </w:rPr>
        <w:t xml:space="preserve">Guaranteeing </w:t>
      </w:r>
      <w:r w:rsidR="00934DA0" w:rsidRPr="006C3284">
        <w:rPr>
          <w:rFonts w:cstheme="minorHAnsi"/>
          <w:sz w:val="24"/>
          <w:szCs w:val="24"/>
        </w:rPr>
        <w:t>Optus and TPG</w:t>
      </w:r>
      <w:r w:rsidR="00B03058" w:rsidRPr="006C3284">
        <w:rPr>
          <w:rFonts w:cstheme="minorHAnsi"/>
          <w:sz w:val="24"/>
          <w:szCs w:val="24"/>
        </w:rPr>
        <w:t xml:space="preserve"> Telecom</w:t>
      </w:r>
      <w:r w:rsidR="00934DA0" w:rsidRPr="006C3284">
        <w:rPr>
          <w:rFonts w:cstheme="minorHAnsi"/>
          <w:sz w:val="24"/>
          <w:szCs w:val="24"/>
        </w:rPr>
        <w:t xml:space="preserve"> </w:t>
      </w:r>
      <w:r w:rsidR="00240743" w:rsidRPr="006C3284">
        <w:rPr>
          <w:rFonts w:cstheme="minorHAnsi"/>
          <w:sz w:val="24"/>
          <w:szCs w:val="24"/>
        </w:rPr>
        <w:t xml:space="preserve">access to spectrum in the 900 MHz band will provide </w:t>
      </w:r>
      <w:r w:rsidR="00934DA0" w:rsidRPr="006C3284">
        <w:rPr>
          <w:rFonts w:cstheme="minorHAnsi"/>
          <w:sz w:val="24"/>
          <w:szCs w:val="24"/>
        </w:rPr>
        <w:t>these operators</w:t>
      </w:r>
      <w:r w:rsidR="00240743" w:rsidRPr="006C3284">
        <w:rPr>
          <w:rFonts w:cstheme="minorHAnsi"/>
          <w:sz w:val="24"/>
          <w:szCs w:val="24"/>
        </w:rPr>
        <w:t xml:space="preserve">, </w:t>
      </w:r>
      <w:r w:rsidR="006E33C5" w:rsidRPr="006C3284">
        <w:rPr>
          <w:rFonts w:cstheme="minorHAnsi"/>
          <w:sz w:val="24"/>
          <w:szCs w:val="24"/>
        </w:rPr>
        <w:t>the ability to continue providing existing services to their customers</w:t>
      </w:r>
      <w:r w:rsidR="00240743" w:rsidRPr="006C3284">
        <w:rPr>
          <w:rFonts w:cstheme="minorHAnsi"/>
          <w:sz w:val="24"/>
          <w:szCs w:val="24"/>
        </w:rPr>
        <w:t>.</w:t>
      </w:r>
      <w:r w:rsidR="002A5F19" w:rsidRPr="006C3284">
        <w:rPr>
          <w:rFonts w:cstheme="minorHAnsi"/>
          <w:sz w:val="24"/>
          <w:szCs w:val="24"/>
        </w:rPr>
        <w:t xml:space="preserve"> </w:t>
      </w:r>
      <w:r w:rsidR="005B0779" w:rsidRPr="006C3284">
        <w:rPr>
          <w:rFonts w:cstheme="minorHAnsi"/>
          <w:sz w:val="24"/>
          <w:szCs w:val="24"/>
        </w:rPr>
        <w:t>W</w:t>
      </w:r>
      <w:r w:rsidR="00A349FC" w:rsidRPr="006C3284">
        <w:rPr>
          <w:rFonts w:cstheme="minorHAnsi"/>
          <w:sz w:val="24"/>
          <w:szCs w:val="24"/>
        </w:rPr>
        <w:t xml:space="preserve">ithout </w:t>
      </w:r>
      <w:r w:rsidR="005C14BD" w:rsidRPr="006C3284">
        <w:rPr>
          <w:rFonts w:cstheme="minorHAnsi"/>
          <w:sz w:val="24"/>
          <w:szCs w:val="24"/>
        </w:rPr>
        <w:t>access to the 900 MHz band,</w:t>
      </w:r>
      <w:r w:rsidR="005B0779" w:rsidRPr="006C3284">
        <w:rPr>
          <w:rFonts w:cstheme="minorHAnsi"/>
          <w:sz w:val="24"/>
          <w:szCs w:val="24"/>
        </w:rPr>
        <w:t xml:space="preserve"> </w:t>
      </w:r>
      <w:r w:rsidR="001B4070" w:rsidRPr="006C3284">
        <w:rPr>
          <w:rFonts w:cstheme="minorHAnsi"/>
          <w:sz w:val="24"/>
          <w:szCs w:val="24"/>
        </w:rPr>
        <w:t>these</w:t>
      </w:r>
      <w:r w:rsidR="005C14BD" w:rsidRPr="006C3284">
        <w:rPr>
          <w:rFonts w:cstheme="minorHAnsi"/>
          <w:sz w:val="24"/>
          <w:szCs w:val="24"/>
        </w:rPr>
        <w:t xml:space="preserve"> carriers may be unable to </w:t>
      </w:r>
      <w:r w:rsidR="006E33C5" w:rsidRPr="006C3284">
        <w:rPr>
          <w:rFonts w:cstheme="minorHAnsi"/>
          <w:sz w:val="24"/>
          <w:szCs w:val="24"/>
        </w:rPr>
        <w:t xml:space="preserve">provide </w:t>
      </w:r>
      <w:r w:rsidR="001B4070" w:rsidRPr="006C3284">
        <w:rPr>
          <w:rFonts w:cstheme="minorHAnsi"/>
          <w:sz w:val="24"/>
          <w:szCs w:val="24"/>
        </w:rPr>
        <w:t>some of their</w:t>
      </w:r>
      <w:r w:rsidR="005C14BD" w:rsidRPr="006C3284">
        <w:rPr>
          <w:rFonts w:cstheme="minorHAnsi"/>
          <w:sz w:val="24"/>
          <w:szCs w:val="24"/>
        </w:rPr>
        <w:t xml:space="preserve"> existing services due to a lack of</w:t>
      </w:r>
      <w:r w:rsidR="001B4070" w:rsidRPr="006C3284">
        <w:rPr>
          <w:rFonts w:cstheme="minorHAnsi"/>
          <w:sz w:val="24"/>
          <w:szCs w:val="24"/>
        </w:rPr>
        <w:t xml:space="preserve"> access to</w:t>
      </w:r>
      <w:r w:rsidR="005C14BD" w:rsidRPr="006C3284">
        <w:rPr>
          <w:rFonts w:cstheme="minorHAnsi"/>
          <w:sz w:val="24"/>
          <w:szCs w:val="24"/>
        </w:rPr>
        <w:t xml:space="preserve"> suitable replacement spectrum</w:t>
      </w:r>
      <w:r w:rsidR="005B0779" w:rsidRPr="006C3284">
        <w:rPr>
          <w:rFonts w:cstheme="minorHAnsi"/>
          <w:sz w:val="24"/>
          <w:szCs w:val="24"/>
        </w:rPr>
        <w:t>.</w:t>
      </w:r>
      <w:r w:rsidR="001B4070" w:rsidRPr="006C3284">
        <w:rPr>
          <w:rFonts w:cstheme="minorHAnsi"/>
          <w:sz w:val="24"/>
          <w:szCs w:val="24"/>
        </w:rPr>
        <w:t xml:space="preserve"> Any reduction in service is likely to have a greater impact on regional areas than metropolitan areas, as the </w:t>
      </w:r>
      <w:r w:rsidR="005B0779" w:rsidRPr="006C3284">
        <w:rPr>
          <w:rFonts w:cstheme="minorHAnsi"/>
          <w:sz w:val="24"/>
          <w:szCs w:val="24"/>
        </w:rPr>
        <w:t>propagation qualities of sub</w:t>
      </w:r>
      <w:r w:rsidR="001B4070" w:rsidRPr="006C3284">
        <w:rPr>
          <w:rFonts w:cstheme="minorHAnsi"/>
          <w:sz w:val="24"/>
          <w:szCs w:val="24"/>
        </w:rPr>
        <w:t>-</w:t>
      </w:r>
      <w:r w:rsidR="005B0779" w:rsidRPr="006C3284">
        <w:rPr>
          <w:rFonts w:cstheme="minorHAnsi"/>
          <w:sz w:val="24"/>
          <w:szCs w:val="24"/>
        </w:rPr>
        <w:t>1 GHz spectrum makes it particularly useful for</w:t>
      </w:r>
      <w:r w:rsidR="001B4070" w:rsidRPr="006C3284">
        <w:rPr>
          <w:rFonts w:cstheme="minorHAnsi"/>
          <w:sz w:val="24"/>
          <w:szCs w:val="24"/>
        </w:rPr>
        <w:t xml:space="preserve"> providing</w:t>
      </w:r>
      <w:r w:rsidR="005B0779" w:rsidRPr="006C3284">
        <w:rPr>
          <w:rFonts w:cstheme="minorHAnsi"/>
          <w:sz w:val="24"/>
          <w:szCs w:val="24"/>
        </w:rPr>
        <w:t xml:space="preserve"> wide area coverage</w:t>
      </w:r>
      <w:r w:rsidR="001B4070" w:rsidRPr="006C3284">
        <w:rPr>
          <w:rFonts w:cstheme="minorHAnsi"/>
          <w:sz w:val="24"/>
          <w:szCs w:val="24"/>
        </w:rPr>
        <w:t xml:space="preserve"> economically in these areas</w:t>
      </w:r>
      <w:r w:rsidR="005B0779" w:rsidRPr="006C3284">
        <w:rPr>
          <w:rFonts w:cstheme="minorHAnsi"/>
          <w:sz w:val="24"/>
          <w:szCs w:val="24"/>
        </w:rPr>
        <w:t>.</w:t>
      </w:r>
    </w:p>
    <w:p w14:paraId="701B7440" w14:textId="7B44EB26" w:rsidR="00AC2A2B" w:rsidRPr="006C3284" w:rsidRDefault="00AC2A2B" w:rsidP="00342F11">
      <w:pPr>
        <w:rPr>
          <w:rFonts w:cstheme="minorHAnsi"/>
          <w:sz w:val="24"/>
          <w:szCs w:val="24"/>
        </w:rPr>
      </w:pPr>
      <w:r w:rsidRPr="006C3284">
        <w:rPr>
          <w:rFonts w:cstheme="minorHAnsi"/>
          <w:sz w:val="24"/>
          <w:szCs w:val="24"/>
        </w:rPr>
        <w:t xml:space="preserve">Other options to support service continuity, for example, relying on the overall 82 MHz limit or </w:t>
      </w:r>
      <w:r w:rsidR="00B741E1" w:rsidRPr="006C3284">
        <w:rPr>
          <w:rFonts w:cstheme="minorHAnsi"/>
          <w:sz w:val="24"/>
          <w:szCs w:val="24"/>
        </w:rPr>
        <w:t xml:space="preserve">setting </w:t>
      </w:r>
      <w:r w:rsidRPr="006C3284">
        <w:rPr>
          <w:rFonts w:cstheme="minorHAnsi"/>
          <w:sz w:val="24"/>
          <w:szCs w:val="24"/>
        </w:rPr>
        <w:t>a specific limit for the 900 MHz band, present greater risks to achieving this objective as they do not guarantee that each of Optus and TPG can acquire 10 MHz of spectrum in the 900 MHz band</w:t>
      </w:r>
      <w:r w:rsidR="007F5A23" w:rsidRPr="006C3284">
        <w:rPr>
          <w:rFonts w:cstheme="minorHAnsi"/>
          <w:sz w:val="24"/>
          <w:szCs w:val="24"/>
        </w:rPr>
        <w:t xml:space="preserve">, </w:t>
      </w:r>
      <w:r w:rsidR="003111DF" w:rsidRPr="006C3284">
        <w:rPr>
          <w:rFonts w:cstheme="minorHAnsi"/>
          <w:sz w:val="24"/>
          <w:szCs w:val="24"/>
        </w:rPr>
        <w:t xml:space="preserve">the minimum amount necessary to continue the provision </w:t>
      </w:r>
      <w:r w:rsidR="003111DF" w:rsidRPr="006C3284">
        <w:rPr>
          <w:rFonts w:cstheme="minorHAnsi"/>
          <w:sz w:val="24"/>
          <w:szCs w:val="24"/>
        </w:rPr>
        <w:lastRenderedPageBreak/>
        <w:t>of existing services</w:t>
      </w:r>
      <w:r w:rsidRPr="006C3284">
        <w:rPr>
          <w:rFonts w:cstheme="minorHAnsi"/>
          <w:sz w:val="24"/>
          <w:szCs w:val="24"/>
        </w:rPr>
        <w:t>. The ACCC noted in its advice that the absence of set-asides would likely lead to a more efficient allocation of spectrum</w:t>
      </w:r>
      <w:r w:rsidR="007F5A23" w:rsidRPr="006C3284">
        <w:rPr>
          <w:rFonts w:cstheme="minorHAnsi"/>
          <w:sz w:val="24"/>
          <w:szCs w:val="24"/>
        </w:rPr>
        <w:t>. H</w:t>
      </w:r>
      <w:r w:rsidRPr="006C3284">
        <w:rPr>
          <w:rFonts w:cstheme="minorHAnsi"/>
          <w:sz w:val="24"/>
          <w:szCs w:val="24"/>
        </w:rPr>
        <w:t>owever</w:t>
      </w:r>
      <w:r w:rsidR="007F5A23" w:rsidRPr="006C3284">
        <w:rPr>
          <w:rFonts w:cstheme="minorHAnsi"/>
          <w:sz w:val="24"/>
          <w:szCs w:val="24"/>
        </w:rPr>
        <w:t>,</w:t>
      </w:r>
      <w:r w:rsidRPr="006C3284">
        <w:rPr>
          <w:rFonts w:cstheme="minorHAnsi"/>
          <w:sz w:val="24"/>
          <w:szCs w:val="24"/>
        </w:rPr>
        <w:t xml:space="preserve"> the proposed </w:t>
      </w:r>
      <w:r w:rsidR="008A08A5" w:rsidRPr="006C3284">
        <w:rPr>
          <w:rFonts w:cstheme="minorHAnsi"/>
          <w:sz w:val="24"/>
          <w:szCs w:val="24"/>
        </w:rPr>
        <w:t xml:space="preserve">set-asides </w:t>
      </w:r>
      <w:r w:rsidRPr="006C3284">
        <w:rPr>
          <w:rFonts w:cstheme="minorHAnsi"/>
          <w:sz w:val="24"/>
          <w:szCs w:val="24"/>
        </w:rPr>
        <w:t xml:space="preserve">retain scope for market mechanisms to determine the most efficient allocation of </w:t>
      </w:r>
      <w:r w:rsidR="008A08A5" w:rsidRPr="006C3284">
        <w:rPr>
          <w:rFonts w:cstheme="minorHAnsi"/>
          <w:sz w:val="24"/>
          <w:szCs w:val="24"/>
        </w:rPr>
        <w:t xml:space="preserve">lot </w:t>
      </w:r>
      <w:r w:rsidRPr="006C3284">
        <w:rPr>
          <w:rFonts w:cstheme="minorHAnsi"/>
          <w:sz w:val="24"/>
          <w:szCs w:val="24"/>
        </w:rPr>
        <w:t xml:space="preserve">frequencies </w:t>
      </w:r>
      <w:r w:rsidR="003111DF" w:rsidRPr="006C3284">
        <w:rPr>
          <w:rFonts w:cstheme="minorHAnsi"/>
          <w:sz w:val="24"/>
          <w:szCs w:val="24"/>
        </w:rPr>
        <w:t xml:space="preserve">while reducing the risk to consumers that services </w:t>
      </w:r>
      <w:r w:rsidR="008E75FE" w:rsidRPr="006C3284">
        <w:rPr>
          <w:rFonts w:cstheme="minorHAnsi"/>
          <w:sz w:val="24"/>
          <w:szCs w:val="24"/>
        </w:rPr>
        <w:t>are disrupted</w:t>
      </w:r>
      <w:r w:rsidR="003111DF" w:rsidRPr="006C3284">
        <w:rPr>
          <w:rFonts w:cstheme="minorHAnsi"/>
          <w:sz w:val="24"/>
          <w:szCs w:val="24"/>
        </w:rPr>
        <w:t xml:space="preserve"> as a result of the reallocation of spectrum</w:t>
      </w:r>
      <w:r w:rsidRPr="006C3284">
        <w:rPr>
          <w:rFonts w:cstheme="minorHAnsi"/>
          <w:sz w:val="24"/>
          <w:szCs w:val="24"/>
        </w:rPr>
        <w:t>.</w:t>
      </w:r>
    </w:p>
    <w:p w14:paraId="1F0F05CE" w14:textId="224224F6" w:rsidR="00AC07C8" w:rsidRPr="006C3284" w:rsidRDefault="00F4362E" w:rsidP="00342F11">
      <w:pPr>
        <w:rPr>
          <w:rFonts w:cstheme="minorHAnsi"/>
          <w:sz w:val="24"/>
          <w:szCs w:val="24"/>
        </w:rPr>
      </w:pPr>
      <w:r w:rsidRPr="006C3284">
        <w:rPr>
          <w:rFonts w:cstheme="minorHAnsi"/>
          <w:sz w:val="24"/>
          <w:szCs w:val="24"/>
        </w:rPr>
        <w:t>The ACCC adv</w:t>
      </w:r>
      <w:r w:rsidR="00F168E3" w:rsidRPr="006C3284">
        <w:rPr>
          <w:rFonts w:cstheme="minorHAnsi"/>
          <w:sz w:val="24"/>
          <w:szCs w:val="24"/>
        </w:rPr>
        <w:t xml:space="preserve">ised the Minister </w:t>
      </w:r>
      <w:r w:rsidRPr="006C3284">
        <w:rPr>
          <w:rFonts w:cstheme="minorHAnsi"/>
          <w:sz w:val="24"/>
          <w:szCs w:val="24"/>
        </w:rPr>
        <w:t>that there were no grounds to set-aside spectrum for Telstra</w:t>
      </w:r>
      <w:r w:rsidR="00F735BE" w:rsidRPr="006C3284">
        <w:rPr>
          <w:rFonts w:cstheme="minorHAnsi"/>
          <w:sz w:val="24"/>
          <w:szCs w:val="24"/>
        </w:rPr>
        <w:t xml:space="preserve"> in order to support continuity of services</w:t>
      </w:r>
      <w:r w:rsidRPr="006C3284">
        <w:rPr>
          <w:rFonts w:cstheme="minorHAnsi"/>
          <w:sz w:val="24"/>
          <w:szCs w:val="24"/>
        </w:rPr>
        <w:t xml:space="preserve">. Telstra has the greatest existing spectrum holdings in the </w:t>
      </w:r>
      <w:r w:rsidR="00324254" w:rsidRPr="006C3284">
        <w:rPr>
          <w:rFonts w:cstheme="minorHAnsi"/>
          <w:sz w:val="24"/>
          <w:szCs w:val="24"/>
        </w:rPr>
        <w:t>sub-</w:t>
      </w:r>
      <w:r w:rsidRPr="006C3284">
        <w:rPr>
          <w:rFonts w:cstheme="minorHAnsi"/>
          <w:sz w:val="24"/>
          <w:szCs w:val="24"/>
        </w:rPr>
        <w:t>1 GHz band of the three national MNOs.</w:t>
      </w:r>
      <w:r w:rsidR="004841EC" w:rsidRPr="006C3284">
        <w:rPr>
          <w:rFonts w:cstheme="minorHAnsi"/>
          <w:sz w:val="24"/>
          <w:szCs w:val="24"/>
        </w:rPr>
        <w:t xml:space="preserve"> </w:t>
      </w:r>
      <w:r w:rsidR="00863958" w:rsidRPr="006C3284">
        <w:rPr>
          <w:rFonts w:cstheme="minorHAnsi"/>
          <w:sz w:val="24"/>
          <w:szCs w:val="24"/>
        </w:rPr>
        <w:t xml:space="preserve">These greater existing holdings mean that </w:t>
      </w:r>
      <w:r w:rsidR="0040346C" w:rsidRPr="006C3284">
        <w:rPr>
          <w:rFonts w:cstheme="minorHAnsi"/>
          <w:sz w:val="24"/>
          <w:szCs w:val="24"/>
        </w:rPr>
        <w:t xml:space="preserve">Telstra </w:t>
      </w:r>
      <w:r w:rsidR="00863958" w:rsidRPr="006C3284">
        <w:rPr>
          <w:rFonts w:cstheme="minorHAnsi"/>
          <w:sz w:val="24"/>
          <w:szCs w:val="24"/>
        </w:rPr>
        <w:t xml:space="preserve">does not rely on use of </w:t>
      </w:r>
      <w:r w:rsidR="0040346C" w:rsidRPr="006C3284">
        <w:rPr>
          <w:rFonts w:cstheme="minorHAnsi"/>
          <w:sz w:val="24"/>
          <w:szCs w:val="24"/>
        </w:rPr>
        <w:t>the 900 MHz band</w:t>
      </w:r>
      <w:r w:rsidR="00863958" w:rsidRPr="006C3284">
        <w:rPr>
          <w:rFonts w:cstheme="minorHAnsi"/>
          <w:sz w:val="24"/>
          <w:szCs w:val="24"/>
        </w:rPr>
        <w:t xml:space="preserve"> to operate in the national mobile services market</w:t>
      </w:r>
      <w:r w:rsidR="0040346C" w:rsidRPr="006C3284">
        <w:rPr>
          <w:rFonts w:cstheme="minorHAnsi"/>
          <w:sz w:val="24"/>
          <w:szCs w:val="24"/>
        </w:rPr>
        <w:t>. In contrast to Optus and TPG</w:t>
      </w:r>
      <w:r w:rsidR="00863958" w:rsidRPr="006C3284">
        <w:rPr>
          <w:rFonts w:cstheme="minorHAnsi"/>
          <w:sz w:val="24"/>
          <w:szCs w:val="24"/>
        </w:rPr>
        <w:t xml:space="preserve"> Tel</w:t>
      </w:r>
      <w:r w:rsidR="007F5A23" w:rsidRPr="006C3284">
        <w:rPr>
          <w:rFonts w:cstheme="minorHAnsi"/>
          <w:sz w:val="24"/>
          <w:szCs w:val="24"/>
        </w:rPr>
        <w:t>e</w:t>
      </w:r>
      <w:r w:rsidR="00863958" w:rsidRPr="006C3284">
        <w:rPr>
          <w:rFonts w:cstheme="minorHAnsi"/>
          <w:sz w:val="24"/>
          <w:szCs w:val="24"/>
        </w:rPr>
        <w:t>com</w:t>
      </w:r>
      <w:r w:rsidR="0040346C" w:rsidRPr="006C3284">
        <w:rPr>
          <w:rFonts w:cstheme="minorHAnsi"/>
          <w:sz w:val="24"/>
          <w:szCs w:val="24"/>
        </w:rPr>
        <w:t xml:space="preserve">, </w:t>
      </w:r>
      <w:r w:rsidR="00863958" w:rsidRPr="006C3284">
        <w:rPr>
          <w:rFonts w:cstheme="minorHAnsi"/>
          <w:sz w:val="24"/>
          <w:szCs w:val="24"/>
        </w:rPr>
        <w:t>Telstra has limited deployments in the 900 MHz band.</w:t>
      </w:r>
      <w:r w:rsidR="00674C02" w:rsidRPr="006C3284">
        <w:rPr>
          <w:rFonts w:cstheme="minorHAnsi"/>
          <w:sz w:val="24"/>
          <w:szCs w:val="24"/>
        </w:rPr>
        <w:t xml:space="preserve"> For these reasons</w:t>
      </w:r>
      <w:r w:rsidR="0040346C" w:rsidRPr="006C3284">
        <w:rPr>
          <w:rFonts w:cstheme="minorHAnsi"/>
          <w:sz w:val="24"/>
          <w:szCs w:val="24"/>
        </w:rPr>
        <w:t xml:space="preserve"> the reallocation of the 900 MHz </w:t>
      </w:r>
      <w:r w:rsidR="00674C02" w:rsidRPr="006C3284">
        <w:rPr>
          <w:rFonts w:cstheme="minorHAnsi"/>
          <w:sz w:val="24"/>
          <w:szCs w:val="24"/>
        </w:rPr>
        <w:t xml:space="preserve">band </w:t>
      </w:r>
      <w:r w:rsidR="0040346C" w:rsidRPr="006C3284">
        <w:rPr>
          <w:rFonts w:cstheme="minorHAnsi"/>
          <w:sz w:val="24"/>
          <w:szCs w:val="24"/>
        </w:rPr>
        <w:t xml:space="preserve">is unlikely to have a substantial impact on Telstra’s ability to continue providing its existing services. </w:t>
      </w:r>
      <w:r w:rsidRPr="006C3284">
        <w:rPr>
          <w:rFonts w:cstheme="minorHAnsi"/>
          <w:sz w:val="24"/>
          <w:szCs w:val="24"/>
        </w:rPr>
        <w:t xml:space="preserve">Consequently, </w:t>
      </w:r>
      <w:r w:rsidR="00723969" w:rsidRPr="006C3284">
        <w:rPr>
          <w:rFonts w:cstheme="minorHAnsi"/>
          <w:sz w:val="24"/>
          <w:szCs w:val="24"/>
        </w:rPr>
        <w:t>the Minister</w:t>
      </w:r>
      <w:r w:rsidRPr="006C3284">
        <w:rPr>
          <w:rFonts w:cstheme="minorHAnsi"/>
          <w:sz w:val="24"/>
          <w:szCs w:val="24"/>
        </w:rPr>
        <w:t xml:space="preserve"> has not directed ACMA to set-aside spectrum for Telstra at the auction.</w:t>
      </w:r>
    </w:p>
    <w:p w14:paraId="1D8397B5" w14:textId="768E2157" w:rsidR="00D167A8" w:rsidRPr="006C3284" w:rsidRDefault="00F34E50" w:rsidP="006C3284">
      <w:pPr>
        <w:pStyle w:val="Heading2"/>
      </w:pPr>
      <w:r w:rsidRPr="006C3284">
        <w:t>Authority</w:t>
      </w:r>
    </w:p>
    <w:p w14:paraId="7A2ACCE8" w14:textId="55977737" w:rsidR="00F34E50" w:rsidRPr="006C3284" w:rsidRDefault="005C50D6" w:rsidP="00F34E50">
      <w:pPr>
        <w:rPr>
          <w:rFonts w:cstheme="minorHAnsi"/>
          <w:sz w:val="24"/>
          <w:szCs w:val="24"/>
        </w:rPr>
      </w:pPr>
      <w:r w:rsidRPr="006C3284">
        <w:rPr>
          <w:rFonts w:cstheme="minorHAnsi"/>
          <w:sz w:val="24"/>
          <w:szCs w:val="24"/>
        </w:rPr>
        <w:t xml:space="preserve">The </w:t>
      </w:r>
      <w:r w:rsidR="0028155D" w:rsidRPr="006C3284">
        <w:rPr>
          <w:rFonts w:cstheme="minorHAnsi"/>
          <w:sz w:val="24"/>
          <w:szCs w:val="24"/>
        </w:rPr>
        <w:t xml:space="preserve">Direction is made by the </w:t>
      </w:r>
      <w:r w:rsidRPr="006C3284">
        <w:rPr>
          <w:rFonts w:cstheme="minorHAnsi"/>
          <w:sz w:val="24"/>
          <w:szCs w:val="24"/>
        </w:rPr>
        <w:t xml:space="preserve">Minister under subsection 60(10) of the </w:t>
      </w:r>
      <w:r w:rsidRPr="006C3284">
        <w:rPr>
          <w:rFonts w:cstheme="minorHAnsi"/>
          <w:i/>
          <w:sz w:val="24"/>
          <w:szCs w:val="24"/>
        </w:rPr>
        <w:t>Radiocommunications Act 1992</w:t>
      </w:r>
      <w:r w:rsidRPr="006C3284">
        <w:rPr>
          <w:rFonts w:cstheme="minorHAnsi"/>
          <w:sz w:val="24"/>
          <w:szCs w:val="24"/>
        </w:rPr>
        <w:t xml:space="preserve"> (the Act).</w:t>
      </w:r>
    </w:p>
    <w:p w14:paraId="4AC6D6F2" w14:textId="778DB8B0" w:rsidR="0028155D" w:rsidRPr="006C3284" w:rsidRDefault="0028155D" w:rsidP="0028155D">
      <w:pPr>
        <w:rPr>
          <w:rFonts w:cstheme="minorHAnsi"/>
          <w:sz w:val="24"/>
          <w:szCs w:val="24"/>
        </w:rPr>
      </w:pPr>
      <w:r w:rsidRPr="006C3284">
        <w:rPr>
          <w:rFonts w:cstheme="minorHAnsi"/>
          <w:sz w:val="24"/>
          <w:szCs w:val="24"/>
        </w:rPr>
        <w:t xml:space="preserve">Under section 60 of the Act, </w:t>
      </w:r>
      <w:r w:rsidR="00807F38" w:rsidRPr="006C3284">
        <w:rPr>
          <w:rFonts w:cstheme="minorHAnsi"/>
          <w:sz w:val="24"/>
          <w:szCs w:val="24"/>
        </w:rPr>
        <w:t xml:space="preserve">the </w:t>
      </w:r>
      <w:r w:rsidRPr="006C3284">
        <w:rPr>
          <w:rFonts w:cstheme="minorHAnsi"/>
          <w:sz w:val="24"/>
          <w:szCs w:val="24"/>
        </w:rPr>
        <w:t>ACMA is required to determine procedures to be applied in allocating spectrum licences under Subdivision B of Division 1 of Part 3.2 of the Act. Section 153L requires spectrum licences to be issued under this Subdivision where the Minister has made a spectrum re-allocation declaration under section 153B of the Act making specified parts of the spectrum subject to re-allocation through the issue of spectrum licences. A spectrum re-allocation declaration initiates the process for re-allocating spectrum in the frequency bands named in the declaration.</w:t>
      </w:r>
    </w:p>
    <w:p w14:paraId="75034EE8" w14:textId="5E2B9546" w:rsidR="0028155D" w:rsidRPr="006C3284" w:rsidRDefault="0028155D" w:rsidP="0028155D">
      <w:pPr>
        <w:rPr>
          <w:rFonts w:cstheme="minorHAnsi"/>
          <w:sz w:val="24"/>
          <w:szCs w:val="24"/>
        </w:rPr>
      </w:pPr>
      <w:r w:rsidRPr="006C3284">
        <w:rPr>
          <w:rFonts w:cstheme="minorHAnsi"/>
          <w:sz w:val="24"/>
          <w:szCs w:val="24"/>
        </w:rPr>
        <w:t xml:space="preserve">Subsection 60(5) of the Act empowers </w:t>
      </w:r>
      <w:r w:rsidR="00807F38" w:rsidRPr="006C3284">
        <w:rPr>
          <w:rFonts w:cstheme="minorHAnsi"/>
          <w:sz w:val="24"/>
          <w:szCs w:val="24"/>
        </w:rPr>
        <w:t xml:space="preserve">the </w:t>
      </w:r>
      <w:r w:rsidRPr="006C3284">
        <w:rPr>
          <w:rFonts w:cstheme="minorHAnsi"/>
          <w:sz w:val="24"/>
          <w:szCs w:val="24"/>
        </w:rPr>
        <w:t xml:space="preserve">ACMA to determine procedures under subsection 60(1) that impose limits on the aggregate of the parts of the spectrum that may be used by any one person or specified person, or members of a specified group of persons, as a result of the allocation of spectrum licences under Subdivision B of Part 3.2 of the Act. However, subsection 60(9) of the Act provides that this power to determine limits may only be exercised by </w:t>
      </w:r>
      <w:r w:rsidR="00807F38" w:rsidRPr="006C3284">
        <w:rPr>
          <w:rFonts w:cstheme="minorHAnsi"/>
          <w:sz w:val="24"/>
          <w:szCs w:val="24"/>
        </w:rPr>
        <w:t xml:space="preserve">the </w:t>
      </w:r>
      <w:r w:rsidRPr="006C3284">
        <w:rPr>
          <w:rFonts w:cstheme="minorHAnsi"/>
          <w:sz w:val="24"/>
          <w:szCs w:val="24"/>
        </w:rPr>
        <w:t>ACMA if it is directed to do so by the Minister under subsection 60(10) of the Act.</w:t>
      </w:r>
    </w:p>
    <w:p w14:paraId="15BFAD36" w14:textId="20693E3B" w:rsidR="0028155D" w:rsidRPr="006C3284" w:rsidRDefault="0028155D" w:rsidP="0028155D">
      <w:pPr>
        <w:rPr>
          <w:rFonts w:cstheme="minorHAnsi"/>
          <w:sz w:val="24"/>
          <w:szCs w:val="24"/>
        </w:rPr>
      </w:pPr>
      <w:r w:rsidRPr="006C3284">
        <w:rPr>
          <w:rFonts w:cstheme="minorHAnsi"/>
          <w:sz w:val="24"/>
          <w:szCs w:val="24"/>
        </w:rPr>
        <w:t>Subsection 60(10) of the Act allows the Minister to give written directions to ACMA in relation to the exercise of its power to determine procedures imposing a limit mentioned in subsection 60(5) of the Act.</w:t>
      </w:r>
    </w:p>
    <w:p w14:paraId="2EC55957" w14:textId="2DD6D017" w:rsidR="0028155D" w:rsidRPr="006C3284" w:rsidRDefault="0028155D" w:rsidP="0028155D">
      <w:pPr>
        <w:rPr>
          <w:rFonts w:cstheme="minorHAnsi"/>
          <w:sz w:val="24"/>
          <w:szCs w:val="24"/>
        </w:rPr>
      </w:pPr>
      <w:r w:rsidRPr="006C3284">
        <w:rPr>
          <w:rFonts w:cstheme="minorHAnsi"/>
          <w:sz w:val="24"/>
          <w:szCs w:val="24"/>
        </w:rPr>
        <w:t>Subsection 60(6) of the Act sets out the manner in which limits imposed under subsection 60(5) of the Act may be expressed to apply, including by reference to a specified part of the spectrum, specified area or specified population reach</w:t>
      </w:r>
      <w:r w:rsidR="00FF2634">
        <w:rPr>
          <w:rFonts w:cstheme="minorHAnsi"/>
          <w:sz w:val="24"/>
          <w:szCs w:val="24"/>
        </w:rPr>
        <w:t>.</w:t>
      </w:r>
    </w:p>
    <w:p w14:paraId="729F7193" w14:textId="6B0284C2" w:rsidR="0028155D" w:rsidRPr="006C3284" w:rsidRDefault="0028155D" w:rsidP="00F34E50">
      <w:pPr>
        <w:rPr>
          <w:rFonts w:cstheme="minorHAnsi"/>
          <w:sz w:val="24"/>
          <w:szCs w:val="24"/>
        </w:rPr>
      </w:pPr>
      <w:r w:rsidRPr="006C3284">
        <w:rPr>
          <w:rFonts w:cstheme="minorHAnsi"/>
          <w:sz w:val="24"/>
          <w:szCs w:val="24"/>
        </w:rPr>
        <w:lastRenderedPageBreak/>
        <w:t xml:space="preserve">This instrument is a legislative instrument for the purposes of the </w:t>
      </w:r>
      <w:r w:rsidRPr="006C3284">
        <w:rPr>
          <w:rFonts w:cstheme="minorHAnsi"/>
          <w:i/>
          <w:sz w:val="24"/>
          <w:szCs w:val="24"/>
        </w:rPr>
        <w:t>Legislation Act 2003</w:t>
      </w:r>
      <w:r w:rsidRPr="006C3284">
        <w:rPr>
          <w:rFonts w:cstheme="minorHAnsi"/>
          <w:sz w:val="24"/>
          <w:szCs w:val="24"/>
        </w:rPr>
        <w:t xml:space="preserve">. However, this instrument is not subject to disallowance or </w:t>
      </w:r>
      <w:proofErr w:type="spellStart"/>
      <w:r w:rsidRPr="006C3284">
        <w:rPr>
          <w:rFonts w:cstheme="minorHAnsi"/>
          <w:sz w:val="24"/>
          <w:szCs w:val="24"/>
        </w:rPr>
        <w:t>sunsetting</w:t>
      </w:r>
      <w:proofErr w:type="spellEnd"/>
      <w:r w:rsidRPr="006C3284">
        <w:rPr>
          <w:rFonts w:cstheme="minorHAnsi"/>
          <w:sz w:val="24"/>
          <w:szCs w:val="24"/>
        </w:rPr>
        <w:t xml:space="preserve">, as it is a direction by a Minister to a person or body (see item 2 of the table in section 9 and item 3 of the table in section 11 of the </w:t>
      </w:r>
      <w:r w:rsidRPr="006C3284">
        <w:rPr>
          <w:rFonts w:cstheme="minorHAnsi"/>
          <w:i/>
          <w:sz w:val="24"/>
          <w:szCs w:val="24"/>
        </w:rPr>
        <w:t>Legislation (Exemptions and Other Matters) Regulation 2015</w:t>
      </w:r>
      <w:r w:rsidRPr="006C3284">
        <w:rPr>
          <w:rFonts w:cstheme="minorHAnsi"/>
          <w:sz w:val="24"/>
          <w:szCs w:val="24"/>
        </w:rPr>
        <w:t xml:space="preserve"> respectively).</w:t>
      </w:r>
    </w:p>
    <w:p w14:paraId="45A2010A" w14:textId="6C847412" w:rsidR="00F34E50" w:rsidRPr="006C3284" w:rsidRDefault="00F34E50" w:rsidP="006C3284">
      <w:pPr>
        <w:pStyle w:val="Heading2"/>
      </w:pPr>
      <w:r w:rsidRPr="006C3284">
        <w:t>Background</w:t>
      </w:r>
    </w:p>
    <w:p w14:paraId="1F2918BD" w14:textId="16E3E319" w:rsidR="00226B8E" w:rsidRPr="006C3284" w:rsidRDefault="00D52EBA" w:rsidP="00D52EBA">
      <w:pPr>
        <w:rPr>
          <w:rFonts w:cstheme="minorHAnsi"/>
          <w:sz w:val="24"/>
          <w:szCs w:val="24"/>
        </w:rPr>
      </w:pPr>
      <w:r w:rsidRPr="006C3284">
        <w:rPr>
          <w:rFonts w:cstheme="minorHAnsi"/>
          <w:sz w:val="24"/>
          <w:szCs w:val="24"/>
        </w:rPr>
        <w:t xml:space="preserve">The </w:t>
      </w:r>
      <w:r w:rsidR="00C01042" w:rsidRPr="006C3284">
        <w:rPr>
          <w:rFonts w:cstheme="minorHAnsi"/>
          <w:sz w:val="24"/>
          <w:szCs w:val="24"/>
        </w:rPr>
        <w:t xml:space="preserve">Minister made the </w:t>
      </w:r>
      <w:r w:rsidR="00C01042" w:rsidRPr="006C3284">
        <w:rPr>
          <w:rFonts w:cstheme="minorHAnsi"/>
          <w:i/>
          <w:sz w:val="24"/>
          <w:szCs w:val="24"/>
        </w:rPr>
        <w:t>Radiocommunications (Spectrum Re-allocation</w:t>
      </w:r>
      <w:r w:rsidR="00C01042" w:rsidRPr="006C3284">
        <w:rPr>
          <w:rFonts w:cstheme="minorHAnsi"/>
          <w:i/>
          <w:iCs/>
          <w:color w:val="000000"/>
          <w:shd w:val="clear" w:color="auto" w:fill="FFFFFF"/>
        </w:rPr>
        <w:t>—</w:t>
      </w:r>
      <w:r w:rsidR="00C01042" w:rsidRPr="006C3284">
        <w:rPr>
          <w:rFonts w:cstheme="minorHAnsi"/>
          <w:i/>
          <w:iCs/>
          <w:color w:val="000000"/>
          <w:sz w:val="24"/>
          <w:shd w:val="clear" w:color="auto" w:fill="FFFFFF"/>
        </w:rPr>
        <w:t xml:space="preserve">850/900 MHz Band) Declaration 2020 </w:t>
      </w:r>
      <w:r w:rsidR="00C01042" w:rsidRPr="006C3284">
        <w:rPr>
          <w:rFonts w:cstheme="minorHAnsi"/>
          <w:iCs/>
          <w:color w:val="000000"/>
          <w:sz w:val="24"/>
          <w:shd w:val="clear" w:color="auto" w:fill="FFFFFF"/>
        </w:rPr>
        <w:t>(the Declaration) in October 2020.</w:t>
      </w:r>
      <w:r w:rsidRPr="006C3284">
        <w:rPr>
          <w:rFonts w:cstheme="minorHAnsi"/>
          <w:sz w:val="28"/>
          <w:szCs w:val="24"/>
        </w:rPr>
        <w:t xml:space="preserve"> </w:t>
      </w:r>
      <w:r w:rsidR="00C01042" w:rsidRPr="006C3284">
        <w:rPr>
          <w:rFonts w:cstheme="minorHAnsi"/>
          <w:sz w:val="24"/>
          <w:szCs w:val="24"/>
        </w:rPr>
        <w:t>The Declaration specified that parts of the spectrum in the 850/900 MHz band would be subject to reallocation by issuing spectrum licences. A</w:t>
      </w:r>
      <w:r w:rsidR="00B51477" w:rsidRPr="006C3284">
        <w:rPr>
          <w:rFonts w:cstheme="minorHAnsi"/>
          <w:sz w:val="24"/>
          <w:szCs w:val="24"/>
        </w:rPr>
        <w:t xml:space="preserve">CMA </w:t>
      </w:r>
      <w:r w:rsidR="00226B8E" w:rsidRPr="006C3284">
        <w:rPr>
          <w:rFonts w:cstheme="minorHAnsi"/>
          <w:sz w:val="24"/>
          <w:szCs w:val="24"/>
        </w:rPr>
        <w:t>is planning</w:t>
      </w:r>
      <w:r w:rsidR="00B51477" w:rsidRPr="006C3284">
        <w:rPr>
          <w:rFonts w:cstheme="minorHAnsi"/>
          <w:sz w:val="24"/>
          <w:szCs w:val="24"/>
        </w:rPr>
        <w:t xml:space="preserve"> to allocate this</w:t>
      </w:r>
      <w:r w:rsidR="00C01042" w:rsidRPr="006C3284">
        <w:rPr>
          <w:rFonts w:cstheme="minorHAnsi"/>
          <w:sz w:val="24"/>
          <w:szCs w:val="24"/>
        </w:rPr>
        <w:t xml:space="preserve"> spectrum via auction.</w:t>
      </w:r>
      <w:r w:rsidR="00226B8E" w:rsidRPr="006C3284">
        <w:rPr>
          <w:rFonts w:cstheme="minorHAnsi"/>
          <w:sz w:val="24"/>
          <w:szCs w:val="24"/>
        </w:rPr>
        <w:t xml:space="preserve"> </w:t>
      </w:r>
    </w:p>
    <w:p w14:paraId="7215695D" w14:textId="2F66049F" w:rsidR="00876D76" w:rsidRPr="006C3284" w:rsidRDefault="00226B8E" w:rsidP="00D52EBA">
      <w:pPr>
        <w:rPr>
          <w:rFonts w:cstheme="minorHAnsi"/>
          <w:sz w:val="24"/>
          <w:szCs w:val="24"/>
        </w:rPr>
      </w:pPr>
      <w:r w:rsidRPr="006C3284">
        <w:rPr>
          <w:rFonts w:cstheme="minorHAnsi"/>
          <w:sz w:val="24"/>
          <w:szCs w:val="24"/>
        </w:rPr>
        <w:t>Concurrent with making the Declaration, the Minister sought advice from the ACCC on appropriate allocation limits (also known as competition limits) for the 850/900 MHz auction. The ACCC undertook public consultation to assist with the preparation of its advice in November and December 2020. The ACCC provided its final advice to the Minister in March 2021.</w:t>
      </w:r>
    </w:p>
    <w:p w14:paraId="6FFE0987" w14:textId="591DEFC3" w:rsidR="008D7906" w:rsidRPr="006C3284" w:rsidRDefault="00C01042" w:rsidP="00D52EBA">
      <w:pPr>
        <w:rPr>
          <w:rFonts w:cstheme="minorHAnsi"/>
          <w:sz w:val="24"/>
          <w:szCs w:val="24"/>
        </w:rPr>
      </w:pPr>
      <w:r w:rsidRPr="006C3284">
        <w:rPr>
          <w:rFonts w:cstheme="minorHAnsi"/>
          <w:sz w:val="24"/>
          <w:szCs w:val="24"/>
        </w:rPr>
        <w:t xml:space="preserve">Spectrum in the 850/900 MHz band has been identified internationally, and by </w:t>
      </w:r>
      <w:r w:rsidR="00C664D4" w:rsidRPr="006C3284">
        <w:rPr>
          <w:rFonts w:cstheme="minorHAnsi"/>
          <w:sz w:val="24"/>
          <w:szCs w:val="24"/>
        </w:rPr>
        <w:t xml:space="preserve">the </w:t>
      </w:r>
      <w:r w:rsidRPr="006C3284">
        <w:rPr>
          <w:rFonts w:cstheme="minorHAnsi"/>
          <w:sz w:val="24"/>
          <w:szCs w:val="24"/>
        </w:rPr>
        <w:t>ACMA, for the delivery of wireless broadband services</w:t>
      </w:r>
      <w:r w:rsidR="00065CDD" w:rsidRPr="006C3284">
        <w:rPr>
          <w:rFonts w:cstheme="minorHAnsi"/>
          <w:sz w:val="24"/>
          <w:szCs w:val="24"/>
        </w:rPr>
        <w:t xml:space="preserve">, including for </w:t>
      </w:r>
      <w:r w:rsidR="00226B8E" w:rsidRPr="006C3284">
        <w:rPr>
          <w:rFonts w:cstheme="minorHAnsi"/>
          <w:sz w:val="24"/>
          <w:szCs w:val="24"/>
        </w:rPr>
        <w:t xml:space="preserve">4G and 5G </w:t>
      </w:r>
      <w:r w:rsidR="00065CDD" w:rsidRPr="006C3284">
        <w:rPr>
          <w:rFonts w:cstheme="minorHAnsi"/>
          <w:sz w:val="24"/>
          <w:szCs w:val="24"/>
        </w:rPr>
        <w:t>mobile networks</w:t>
      </w:r>
      <w:r w:rsidRPr="006C3284">
        <w:rPr>
          <w:rFonts w:cstheme="minorHAnsi"/>
          <w:sz w:val="24"/>
          <w:szCs w:val="24"/>
        </w:rPr>
        <w:t xml:space="preserve">. </w:t>
      </w:r>
      <w:r w:rsidR="009D22BD" w:rsidRPr="006C3284">
        <w:rPr>
          <w:rFonts w:cstheme="minorHAnsi"/>
          <w:sz w:val="24"/>
          <w:szCs w:val="24"/>
        </w:rPr>
        <w:t>900</w:t>
      </w:r>
      <w:r w:rsidR="007F691E" w:rsidRPr="006C3284">
        <w:rPr>
          <w:rFonts w:cstheme="minorHAnsi"/>
          <w:sz w:val="24"/>
          <w:szCs w:val="24"/>
        </w:rPr>
        <w:t> </w:t>
      </w:r>
      <w:r w:rsidR="009D22BD" w:rsidRPr="006C3284">
        <w:rPr>
          <w:rFonts w:cstheme="minorHAnsi"/>
          <w:sz w:val="24"/>
          <w:szCs w:val="24"/>
        </w:rPr>
        <w:t xml:space="preserve">MHz </w:t>
      </w:r>
      <w:r w:rsidR="007F691E" w:rsidRPr="006C3284">
        <w:rPr>
          <w:rFonts w:cstheme="minorHAnsi"/>
          <w:sz w:val="24"/>
          <w:szCs w:val="24"/>
        </w:rPr>
        <w:t xml:space="preserve">band </w:t>
      </w:r>
      <w:r w:rsidR="009D22BD" w:rsidRPr="006C3284">
        <w:rPr>
          <w:rFonts w:cstheme="minorHAnsi"/>
          <w:sz w:val="24"/>
          <w:szCs w:val="24"/>
        </w:rPr>
        <w:t xml:space="preserve">spectrum is currently </w:t>
      </w:r>
      <w:r w:rsidR="007F691E" w:rsidRPr="006C3284">
        <w:rPr>
          <w:rFonts w:cstheme="minorHAnsi"/>
          <w:sz w:val="24"/>
          <w:szCs w:val="24"/>
        </w:rPr>
        <w:t>used by</w:t>
      </w:r>
      <w:r w:rsidR="009D22BD" w:rsidRPr="006C3284">
        <w:rPr>
          <w:rFonts w:cstheme="minorHAnsi"/>
          <w:sz w:val="24"/>
          <w:szCs w:val="24"/>
        </w:rPr>
        <w:t xml:space="preserve"> Optus, Telstra and TPG</w:t>
      </w:r>
      <w:r w:rsidR="00B03058" w:rsidRPr="006C3284">
        <w:rPr>
          <w:rFonts w:cstheme="minorHAnsi"/>
          <w:sz w:val="24"/>
          <w:szCs w:val="24"/>
        </w:rPr>
        <w:t xml:space="preserve"> Telecom</w:t>
      </w:r>
      <w:r w:rsidR="009D22BD" w:rsidRPr="006C3284">
        <w:rPr>
          <w:rFonts w:cstheme="minorHAnsi"/>
          <w:sz w:val="24"/>
          <w:szCs w:val="24"/>
        </w:rPr>
        <w:t xml:space="preserve"> under apparatus licensing</w:t>
      </w:r>
      <w:r w:rsidR="006C3284" w:rsidRPr="006C3284">
        <w:rPr>
          <w:rFonts w:cstheme="minorHAnsi"/>
          <w:sz w:val="24"/>
          <w:szCs w:val="24"/>
        </w:rPr>
        <w:t xml:space="preserve"> arrangements.</w:t>
      </w:r>
    </w:p>
    <w:p w14:paraId="5613FC24" w14:textId="7B01F0B0" w:rsidR="00D4239F" w:rsidRPr="006C3284" w:rsidRDefault="0075230E" w:rsidP="006C3284">
      <w:pPr>
        <w:pStyle w:val="Heading2"/>
      </w:pPr>
      <w:r w:rsidRPr="006C3284">
        <w:t>Regulation Impact Statement</w:t>
      </w:r>
    </w:p>
    <w:p w14:paraId="584D9481" w14:textId="0F85D2ED" w:rsidR="0075230E" w:rsidRPr="006C3284" w:rsidRDefault="0075230E" w:rsidP="0075230E">
      <w:pPr>
        <w:rPr>
          <w:rFonts w:cstheme="minorHAnsi"/>
          <w:sz w:val="24"/>
          <w:szCs w:val="24"/>
        </w:rPr>
      </w:pPr>
      <w:r w:rsidRPr="006C3284">
        <w:rPr>
          <w:rFonts w:cstheme="minorHAnsi"/>
          <w:sz w:val="24"/>
          <w:szCs w:val="24"/>
        </w:rPr>
        <w:t>The Office of Best Practice Regulation (OBPR) confirmed that a Regulato</w:t>
      </w:r>
      <w:r w:rsidR="008E4AD7" w:rsidRPr="006C3284">
        <w:rPr>
          <w:rFonts w:cstheme="minorHAnsi"/>
          <w:sz w:val="24"/>
          <w:szCs w:val="24"/>
        </w:rPr>
        <w:t xml:space="preserve">ry Impact Statement is not required for the </w:t>
      </w:r>
      <w:r w:rsidR="005C50D6" w:rsidRPr="006C3284">
        <w:rPr>
          <w:rFonts w:cstheme="minorHAnsi"/>
          <w:sz w:val="24"/>
          <w:szCs w:val="24"/>
        </w:rPr>
        <w:t>Direction</w:t>
      </w:r>
      <w:r w:rsidR="008E4AD7" w:rsidRPr="006C3284">
        <w:rPr>
          <w:rFonts w:cstheme="minorHAnsi"/>
          <w:sz w:val="24"/>
          <w:szCs w:val="24"/>
        </w:rPr>
        <w:t xml:space="preserve"> on the grounds that </w:t>
      </w:r>
      <w:r w:rsidR="005C50D6" w:rsidRPr="006C3284">
        <w:rPr>
          <w:rFonts w:cstheme="minorHAnsi"/>
          <w:sz w:val="24"/>
          <w:szCs w:val="24"/>
        </w:rPr>
        <w:t>the direction was assessed as having a no more than minor impact on the implementat</w:t>
      </w:r>
      <w:r w:rsidR="00A46AEE" w:rsidRPr="006C3284">
        <w:rPr>
          <w:rFonts w:cstheme="minorHAnsi"/>
          <w:sz w:val="24"/>
          <w:szCs w:val="24"/>
        </w:rPr>
        <w:t>ion of the reallocation process</w:t>
      </w:r>
      <w:r w:rsidR="008E4AD7" w:rsidRPr="006C3284">
        <w:rPr>
          <w:rFonts w:cstheme="minorHAnsi"/>
          <w:sz w:val="24"/>
          <w:szCs w:val="24"/>
        </w:rPr>
        <w:t xml:space="preserve"> </w:t>
      </w:r>
      <w:r w:rsidR="00A46AEE" w:rsidRPr="006C3284">
        <w:rPr>
          <w:rFonts w:cstheme="minorHAnsi"/>
          <w:sz w:val="24"/>
          <w:szCs w:val="24"/>
        </w:rPr>
        <w:t>(</w:t>
      </w:r>
      <w:r w:rsidR="008E4AD7" w:rsidRPr="006C3284">
        <w:rPr>
          <w:rFonts w:cstheme="minorHAnsi"/>
          <w:sz w:val="24"/>
          <w:szCs w:val="24"/>
        </w:rPr>
        <w:t xml:space="preserve">OBPR </w:t>
      </w:r>
      <w:r w:rsidR="00A46AEE" w:rsidRPr="006C3284">
        <w:rPr>
          <w:rFonts w:cstheme="minorHAnsi"/>
          <w:sz w:val="24"/>
          <w:szCs w:val="24"/>
        </w:rPr>
        <w:t>ID 43548)</w:t>
      </w:r>
      <w:r w:rsidR="008E4AD7" w:rsidRPr="006C3284">
        <w:rPr>
          <w:rFonts w:cstheme="minorHAnsi"/>
          <w:sz w:val="24"/>
          <w:szCs w:val="24"/>
        </w:rPr>
        <w:t>.</w:t>
      </w:r>
    </w:p>
    <w:p w14:paraId="11F73B1C" w14:textId="77777777" w:rsidR="00BA028F" w:rsidRPr="006C3284" w:rsidRDefault="00BA028F" w:rsidP="006C3284">
      <w:pPr>
        <w:pStyle w:val="Heading2"/>
      </w:pPr>
      <w:r w:rsidRPr="006C3284">
        <w:t>Consultation</w:t>
      </w:r>
    </w:p>
    <w:p w14:paraId="4091AA14" w14:textId="3AFFB926" w:rsidR="00DB2978" w:rsidRPr="006C3284" w:rsidRDefault="00A46AEE" w:rsidP="0075230E">
      <w:pPr>
        <w:rPr>
          <w:rFonts w:cstheme="minorHAnsi"/>
          <w:sz w:val="24"/>
          <w:szCs w:val="24"/>
        </w:rPr>
      </w:pPr>
      <w:r w:rsidRPr="006C3284">
        <w:rPr>
          <w:rFonts w:cstheme="minorHAnsi"/>
          <w:sz w:val="24"/>
          <w:szCs w:val="24"/>
        </w:rPr>
        <w:t xml:space="preserve">The </w:t>
      </w:r>
      <w:r w:rsidR="00C01042" w:rsidRPr="006C3284">
        <w:rPr>
          <w:rFonts w:cstheme="minorHAnsi"/>
          <w:sz w:val="24"/>
          <w:szCs w:val="24"/>
        </w:rPr>
        <w:t xml:space="preserve">Minister sought advice in October 2020 from the </w:t>
      </w:r>
      <w:r w:rsidRPr="006C3284">
        <w:rPr>
          <w:rFonts w:cstheme="minorHAnsi"/>
          <w:sz w:val="24"/>
          <w:szCs w:val="24"/>
        </w:rPr>
        <w:t xml:space="preserve">ACCC </w:t>
      </w:r>
      <w:r w:rsidR="00C01042" w:rsidRPr="006C3284">
        <w:rPr>
          <w:rFonts w:cstheme="minorHAnsi"/>
          <w:sz w:val="24"/>
          <w:szCs w:val="24"/>
        </w:rPr>
        <w:t>on appropriate allocation limits for the auction (if any)</w:t>
      </w:r>
      <w:r w:rsidR="0028155D" w:rsidRPr="006C3284">
        <w:rPr>
          <w:rFonts w:cstheme="minorHAnsi"/>
          <w:sz w:val="24"/>
          <w:szCs w:val="24"/>
        </w:rPr>
        <w:t>, and whether there were grounds to set-aside spectrum for Telstra</w:t>
      </w:r>
      <w:r w:rsidR="00C01042" w:rsidRPr="006C3284">
        <w:rPr>
          <w:rFonts w:cstheme="minorHAnsi"/>
          <w:sz w:val="24"/>
          <w:szCs w:val="24"/>
        </w:rPr>
        <w:t xml:space="preserve">. The ACCC </w:t>
      </w:r>
      <w:r w:rsidRPr="006C3284">
        <w:rPr>
          <w:rFonts w:cstheme="minorHAnsi"/>
          <w:sz w:val="24"/>
          <w:szCs w:val="24"/>
        </w:rPr>
        <w:t xml:space="preserve">consulted publicly on competition issues associated with the </w:t>
      </w:r>
      <w:r w:rsidR="00C01042" w:rsidRPr="006C3284">
        <w:rPr>
          <w:rFonts w:cstheme="minorHAnsi"/>
          <w:sz w:val="24"/>
          <w:szCs w:val="24"/>
        </w:rPr>
        <w:t>auction in</w:t>
      </w:r>
      <w:r w:rsidRPr="006C3284">
        <w:rPr>
          <w:rFonts w:cstheme="minorHAnsi"/>
          <w:sz w:val="24"/>
          <w:szCs w:val="24"/>
        </w:rPr>
        <w:t xml:space="preserve"> December 2020. Six submissions were received to this consultation, from Connected Farms, NBN Co, Optus, </w:t>
      </w:r>
      <w:proofErr w:type="spellStart"/>
      <w:r w:rsidRPr="006C3284">
        <w:rPr>
          <w:rFonts w:cstheme="minorHAnsi"/>
          <w:sz w:val="24"/>
          <w:szCs w:val="24"/>
        </w:rPr>
        <w:t>Pivotel</w:t>
      </w:r>
      <w:proofErr w:type="spellEnd"/>
      <w:r w:rsidRPr="006C3284">
        <w:rPr>
          <w:rFonts w:cstheme="minorHAnsi"/>
          <w:sz w:val="24"/>
          <w:szCs w:val="24"/>
        </w:rPr>
        <w:t>, Telstra and TPG Telecom.</w:t>
      </w:r>
      <w:r w:rsidR="0028155D" w:rsidRPr="006C3284">
        <w:rPr>
          <w:rFonts w:cstheme="minorHAnsi"/>
          <w:sz w:val="24"/>
          <w:szCs w:val="24"/>
        </w:rPr>
        <w:t xml:space="preserve"> The ACCC provided its advice to the Minister in March 2021. </w:t>
      </w:r>
    </w:p>
    <w:p w14:paraId="05F43067" w14:textId="4B1B8EB2" w:rsidR="00C01042" w:rsidRPr="006C3284" w:rsidRDefault="00723969" w:rsidP="0075230E">
      <w:pPr>
        <w:rPr>
          <w:rFonts w:cstheme="minorHAnsi"/>
          <w:sz w:val="24"/>
          <w:szCs w:val="24"/>
        </w:rPr>
      </w:pPr>
      <w:r w:rsidRPr="006C3284">
        <w:rPr>
          <w:rFonts w:cstheme="minorHAnsi"/>
          <w:sz w:val="24"/>
          <w:szCs w:val="24"/>
        </w:rPr>
        <w:t xml:space="preserve">Consultation was also undertaken with </w:t>
      </w:r>
      <w:r w:rsidR="00C664D4" w:rsidRPr="006C3284">
        <w:rPr>
          <w:rFonts w:cstheme="minorHAnsi"/>
          <w:sz w:val="24"/>
          <w:szCs w:val="24"/>
        </w:rPr>
        <w:t xml:space="preserve">the </w:t>
      </w:r>
      <w:r w:rsidRPr="006C3284">
        <w:rPr>
          <w:rFonts w:cstheme="minorHAnsi"/>
          <w:sz w:val="24"/>
          <w:szCs w:val="24"/>
        </w:rPr>
        <w:t>ACMA, the ACCC and industry stakeholders in rel</w:t>
      </w:r>
      <w:r w:rsidR="00A7624E" w:rsidRPr="006C3284">
        <w:rPr>
          <w:rFonts w:cstheme="minorHAnsi"/>
          <w:sz w:val="24"/>
          <w:szCs w:val="24"/>
        </w:rPr>
        <w:t>ation to the terms of the Direc</w:t>
      </w:r>
      <w:r w:rsidRPr="006C3284">
        <w:rPr>
          <w:rFonts w:cstheme="minorHAnsi"/>
          <w:sz w:val="24"/>
          <w:szCs w:val="24"/>
        </w:rPr>
        <w:t>t</w:t>
      </w:r>
      <w:r w:rsidR="00A7624E" w:rsidRPr="006C3284">
        <w:rPr>
          <w:rFonts w:cstheme="minorHAnsi"/>
          <w:sz w:val="24"/>
          <w:szCs w:val="24"/>
        </w:rPr>
        <w:t>i</w:t>
      </w:r>
      <w:r w:rsidRPr="006C3284">
        <w:rPr>
          <w:rFonts w:cstheme="minorHAnsi"/>
          <w:sz w:val="24"/>
          <w:szCs w:val="24"/>
        </w:rPr>
        <w:t>on.</w:t>
      </w:r>
    </w:p>
    <w:p w14:paraId="5EDE6DD8" w14:textId="77777777" w:rsidR="00733B54" w:rsidRPr="006C3284" w:rsidRDefault="00733B54">
      <w:pPr>
        <w:rPr>
          <w:rFonts w:cstheme="minorHAnsi"/>
          <w:sz w:val="24"/>
          <w:szCs w:val="24"/>
        </w:rPr>
      </w:pPr>
      <w:r w:rsidRPr="006C3284">
        <w:rPr>
          <w:rFonts w:cstheme="minorHAnsi"/>
          <w:sz w:val="24"/>
          <w:szCs w:val="24"/>
        </w:rPr>
        <w:br w:type="page"/>
      </w:r>
    </w:p>
    <w:p w14:paraId="29321B56" w14:textId="77777777" w:rsidR="00C627C9" w:rsidRPr="006C3284" w:rsidRDefault="00C627C9" w:rsidP="006C3284">
      <w:pPr>
        <w:pStyle w:val="Heading2"/>
      </w:pPr>
      <w:r w:rsidRPr="006C3284">
        <w:lastRenderedPageBreak/>
        <w:t>Attachment 1: Notes on Sections</w:t>
      </w:r>
    </w:p>
    <w:p w14:paraId="209DDAD5" w14:textId="77777777" w:rsidR="00B51477" w:rsidRPr="006C3284" w:rsidRDefault="00B51477" w:rsidP="006C3284">
      <w:pPr>
        <w:pStyle w:val="Heading3"/>
      </w:pPr>
      <w:r w:rsidRPr="006C3284">
        <w:t>Section 1—Name</w:t>
      </w:r>
    </w:p>
    <w:p w14:paraId="62E0D4AD" w14:textId="77777777" w:rsidR="00B51477" w:rsidRPr="006C3284" w:rsidRDefault="00B51477" w:rsidP="00B51477">
      <w:pPr>
        <w:rPr>
          <w:rFonts w:cstheme="minorHAnsi"/>
          <w:sz w:val="24"/>
          <w:szCs w:val="24"/>
        </w:rPr>
      </w:pPr>
      <w:r w:rsidRPr="006C3284">
        <w:rPr>
          <w:rFonts w:cstheme="minorHAnsi"/>
          <w:sz w:val="24"/>
          <w:szCs w:val="24"/>
        </w:rPr>
        <w:t xml:space="preserve">Section 1 provides that the instrument is the </w:t>
      </w:r>
      <w:r w:rsidRPr="006C3284">
        <w:rPr>
          <w:rFonts w:cstheme="minorHAnsi"/>
          <w:i/>
          <w:sz w:val="24"/>
          <w:szCs w:val="24"/>
        </w:rPr>
        <w:t>Radiocommunications (Spectrum Licence Limits—850/900 MHz Band) Direction 2021</w:t>
      </w:r>
      <w:r w:rsidRPr="006C3284">
        <w:rPr>
          <w:rFonts w:cstheme="minorHAnsi"/>
          <w:sz w:val="24"/>
          <w:szCs w:val="24"/>
        </w:rPr>
        <w:t xml:space="preserve"> (the Direction).</w:t>
      </w:r>
    </w:p>
    <w:p w14:paraId="664BCCA2" w14:textId="77777777" w:rsidR="00B51477" w:rsidRPr="006C3284" w:rsidRDefault="00B51477" w:rsidP="006C3284">
      <w:pPr>
        <w:pStyle w:val="Heading3"/>
      </w:pPr>
      <w:r w:rsidRPr="006C3284">
        <w:t>Section 2—Commencement</w:t>
      </w:r>
    </w:p>
    <w:p w14:paraId="04F65040" w14:textId="77777777" w:rsidR="00B51477" w:rsidRPr="006C3284" w:rsidRDefault="00B51477" w:rsidP="00B51477">
      <w:pPr>
        <w:rPr>
          <w:rFonts w:cstheme="minorHAnsi"/>
          <w:sz w:val="24"/>
          <w:szCs w:val="24"/>
        </w:rPr>
      </w:pPr>
      <w:r w:rsidRPr="006C3284">
        <w:rPr>
          <w:rFonts w:cstheme="minorHAnsi"/>
          <w:sz w:val="24"/>
          <w:szCs w:val="24"/>
        </w:rPr>
        <w:t>Section 2 provides that the Direction will commence on the day after it is registered on the Federal Register of Legislation, which may be accessed online at www.legislation.gov.au.</w:t>
      </w:r>
    </w:p>
    <w:p w14:paraId="78716237" w14:textId="77777777" w:rsidR="00B51477" w:rsidRPr="006C3284" w:rsidRDefault="00B51477" w:rsidP="006C3284">
      <w:pPr>
        <w:pStyle w:val="Heading3"/>
      </w:pPr>
      <w:r w:rsidRPr="006C3284">
        <w:t>Section 3—Authority</w:t>
      </w:r>
    </w:p>
    <w:p w14:paraId="30D1D650" w14:textId="77777777" w:rsidR="00B51477" w:rsidRPr="006C3284" w:rsidRDefault="00B51477" w:rsidP="00B51477">
      <w:pPr>
        <w:rPr>
          <w:rFonts w:cstheme="minorHAnsi"/>
          <w:sz w:val="24"/>
          <w:szCs w:val="24"/>
        </w:rPr>
      </w:pPr>
      <w:r w:rsidRPr="006C3284">
        <w:rPr>
          <w:rFonts w:cstheme="minorHAnsi"/>
          <w:sz w:val="24"/>
          <w:szCs w:val="24"/>
        </w:rPr>
        <w:t xml:space="preserve">Section 3 identifies subsection 60(10) of the </w:t>
      </w:r>
      <w:r w:rsidRPr="006C3284">
        <w:rPr>
          <w:rFonts w:cstheme="minorHAnsi"/>
          <w:i/>
          <w:sz w:val="24"/>
          <w:szCs w:val="24"/>
        </w:rPr>
        <w:t xml:space="preserve">Radiocommunications Act 1992 </w:t>
      </w:r>
      <w:r w:rsidRPr="006C3284">
        <w:rPr>
          <w:rFonts w:cstheme="minorHAnsi"/>
          <w:sz w:val="24"/>
          <w:szCs w:val="24"/>
        </w:rPr>
        <w:t xml:space="preserve">as the power that authorises the making of the Direction. </w:t>
      </w:r>
    </w:p>
    <w:p w14:paraId="7D177820" w14:textId="77777777" w:rsidR="00B51477" w:rsidRPr="006C3284" w:rsidRDefault="00B51477" w:rsidP="006C3284">
      <w:pPr>
        <w:pStyle w:val="Heading3"/>
      </w:pPr>
      <w:r w:rsidRPr="006C3284">
        <w:t>Section 4—Interpretation</w:t>
      </w:r>
    </w:p>
    <w:p w14:paraId="08686541" w14:textId="77777777" w:rsidR="00B51477" w:rsidRPr="006C3284" w:rsidRDefault="00B51477" w:rsidP="00B51477">
      <w:pPr>
        <w:spacing w:after="240"/>
        <w:rPr>
          <w:rFonts w:cstheme="minorHAnsi"/>
          <w:sz w:val="24"/>
          <w:szCs w:val="24"/>
        </w:rPr>
      </w:pPr>
      <w:r w:rsidRPr="006C3284">
        <w:rPr>
          <w:rFonts w:cstheme="minorHAnsi"/>
          <w:sz w:val="24"/>
          <w:szCs w:val="24"/>
        </w:rPr>
        <w:t xml:space="preserve">Section 4 defines expressions used in the Direction. </w:t>
      </w:r>
    </w:p>
    <w:p w14:paraId="6D89C17A" w14:textId="5E12EBC1" w:rsidR="00D12980" w:rsidRPr="006C3284" w:rsidRDefault="00B51477" w:rsidP="00B51477">
      <w:pPr>
        <w:spacing w:after="240"/>
        <w:rPr>
          <w:rFonts w:cstheme="minorHAnsi"/>
          <w:sz w:val="24"/>
          <w:szCs w:val="24"/>
        </w:rPr>
      </w:pPr>
      <w:r w:rsidRPr="006C3284">
        <w:rPr>
          <w:rFonts w:cstheme="minorHAnsi"/>
          <w:sz w:val="24"/>
          <w:szCs w:val="24"/>
        </w:rPr>
        <w:t>The note to the section states that a number of expressions used in the instrument are defined in the Act, including ‘spectrum’ and ‘spectrum licence’.</w:t>
      </w:r>
    </w:p>
    <w:p w14:paraId="277F27C7" w14:textId="150A326A" w:rsidR="00D12980" w:rsidRPr="006C3284" w:rsidRDefault="00D12980" w:rsidP="00B51477">
      <w:pPr>
        <w:spacing w:after="240"/>
        <w:rPr>
          <w:rFonts w:cstheme="minorHAnsi"/>
          <w:b/>
          <w:i/>
          <w:sz w:val="24"/>
          <w:szCs w:val="24"/>
        </w:rPr>
      </w:pPr>
      <w:r w:rsidRPr="006C3284">
        <w:rPr>
          <w:rFonts w:cstheme="minorHAnsi"/>
          <w:b/>
          <w:i/>
          <w:sz w:val="24"/>
          <w:szCs w:val="24"/>
        </w:rPr>
        <w:t>800 MHz band</w:t>
      </w:r>
      <w:r w:rsidRPr="006C3284">
        <w:rPr>
          <w:rFonts w:cstheme="minorHAnsi"/>
          <w:b/>
          <w:sz w:val="24"/>
          <w:szCs w:val="24"/>
        </w:rPr>
        <w:t xml:space="preserve"> </w:t>
      </w:r>
      <w:r w:rsidRPr="006C3284">
        <w:rPr>
          <w:rFonts w:cstheme="minorHAnsi"/>
          <w:sz w:val="24"/>
          <w:szCs w:val="24"/>
        </w:rPr>
        <w:t xml:space="preserve">is defined to mean the parts of the spectrum from 825 MHz to 845 MHz and 870 MHz to 890 </w:t>
      </w:r>
      <w:proofErr w:type="spellStart"/>
      <w:r w:rsidRPr="006C3284">
        <w:rPr>
          <w:rFonts w:cstheme="minorHAnsi"/>
          <w:sz w:val="24"/>
          <w:szCs w:val="24"/>
        </w:rPr>
        <w:t>MHz.</w:t>
      </w:r>
      <w:proofErr w:type="spellEnd"/>
    </w:p>
    <w:p w14:paraId="4FEA0DFE" w14:textId="77777777" w:rsidR="00B51477" w:rsidRPr="006C3284" w:rsidRDefault="00B51477" w:rsidP="00B51477">
      <w:pPr>
        <w:spacing w:after="240"/>
        <w:rPr>
          <w:rFonts w:cstheme="minorHAnsi"/>
          <w:sz w:val="24"/>
          <w:szCs w:val="24"/>
        </w:rPr>
      </w:pPr>
      <w:r w:rsidRPr="006C3284">
        <w:rPr>
          <w:rFonts w:cstheme="minorHAnsi"/>
          <w:b/>
          <w:i/>
          <w:sz w:val="24"/>
          <w:szCs w:val="24"/>
        </w:rPr>
        <w:t>850/900 MHz band</w:t>
      </w:r>
      <w:r w:rsidRPr="006C3284">
        <w:rPr>
          <w:rFonts w:cstheme="minorHAnsi"/>
          <w:sz w:val="24"/>
          <w:szCs w:val="24"/>
        </w:rPr>
        <w:t xml:space="preserve"> is defined to mean the parts of the spectrum that are subject to re-allocation under the re-allocation declaration.</w:t>
      </w:r>
    </w:p>
    <w:p w14:paraId="6127965F" w14:textId="77777777" w:rsidR="00B51477" w:rsidRPr="006C3284" w:rsidRDefault="00B51477" w:rsidP="00B51477">
      <w:pPr>
        <w:spacing w:after="240"/>
        <w:rPr>
          <w:rFonts w:cstheme="minorHAnsi"/>
          <w:sz w:val="24"/>
          <w:szCs w:val="24"/>
        </w:rPr>
      </w:pPr>
      <w:r w:rsidRPr="006C3284">
        <w:rPr>
          <w:rFonts w:cstheme="minorHAnsi"/>
          <w:b/>
          <w:i/>
          <w:sz w:val="24"/>
          <w:szCs w:val="24"/>
        </w:rPr>
        <w:t>Act</w:t>
      </w:r>
      <w:r w:rsidRPr="006C3284">
        <w:rPr>
          <w:rFonts w:cstheme="minorHAnsi"/>
          <w:sz w:val="24"/>
          <w:szCs w:val="24"/>
        </w:rPr>
        <w:t xml:space="preserve"> is defined to mean the </w:t>
      </w:r>
      <w:r w:rsidRPr="006C3284">
        <w:rPr>
          <w:rFonts w:cstheme="minorHAnsi"/>
          <w:i/>
          <w:sz w:val="24"/>
          <w:szCs w:val="24"/>
        </w:rPr>
        <w:t>Radiocommunications Act 1992</w:t>
      </w:r>
      <w:r w:rsidRPr="006C3284">
        <w:rPr>
          <w:rFonts w:cstheme="minorHAnsi"/>
          <w:sz w:val="24"/>
          <w:szCs w:val="24"/>
        </w:rPr>
        <w:t>.</w:t>
      </w:r>
    </w:p>
    <w:p w14:paraId="24E20B93" w14:textId="685D23DE" w:rsidR="00D12980" w:rsidRPr="006C3284" w:rsidRDefault="00D12980" w:rsidP="00B51477">
      <w:pPr>
        <w:spacing w:after="240"/>
        <w:rPr>
          <w:rFonts w:cstheme="minorHAnsi"/>
          <w:sz w:val="24"/>
          <w:szCs w:val="24"/>
        </w:rPr>
      </w:pPr>
      <w:proofErr w:type="gramStart"/>
      <w:r w:rsidRPr="006C3284">
        <w:rPr>
          <w:rFonts w:cstheme="minorHAnsi"/>
          <w:b/>
          <w:i/>
          <w:sz w:val="24"/>
          <w:szCs w:val="24"/>
        </w:rPr>
        <w:t>associate</w:t>
      </w:r>
      <w:proofErr w:type="gramEnd"/>
      <w:r w:rsidRPr="006C3284">
        <w:rPr>
          <w:rFonts w:cstheme="minorHAnsi"/>
          <w:b/>
          <w:i/>
          <w:sz w:val="24"/>
          <w:szCs w:val="24"/>
        </w:rPr>
        <w:t xml:space="preserve"> </w:t>
      </w:r>
      <w:r w:rsidRPr="006C3284">
        <w:rPr>
          <w:rFonts w:cstheme="minorHAnsi"/>
          <w:sz w:val="24"/>
          <w:szCs w:val="24"/>
        </w:rPr>
        <w:t>is defined to mean</w:t>
      </w:r>
      <w:r w:rsidR="002A1E45" w:rsidRPr="006C3284">
        <w:rPr>
          <w:rFonts w:cstheme="minorHAnsi"/>
          <w:sz w:val="24"/>
          <w:szCs w:val="24"/>
        </w:rPr>
        <w:t>:</w:t>
      </w:r>
    </w:p>
    <w:p w14:paraId="20138FBF" w14:textId="77777777" w:rsidR="002A1E45" w:rsidRPr="006C3284" w:rsidRDefault="002A1E45" w:rsidP="00FF2634">
      <w:pPr>
        <w:pStyle w:val="paragraph"/>
        <w:numPr>
          <w:ilvl w:val="0"/>
          <w:numId w:val="10"/>
        </w:numPr>
        <w:shd w:val="clear" w:color="auto" w:fill="FFFFFF"/>
        <w:spacing w:before="40" w:beforeAutospacing="0" w:after="0" w:afterAutospacing="0"/>
        <w:ind w:left="567" w:hanging="567"/>
        <w:rPr>
          <w:rFonts w:asciiTheme="minorHAnsi" w:hAnsiTheme="minorHAnsi" w:cstheme="minorHAnsi"/>
          <w:color w:val="000000"/>
          <w:szCs w:val="22"/>
        </w:rPr>
      </w:pPr>
      <w:r w:rsidRPr="006C3284">
        <w:rPr>
          <w:rFonts w:asciiTheme="minorHAnsi" w:hAnsiTheme="minorHAnsi" w:cstheme="minorHAnsi"/>
          <w:color w:val="000000"/>
          <w:szCs w:val="22"/>
        </w:rPr>
        <w:t>in relation to a person that is a body corporate:</w:t>
      </w:r>
    </w:p>
    <w:p w14:paraId="297E59DF" w14:textId="77777777" w:rsidR="002A1E45" w:rsidRPr="006C3284" w:rsidRDefault="002A1E45" w:rsidP="00FF2634">
      <w:pPr>
        <w:pStyle w:val="paragraphsub"/>
        <w:numPr>
          <w:ilvl w:val="0"/>
          <w:numId w:val="18"/>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director or secretary of the body; or</w:t>
      </w:r>
    </w:p>
    <w:p w14:paraId="6F4A7E6D" w14:textId="77777777" w:rsidR="002A1E45" w:rsidRPr="006C3284" w:rsidRDefault="002A1E45" w:rsidP="00FF2634">
      <w:pPr>
        <w:pStyle w:val="paragraphsub"/>
        <w:numPr>
          <w:ilvl w:val="0"/>
          <w:numId w:val="18"/>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related body corporate; or</w:t>
      </w:r>
    </w:p>
    <w:p w14:paraId="17E10134" w14:textId="77777777" w:rsidR="002A1E45" w:rsidRPr="006C3284" w:rsidRDefault="002A1E45" w:rsidP="00FF2634">
      <w:pPr>
        <w:pStyle w:val="paragraphsub"/>
        <w:numPr>
          <w:ilvl w:val="0"/>
          <w:numId w:val="18"/>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director or secretary of a related body corporate; or</w:t>
      </w:r>
    </w:p>
    <w:p w14:paraId="2DF7E70E" w14:textId="77777777" w:rsidR="002A1E45" w:rsidRPr="006C3284" w:rsidRDefault="002A1E45" w:rsidP="00FF2634">
      <w:pPr>
        <w:pStyle w:val="paragraphsub"/>
        <w:numPr>
          <w:ilvl w:val="0"/>
          <w:numId w:val="18"/>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an individual who controls at least 15% of the voting power or holds at least 15% of the issued shares in the body; or</w:t>
      </w:r>
    </w:p>
    <w:p w14:paraId="1A67E2A6" w14:textId="77777777" w:rsidR="002A1E45" w:rsidRPr="006C3284" w:rsidRDefault="002A1E45" w:rsidP="00FF2634">
      <w:pPr>
        <w:pStyle w:val="paragraph"/>
        <w:numPr>
          <w:ilvl w:val="0"/>
          <w:numId w:val="10"/>
        </w:numPr>
        <w:shd w:val="clear" w:color="auto" w:fill="FFFFFF"/>
        <w:spacing w:before="40" w:beforeAutospacing="0" w:after="0" w:afterAutospacing="0"/>
        <w:ind w:left="567" w:hanging="567"/>
        <w:rPr>
          <w:rFonts w:asciiTheme="minorHAnsi" w:hAnsiTheme="minorHAnsi" w:cstheme="minorHAnsi"/>
          <w:color w:val="000000"/>
          <w:szCs w:val="22"/>
        </w:rPr>
      </w:pPr>
      <w:r w:rsidRPr="006C3284">
        <w:rPr>
          <w:rFonts w:asciiTheme="minorHAnsi" w:hAnsiTheme="minorHAnsi" w:cstheme="minorHAnsi"/>
          <w:color w:val="000000"/>
          <w:szCs w:val="22"/>
        </w:rPr>
        <w:t>in relation to a person that is an individual:</w:t>
      </w:r>
    </w:p>
    <w:p w14:paraId="1E6EB6A0" w14:textId="77777777" w:rsidR="002A1E45" w:rsidRPr="006C3284" w:rsidRDefault="002A1E45" w:rsidP="00FF2634">
      <w:pPr>
        <w:pStyle w:val="paragraphsub"/>
        <w:numPr>
          <w:ilvl w:val="0"/>
          <w:numId w:val="16"/>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the individual’s spouse; or</w:t>
      </w:r>
    </w:p>
    <w:p w14:paraId="1860D412" w14:textId="77777777" w:rsidR="002A1E45" w:rsidRPr="006C3284" w:rsidRDefault="002A1E45" w:rsidP="00FF2634">
      <w:pPr>
        <w:pStyle w:val="paragraphsub"/>
        <w:numPr>
          <w:ilvl w:val="0"/>
          <w:numId w:val="16"/>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the individual’s de facto partner within the meaning of the </w:t>
      </w:r>
      <w:r w:rsidRPr="006C3284">
        <w:rPr>
          <w:rFonts w:asciiTheme="minorHAnsi" w:hAnsiTheme="minorHAnsi" w:cstheme="minorHAnsi"/>
          <w:i/>
          <w:iCs/>
          <w:color w:val="000000"/>
          <w:szCs w:val="22"/>
        </w:rPr>
        <w:t>Acts Interpretation Act 1901</w:t>
      </w:r>
      <w:r w:rsidRPr="006C3284">
        <w:rPr>
          <w:rFonts w:asciiTheme="minorHAnsi" w:hAnsiTheme="minorHAnsi" w:cstheme="minorHAnsi"/>
          <w:color w:val="000000"/>
          <w:szCs w:val="22"/>
        </w:rPr>
        <w:t>; or</w:t>
      </w:r>
    </w:p>
    <w:p w14:paraId="55B47601" w14:textId="77777777" w:rsidR="002A1E45" w:rsidRPr="006C3284" w:rsidRDefault="002A1E45" w:rsidP="00FF2634">
      <w:pPr>
        <w:pStyle w:val="paragraphsub"/>
        <w:numPr>
          <w:ilvl w:val="0"/>
          <w:numId w:val="16"/>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body corporate in which the individual controls at least 15% of the voting power or holds at least 15% of the issued shares; or</w:t>
      </w:r>
    </w:p>
    <w:p w14:paraId="071FD870" w14:textId="77777777" w:rsidR="002A1E45" w:rsidRPr="006C3284" w:rsidRDefault="002A1E45" w:rsidP="00FF2634">
      <w:pPr>
        <w:pStyle w:val="paragraphsub"/>
        <w:numPr>
          <w:ilvl w:val="0"/>
          <w:numId w:val="16"/>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body corporate of which the individual is a director or secretary; or</w:t>
      </w:r>
    </w:p>
    <w:p w14:paraId="6BBEEC85" w14:textId="77777777" w:rsidR="002A1E45" w:rsidRPr="006C3284" w:rsidRDefault="002A1E45" w:rsidP="00FF2634">
      <w:pPr>
        <w:pStyle w:val="paragraphsub"/>
        <w:numPr>
          <w:ilvl w:val="0"/>
          <w:numId w:val="16"/>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lastRenderedPageBreak/>
        <w:t>a body corporate that is a related body corporate in relation to a body corporate of which the individual is a director or secretary; or</w:t>
      </w:r>
    </w:p>
    <w:p w14:paraId="16848E20" w14:textId="77777777" w:rsidR="002A1E45" w:rsidRPr="006C3284" w:rsidRDefault="002A1E45" w:rsidP="00FF2634">
      <w:pPr>
        <w:pStyle w:val="paragraph"/>
        <w:numPr>
          <w:ilvl w:val="0"/>
          <w:numId w:val="10"/>
        </w:numPr>
        <w:shd w:val="clear" w:color="auto" w:fill="FFFFFF"/>
        <w:spacing w:before="40" w:beforeAutospacing="0" w:after="0" w:afterAutospacing="0"/>
        <w:ind w:left="567" w:hanging="567"/>
        <w:rPr>
          <w:rFonts w:asciiTheme="minorHAnsi" w:hAnsiTheme="minorHAnsi" w:cstheme="minorHAnsi"/>
          <w:color w:val="000000"/>
          <w:szCs w:val="22"/>
        </w:rPr>
      </w:pPr>
      <w:r w:rsidRPr="006C3284">
        <w:rPr>
          <w:rFonts w:asciiTheme="minorHAnsi" w:hAnsiTheme="minorHAnsi" w:cstheme="minorHAnsi"/>
          <w:color w:val="000000"/>
          <w:szCs w:val="22"/>
        </w:rPr>
        <w:t>in relation to any person (the ‘</w:t>
      </w:r>
      <w:r w:rsidRPr="006C3284">
        <w:rPr>
          <w:rFonts w:asciiTheme="minorHAnsi" w:hAnsiTheme="minorHAnsi" w:cstheme="minorHAnsi"/>
          <w:bCs/>
          <w:iCs/>
          <w:color w:val="000000"/>
          <w:szCs w:val="22"/>
        </w:rPr>
        <w:t>first person’</w:t>
      </w:r>
      <w:r w:rsidRPr="006C3284">
        <w:rPr>
          <w:rFonts w:asciiTheme="minorHAnsi" w:hAnsiTheme="minorHAnsi" w:cstheme="minorHAnsi"/>
          <w:color w:val="000000"/>
          <w:szCs w:val="22"/>
        </w:rPr>
        <w:t>)—any other person (other than the Commonwealth when represented by the ACMA) who is party to a relevant agreement with the first person that either or both:</w:t>
      </w:r>
    </w:p>
    <w:p w14:paraId="764D1300" w14:textId="77777777" w:rsidR="002A1E45" w:rsidRPr="006C3284" w:rsidRDefault="002A1E45" w:rsidP="00FF2634">
      <w:pPr>
        <w:pStyle w:val="paragraphsub"/>
        <w:numPr>
          <w:ilvl w:val="0"/>
          <w:numId w:val="14"/>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is for the use by one party to the agreement of spectrum licensed to another party to the agreement under a spectrum licence for a part of the spectrum referred to in the re-allocation declaration;</w:t>
      </w:r>
    </w:p>
    <w:p w14:paraId="05DEDBBE" w14:textId="77777777" w:rsidR="002A1E45" w:rsidRPr="006C3284" w:rsidRDefault="002A1E45" w:rsidP="00FF2634">
      <w:pPr>
        <w:pStyle w:val="paragraphsub"/>
        <w:numPr>
          <w:ilvl w:val="0"/>
          <w:numId w:val="14"/>
        </w:numPr>
        <w:shd w:val="clear" w:color="auto" w:fill="FFFFFF"/>
        <w:spacing w:before="40" w:beforeAutospacing="0" w:after="240" w:afterAutospacing="0"/>
        <w:ind w:left="1134" w:hanging="567"/>
        <w:rPr>
          <w:rFonts w:asciiTheme="minorHAnsi" w:hAnsiTheme="minorHAnsi" w:cstheme="minorHAnsi"/>
          <w:color w:val="000000"/>
          <w:szCs w:val="22"/>
        </w:rPr>
      </w:pPr>
      <w:proofErr w:type="gramStart"/>
      <w:r w:rsidRPr="006C3284">
        <w:rPr>
          <w:rFonts w:asciiTheme="minorHAnsi" w:hAnsiTheme="minorHAnsi" w:cstheme="minorHAnsi"/>
          <w:color w:val="000000"/>
          <w:szCs w:val="22"/>
        </w:rPr>
        <w:t>relates</w:t>
      </w:r>
      <w:proofErr w:type="gramEnd"/>
      <w:r w:rsidRPr="006C3284">
        <w:rPr>
          <w:rFonts w:asciiTheme="minorHAnsi" w:hAnsiTheme="minorHAnsi" w:cstheme="minorHAnsi"/>
          <w:color w:val="000000"/>
          <w:szCs w:val="22"/>
        </w:rPr>
        <w:t xml:space="preserve"> to the acquisition of a spectrum licence for a part of the spectrum referred to in the re-allocation declaration.</w:t>
      </w:r>
    </w:p>
    <w:p w14:paraId="16DD3517" w14:textId="55B24664" w:rsidR="001E4A23" w:rsidRPr="006C3284" w:rsidRDefault="002A1E45" w:rsidP="002A1E4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The term ‘associate’ is used in the definition of ‘relevant group of persons’</w:t>
      </w:r>
      <w:r w:rsidR="00C33C1B" w:rsidRPr="006C3284">
        <w:rPr>
          <w:rFonts w:asciiTheme="minorHAnsi" w:hAnsiTheme="minorHAnsi" w:cstheme="minorHAnsi"/>
          <w:color w:val="000000"/>
          <w:szCs w:val="22"/>
        </w:rPr>
        <w:t xml:space="preserve"> and ‘relevant associate’</w:t>
      </w:r>
      <w:r w:rsidR="00FF2634">
        <w:rPr>
          <w:rFonts w:asciiTheme="minorHAnsi" w:hAnsiTheme="minorHAnsi" w:cstheme="minorHAnsi"/>
          <w:color w:val="000000"/>
          <w:szCs w:val="22"/>
        </w:rPr>
        <w:t>.</w:t>
      </w:r>
    </w:p>
    <w:p w14:paraId="2623B65C" w14:textId="2A8E41AA" w:rsidR="001E4A23" w:rsidRPr="006C3284" w:rsidRDefault="00C33C1B" w:rsidP="002A1E4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In the definition of ‘relevant group of persons’, t</w:t>
      </w:r>
      <w:r w:rsidR="002A1E45" w:rsidRPr="006C3284">
        <w:rPr>
          <w:rFonts w:asciiTheme="minorHAnsi" w:hAnsiTheme="minorHAnsi" w:cstheme="minorHAnsi"/>
          <w:color w:val="000000"/>
          <w:szCs w:val="22"/>
        </w:rPr>
        <w:t>he primary purpose of the definition is to ensure that a person cannot seek to circumvent the effect of allocation limits by having another person or body they have a close connection to, a high degree of control or influence over, or a commercial agreement dealing with spectrum licensing with, apply for a spectrum licence on their behalf in order to circumvent the allocation limits.</w:t>
      </w:r>
      <w:r w:rsidRPr="006C3284">
        <w:rPr>
          <w:rFonts w:asciiTheme="minorHAnsi" w:hAnsiTheme="minorHAnsi" w:cstheme="minorHAnsi"/>
          <w:color w:val="000000"/>
          <w:szCs w:val="22"/>
        </w:rPr>
        <w:t xml:space="preserve">  </w:t>
      </w:r>
    </w:p>
    <w:p w14:paraId="5835DBC8" w14:textId="743A52BE" w:rsidR="002A1E45" w:rsidRPr="006C3284" w:rsidRDefault="00C33C1B" w:rsidP="002A1E4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 xml:space="preserve">In the definition of ‘relevant associate’, which is used in the set aside limits for Optus and TPG, the term is construed more narrowly. A </w:t>
      </w:r>
      <w:r w:rsidR="001E4A23" w:rsidRPr="006C3284">
        <w:rPr>
          <w:rFonts w:asciiTheme="minorHAnsi" w:hAnsiTheme="minorHAnsi" w:cstheme="minorHAnsi"/>
          <w:color w:val="000000"/>
          <w:szCs w:val="22"/>
        </w:rPr>
        <w:t>‘</w:t>
      </w:r>
      <w:r w:rsidRPr="006C3284">
        <w:rPr>
          <w:rFonts w:asciiTheme="minorHAnsi" w:hAnsiTheme="minorHAnsi" w:cstheme="minorHAnsi"/>
          <w:color w:val="000000"/>
          <w:szCs w:val="22"/>
        </w:rPr>
        <w:t>relevant associate</w:t>
      </w:r>
      <w:r w:rsidR="001E4A23" w:rsidRPr="006C3284">
        <w:rPr>
          <w:rFonts w:asciiTheme="minorHAnsi" w:hAnsiTheme="minorHAnsi" w:cstheme="minorHAnsi"/>
          <w:color w:val="000000"/>
          <w:szCs w:val="22"/>
        </w:rPr>
        <w:t>’</w:t>
      </w:r>
      <w:r w:rsidRPr="006C3284">
        <w:rPr>
          <w:rFonts w:asciiTheme="minorHAnsi" w:hAnsiTheme="minorHAnsi" w:cstheme="minorHAnsi"/>
          <w:color w:val="000000"/>
          <w:szCs w:val="22"/>
        </w:rPr>
        <w:t xml:space="preserve"> means a person who is an associate of a body corporate because they are a related body corporate, or because they are party to a commercial agreement dealing with spectrum licensing.</w:t>
      </w:r>
    </w:p>
    <w:p w14:paraId="46C0B731" w14:textId="11B27BD9"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t>carrier</w:t>
      </w:r>
      <w:proofErr w:type="gramEnd"/>
      <w:r w:rsidRPr="006C3284">
        <w:rPr>
          <w:rFonts w:asciiTheme="minorHAnsi" w:hAnsiTheme="minorHAnsi" w:cstheme="minorHAnsi"/>
          <w:color w:val="000000"/>
          <w:szCs w:val="22"/>
        </w:rPr>
        <w:t xml:space="preserve"> is defined to have the same meaning as in the </w:t>
      </w:r>
      <w:r w:rsidRPr="006C3284">
        <w:rPr>
          <w:rFonts w:asciiTheme="minorHAnsi" w:hAnsiTheme="minorHAnsi" w:cstheme="minorHAnsi"/>
          <w:i/>
          <w:color w:val="000000"/>
          <w:szCs w:val="22"/>
        </w:rPr>
        <w:t>Telecommunications Act 1997</w:t>
      </w:r>
      <w:r w:rsidRPr="006C3284">
        <w:rPr>
          <w:rFonts w:asciiTheme="minorHAnsi" w:hAnsiTheme="minorHAnsi" w:cstheme="minorHAnsi"/>
          <w:color w:val="000000"/>
          <w:szCs w:val="22"/>
        </w:rPr>
        <w:t>.</w:t>
      </w:r>
    </w:p>
    <w:p w14:paraId="7BB62DC4" w14:textId="77777777" w:rsidR="001B30C9" w:rsidRPr="006C3284" w:rsidRDefault="001B30C9" w:rsidP="001B30C9">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t>designated</w:t>
      </w:r>
      <w:proofErr w:type="gramEnd"/>
      <w:r w:rsidRPr="006C3284">
        <w:rPr>
          <w:rFonts w:asciiTheme="minorHAnsi" w:hAnsiTheme="minorHAnsi" w:cstheme="minorHAnsi"/>
          <w:b/>
          <w:i/>
          <w:color w:val="000000"/>
          <w:szCs w:val="22"/>
        </w:rPr>
        <w:t xml:space="preserve"> area</w:t>
      </w:r>
      <w:r w:rsidRPr="006C3284">
        <w:rPr>
          <w:rFonts w:asciiTheme="minorHAnsi" w:hAnsiTheme="minorHAnsi" w:cstheme="minorHAnsi"/>
          <w:color w:val="000000"/>
          <w:szCs w:val="22"/>
        </w:rPr>
        <w:t xml:space="preserve"> is defined to mean the named area listed in item 1 of the table in subsection 5(4) of the re-allocation declaration.</w:t>
      </w:r>
    </w:p>
    <w:p w14:paraId="744DCEC0" w14:textId="59AFCB60" w:rsidR="002A1E45"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b/>
          <w:i/>
          <w:color w:val="000000"/>
          <w:szCs w:val="22"/>
        </w:rPr>
      </w:pPr>
      <w:proofErr w:type="gramStart"/>
      <w:r w:rsidRPr="006C3284">
        <w:rPr>
          <w:rFonts w:asciiTheme="minorHAnsi" w:hAnsiTheme="minorHAnsi" w:cstheme="minorHAnsi"/>
          <w:b/>
          <w:i/>
          <w:color w:val="000000"/>
          <w:szCs w:val="22"/>
        </w:rPr>
        <w:t>marketing</w:t>
      </w:r>
      <w:proofErr w:type="gramEnd"/>
      <w:r w:rsidRPr="006C3284">
        <w:rPr>
          <w:rFonts w:asciiTheme="minorHAnsi" w:hAnsiTheme="minorHAnsi" w:cstheme="minorHAnsi"/>
          <w:b/>
          <w:i/>
          <w:color w:val="000000"/>
          <w:szCs w:val="22"/>
        </w:rPr>
        <w:t xml:space="preserve"> plan </w:t>
      </w:r>
      <w:r w:rsidRPr="006C3284">
        <w:rPr>
          <w:rFonts w:asciiTheme="minorHAnsi" w:hAnsiTheme="minorHAnsi" w:cstheme="minorHAnsi"/>
          <w:color w:val="000000"/>
          <w:szCs w:val="22"/>
        </w:rPr>
        <w:t>is defined to mean the marketing plan made by ACMA for section 39A of the Act in relation to the 850/900 MHz band</w:t>
      </w:r>
      <w:r w:rsidR="0008020A" w:rsidRPr="006C3284">
        <w:rPr>
          <w:rFonts w:asciiTheme="minorHAnsi" w:hAnsiTheme="minorHAnsi" w:cstheme="minorHAnsi"/>
          <w:color w:val="000000"/>
          <w:szCs w:val="22"/>
        </w:rPr>
        <w:t xml:space="preserve">, as in force </w:t>
      </w:r>
      <w:r w:rsidR="006E33C5" w:rsidRPr="006C3284">
        <w:rPr>
          <w:rFonts w:asciiTheme="minorHAnsi" w:hAnsiTheme="minorHAnsi" w:cstheme="minorHAnsi"/>
          <w:color w:val="000000"/>
          <w:szCs w:val="22"/>
        </w:rPr>
        <w:t>on its commencement.</w:t>
      </w:r>
      <w:r w:rsidR="008622AE" w:rsidRPr="006C3284">
        <w:rPr>
          <w:rFonts w:asciiTheme="minorHAnsi" w:hAnsiTheme="minorHAnsi" w:cstheme="minorHAnsi"/>
          <w:color w:val="000000"/>
          <w:szCs w:val="22"/>
        </w:rPr>
        <w:t xml:space="preserve"> The marketing plan will be published on ACMA’s website</w:t>
      </w:r>
      <w:r w:rsidR="00C95EFF" w:rsidRPr="006C3284">
        <w:rPr>
          <w:rFonts w:asciiTheme="minorHAnsi" w:hAnsiTheme="minorHAnsi" w:cstheme="minorHAnsi"/>
          <w:color w:val="000000"/>
          <w:szCs w:val="22"/>
        </w:rPr>
        <w:t>, www.acma.gov.au,</w:t>
      </w:r>
      <w:r w:rsidR="008622AE" w:rsidRPr="006C3284">
        <w:rPr>
          <w:rFonts w:asciiTheme="minorHAnsi" w:hAnsiTheme="minorHAnsi" w:cstheme="minorHAnsi"/>
          <w:color w:val="000000"/>
          <w:szCs w:val="22"/>
        </w:rPr>
        <w:t xml:space="preserve"> when finalised.</w:t>
      </w:r>
    </w:p>
    <w:p w14:paraId="1A58F144" w14:textId="31F3CAA5" w:rsidR="001B6B98" w:rsidRPr="006C3284" w:rsidRDefault="001B6B98"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t>metropolitan</w:t>
      </w:r>
      <w:proofErr w:type="gramEnd"/>
      <w:r w:rsidRPr="006C3284">
        <w:rPr>
          <w:rFonts w:asciiTheme="minorHAnsi" w:hAnsiTheme="minorHAnsi" w:cstheme="minorHAnsi"/>
          <w:b/>
          <w:i/>
          <w:color w:val="000000"/>
          <w:szCs w:val="22"/>
        </w:rPr>
        <w:t xml:space="preserve"> area </w:t>
      </w:r>
      <w:r w:rsidRPr="006C3284">
        <w:rPr>
          <w:rFonts w:asciiTheme="minorHAnsi" w:hAnsiTheme="minorHAnsi" w:cstheme="minorHAnsi"/>
          <w:color w:val="000000"/>
          <w:szCs w:val="22"/>
        </w:rPr>
        <w:t xml:space="preserve">is defined to mean the area that is identified by ACMA as the metropolitan area in the marketing plan, the boundaries of which are identified in the marketing plan. </w:t>
      </w:r>
      <w:r w:rsidR="0008020A" w:rsidRPr="006C3284">
        <w:rPr>
          <w:rFonts w:asciiTheme="minorHAnsi" w:hAnsiTheme="minorHAnsi" w:cstheme="minorHAnsi"/>
          <w:color w:val="000000"/>
          <w:szCs w:val="22"/>
        </w:rPr>
        <w:t xml:space="preserve">The note explains that the term </w:t>
      </w:r>
      <w:r w:rsidR="0008020A" w:rsidRPr="006C3284">
        <w:rPr>
          <w:rFonts w:asciiTheme="minorHAnsi" w:hAnsiTheme="minorHAnsi" w:cstheme="minorHAnsi"/>
          <w:b/>
          <w:i/>
          <w:color w:val="000000"/>
          <w:szCs w:val="22"/>
        </w:rPr>
        <w:t xml:space="preserve">metropolitan area </w:t>
      </w:r>
      <w:r w:rsidR="0008020A" w:rsidRPr="006C3284">
        <w:rPr>
          <w:rFonts w:asciiTheme="minorHAnsi" w:hAnsiTheme="minorHAnsi" w:cstheme="minorHAnsi"/>
          <w:color w:val="000000"/>
          <w:szCs w:val="22"/>
        </w:rPr>
        <w:t>will be a single area identified by ACMA in the marketing plan and will include geographic areas generally corresponding to the metropolitan areas of Adelaide, Brisbane, Canberra/Sydney, Melbourne and Perth.</w:t>
      </w:r>
    </w:p>
    <w:p w14:paraId="4F9BD0B2" w14:textId="35A51D11"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b/>
          <w:i/>
          <w:color w:val="000000"/>
          <w:szCs w:val="22"/>
        </w:rPr>
        <w:t>Optus</w:t>
      </w:r>
      <w:r w:rsidRPr="006C3284">
        <w:rPr>
          <w:rFonts w:asciiTheme="minorHAnsi" w:hAnsiTheme="minorHAnsi" w:cstheme="minorHAnsi"/>
          <w:color w:val="000000"/>
          <w:szCs w:val="22"/>
        </w:rPr>
        <w:t xml:space="preserve"> is defined to mean Optus Mobile Pty Limited (ACN 054 365 696).</w:t>
      </w:r>
    </w:p>
    <w:p w14:paraId="27A21FA5"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lastRenderedPageBreak/>
        <w:t>public</w:t>
      </w:r>
      <w:proofErr w:type="gramEnd"/>
      <w:r w:rsidRPr="006C3284">
        <w:rPr>
          <w:rFonts w:asciiTheme="minorHAnsi" w:hAnsiTheme="minorHAnsi" w:cstheme="minorHAnsi"/>
          <w:b/>
          <w:i/>
          <w:color w:val="000000"/>
          <w:szCs w:val="22"/>
        </w:rPr>
        <w:t xml:space="preserve"> mobile telecommunications service</w:t>
      </w:r>
      <w:r w:rsidRPr="006C3284">
        <w:rPr>
          <w:rFonts w:asciiTheme="minorHAnsi" w:hAnsiTheme="minorHAnsi" w:cstheme="minorHAnsi"/>
          <w:color w:val="000000"/>
          <w:szCs w:val="22"/>
        </w:rPr>
        <w:t xml:space="preserve"> is defined to have the same meaning as in the </w:t>
      </w:r>
      <w:r w:rsidRPr="006C3284">
        <w:rPr>
          <w:rFonts w:asciiTheme="minorHAnsi" w:hAnsiTheme="minorHAnsi" w:cstheme="minorHAnsi"/>
          <w:i/>
          <w:color w:val="000000"/>
          <w:szCs w:val="22"/>
        </w:rPr>
        <w:t>Telecommunications Act 1997</w:t>
      </w:r>
      <w:r w:rsidRPr="006C3284">
        <w:rPr>
          <w:rFonts w:asciiTheme="minorHAnsi" w:hAnsiTheme="minorHAnsi" w:cstheme="minorHAnsi"/>
          <w:color w:val="000000"/>
          <w:szCs w:val="22"/>
        </w:rPr>
        <w:t>. This term is used in the definitions of relevant agreement and roaming services agreement.</w:t>
      </w:r>
    </w:p>
    <w:p w14:paraId="53C1B598" w14:textId="02340D6E" w:rsidR="002A1E45"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b/>
          <w:i/>
          <w:color w:val="000000"/>
          <w:szCs w:val="22"/>
        </w:rPr>
      </w:pPr>
      <w:proofErr w:type="gramStart"/>
      <w:r w:rsidRPr="006C3284">
        <w:rPr>
          <w:rFonts w:asciiTheme="minorHAnsi" w:hAnsiTheme="minorHAnsi" w:cstheme="minorHAnsi"/>
          <w:b/>
          <w:i/>
          <w:color w:val="000000"/>
          <w:szCs w:val="22"/>
        </w:rPr>
        <w:t>re-allocation</w:t>
      </w:r>
      <w:proofErr w:type="gramEnd"/>
      <w:r w:rsidRPr="006C3284">
        <w:rPr>
          <w:rFonts w:asciiTheme="minorHAnsi" w:hAnsiTheme="minorHAnsi" w:cstheme="minorHAnsi"/>
          <w:b/>
          <w:i/>
          <w:color w:val="000000"/>
          <w:szCs w:val="22"/>
        </w:rPr>
        <w:t xml:space="preserve"> declaration </w:t>
      </w:r>
      <w:r w:rsidRPr="006C3284">
        <w:rPr>
          <w:rFonts w:asciiTheme="minorHAnsi" w:hAnsiTheme="minorHAnsi" w:cstheme="minorHAnsi"/>
          <w:color w:val="000000"/>
          <w:szCs w:val="22"/>
        </w:rPr>
        <w:t xml:space="preserve">is defined to mean the </w:t>
      </w:r>
      <w:r w:rsidRPr="006C3284">
        <w:rPr>
          <w:rFonts w:asciiTheme="minorHAnsi" w:hAnsiTheme="minorHAnsi" w:cstheme="minorHAnsi"/>
          <w:i/>
        </w:rPr>
        <w:t>Radiocommunications (Spectrum Re</w:t>
      </w:r>
      <w:r w:rsidRPr="006C3284">
        <w:rPr>
          <w:rFonts w:asciiTheme="minorHAnsi" w:hAnsiTheme="minorHAnsi" w:cstheme="minorHAnsi"/>
          <w:i/>
        </w:rPr>
        <w:noBreakHyphen/>
        <w:t>allocation—850/900 MHz Band) Declaration 2020.</w:t>
      </w:r>
    </w:p>
    <w:p w14:paraId="234E97B4" w14:textId="70B1DA0E" w:rsidR="002A1E45"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b/>
          <w:i/>
          <w:color w:val="000000"/>
          <w:szCs w:val="22"/>
        </w:rPr>
      </w:pPr>
      <w:r w:rsidRPr="006C3284">
        <w:rPr>
          <w:rFonts w:asciiTheme="minorHAnsi" w:hAnsiTheme="minorHAnsi" w:cstheme="minorHAnsi"/>
          <w:b/>
          <w:i/>
          <w:color w:val="000000"/>
          <w:szCs w:val="22"/>
        </w:rPr>
        <w:t xml:space="preserve">regional area </w:t>
      </w:r>
      <w:r w:rsidRPr="006C3284">
        <w:rPr>
          <w:rFonts w:asciiTheme="minorHAnsi" w:hAnsiTheme="minorHAnsi" w:cstheme="minorHAnsi"/>
          <w:color w:val="000000"/>
          <w:szCs w:val="22"/>
        </w:rPr>
        <w:t xml:space="preserve">is defined to mean </w:t>
      </w:r>
      <w:r w:rsidR="001B30C9" w:rsidRPr="006C3284">
        <w:rPr>
          <w:rFonts w:asciiTheme="minorHAnsi" w:hAnsiTheme="minorHAnsi" w:cstheme="minorHAnsi"/>
          <w:color w:val="000000"/>
          <w:szCs w:val="22"/>
        </w:rPr>
        <w:t>the</w:t>
      </w:r>
      <w:r w:rsidRPr="006C3284">
        <w:rPr>
          <w:rFonts w:asciiTheme="minorHAnsi" w:hAnsiTheme="minorHAnsi" w:cstheme="minorHAnsi"/>
          <w:color w:val="000000"/>
          <w:szCs w:val="22"/>
        </w:rPr>
        <w:t xml:space="preserve"> area that is not</w:t>
      </w:r>
      <w:r w:rsidR="001B30C9" w:rsidRPr="006C3284">
        <w:rPr>
          <w:rFonts w:asciiTheme="minorHAnsi" w:hAnsiTheme="minorHAnsi" w:cstheme="minorHAnsi"/>
          <w:color w:val="000000"/>
          <w:szCs w:val="22"/>
        </w:rPr>
        <w:t>, and does not overlap with, the</w:t>
      </w:r>
      <w:r w:rsidRPr="006C3284">
        <w:rPr>
          <w:rFonts w:asciiTheme="minorHAnsi" w:hAnsiTheme="minorHAnsi" w:cstheme="minorHAnsi"/>
          <w:color w:val="000000"/>
          <w:szCs w:val="22"/>
        </w:rPr>
        <w:t xml:space="preserve">  metropolitan area, </w:t>
      </w:r>
      <w:r w:rsidR="001B30C9" w:rsidRPr="006C3284">
        <w:rPr>
          <w:rFonts w:asciiTheme="minorHAnsi" w:hAnsiTheme="minorHAnsi" w:cstheme="minorHAnsi"/>
          <w:color w:val="000000"/>
          <w:szCs w:val="22"/>
        </w:rPr>
        <w:t xml:space="preserve">is </w:t>
      </w:r>
      <w:r w:rsidRPr="006C3284">
        <w:rPr>
          <w:rFonts w:asciiTheme="minorHAnsi" w:hAnsiTheme="minorHAnsi" w:cstheme="minorHAnsi"/>
          <w:color w:val="000000"/>
          <w:szCs w:val="22"/>
        </w:rPr>
        <w:t xml:space="preserve">identified as </w:t>
      </w:r>
      <w:r w:rsidR="001B30C9" w:rsidRPr="006C3284">
        <w:rPr>
          <w:rFonts w:asciiTheme="minorHAnsi" w:hAnsiTheme="minorHAnsi" w:cstheme="minorHAnsi"/>
          <w:color w:val="000000"/>
          <w:szCs w:val="22"/>
        </w:rPr>
        <w:t>the</w:t>
      </w:r>
      <w:r w:rsidRPr="006C3284">
        <w:rPr>
          <w:rFonts w:asciiTheme="minorHAnsi" w:hAnsiTheme="minorHAnsi" w:cstheme="minorHAnsi"/>
          <w:color w:val="000000"/>
          <w:szCs w:val="22"/>
        </w:rPr>
        <w:t xml:space="preserve"> regional area in the marketing plan and the boundaries of which are defined in the marketing plan.</w:t>
      </w:r>
    </w:p>
    <w:p w14:paraId="11A4D4C3" w14:textId="21F3DC13"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t>related</w:t>
      </w:r>
      <w:proofErr w:type="gramEnd"/>
      <w:r w:rsidRPr="006C3284">
        <w:rPr>
          <w:rFonts w:asciiTheme="minorHAnsi" w:hAnsiTheme="minorHAnsi" w:cstheme="minorHAnsi"/>
          <w:b/>
          <w:i/>
          <w:color w:val="000000"/>
          <w:szCs w:val="22"/>
        </w:rPr>
        <w:t xml:space="preserve"> body corporate</w:t>
      </w:r>
      <w:r w:rsidRPr="006C3284">
        <w:rPr>
          <w:rFonts w:asciiTheme="minorHAnsi" w:hAnsiTheme="minorHAnsi" w:cstheme="minorHAnsi"/>
          <w:color w:val="000000"/>
          <w:szCs w:val="22"/>
        </w:rPr>
        <w:t xml:space="preserve"> is defined to have the same meaning as in the </w:t>
      </w:r>
      <w:r w:rsidRPr="006C3284">
        <w:rPr>
          <w:rFonts w:asciiTheme="minorHAnsi" w:hAnsiTheme="minorHAnsi" w:cstheme="minorHAnsi"/>
          <w:i/>
          <w:color w:val="000000"/>
          <w:szCs w:val="22"/>
        </w:rPr>
        <w:t>Corporations Act 2001</w:t>
      </w:r>
      <w:r w:rsidRPr="006C3284">
        <w:rPr>
          <w:rFonts w:asciiTheme="minorHAnsi" w:hAnsiTheme="minorHAnsi" w:cstheme="minorHAnsi"/>
          <w:color w:val="000000"/>
          <w:szCs w:val="22"/>
        </w:rPr>
        <w:t xml:space="preserve">. </w:t>
      </w:r>
    </w:p>
    <w:p w14:paraId="7B82EBD1"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proofErr w:type="gramStart"/>
      <w:r w:rsidRPr="006C3284">
        <w:rPr>
          <w:rFonts w:asciiTheme="minorHAnsi" w:hAnsiTheme="minorHAnsi" w:cstheme="minorHAnsi"/>
          <w:b/>
          <w:i/>
          <w:color w:val="000000"/>
          <w:szCs w:val="22"/>
        </w:rPr>
        <w:t>relevant</w:t>
      </w:r>
      <w:proofErr w:type="gramEnd"/>
      <w:r w:rsidRPr="006C3284">
        <w:rPr>
          <w:rFonts w:asciiTheme="minorHAnsi" w:hAnsiTheme="minorHAnsi" w:cstheme="minorHAnsi"/>
          <w:b/>
          <w:i/>
          <w:color w:val="000000"/>
          <w:szCs w:val="22"/>
        </w:rPr>
        <w:t xml:space="preserve"> agreement</w:t>
      </w:r>
      <w:r w:rsidRPr="006C3284">
        <w:rPr>
          <w:rFonts w:asciiTheme="minorHAnsi" w:hAnsiTheme="minorHAnsi" w:cstheme="minorHAnsi"/>
          <w:color w:val="000000"/>
          <w:szCs w:val="22"/>
        </w:rPr>
        <w:t xml:space="preserve"> is defined to mean an agreement, arrangement or understanding, </w:t>
      </w:r>
      <w:r w:rsidRPr="006C3284">
        <w:rPr>
          <w:rFonts w:asciiTheme="minorHAnsi" w:hAnsiTheme="minorHAnsi" w:cstheme="minorHAnsi"/>
          <w:color w:val="000000"/>
          <w:shd w:val="clear" w:color="auto" w:fill="FFFFFF"/>
        </w:rPr>
        <w:t>whether formal or informal (or a combination of the two), written or oral (or a combination of the two), and whether or not having legal or equitable force or based on legal or equitable rights. However, the definition excludes roaming services agreements or an agreement between carriers provided for by or under the </w:t>
      </w:r>
      <w:r w:rsidRPr="006C3284">
        <w:rPr>
          <w:rFonts w:asciiTheme="minorHAnsi" w:hAnsiTheme="minorHAnsi" w:cstheme="minorHAnsi"/>
          <w:i/>
          <w:iCs/>
          <w:color w:val="000000"/>
          <w:shd w:val="clear" w:color="auto" w:fill="FFFFFF"/>
        </w:rPr>
        <w:t>Telecommunications Act 1997</w:t>
      </w:r>
      <w:r w:rsidRPr="006C3284">
        <w:rPr>
          <w:rFonts w:asciiTheme="minorHAnsi" w:hAnsiTheme="minorHAnsi" w:cstheme="minorHAnsi"/>
          <w:color w:val="000000"/>
          <w:shd w:val="clear" w:color="auto" w:fill="FFFFFF"/>
        </w:rPr>
        <w:t> or Part XIC of the </w:t>
      </w:r>
      <w:r w:rsidRPr="006C3284">
        <w:rPr>
          <w:rFonts w:asciiTheme="minorHAnsi" w:hAnsiTheme="minorHAnsi" w:cstheme="minorHAnsi"/>
          <w:i/>
          <w:iCs/>
          <w:color w:val="000000"/>
          <w:shd w:val="clear" w:color="auto" w:fill="FFFFFF"/>
        </w:rPr>
        <w:t>Competition and Consumer Act 2010</w:t>
      </w:r>
      <w:r w:rsidRPr="006C3284">
        <w:rPr>
          <w:rFonts w:asciiTheme="minorHAnsi" w:hAnsiTheme="minorHAnsi" w:cstheme="minorHAnsi"/>
          <w:color w:val="000000"/>
          <w:shd w:val="clear" w:color="auto" w:fill="FFFFFF"/>
        </w:rPr>
        <w:t>. The term relevant agreement is used in the definition of associate.</w:t>
      </w:r>
    </w:p>
    <w:p w14:paraId="3957F5A1" w14:textId="4859867F"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proofErr w:type="gramStart"/>
      <w:r w:rsidRPr="006C3284">
        <w:rPr>
          <w:rFonts w:asciiTheme="minorHAnsi" w:hAnsiTheme="minorHAnsi" w:cstheme="minorHAnsi"/>
          <w:b/>
          <w:i/>
          <w:color w:val="000000"/>
          <w:shd w:val="clear" w:color="auto" w:fill="FFFFFF"/>
        </w:rPr>
        <w:t>relevant</w:t>
      </w:r>
      <w:proofErr w:type="gramEnd"/>
      <w:r w:rsidRPr="006C3284">
        <w:rPr>
          <w:rFonts w:asciiTheme="minorHAnsi" w:hAnsiTheme="minorHAnsi" w:cstheme="minorHAnsi"/>
          <w:b/>
          <w:i/>
          <w:color w:val="000000"/>
          <w:shd w:val="clear" w:color="auto" w:fill="FFFFFF"/>
        </w:rPr>
        <w:t xml:space="preserve"> associate</w:t>
      </w:r>
      <w:r w:rsidRPr="006C3284">
        <w:rPr>
          <w:rFonts w:asciiTheme="minorHAnsi" w:hAnsiTheme="minorHAnsi" w:cstheme="minorHAnsi"/>
          <w:color w:val="000000"/>
          <w:shd w:val="clear" w:color="auto" w:fill="FFFFFF"/>
        </w:rPr>
        <w:t xml:space="preserve"> is defined to mean, in relation to a person that is a body corporate (the </w:t>
      </w:r>
      <w:r w:rsidR="002A1E45" w:rsidRPr="006C3284">
        <w:rPr>
          <w:rFonts w:asciiTheme="minorHAnsi" w:hAnsiTheme="minorHAnsi" w:cstheme="minorHAnsi"/>
          <w:b/>
          <w:i/>
          <w:color w:val="000000"/>
          <w:shd w:val="clear" w:color="auto" w:fill="FFFFFF"/>
        </w:rPr>
        <w:t>first person</w:t>
      </w:r>
      <w:r w:rsidR="002A1E45" w:rsidRPr="006C3284">
        <w:rPr>
          <w:rFonts w:asciiTheme="minorHAnsi" w:hAnsiTheme="minorHAnsi" w:cstheme="minorHAnsi"/>
          <w:color w:val="000000"/>
          <w:shd w:val="clear" w:color="auto" w:fill="FFFFFF"/>
        </w:rPr>
        <w:t xml:space="preserve">), a person who is an associate of the first person because of subparagraph (a)(ii) or paragraph (c) of the definition of </w:t>
      </w:r>
      <w:r w:rsidR="002A1E45" w:rsidRPr="006C3284">
        <w:rPr>
          <w:rFonts w:asciiTheme="minorHAnsi" w:hAnsiTheme="minorHAnsi" w:cstheme="minorHAnsi"/>
          <w:b/>
          <w:i/>
          <w:color w:val="000000"/>
          <w:shd w:val="clear" w:color="auto" w:fill="FFFFFF"/>
        </w:rPr>
        <w:t>associate</w:t>
      </w:r>
      <w:r w:rsidR="002A1E45" w:rsidRPr="006C3284">
        <w:rPr>
          <w:rFonts w:asciiTheme="minorHAnsi" w:hAnsiTheme="minorHAnsi" w:cstheme="minorHAnsi"/>
          <w:color w:val="000000"/>
          <w:shd w:val="clear" w:color="auto" w:fill="FFFFFF"/>
        </w:rPr>
        <w:t>.</w:t>
      </w:r>
    </w:p>
    <w:p w14:paraId="7E76E179"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proofErr w:type="gramStart"/>
      <w:r w:rsidRPr="006C3284">
        <w:rPr>
          <w:rFonts w:asciiTheme="minorHAnsi" w:hAnsiTheme="minorHAnsi" w:cstheme="minorHAnsi"/>
          <w:b/>
          <w:i/>
          <w:color w:val="000000"/>
          <w:shd w:val="clear" w:color="auto" w:fill="FFFFFF"/>
        </w:rPr>
        <w:t>relevant</w:t>
      </w:r>
      <w:proofErr w:type="gramEnd"/>
      <w:r w:rsidRPr="006C3284">
        <w:rPr>
          <w:rFonts w:asciiTheme="minorHAnsi" w:hAnsiTheme="minorHAnsi" w:cstheme="minorHAnsi"/>
          <w:b/>
          <w:i/>
          <w:color w:val="000000"/>
          <w:shd w:val="clear" w:color="auto" w:fill="FFFFFF"/>
        </w:rPr>
        <w:t xml:space="preserve"> bands</w:t>
      </w:r>
      <w:r w:rsidRPr="006C3284">
        <w:rPr>
          <w:rFonts w:asciiTheme="minorHAnsi" w:hAnsiTheme="minorHAnsi" w:cstheme="minorHAnsi"/>
          <w:color w:val="000000"/>
          <w:shd w:val="clear" w:color="auto" w:fill="FFFFFF"/>
        </w:rPr>
        <w:t xml:space="preserve"> is defined to mean the parts of the spectrum in the designated area from 895 to 915 MHz and 940 to 960 </w:t>
      </w:r>
      <w:proofErr w:type="spellStart"/>
      <w:r w:rsidRPr="006C3284">
        <w:rPr>
          <w:rFonts w:asciiTheme="minorHAnsi" w:hAnsiTheme="minorHAnsi" w:cstheme="minorHAnsi"/>
          <w:color w:val="000000"/>
          <w:shd w:val="clear" w:color="auto" w:fill="FFFFFF"/>
        </w:rPr>
        <w:t>MHz.</w:t>
      </w:r>
      <w:proofErr w:type="spellEnd"/>
      <w:r w:rsidRPr="006C3284">
        <w:rPr>
          <w:rFonts w:asciiTheme="minorHAnsi" w:hAnsiTheme="minorHAnsi" w:cstheme="minorHAnsi"/>
          <w:color w:val="000000"/>
          <w:shd w:val="clear" w:color="auto" w:fill="FFFFFF"/>
        </w:rPr>
        <w:t xml:space="preserve"> The term ‘relevant bands’ is used in section 6 of the Direction.</w:t>
      </w:r>
    </w:p>
    <w:p w14:paraId="46EE5C6C" w14:textId="5E13C20B" w:rsidR="002A1E45"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r w:rsidRPr="006C3284">
        <w:rPr>
          <w:rFonts w:asciiTheme="minorHAnsi" w:hAnsiTheme="minorHAnsi" w:cstheme="minorHAnsi"/>
          <w:b/>
          <w:i/>
          <w:color w:val="000000"/>
          <w:shd w:val="clear" w:color="auto" w:fill="FFFFFF"/>
        </w:rPr>
        <w:t xml:space="preserve">relevant group of persons </w:t>
      </w:r>
      <w:r w:rsidRPr="006C3284">
        <w:rPr>
          <w:rFonts w:asciiTheme="minorHAnsi" w:hAnsiTheme="minorHAnsi" w:cstheme="minorHAnsi"/>
          <w:color w:val="000000"/>
          <w:shd w:val="clear" w:color="auto" w:fill="FFFFFF"/>
        </w:rPr>
        <w:t>is defined to mean either</w:t>
      </w:r>
      <w:r w:rsidR="00E74BFC" w:rsidRPr="006C3284">
        <w:rPr>
          <w:rFonts w:asciiTheme="minorHAnsi" w:hAnsiTheme="minorHAnsi" w:cstheme="minorHAnsi"/>
          <w:color w:val="000000"/>
          <w:shd w:val="clear" w:color="auto" w:fill="FFFFFF"/>
        </w:rPr>
        <w:t xml:space="preserve"> </w:t>
      </w:r>
      <w:r w:rsidRPr="006C3284">
        <w:rPr>
          <w:rFonts w:asciiTheme="minorHAnsi" w:hAnsiTheme="minorHAnsi" w:cstheme="minorHAnsi"/>
          <w:color w:val="000000"/>
          <w:shd w:val="clear" w:color="auto" w:fill="FFFFFF"/>
        </w:rPr>
        <w:t>a person and al</w:t>
      </w:r>
      <w:r w:rsidR="00E74BFC" w:rsidRPr="006C3284">
        <w:rPr>
          <w:rFonts w:asciiTheme="minorHAnsi" w:hAnsiTheme="minorHAnsi" w:cstheme="minorHAnsi"/>
          <w:color w:val="000000"/>
          <w:shd w:val="clear" w:color="auto" w:fill="FFFFFF"/>
        </w:rPr>
        <w:t xml:space="preserve">l associates of that person; or – </w:t>
      </w:r>
      <w:r w:rsidRPr="006C3284">
        <w:rPr>
          <w:rFonts w:asciiTheme="minorHAnsi" w:hAnsiTheme="minorHAnsi" w:cstheme="minorHAnsi"/>
          <w:color w:val="000000"/>
          <w:shd w:val="clear" w:color="auto" w:fill="FFFFFF"/>
        </w:rPr>
        <w:t xml:space="preserve">subject to subsection 4(3) </w:t>
      </w:r>
      <w:r w:rsidR="00E74BFC" w:rsidRPr="006C3284">
        <w:rPr>
          <w:rFonts w:asciiTheme="minorHAnsi" w:hAnsiTheme="minorHAnsi" w:cstheme="minorHAnsi"/>
          <w:color w:val="000000"/>
          <w:shd w:val="clear" w:color="auto" w:fill="FFFFFF"/>
        </w:rPr>
        <w:t>– any 2 or more groups referred to in paragraph (a) that have at least one member in common.</w:t>
      </w:r>
    </w:p>
    <w:p w14:paraId="039431A1" w14:textId="6AB4EAF5"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b/>
          <w:i/>
          <w:color w:val="000000"/>
          <w:szCs w:val="22"/>
        </w:rPr>
        <w:t>roaming services agreement</w:t>
      </w:r>
      <w:r w:rsidRPr="006C3284">
        <w:rPr>
          <w:rFonts w:asciiTheme="minorHAnsi" w:hAnsiTheme="minorHAnsi" w:cstheme="minorHAnsi"/>
          <w:color w:val="000000"/>
          <w:szCs w:val="22"/>
        </w:rPr>
        <w:t xml:space="preserve"> is defined to mean an agreement between two or more carriers for the principal purpose of enabling the supply of public mobile telecommunications services by one of those other carriers, in geographic locations where another of those carriers’ public mobile telecommunications services are not available. Roaming services agreements are carved-out from the definition of relevant agreement, as described above.</w:t>
      </w:r>
    </w:p>
    <w:p w14:paraId="2692721E" w14:textId="77777777" w:rsidR="006E33C5" w:rsidRPr="006C3284" w:rsidRDefault="006E33C5" w:rsidP="006E33C5">
      <w:pPr>
        <w:spacing w:after="240"/>
        <w:rPr>
          <w:rFonts w:cstheme="minorHAnsi"/>
          <w:sz w:val="24"/>
          <w:szCs w:val="24"/>
        </w:rPr>
      </w:pPr>
      <w:proofErr w:type="gramStart"/>
      <w:r w:rsidRPr="006C3284">
        <w:rPr>
          <w:rFonts w:cstheme="minorHAnsi"/>
          <w:b/>
          <w:i/>
          <w:sz w:val="24"/>
          <w:szCs w:val="24"/>
        </w:rPr>
        <w:t>sub-1</w:t>
      </w:r>
      <w:proofErr w:type="gramEnd"/>
      <w:r w:rsidRPr="006C3284">
        <w:rPr>
          <w:rFonts w:cstheme="minorHAnsi"/>
          <w:b/>
          <w:i/>
          <w:sz w:val="24"/>
          <w:szCs w:val="24"/>
        </w:rPr>
        <w:t xml:space="preserve"> GHz band</w:t>
      </w:r>
      <w:r w:rsidRPr="006C3284">
        <w:rPr>
          <w:rFonts w:cstheme="minorHAnsi"/>
          <w:b/>
          <w:sz w:val="24"/>
          <w:szCs w:val="24"/>
        </w:rPr>
        <w:t xml:space="preserve"> </w:t>
      </w:r>
      <w:r w:rsidRPr="006C3284">
        <w:rPr>
          <w:rFonts w:cstheme="minorHAnsi"/>
          <w:sz w:val="24"/>
          <w:szCs w:val="24"/>
        </w:rPr>
        <w:t>is defined to mean the part of the spectrum up to 1 GHz.</w:t>
      </w:r>
    </w:p>
    <w:p w14:paraId="67408E28" w14:textId="4492C323" w:rsidR="00B51477" w:rsidRPr="006C3284" w:rsidRDefault="00B51477" w:rsidP="006E33C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b/>
          <w:i/>
          <w:color w:val="000000"/>
          <w:szCs w:val="22"/>
        </w:rPr>
        <w:lastRenderedPageBreak/>
        <w:t>TPG Telecom</w:t>
      </w:r>
      <w:r w:rsidRPr="006C3284">
        <w:rPr>
          <w:rFonts w:asciiTheme="minorHAnsi" w:hAnsiTheme="minorHAnsi" w:cstheme="minorHAnsi"/>
          <w:color w:val="000000"/>
          <w:szCs w:val="22"/>
        </w:rPr>
        <w:t xml:space="preserve"> is defined to mean TPG Telecom Limited (ACN 096 304 620).</w:t>
      </w:r>
    </w:p>
    <w:p w14:paraId="329A75DD" w14:textId="7D19F12A"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Subsection 4(2) provides that the lower number in a reference to part of the spectrum is not included in that part of the spectrum for the purposes of the Direction, while the higher number is included. This is to prevent frequency band overlap.</w:t>
      </w:r>
    </w:p>
    <w:p w14:paraId="04B53DA4"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t>Subsection 4(3) provides a limited exclusion from the definition of ‘relevant group of persons’ by providing that for the purposes of paragraph (b) of that definition, an individual is taken not to be a member in common between two or more groups that are comprised of a person (‘relevant person’) and the associates of that relevant person where all of the following apply:</w:t>
      </w:r>
    </w:p>
    <w:p w14:paraId="380A821D" w14:textId="21F1E7AE" w:rsidR="008911AB" w:rsidRPr="006C3284" w:rsidRDefault="008911AB" w:rsidP="00FF2634">
      <w:pPr>
        <w:pStyle w:val="paragraphsub"/>
        <w:numPr>
          <w:ilvl w:val="1"/>
          <w:numId w:val="28"/>
        </w:numPr>
        <w:shd w:val="clear" w:color="auto" w:fill="FFFFFF"/>
        <w:spacing w:before="0" w:beforeAutospacing="0" w:after="0" w:afterAutospacing="0" w:line="276" w:lineRule="auto"/>
        <w:ind w:left="567" w:hanging="567"/>
        <w:rPr>
          <w:rFonts w:asciiTheme="minorHAnsi" w:hAnsiTheme="minorHAnsi" w:cstheme="minorHAnsi"/>
          <w:color w:val="000000"/>
          <w:szCs w:val="22"/>
        </w:rPr>
      </w:pPr>
      <w:r w:rsidRPr="006C3284">
        <w:rPr>
          <w:rFonts w:asciiTheme="minorHAnsi" w:hAnsiTheme="minorHAnsi" w:cstheme="minorHAnsi"/>
          <w:color w:val="000000"/>
          <w:szCs w:val="22"/>
        </w:rPr>
        <w:t>the individual is providing services as a company secretary (‘company secretarial services’) to one or more related bodies corporate of the relevant person in each of the groups;</w:t>
      </w:r>
    </w:p>
    <w:p w14:paraId="062E5B98" w14:textId="3A384875" w:rsidR="008911AB" w:rsidRPr="006C3284" w:rsidRDefault="008911AB" w:rsidP="00FF2634">
      <w:pPr>
        <w:pStyle w:val="paragraphsub"/>
        <w:numPr>
          <w:ilvl w:val="1"/>
          <w:numId w:val="28"/>
        </w:numPr>
        <w:shd w:val="clear" w:color="auto" w:fill="FFFFFF"/>
        <w:spacing w:before="0" w:beforeAutospacing="0" w:after="0" w:afterAutospacing="0" w:line="276" w:lineRule="auto"/>
        <w:ind w:left="567" w:hanging="567"/>
        <w:rPr>
          <w:rFonts w:asciiTheme="minorHAnsi" w:hAnsiTheme="minorHAnsi" w:cstheme="minorHAnsi"/>
          <w:color w:val="000000"/>
          <w:szCs w:val="22"/>
        </w:rPr>
      </w:pPr>
      <w:r w:rsidRPr="006C3284">
        <w:rPr>
          <w:rFonts w:asciiTheme="minorHAnsi" w:hAnsiTheme="minorHAnsi" w:cstheme="minorHAnsi"/>
          <w:color w:val="000000"/>
          <w:szCs w:val="22"/>
        </w:rPr>
        <w:t>the individual is providing the company secretarial services through a person or entity (‘third party service provider’) that:</w:t>
      </w:r>
    </w:p>
    <w:p w14:paraId="3B7C8D84" w14:textId="422CFE3F" w:rsidR="008911AB" w:rsidRPr="006C3284" w:rsidRDefault="008911AB" w:rsidP="00FF2634">
      <w:pPr>
        <w:pStyle w:val="paragraphsub"/>
        <w:numPr>
          <w:ilvl w:val="0"/>
          <w:numId w:val="29"/>
        </w:numPr>
        <w:shd w:val="clear" w:color="auto" w:fill="FFFFFF"/>
        <w:spacing w:before="0" w:beforeAutospacing="0" w:after="0" w:afterAutospacing="0" w:line="276" w:lineRule="auto"/>
        <w:ind w:left="1134" w:hanging="567"/>
        <w:rPr>
          <w:rFonts w:asciiTheme="minorHAnsi" w:hAnsiTheme="minorHAnsi" w:cstheme="minorHAnsi"/>
          <w:color w:val="000000"/>
          <w:szCs w:val="22"/>
        </w:rPr>
      </w:pPr>
      <w:r w:rsidRPr="006C3284">
        <w:rPr>
          <w:rFonts w:asciiTheme="minorHAnsi" w:hAnsiTheme="minorHAnsi" w:cstheme="minorHAnsi"/>
          <w:color w:val="000000"/>
          <w:szCs w:val="22"/>
        </w:rPr>
        <w:t>is not in any of the groups; and</w:t>
      </w:r>
    </w:p>
    <w:p w14:paraId="344DDCBE" w14:textId="17A14E10" w:rsidR="008911AB" w:rsidRPr="006C3284" w:rsidRDefault="008911AB" w:rsidP="00FF2634">
      <w:pPr>
        <w:pStyle w:val="paragraphsub"/>
        <w:numPr>
          <w:ilvl w:val="0"/>
          <w:numId w:val="29"/>
        </w:numPr>
        <w:shd w:val="clear" w:color="auto" w:fill="FFFFFF"/>
        <w:spacing w:before="0" w:beforeAutospacing="0" w:after="0" w:afterAutospacing="0" w:line="276" w:lineRule="auto"/>
        <w:ind w:left="1134" w:hanging="567"/>
        <w:rPr>
          <w:rFonts w:asciiTheme="minorHAnsi" w:hAnsiTheme="minorHAnsi" w:cstheme="minorHAnsi"/>
          <w:color w:val="000000"/>
          <w:szCs w:val="22"/>
        </w:rPr>
      </w:pPr>
      <w:r w:rsidRPr="006C3284">
        <w:rPr>
          <w:rFonts w:asciiTheme="minorHAnsi" w:hAnsiTheme="minorHAnsi" w:cstheme="minorHAnsi"/>
          <w:color w:val="000000"/>
          <w:szCs w:val="22"/>
        </w:rPr>
        <w:t>carries on a business for the provision of professional services, including company secretarial services; and</w:t>
      </w:r>
    </w:p>
    <w:p w14:paraId="2A1A2C0F" w14:textId="07910D00" w:rsidR="008911AB" w:rsidRPr="006C3284" w:rsidRDefault="008911AB" w:rsidP="00FF2634">
      <w:pPr>
        <w:pStyle w:val="paragraphsub"/>
        <w:numPr>
          <w:ilvl w:val="0"/>
          <w:numId w:val="29"/>
        </w:numPr>
        <w:shd w:val="clear" w:color="auto" w:fill="FFFFFF"/>
        <w:spacing w:before="0" w:beforeAutospacing="0" w:after="0" w:afterAutospacing="0" w:line="276" w:lineRule="auto"/>
        <w:ind w:left="1134" w:hanging="567"/>
        <w:rPr>
          <w:rFonts w:asciiTheme="minorHAnsi" w:hAnsiTheme="minorHAnsi" w:cstheme="minorHAnsi"/>
          <w:color w:val="000000"/>
          <w:szCs w:val="22"/>
        </w:rPr>
      </w:pPr>
      <w:r w:rsidRPr="006C3284">
        <w:rPr>
          <w:rFonts w:asciiTheme="minorHAnsi" w:hAnsiTheme="minorHAnsi" w:cstheme="minorHAnsi"/>
          <w:color w:val="000000"/>
          <w:szCs w:val="22"/>
        </w:rPr>
        <w:t>has, in the ordinary course of carrying on that business, been separately and independently engaged by an entity within each of those groups, under a contract or other legally binding arrangement, to provide the company secretarial services;</w:t>
      </w:r>
    </w:p>
    <w:p w14:paraId="4918F66B" w14:textId="356B3C9A" w:rsidR="008911AB" w:rsidRPr="006C3284" w:rsidRDefault="008911AB" w:rsidP="00FF2634">
      <w:pPr>
        <w:pStyle w:val="paragraphsub"/>
        <w:numPr>
          <w:ilvl w:val="1"/>
          <w:numId w:val="28"/>
        </w:numPr>
        <w:shd w:val="clear" w:color="auto" w:fill="FFFFFF"/>
        <w:spacing w:before="0" w:beforeAutospacing="0" w:after="0" w:afterAutospacing="0" w:line="276" w:lineRule="auto"/>
        <w:ind w:left="567" w:hanging="567"/>
        <w:rPr>
          <w:rFonts w:asciiTheme="minorHAnsi" w:hAnsiTheme="minorHAnsi" w:cstheme="minorHAnsi"/>
          <w:color w:val="000000"/>
          <w:szCs w:val="22"/>
        </w:rPr>
      </w:pPr>
      <w:r w:rsidRPr="006C3284">
        <w:rPr>
          <w:rFonts w:asciiTheme="minorHAnsi" w:hAnsiTheme="minorHAnsi" w:cstheme="minorHAnsi"/>
          <w:color w:val="000000"/>
          <w:szCs w:val="22"/>
        </w:rPr>
        <w:t>the individual is not, otherwise than by reason of providing the company secretarial services, an associate of any of the relevant persons;</w:t>
      </w:r>
    </w:p>
    <w:p w14:paraId="5DB23ED6" w14:textId="6E00AD6B" w:rsidR="008911AB" w:rsidRPr="006C3284" w:rsidRDefault="008911AB" w:rsidP="00FF2634">
      <w:pPr>
        <w:pStyle w:val="paragraphsub"/>
        <w:numPr>
          <w:ilvl w:val="1"/>
          <w:numId w:val="28"/>
        </w:numPr>
        <w:shd w:val="clear" w:color="auto" w:fill="FFFFFF"/>
        <w:spacing w:before="0" w:beforeAutospacing="0" w:after="0" w:afterAutospacing="0" w:line="276" w:lineRule="auto"/>
        <w:ind w:left="567" w:hanging="567"/>
        <w:rPr>
          <w:rFonts w:asciiTheme="minorHAnsi" w:hAnsiTheme="minorHAnsi" w:cstheme="minorHAnsi"/>
          <w:color w:val="000000"/>
          <w:szCs w:val="22"/>
        </w:rPr>
      </w:pPr>
      <w:proofErr w:type="gramStart"/>
      <w:r w:rsidRPr="006C3284">
        <w:rPr>
          <w:rFonts w:asciiTheme="minorHAnsi" w:hAnsiTheme="minorHAnsi" w:cstheme="minorHAnsi"/>
          <w:color w:val="000000"/>
          <w:szCs w:val="22"/>
        </w:rPr>
        <w:t>each</w:t>
      </w:r>
      <w:proofErr w:type="gramEnd"/>
      <w:r w:rsidRPr="006C3284">
        <w:rPr>
          <w:rFonts w:asciiTheme="minorHAnsi" w:hAnsiTheme="minorHAnsi" w:cstheme="minorHAnsi"/>
          <w:color w:val="000000"/>
          <w:szCs w:val="22"/>
        </w:rPr>
        <w:t xml:space="preserve"> of the related bodies corporate to which the individual is providing the company secretarial services is incorporated outside Australia.</w:t>
      </w:r>
    </w:p>
    <w:p w14:paraId="1A217B06"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t>The criteria specified are intended to ensure that, for the purposes of paragraph (b) of the definition of ‘relevant group of persons’, individuals are taken not to be members in common between groups of persons referred to in paragraph (a) of that definition in certain circumstances where they are genuinely at arms-length from the related bodies corporate.</w:t>
      </w:r>
    </w:p>
    <w:p w14:paraId="11796282"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t xml:space="preserve">In particular, this is intended to address the fact that some related bodies corporate (i.e. associates) of persons who are likely to be interested in acquiring spectrum licences through the allocation process (referred to as ‘relevant persons’ in subsection (3)) may have company secretaries who have been supplied by independent third parties (e.g. law firms or other professional services firms). This is not an uncommon practice in certain offshore jurisdictions. For example, a related body corporate that operates in a different jurisdiction to its parent company may engage a local firm with particular expertise in that jurisdiction </w:t>
      </w:r>
      <w:r w:rsidRPr="006C3284">
        <w:rPr>
          <w:rFonts w:asciiTheme="minorHAnsi" w:hAnsiTheme="minorHAnsi" w:cstheme="minorHAnsi"/>
          <w:color w:val="000000"/>
          <w:szCs w:val="22"/>
        </w:rPr>
        <w:lastRenderedPageBreak/>
        <w:t>to supply an individual (e.g. an employee, contractor or partner) to act as a company secretary. Alternatively, the parent company may engage such a firm to provide company secretary services on behalf of one or more its foreign related bodies corporate. In some instances, the same third party may be engaged by, and may supply the same individual to, entities within two different groups of relevant persons and their associates.</w:t>
      </w:r>
    </w:p>
    <w:p w14:paraId="78C4DA15"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t>Without this exemption, those two groups of relevant persons and their associates would be taken to be a single specified group of persons for the purposes of the allocation limits. This could unduly restrict the ability of those persons to access spectrum due to a remote connection to another person seeking to be allocated spectrum, and go beyond the primary purpose of the allocation limits.</w:t>
      </w:r>
    </w:p>
    <w:p w14:paraId="6745D47D" w14:textId="32EF550F" w:rsidR="008911AB" w:rsidRPr="006C3284" w:rsidRDefault="008911AB" w:rsidP="008911AB">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However, the exclusion is not intended to apply where the third party service provider is itself in one of the groups of relevant persons and their associates, or where the parties may have worked together to set up a ‘third party service provider’, or arranged to engage the same service provider to provide the same individual to act as company secretary, specifically to allow them to rely on the exclusion. Accordingly, paragraph (b) requires that the third party service provider: not be in any of the groups (subparagraph (</w:t>
      </w:r>
      <w:proofErr w:type="spellStart"/>
      <w:r w:rsidRPr="006C3284">
        <w:rPr>
          <w:rFonts w:asciiTheme="minorHAnsi" w:hAnsiTheme="minorHAnsi" w:cstheme="minorHAnsi"/>
          <w:color w:val="000000"/>
          <w:szCs w:val="22"/>
        </w:rPr>
        <w:t>i</w:t>
      </w:r>
      <w:proofErr w:type="spellEnd"/>
      <w:r w:rsidRPr="006C3284">
        <w:rPr>
          <w:rFonts w:asciiTheme="minorHAnsi" w:hAnsiTheme="minorHAnsi" w:cstheme="minorHAnsi"/>
          <w:color w:val="000000"/>
          <w:szCs w:val="22"/>
        </w:rPr>
        <w:t>)); already be in the established business of providing company secretarial services (subparagraph (ii)); and, have been engaged by an entity in one group of relevant persons and their associates separately and independently of the entities in the other group(s) (subparagraph (iii)). Further, paragraph (c) is intended to clarify that the exclusion does not apply if the individual put forward to act as the company secretary by the third party service provider is otherwise an ‘associate’ of the relevant person (e.g. if they are also director of the relevant person who is a body corporate, one of its related bodies corporate).</w:t>
      </w:r>
    </w:p>
    <w:p w14:paraId="6E9945DA" w14:textId="2F93F0A8" w:rsidR="00C627C9" w:rsidRPr="006C3284" w:rsidRDefault="00C627C9" w:rsidP="006C3284">
      <w:pPr>
        <w:pStyle w:val="Heading3"/>
      </w:pPr>
      <w:r w:rsidRPr="006C3284">
        <w:t>Section 5—</w:t>
      </w:r>
      <w:r w:rsidR="00A46AEE" w:rsidRPr="006C3284">
        <w:t>Direction</w:t>
      </w:r>
    </w:p>
    <w:p w14:paraId="63FF8835" w14:textId="406C7581" w:rsidR="00B51477" w:rsidRPr="006C3284" w:rsidRDefault="00B51477" w:rsidP="00B51477">
      <w:pPr>
        <w:rPr>
          <w:rFonts w:cstheme="minorHAnsi"/>
          <w:sz w:val="24"/>
          <w:szCs w:val="24"/>
        </w:rPr>
      </w:pPr>
      <w:r w:rsidRPr="006C3284">
        <w:rPr>
          <w:rFonts w:cstheme="minorHAnsi"/>
          <w:sz w:val="24"/>
          <w:szCs w:val="24"/>
        </w:rPr>
        <w:t>Subsection 5(1) of the Direction directs ACMA to determine allocation procedures under subsection 60(1) of the Act that impose limits, in accordance with section</w:t>
      </w:r>
      <w:r w:rsidR="007A3027" w:rsidRPr="006C3284">
        <w:rPr>
          <w:rFonts w:cstheme="minorHAnsi"/>
          <w:sz w:val="24"/>
          <w:szCs w:val="24"/>
        </w:rPr>
        <w:t>s</w:t>
      </w:r>
      <w:r w:rsidRPr="006C3284">
        <w:rPr>
          <w:rFonts w:cstheme="minorHAnsi"/>
          <w:sz w:val="24"/>
          <w:szCs w:val="24"/>
        </w:rPr>
        <w:t xml:space="preserve"> 6</w:t>
      </w:r>
      <w:r w:rsidR="007A3027" w:rsidRPr="006C3284">
        <w:rPr>
          <w:rFonts w:cstheme="minorHAnsi"/>
          <w:sz w:val="24"/>
          <w:szCs w:val="24"/>
        </w:rPr>
        <w:t xml:space="preserve"> and 7</w:t>
      </w:r>
      <w:r w:rsidRPr="006C3284">
        <w:rPr>
          <w:rFonts w:cstheme="minorHAnsi"/>
          <w:sz w:val="24"/>
          <w:szCs w:val="24"/>
        </w:rPr>
        <w:t xml:space="preserve">, on the aggregate of the parts of the spectrum that may, as a result of the allocation of spectrum licences under Subdivision B of Division 1 of Part 3.2 of the Act, be used by </w:t>
      </w:r>
      <w:r w:rsidR="007A3027" w:rsidRPr="006C3284">
        <w:rPr>
          <w:rFonts w:cstheme="minorHAnsi"/>
          <w:sz w:val="24"/>
          <w:szCs w:val="24"/>
        </w:rPr>
        <w:t xml:space="preserve">any one person or by </w:t>
      </w:r>
      <w:r w:rsidRPr="006C3284">
        <w:rPr>
          <w:rFonts w:cstheme="minorHAnsi"/>
          <w:sz w:val="24"/>
          <w:szCs w:val="24"/>
        </w:rPr>
        <w:t>the gro</w:t>
      </w:r>
      <w:r w:rsidR="007A3027" w:rsidRPr="006C3284">
        <w:rPr>
          <w:rFonts w:cstheme="minorHAnsi"/>
          <w:sz w:val="24"/>
          <w:szCs w:val="24"/>
        </w:rPr>
        <w:t>ups of persons specified in those sections.</w:t>
      </w:r>
    </w:p>
    <w:p w14:paraId="5D19454D" w14:textId="77777777" w:rsidR="00B51477" w:rsidRPr="006C3284" w:rsidRDefault="00B51477" w:rsidP="00B51477">
      <w:pPr>
        <w:rPr>
          <w:rFonts w:cstheme="minorHAnsi"/>
          <w:sz w:val="24"/>
          <w:szCs w:val="24"/>
        </w:rPr>
      </w:pPr>
      <w:r w:rsidRPr="006C3284">
        <w:rPr>
          <w:rFonts w:cstheme="minorHAnsi"/>
          <w:sz w:val="24"/>
          <w:szCs w:val="24"/>
        </w:rPr>
        <w:t>Subsection 5(2)</w:t>
      </w:r>
      <w:r w:rsidRPr="006C3284">
        <w:rPr>
          <w:rFonts w:cstheme="minorHAnsi"/>
          <w:szCs w:val="20"/>
        </w:rPr>
        <w:t xml:space="preserve"> provides that </w:t>
      </w:r>
      <w:r w:rsidRPr="006C3284">
        <w:rPr>
          <w:rFonts w:cstheme="minorHAnsi"/>
          <w:sz w:val="24"/>
          <w:szCs w:val="24"/>
        </w:rPr>
        <w:t>limits imposed must apply to the allocation of spectrum licences in the 850/900 MHz band enabled by the re-allocation declaration.</w:t>
      </w:r>
    </w:p>
    <w:p w14:paraId="009EF507" w14:textId="0BE2C3D5" w:rsidR="00A46AEE" w:rsidRPr="006C3284" w:rsidRDefault="00A46AEE" w:rsidP="006C3284">
      <w:pPr>
        <w:pStyle w:val="Heading3"/>
      </w:pPr>
      <w:r w:rsidRPr="006C3284">
        <w:t>Section 6—Limits applying to groups of persons other than Optus, TPG Telecom and their relevant associates</w:t>
      </w:r>
      <w:r w:rsidR="00B03058" w:rsidRPr="006C3284">
        <w:t xml:space="preserve"> (spectrum set-aside for Optus and TPG Telecom)</w:t>
      </w:r>
    </w:p>
    <w:p w14:paraId="1DDED1B3" w14:textId="77777777" w:rsidR="00B51477" w:rsidRPr="006C3284" w:rsidRDefault="002E3BCB" w:rsidP="00C627C9">
      <w:pPr>
        <w:rPr>
          <w:rFonts w:cstheme="minorHAnsi"/>
          <w:sz w:val="24"/>
          <w:szCs w:val="24"/>
        </w:rPr>
      </w:pPr>
      <w:r w:rsidRPr="006C3284">
        <w:rPr>
          <w:rFonts w:cstheme="minorHAnsi"/>
          <w:sz w:val="24"/>
          <w:szCs w:val="24"/>
        </w:rPr>
        <w:t>Section 6 imposes limits on the aggregate of the amount of spectrum in the relevant bands a person, or group of persons, may use in the specified circumstances.</w:t>
      </w:r>
      <w:r w:rsidR="00240743" w:rsidRPr="006C3284">
        <w:rPr>
          <w:rFonts w:cstheme="minorHAnsi"/>
          <w:sz w:val="24"/>
          <w:szCs w:val="24"/>
        </w:rPr>
        <w:t xml:space="preserve"> </w:t>
      </w:r>
    </w:p>
    <w:p w14:paraId="5DB44E39" w14:textId="06C35003" w:rsidR="00240743" w:rsidRPr="006C3284" w:rsidRDefault="00240743" w:rsidP="00C627C9">
      <w:pPr>
        <w:rPr>
          <w:rFonts w:cstheme="minorHAnsi"/>
          <w:sz w:val="24"/>
          <w:szCs w:val="24"/>
        </w:rPr>
      </w:pPr>
      <w:r w:rsidRPr="006C3284">
        <w:rPr>
          <w:rFonts w:cstheme="minorHAnsi"/>
          <w:sz w:val="24"/>
          <w:szCs w:val="24"/>
        </w:rPr>
        <w:lastRenderedPageBreak/>
        <w:t>Paragraph 6(1</w:t>
      </w:r>
      <w:proofErr w:type="gramStart"/>
      <w:r w:rsidRPr="006C3284">
        <w:rPr>
          <w:rFonts w:cstheme="minorHAnsi"/>
          <w:sz w:val="24"/>
          <w:szCs w:val="24"/>
        </w:rPr>
        <w:t>)(</w:t>
      </w:r>
      <w:proofErr w:type="gramEnd"/>
      <w:r w:rsidRPr="006C3284">
        <w:rPr>
          <w:rFonts w:cstheme="minorHAnsi"/>
          <w:sz w:val="24"/>
          <w:szCs w:val="24"/>
        </w:rPr>
        <w:t xml:space="preserve">a) </w:t>
      </w:r>
      <w:r w:rsidR="00B51477" w:rsidRPr="006C3284">
        <w:rPr>
          <w:rFonts w:cstheme="minorHAnsi"/>
          <w:sz w:val="24"/>
          <w:szCs w:val="24"/>
        </w:rPr>
        <w:t>provides that</w:t>
      </w:r>
      <w:r w:rsidRPr="006C3284">
        <w:rPr>
          <w:rFonts w:cstheme="minorHAnsi"/>
          <w:sz w:val="24"/>
          <w:szCs w:val="24"/>
        </w:rPr>
        <w:t xml:space="preserve"> for this section the limits imposed must apply in relation to the relevant bands in the designated area. </w:t>
      </w:r>
    </w:p>
    <w:p w14:paraId="0F38246B" w14:textId="4D66A3A1" w:rsidR="00A46AEE" w:rsidRPr="006C3284" w:rsidRDefault="00240743" w:rsidP="00C627C9">
      <w:pPr>
        <w:rPr>
          <w:rFonts w:cstheme="minorHAnsi"/>
          <w:sz w:val="24"/>
          <w:szCs w:val="24"/>
        </w:rPr>
      </w:pPr>
      <w:r w:rsidRPr="006C3284">
        <w:rPr>
          <w:rFonts w:cstheme="minorHAnsi"/>
          <w:sz w:val="24"/>
          <w:szCs w:val="24"/>
        </w:rPr>
        <w:t>Paragraph 6(1</w:t>
      </w:r>
      <w:proofErr w:type="gramStart"/>
      <w:r w:rsidRPr="006C3284">
        <w:rPr>
          <w:rFonts w:cstheme="minorHAnsi"/>
          <w:sz w:val="24"/>
          <w:szCs w:val="24"/>
        </w:rPr>
        <w:t>)(</w:t>
      </w:r>
      <w:proofErr w:type="gramEnd"/>
      <w:r w:rsidRPr="006C3284">
        <w:rPr>
          <w:rFonts w:cstheme="minorHAnsi"/>
          <w:sz w:val="24"/>
          <w:szCs w:val="24"/>
        </w:rPr>
        <w:t xml:space="preserve">b) </w:t>
      </w:r>
      <w:r w:rsidR="00B51477" w:rsidRPr="006C3284">
        <w:rPr>
          <w:rFonts w:cstheme="minorHAnsi"/>
          <w:sz w:val="24"/>
          <w:szCs w:val="24"/>
        </w:rPr>
        <w:t>provides that the limits imposed must be in accordance with</w:t>
      </w:r>
      <w:r w:rsidRPr="006C3284">
        <w:rPr>
          <w:rFonts w:cstheme="minorHAnsi"/>
          <w:sz w:val="24"/>
          <w:szCs w:val="24"/>
        </w:rPr>
        <w:t xml:space="preserve"> the operation of the table in the section. The limits imposed must ensure that, with respect to each item in the table, in the circumstance specified in column 2 of the table, the members of the group of persons specified in column 3 may, in total, use no more than an aggregate of the amount of spectrum in the relevant bands that is specified in column 4.</w:t>
      </w:r>
    </w:p>
    <w:p w14:paraId="5F7142AE" w14:textId="48995110" w:rsidR="002E3BCB" w:rsidRPr="006C3284" w:rsidRDefault="005E526C" w:rsidP="00C627C9">
      <w:pPr>
        <w:rPr>
          <w:rFonts w:cstheme="minorHAnsi"/>
          <w:sz w:val="24"/>
          <w:szCs w:val="24"/>
        </w:rPr>
      </w:pPr>
      <w:r w:rsidRPr="006C3284">
        <w:rPr>
          <w:rFonts w:cstheme="minorHAnsi"/>
          <w:sz w:val="24"/>
          <w:szCs w:val="24"/>
        </w:rPr>
        <w:t>Item</w:t>
      </w:r>
      <w:r w:rsidR="002E3BCB" w:rsidRPr="006C3284">
        <w:rPr>
          <w:rFonts w:cstheme="minorHAnsi"/>
          <w:sz w:val="24"/>
          <w:szCs w:val="24"/>
        </w:rPr>
        <w:t xml:space="preserve"> 1 of the table will apply if both Optus and TPG</w:t>
      </w:r>
      <w:r w:rsidR="00B03058" w:rsidRPr="006C3284">
        <w:rPr>
          <w:rFonts w:cstheme="minorHAnsi"/>
          <w:sz w:val="24"/>
          <w:szCs w:val="24"/>
        </w:rPr>
        <w:t xml:space="preserve"> Telecom</w:t>
      </w:r>
      <w:r w:rsidR="002E3BCB" w:rsidRPr="006C3284">
        <w:rPr>
          <w:rFonts w:cstheme="minorHAnsi"/>
          <w:sz w:val="24"/>
          <w:szCs w:val="24"/>
        </w:rPr>
        <w:t xml:space="preserve"> </w:t>
      </w:r>
      <w:r w:rsidRPr="006C3284">
        <w:rPr>
          <w:rFonts w:cstheme="minorHAnsi"/>
          <w:sz w:val="24"/>
          <w:szCs w:val="24"/>
        </w:rPr>
        <w:t>have elect to take up the spectrum set aside</w:t>
      </w:r>
      <w:r w:rsidR="002E3BCB" w:rsidRPr="006C3284">
        <w:rPr>
          <w:rFonts w:cstheme="minorHAnsi"/>
          <w:sz w:val="24"/>
          <w:szCs w:val="24"/>
        </w:rPr>
        <w:t xml:space="preserve">. Item </w:t>
      </w:r>
      <w:r w:rsidRPr="006C3284">
        <w:rPr>
          <w:rFonts w:cstheme="minorHAnsi"/>
          <w:sz w:val="24"/>
          <w:szCs w:val="24"/>
        </w:rPr>
        <w:t>2</w:t>
      </w:r>
      <w:r w:rsidR="002E3BCB" w:rsidRPr="006C3284">
        <w:rPr>
          <w:rFonts w:cstheme="minorHAnsi"/>
          <w:sz w:val="24"/>
          <w:szCs w:val="24"/>
        </w:rPr>
        <w:t xml:space="preserve"> will apply if Optus </w:t>
      </w:r>
      <w:r w:rsidRPr="006C3284">
        <w:rPr>
          <w:rFonts w:cstheme="minorHAnsi"/>
          <w:sz w:val="24"/>
          <w:szCs w:val="24"/>
        </w:rPr>
        <w:t>has elect</w:t>
      </w:r>
      <w:r w:rsidR="00293CBB" w:rsidRPr="006C3284">
        <w:rPr>
          <w:rFonts w:cstheme="minorHAnsi"/>
          <w:sz w:val="24"/>
          <w:szCs w:val="24"/>
        </w:rPr>
        <w:t>ed</w:t>
      </w:r>
      <w:r w:rsidRPr="006C3284">
        <w:rPr>
          <w:rFonts w:cstheme="minorHAnsi"/>
          <w:sz w:val="24"/>
          <w:szCs w:val="24"/>
        </w:rPr>
        <w:t xml:space="preserve"> to take up the spectrum set-aside</w:t>
      </w:r>
      <w:r w:rsidR="002E3BCB" w:rsidRPr="006C3284">
        <w:rPr>
          <w:rFonts w:cstheme="minorHAnsi"/>
          <w:sz w:val="24"/>
          <w:szCs w:val="24"/>
        </w:rPr>
        <w:t>, but TPG</w:t>
      </w:r>
      <w:r w:rsidR="00B03058" w:rsidRPr="006C3284">
        <w:rPr>
          <w:rFonts w:cstheme="minorHAnsi"/>
          <w:sz w:val="24"/>
          <w:szCs w:val="24"/>
        </w:rPr>
        <w:t xml:space="preserve"> Telecom</w:t>
      </w:r>
      <w:r w:rsidR="002E3BCB" w:rsidRPr="006C3284">
        <w:rPr>
          <w:rFonts w:cstheme="minorHAnsi"/>
          <w:sz w:val="24"/>
          <w:szCs w:val="24"/>
        </w:rPr>
        <w:t xml:space="preserve"> </w:t>
      </w:r>
      <w:r w:rsidR="00293CBB" w:rsidRPr="006C3284">
        <w:rPr>
          <w:rFonts w:cstheme="minorHAnsi"/>
          <w:sz w:val="24"/>
          <w:szCs w:val="24"/>
        </w:rPr>
        <w:t xml:space="preserve">has </w:t>
      </w:r>
      <w:r w:rsidR="002E3BCB" w:rsidRPr="006C3284">
        <w:rPr>
          <w:rFonts w:cstheme="minorHAnsi"/>
          <w:sz w:val="24"/>
          <w:szCs w:val="24"/>
        </w:rPr>
        <w:t xml:space="preserve">not. Item </w:t>
      </w:r>
      <w:r w:rsidRPr="006C3284">
        <w:rPr>
          <w:rFonts w:cstheme="minorHAnsi"/>
          <w:sz w:val="24"/>
          <w:szCs w:val="24"/>
        </w:rPr>
        <w:t>3</w:t>
      </w:r>
      <w:r w:rsidR="002E3BCB" w:rsidRPr="006C3284">
        <w:rPr>
          <w:rFonts w:cstheme="minorHAnsi"/>
          <w:sz w:val="24"/>
          <w:szCs w:val="24"/>
        </w:rPr>
        <w:t xml:space="preserve"> will apply if TPG </w:t>
      </w:r>
      <w:r w:rsidR="00B03058" w:rsidRPr="006C3284">
        <w:rPr>
          <w:rFonts w:cstheme="minorHAnsi"/>
          <w:sz w:val="24"/>
          <w:szCs w:val="24"/>
        </w:rPr>
        <w:t xml:space="preserve">Telecom </w:t>
      </w:r>
      <w:r w:rsidRPr="006C3284">
        <w:rPr>
          <w:rFonts w:cstheme="minorHAnsi"/>
          <w:sz w:val="24"/>
          <w:szCs w:val="24"/>
        </w:rPr>
        <w:t>has elected to take up the spectrum set-aside</w:t>
      </w:r>
      <w:r w:rsidR="002E3BCB" w:rsidRPr="006C3284">
        <w:rPr>
          <w:rFonts w:cstheme="minorHAnsi"/>
          <w:sz w:val="24"/>
          <w:szCs w:val="24"/>
        </w:rPr>
        <w:t xml:space="preserve">, but Optus </w:t>
      </w:r>
      <w:r w:rsidR="00293CBB" w:rsidRPr="006C3284">
        <w:rPr>
          <w:rFonts w:cstheme="minorHAnsi"/>
          <w:sz w:val="24"/>
          <w:szCs w:val="24"/>
        </w:rPr>
        <w:t>ha</w:t>
      </w:r>
      <w:r w:rsidR="002E3BCB" w:rsidRPr="006C3284">
        <w:rPr>
          <w:rFonts w:cstheme="minorHAnsi"/>
          <w:sz w:val="24"/>
          <w:szCs w:val="24"/>
        </w:rPr>
        <w:t>s not.</w:t>
      </w:r>
    </w:p>
    <w:p w14:paraId="2B95D619" w14:textId="513DB54A" w:rsidR="005E526C" w:rsidRPr="006C3284" w:rsidRDefault="006A3087" w:rsidP="00C627C9">
      <w:pPr>
        <w:rPr>
          <w:rFonts w:cstheme="minorHAnsi"/>
          <w:sz w:val="24"/>
          <w:szCs w:val="24"/>
        </w:rPr>
      </w:pPr>
      <w:r w:rsidRPr="006C3284">
        <w:rPr>
          <w:rFonts w:cstheme="minorHAnsi"/>
          <w:sz w:val="24"/>
          <w:szCs w:val="24"/>
        </w:rPr>
        <w:t xml:space="preserve">Item 1 provides that </w:t>
      </w:r>
      <w:r w:rsidR="002125A7" w:rsidRPr="006C3284">
        <w:rPr>
          <w:rFonts w:cstheme="minorHAnsi"/>
          <w:sz w:val="24"/>
          <w:szCs w:val="24"/>
        </w:rPr>
        <w:t>if</w:t>
      </w:r>
      <w:r w:rsidRPr="006C3284">
        <w:rPr>
          <w:rFonts w:cstheme="minorHAnsi"/>
          <w:sz w:val="24"/>
          <w:szCs w:val="24"/>
        </w:rPr>
        <w:t xml:space="preserve"> Optus and TPG </w:t>
      </w:r>
      <w:r w:rsidR="00B03058" w:rsidRPr="006C3284">
        <w:rPr>
          <w:rFonts w:cstheme="minorHAnsi"/>
          <w:sz w:val="24"/>
          <w:szCs w:val="24"/>
        </w:rPr>
        <w:t xml:space="preserve">Telecom </w:t>
      </w:r>
      <w:r w:rsidR="005E526C" w:rsidRPr="006C3284">
        <w:rPr>
          <w:rFonts w:cstheme="minorHAnsi"/>
          <w:sz w:val="24"/>
          <w:szCs w:val="24"/>
        </w:rPr>
        <w:t>have elected to take up the spectrum set aside:</w:t>
      </w:r>
    </w:p>
    <w:p w14:paraId="3F78B52B" w14:textId="3CC7AFA6" w:rsidR="005E526C" w:rsidRPr="006C3284" w:rsidRDefault="006A3087" w:rsidP="00FF2634">
      <w:pPr>
        <w:pStyle w:val="ListParagraph"/>
        <w:numPr>
          <w:ilvl w:val="0"/>
          <w:numId w:val="20"/>
        </w:numPr>
        <w:ind w:left="567" w:hanging="567"/>
        <w:rPr>
          <w:rFonts w:cstheme="minorHAnsi"/>
          <w:sz w:val="24"/>
          <w:szCs w:val="24"/>
        </w:rPr>
      </w:pPr>
      <w:r w:rsidRPr="006C3284">
        <w:rPr>
          <w:rFonts w:cstheme="minorHAnsi"/>
          <w:sz w:val="24"/>
          <w:szCs w:val="24"/>
        </w:rPr>
        <w:t>every person other than Optus and TPG</w:t>
      </w:r>
      <w:r w:rsidR="00B03058" w:rsidRPr="006C3284">
        <w:rPr>
          <w:rFonts w:cstheme="minorHAnsi"/>
          <w:sz w:val="24"/>
          <w:szCs w:val="24"/>
        </w:rPr>
        <w:t xml:space="preserve"> Telecom </w:t>
      </w:r>
      <w:r w:rsidR="00C16BD8" w:rsidRPr="006C3284">
        <w:rPr>
          <w:rFonts w:cstheme="minorHAnsi"/>
          <w:sz w:val="24"/>
          <w:szCs w:val="24"/>
        </w:rPr>
        <w:t xml:space="preserve">and their relevant associates, </w:t>
      </w:r>
      <w:r w:rsidRPr="006C3284">
        <w:rPr>
          <w:rFonts w:cstheme="minorHAnsi"/>
          <w:sz w:val="24"/>
          <w:szCs w:val="24"/>
        </w:rPr>
        <w:t>may in total use no more than an aggregate of 20 MHz of spectrum in the relevant bands</w:t>
      </w:r>
      <w:r w:rsidR="005E526C" w:rsidRPr="006C3284">
        <w:rPr>
          <w:rFonts w:cstheme="minorHAnsi"/>
          <w:sz w:val="24"/>
          <w:szCs w:val="24"/>
        </w:rPr>
        <w:t>;</w:t>
      </w:r>
    </w:p>
    <w:p w14:paraId="39D29378" w14:textId="77777777" w:rsidR="005E526C" w:rsidRPr="006C3284" w:rsidRDefault="00C16BD8" w:rsidP="00FF2634">
      <w:pPr>
        <w:pStyle w:val="ListParagraph"/>
        <w:numPr>
          <w:ilvl w:val="0"/>
          <w:numId w:val="20"/>
        </w:numPr>
        <w:ind w:left="567" w:hanging="567"/>
        <w:rPr>
          <w:rFonts w:cstheme="minorHAnsi"/>
          <w:sz w:val="24"/>
          <w:szCs w:val="24"/>
        </w:rPr>
      </w:pPr>
      <w:r w:rsidRPr="006C3284">
        <w:rPr>
          <w:rFonts w:cstheme="minorHAnsi"/>
          <w:sz w:val="24"/>
          <w:szCs w:val="24"/>
        </w:rPr>
        <w:t>every person other than Optus and its relevant associates, may in total use no more than an aggregate of 30 MHz of</w:t>
      </w:r>
      <w:r w:rsidR="005E526C" w:rsidRPr="006C3284">
        <w:rPr>
          <w:rFonts w:cstheme="minorHAnsi"/>
          <w:sz w:val="24"/>
          <w:szCs w:val="24"/>
        </w:rPr>
        <w:t xml:space="preserve"> spectrum in the relevant bands; and,</w:t>
      </w:r>
    </w:p>
    <w:p w14:paraId="143EB708" w14:textId="5E702DAC" w:rsidR="00C16BD8" w:rsidRPr="006C3284" w:rsidRDefault="00C16BD8" w:rsidP="00FF2634">
      <w:pPr>
        <w:pStyle w:val="ListParagraph"/>
        <w:numPr>
          <w:ilvl w:val="0"/>
          <w:numId w:val="20"/>
        </w:numPr>
        <w:ind w:left="567" w:hanging="567"/>
        <w:rPr>
          <w:rFonts w:cstheme="minorHAnsi"/>
          <w:sz w:val="24"/>
          <w:szCs w:val="24"/>
        </w:rPr>
      </w:pPr>
      <w:proofErr w:type="gramStart"/>
      <w:r w:rsidRPr="006C3284">
        <w:rPr>
          <w:rFonts w:cstheme="minorHAnsi"/>
          <w:sz w:val="24"/>
          <w:szCs w:val="24"/>
        </w:rPr>
        <w:t>every</w:t>
      </w:r>
      <w:proofErr w:type="gramEnd"/>
      <w:r w:rsidRPr="006C3284">
        <w:rPr>
          <w:rFonts w:cstheme="minorHAnsi"/>
          <w:sz w:val="24"/>
          <w:szCs w:val="24"/>
        </w:rPr>
        <w:t xml:space="preserve"> person other than TPG </w:t>
      </w:r>
      <w:r w:rsidR="00B03058" w:rsidRPr="006C3284">
        <w:rPr>
          <w:rFonts w:cstheme="minorHAnsi"/>
          <w:sz w:val="24"/>
          <w:szCs w:val="24"/>
        </w:rPr>
        <w:t xml:space="preserve">Telecom </w:t>
      </w:r>
      <w:r w:rsidRPr="006C3284">
        <w:rPr>
          <w:rFonts w:cstheme="minorHAnsi"/>
          <w:sz w:val="24"/>
          <w:szCs w:val="24"/>
        </w:rPr>
        <w:t>and its relevant associates, may in total use no more than an aggregate of 30 MHz of spectrum in the relevant bands.</w:t>
      </w:r>
    </w:p>
    <w:p w14:paraId="06216104" w14:textId="6F45E950" w:rsidR="002125A7" w:rsidRPr="006C3284" w:rsidRDefault="002125A7" w:rsidP="00C627C9">
      <w:pPr>
        <w:rPr>
          <w:rFonts w:cstheme="minorHAnsi"/>
          <w:sz w:val="24"/>
          <w:szCs w:val="24"/>
        </w:rPr>
      </w:pPr>
      <w:r w:rsidRPr="006C3284">
        <w:rPr>
          <w:rFonts w:cstheme="minorHAnsi"/>
          <w:sz w:val="24"/>
          <w:szCs w:val="24"/>
        </w:rPr>
        <w:t xml:space="preserve">Item </w:t>
      </w:r>
      <w:r w:rsidR="005E526C" w:rsidRPr="006C3284">
        <w:rPr>
          <w:rFonts w:cstheme="minorHAnsi"/>
          <w:sz w:val="24"/>
          <w:szCs w:val="24"/>
        </w:rPr>
        <w:t>2</w:t>
      </w:r>
      <w:r w:rsidRPr="006C3284">
        <w:rPr>
          <w:rFonts w:cstheme="minorHAnsi"/>
          <w:sz w:val="24"/>
          <w:szCs w:val="24"/>
        </w:rPr>
        <w:t xml:space="preserve"> provides that if Optus </w:t>
      </w:r>
      <w:r w:rsidR="005E526C" w:rsidRPr="006C3284">
        <w:rPr>
          <w:rFonts w:cstheme="minorHAnsi"/>
          <w:sz w:val="24"/>
          <w:szCs w:val="24"/>
        </w:rPr>
        <w:t>has elected to take up the spectrum set-aside</w:t>
      </w:r>
      <w:r w:rsidRPr="006C3284">
        <w:rPr>
          <w:rFonts w:cstheme="minorHAnsi"/>
          <w:sz w:val="24"/>
          <w:szCs w:val="24"/>
        </w:rPr>
        <w:t xml:space="preserve">, but TPG </w:t>
      </w:r>
      <w:r w:rsidR="00B03058" w:rsidRPr="006C3284">
        <w:rPr>
          <w:rFonts w:cstheme="minorHAnsi"/>
          <w:sz w:val="24"/>
          <w:szCs w:val="24"/>
        </w:rPr>
        <w:t xml:space="preserve">Telecom </w:t>
      </w:r>
      <w:r w:rsidR="005E526C" w:rsidRPr="006C3284">
        <w:rPr>
          <w:rFonts w:cstheme="minorHAnsi"/>
          <w:sz w:val="24"/>
          <w:szCs w:val="24"/>
        </w:rPr>
        <w:t>has</w:t>
      </w:r>
      <w:r w:rsidRPr="006C3284">
        <w:rPr>
          <w:rFonts w:cstheme="minorHAnsi"/>
          <w:sz w:val="24"/>
          <w:szCs w:val="24"/>
        </w:rPr>
        <w:t xml:space="preserve"> not, every person other than Optus and its relevant associates may in total use no more than an aggregate of 30 MHz of spectrum.</w:t>
      </w:r>
    </w:p>
    <w:p w14:paraId="1D71205B" w14:textId="1384D5FF" w:rsidR="002125A7" w:rsidRPr="006C3284" w:rsidRDefault="00B51477" w:rsidP="00C627C9">
      <w:pPr>
        <w:rPr>
          <w:rFonts w:cstheme="minorHAnsi"/>
          <w:sz w:val="24"/>
          <w:szCs w:val="24"/>
        </w:rPr>
      </w:pPr>
      <w:r w:rsidRPr="006C3284">
        <w:rPr>
          <w:rFonts w:cstheme="minorHAnsi"/>
          <w:sz w:val="24"/>
          <w:szCs w:val="24"/>
        </w:rPr>
        <w:t>Item 3</w:t>
      </w:r>
      <w:r w:rsidR="002125A7" w:rsidRPr="006C3284">
        <w:rPr>
          <w:rFonts w:cstheme="minorHAnsi"/>
          <w:sz w:val="24"/>
          <w:szCs w:val="24"/>
        </w:rPr>
        <w:t xml:space="preserve"> provides that if TPG </w:t>
      </w:r>
      <w:r w:rsidR="00B03058" w:rsidRPr="006C3284">
        <w:rPr>
          <w:rFonts w:cstheme="minorHAnsi"/>
          <w:sz w:val="24"/>
          <w:szCs w:val="24"/>
        </w:rPr>
        <w:t xml:space="preserve">Telecom </w:t>
      </w:r>
      <w:r w:rsidR="005E526C" w:rsidRPr="006C3284">
        <w:rPr>
          <w:rFonts w:cstheme="minorHAnsi"/>
          <w:sz w:val="24"/>
          <w:szCs w:val="24"/>
        </w:rPr>
        <w:t>has elected to take up the spectrum set-aside</w:t>
      </w:r>
      <w:r w:rsidR="002125A7" w:rsidRPr="006C3284">
        <w:rPr>
          <w:rFonts w:cstheme="minorHAnsi"/>
          <w:sz w:val="24"/>
          <w:szCs w:val="24"/>
        </w:rPr>
        <w:t xml:space="preserve">, but Optus </w:t>
      </w:r>
      <w:r w:rsidR="005E526C" w:rsidRPr="006C3284">
        <w:rPr>
          <w:rFonts w:cstheme="minorHAnsi"/>
          <w:sz w:val="24"/>
          <w:szCs w:val="24"/>
        </w:rPr>
        <w:t xml:space="preserve">has </w:t>
      </w:r>
      <w:r w:rsidR="002125A7" w:rsidRPr="006C3284">
        <w:rPr>
          <w:rFonts w:cstheme="minorHAnsi"/>
          <w:sz w:val="24"/>
          <w:szCs w:val="24"/>
        </w:rPr>
        <w:t xml:space="preserve">not, every person other than TPG </w:t>
      </w:r>
      <w:r w:rsidR="00B03058" w:rsidRPr="006C3284">
        <w:rPr>
          <w:rFonts w:cstheme="minorHAnsi"/>
          <w:sz w:val="24"/>
          <w:szCs w:val="24"/>
        </w:rPr>
        <w:t xml:space="preserve">Telecom </w:t>
      </w:r>
      <w:r w:rsidR="002125A7" w:rsidRPr="006C3284">
        <w:rPr>
          <w:rFonts w:cstheme="minorHAnsi"/>
          <w:sz w:val="24"/>
          <w:szCs w:val="24"/>
        </w:rPr>
        <w:t>and its relevant associates may in total use no more than an aggregate of 30 MHz of spectrum.</w:t>
      </w:r>
    </w:p>
    <w:p w14:paraId="03ED3202" w14:textId="634A975D" w:rsidR="00C16BD8" w:rsidRPr="006C3284" w:rsidRDefault="00C16BD8" w:rsidP="00C627C9">
      <w:pPr>
        <w:rPr>
          <w:rFonts w:cstheme="minorHAnsi"/>
          <w:sz w:val="24"/>
          <w:szCs w:val="24"/>
        </w:rPr>
      </w:pPr>
      <w:r w:rsidRPr="006C3284">
        <w:rPr>
          <w:rFonts w:cstheme="minorHAnsi"/>
          <w:sz w:val="24"/>
          <w:szCs w:val="24"/>
        </w:rPr>
        <w:t xml:space="preserve">For example, in the event that Optus and TPG </w:t>
      </w:r>
      <w:r w:rsidR="00B03058" w:rsidRPr="006C3284">
        <w:rPr>
          <w:rFonts w:cstheme="minorHAnsi"/>
          <w:sz w:val="24"/>
          <w:szCs w:val="24"/>
        </w:rPr>
        <w:t xml:space="preserve">Telecom </w:t>
      </w:r>
      <w:r w:rsidR="005E526C" w:rsidRPr="006C3284">
        <w:rPr>
          <w:rFonts w:cstheme="minorHAnsi"/>
          <w:sz w:val="24"/>
          <w:szCs w:val="24"/>
        </w:rPr>
        <w:t>have elected to take up the set-aside spectrum</w:t>
      </w:r>
      <w:r w:rsidRPr="006C3284">
        <w:rPr>
          <w:rFonts w:cstheme="minorHAnsi"/>
          <w:sz w:val="24"/>
          <w:szCs w:val="24"/>
        </w:rPr>
        <w:t xml:space="preserve">, </w:t>
      </w:r>
      <w:r w:rsidR="00B51477" w:rsidRPr="006C3284">
        <w:rPr>
          <w:rFonts w:cstheme="minorHAnsi"/>
          <w:sz w:val="24"/>
          <w:szCs w:val="24"/>
        </w:rPr>
        <w:t>and there is</w:t>
      </w:r>
      <w:r w:rsidRPr="006C3284">
        <w:rPr>
          <w:rFonts w:cstheme="minorHAnsi"/>
          <w:sz w:val="24"/>
          <w:szCs w:val="24"/>
        </w:rPr>
        <w:t xml:space="preserve"> </w:t>
      </w:r>
      <w:r w:rsidR="005E526C" w:rsidRPr="006C3284">
        <w:rPr>
          <w:rFonts w:cstheme="minorHAnsi"/>
          <w:sz w:val="24"/>
          <w:szCs w:val="24"/>
        </w:rPr>
        <w:t>one other bidder, ‘A’:</w:t>
      </w:r>
    </w:p>
    <w:p w14:paraId="3C83164A" w14:textId="2DF55726" w:rsidR="00C16BD8" w:rsidRPr="006C3284" w:rsidRDefault="00B51477" w:rsidP="00FF2634">
      <w:pPr>
        <w:pStyle w:val="ListParagraph"/>
        <w:numPr>
          <w:ilvl w:val="0"/>
          <w:numId w:val="9"/>
        </w:numPr>
        <w:ind w:left="567" w:hanging="567"/>
        <w:rPr>
          <w:rFonts w:cstheme="minorHAnsi"/>
          <w:sz w:val="24"/>
          <w:szCs w:val="24"/>
        </w:rPr>
      </w:pPr>
      <w:r w:rsidRPr="006C3284">
        <w:rPr>
          <w:rFonts w:cstheme="minorHAnsi"/>
          <w:sz w:val="24"/>
          <w:szCs w:val="24"/>
        </w:rPr>
        <w:t>‘</w:t>
      </w:r>
      <w:r w:rsidR="00C16BD8" w:rsidRPr="006C3284">
        <w:rPr>
          <w:rFonts w:cstheme="minorHAnsi"/>
          <w:sz w:val="24"/>
          <w:szCs w:val="24"/>
        </w:rPr>
        <w:t>A</w:t>
      </w:r>
      <w:r w:rsidRPr="006C3284">
        <w:rPr>
          <w:rFonts w:cstheme="minorHAnsi"/>
          <w:sz w:val="24"/>
          <w:szCs w:val="24"/>
        </w:rPr>
        <w:t>’</w:t>
      </w:r>
      <w:r w:rsidR="00C16BD8" w:rsidRPr="006C3284">
        <w:rPr>
          <w:rFonts w:cstheme="minorHAnsi"/>
          <w:sz w:val="24"/>
          <w:szCs w:val="24"/>
        </w:rPr>
        <w:t xml:space="preserve"> may, in total, </w:t>
      </w:r>
      <w:r w:rsidR="00D25921" w:rsidRPr="006C3284">
        <w:rPr>
          <w:rFonts w:cstheme="minorHAnsi"/>
          <w:sz w:val="24"/>
          <w:szCs w:val="24"/>
        </w:rPr>
        <w:t>us</w:t>
      </w:r>
      <w:r w:rsidR="00B15333" w:rsidRPr="006C3284">
        <w:rPr>
          <w:rFonts w:cstheme="minorHAnsi"/>
          <w:sz w:val="24"/>
          <w:szCs w:val="24"/>
        </w:rPr>
        <w:t>e up to 20 MHz of spectrum in the relevant bands</w:t>
      </w:r>
      <w:r w:rsidR="00C16BD8" w:rsidRPr="006C3284">
        <w:rPr>
          <w:rFonts w:cstheme="minorHAnsi"/>
          <w:sz w:val="24"/>
          <w:szCs w:val="24"/>
        </w:rPr>
        <w:t xml:space="preserve"> (</w:t>
      </w:r>
      <w:r w:rsidR="00B15333" w:rsidRPr="006C3284">
        <w:rPr>
          <w:rFonts w:cstheme="minorHAnsi"/>
          <w:sz w:val="24"/>
          <w:szCs w:val="24"/>
        </w:rPr>
        <w:t>per Item 1</w:t>
      </w:r>
      <w:r w:rsidR="00B03058" w:rsidRPr="006C3284">
        <w:rPr>
          <w:rFonts w:cstheme="minorHAnsi"/>
          <w:sz w:val="24"/>
          <w:szCs w:val="24"/>
        </w:rPr>
        <w:t xml:space="preserve"> (a)</w:t>
      </w:r>
      <w:r w:rsidR="00B15333" w:rsidRPr="006C3284">
        <w:rPr>
          <w:rFonts w:cstheme="minorHAnsi"/>
          <w:sz w:val="24"/>
          <w:szCs w:val="24"/>
        </w:rPr>
        <w:t>)</w:t>
      </w:r>
    </w:p>
    <w:p w14:paraId="64A772E0" w14:textId="5A50BB04" w:rsidR="00C16BD8" w:rsidRPr="006C3284" w:rsidRDefault="00166276" w:rsidP="00FF2634">
      <w:pPr>
        <w:pStyle w:val="ListParagraph"/>
        <w:numPr>
          <w:ilvl w:val="0"/>
          <w:numId w:val="9"/>
        </w:numPr>
        <w:ind w:left="567" w:hanging="567"/>
        <w:rPr>
          <w:rFonts w:cstheme="minorHAnsi"/>
          <w:sz w:val="24"/>
          <w:szCs w:val="24"/>
        </w:rPr>
      </w:pPr>
      <w:r w:rsidRPr="006C3284">
        <w:rPr>
          <w:rFonts w:cstheme="minorHAnsi"/>
          <w:sz w:val="24"/>
          <w:szCs w:val="24"/>
        </w:rPr>
        <w:t>TPG</w:t>
      </w:r>
      <w:r w:rsidR="00B03058" w:rsidRPr="006C3284">
        <w:rPr>
          <w:rFonts w:cstheme="minorHAnsi"/>
          <w:sz w:val="24"/>
          <w:szCs w:val="24"/>
        </w:rPr>
        <w:t xml:space="preserve"> Telecom</w:t>
      </w:r>
      <w:r w:rsidRPr="006C3284">
        <w:rPr>
          <w:rFonts w:cstheme="minorHAnsi"/>
          <w:sz w:val="24"/>
          <w:szCs w:val="24"/>
        </w:rPr>
        <w:t xml:space="preserve"> and its relevant associates</w:t>
      </w:r>
      <w:r w:rsidR="00C16BD8" w:rsidRPr="006C3284">
        <w:rPr>
          <w:rFonts w:cstheme="minorHAnsi"/>
          <w:sz w:val="24"/>
          <w:szCs w:val="24"/>
        </w:rPr>
        <w:t xml:space="preserve">, </w:t>
      </w:r>
      <w:r w:rsidR="00B15333" w:rsidRPr="006C3284">
        <w:rPr>
          <w:rFonts w:cstheme="minorHAnsi"/>
          <w:sz w:val="24"/>
          <w:szCs w:val="24"/>
        </w:rPr>
        <w:t xml:space="preserve">and </w:t>
      </w:r>
      <w:r w:rsidR="00B51477" w:rsidRPr="006C3284">
        <w:rPr>
          <w:rFonts w:cstheme="minorHAnsi"/>
          <w:sz w:val="24"/>
          <w:szCs w:val="24"/>
        </w:rPr>
        <w:t>‘</w:t>
      </w:r>
      <w:r w:rsidR="00B15333" w:rsidRPr="006C3284">
        <w:rPr>
          <w:rFonts w:cstheme="minorHAnsi"/>
          <w:sz w:val="24"/>
          <w:szCs w:val="24"/>
        </w:rPr>
        <w:t>A</w:t>
      </w:r>
      <w:r w:rsidR="00B51477" w:rsidRPr="006C3284">
        <w:rPr>
          <w:rFonts w:cstheme="minorHAnsi"/>
          <w:sz w:val="24"/>
          <w:szCs w:val="24"/>
        </w:rPr>
        <w:t>’</w:t>
      </w:r>
      <w:r w:rsidR="005E526C" w:rsidRPr="006C3284">
        <w:rPr>
          <w:rFonts w:cstheme="minorHAnsi"/>
          <w:sz w:val="24"/>
          <w:szCs w:val="24"/>
        </w:rPr>
        <w:t>,</w:t>
      </w:r>
      <w:r w:rsidR="00B15333" w:rsidRPr="006C3284">
        <w:rPr>
          <w:rFonts w:cstheme="minorHAnsi"/>
          <w:sz w:val="24"/>
          <w:szCs w:val="24"/>
        </w:rPr>
        <w:t xml:space="preserve"> may,</w:t>
      </w:r>
      <w:r w:rsidR="00C16BD8" w:rsidRPr="006C3284">
        <w:rPr>
          <w:rFonts w:cstheme="minorHAnsi"/>
          <w:sz w:val="24"/>
          <w:szCs w:val="24"/>
        </w:rPr>
        <w:t xml:space="preserve"> in total</w:t>
      </w:r>
      <w:r w:rsidR="002125A7" w:rsidRPr="006C3284">
        <w:rPr>
          <w:rFonts w:cstheme="minorHAnsi"/>
          <w:sz w:val="24"/>
          <w:szCs w:val="24"/>
        </w:rPr>
        <w:t>,</w:t>
      </w:r>
      <w:r w:rsidR="00C16BD8" w:rsidRPr="006C3284">
        <w:rPr>
          <w:rFonts w:cstheme="minorHAnsi"/>
          <w:sz w:val="24"/>
          <w:szCs w:val="24"/>
        </w:rPr>
        <w:t xml:space="preserve"> </w:t>
      </w:r>
      <w:r w:rsidR="00D25921" w:rsidRPr="006C3284">
        <w:rPr>
          <w:rFonts w:cstheme="minorHAnsi"/>
          <w:sz w:val="24"/>
          <w:szCs w:val="24"/>
        </w:rPr>
        <w:t>us</w:t>
      </w:r>
      <w:r w:rsidR="00B15333" w:rsidRPr="006C3284">
        <w:rPr>
          <w:rFonts w:cstheme="minorHAnsi"/>
          <w:sz w:val="24"/>
          <w:szCs w:val="24"/>
        </w:rPr>
        <w:t>e up to 30 MHz of spectrum i</w:t>
      </w:r>
      <w:r w:rsidR="00B03058" w:rsidRPr="006C3284">
        <w:rPr>
          <w:rFonts w:cstheme="minorHAnsi"/>
          <w:sz w:val="24"/>
          <w:szCs w:val="24"/>
        </w:rPr>
        <w:t>n the relevant bands (per Item (b)</w:t>
      </w:r>
      <w:r w:rsidR="00C16BD8" w:rsidRPr="006C3284">
        <w:rPr>
          <w:rFonts w:cstheme="minorHAnsi"/>
          <w:sz w:val="24"/>
          <w:szCs w:val="24"/>
        </w:rPr>
        <w:t>)</w:t>
      </w:r>
      <w:r w:rsidR="002125A7" w:rsidRPr="006C3284">
        <w:rPr>
          <w:rFonts w:cstheme="minorHAnsi"/>
          <w:sz w:val="24"/>
          <w:szCs w:val="24"/>
        </w:rPr>
        <w:t>; and</w:t>
      </w:r>
    </w:p>
    <w:p w14:paraId="32F1589B" w14:textId="33CF3561" w:rsidR="002125A7" w:rsidRPr="006C3284" w:rsidRDefault="00166276" w:rsidP="00FF2634">
      <w:pPr>
        <w:pStyle w:val="ListParagraph"/>
        <w:numPr>
          <w:ilvl w:val="0"/>
          <w:numId w:val="9"/>
        </w:numPr>
        <w:ind w:left="567" w:hanging="567"/>
        <w:rPr>
          <w:rFonts w:cstheme="minorHAnsi"/>
          <w:sz w:val="24"/>
          <w:szCs w:val="24"/>
        </w:rPr>
      </w:pPr>
      <w:r w:rsidRPr="006C3284">
        <w:rPr>
          <w:rFonts w:cstheme="minorHAnsi"/>
          <w:sz w:val="24"/>
          <w:szCs w:val="24"/>
        </w:rPr>
        <w:t>Optus and its relevant associates</w:t>
      </w:r>
      <w:r w:rsidR="002125A7" w:rsidRPr="006C3284">
        <w:rPr>
          <w:rFonts w:cstheme="minorHAnsi"/>
          <w:sz w:val="24"/>
          <w:szCs w:val="24"/>
        </w:rPr>
        <w:t xml:space="preserve">, </w:t>
      </w:r>
      <w:r w:rsidR="00B15333" w:rsidRPr="006C3284">
        <w:rPr>
          <w:rFonts w:cstheme="minorHAnsi"/>
          <w:sz w:val="24"/>
          <w:szCs w:val="24"/>
        </w:rPr>
        <w:t xml:space="preserve">and </w:t>
      </w:r>
      <w:r w:rsidR="00B51477" w:rsidRPr="006C3284">
        <w:rPr>
          <w:rFonts w:cstheme="minorHAnsi"/>
          <w:sz w:val="24"/>
          <w:szCs w:val="24"/>
        </w:rPr>
        <w:t>‘</w:t>
      </w:r>
      <w:r w:rsidR="00B15333" w:rsidRPr="006C3284">
        <w:rPr>
          <w:rFonts w:cstheme="minorHAnsi"/>
          <w:sz w:val="24"/>
          <w:szCs w:val="24"/>
        </w:rPr>
        <w:t>A</w:t>
      </w:r>
      <w:r w:rsidR="00B51477" w:rsidRPr="006C3284">
        <w:rPr>
          <w:rFonts w:cstheme="minorHAnsi"/>
          <w:sz w:val="24"/>
          <w:szCs w:val="24"/>
        </w:rPr>
        <w:t>’</w:t>
      </w:r>
      <w:r w:rsidR="005E526C" w:rsidRPr="006C3284">
        <w:rPr>
          <w:rFonts w:cstheme="minorHAnsi"/>
          <w:sz w:val="24"/>
          <w:szCs w:val="24"/>
        </w:rPr>
        <w:t>,</w:t>
      </w:r>
      <w:r w:rsidR="002125A7" w:rsidRPr="006C3284">
        <w:rPr>
          <w:rFonts w:cstheme="minorHAnsi"/>
          <w:sz w:val="24"/>
          <w:szCs w:val="24"/>
        </w:rPr>
        <w:t xml:space="preserve"> may, in total, </w:t>
      </w:r>
      <w:r w:rsidR="00D25921" w:rsidRPr="006C3284">
        <w:rPr>
          <w:rFonts w:cstheme="minorHAnsi"/>
          <w:sz w:val="24"/>
          <w:szCs w:val="24"/>
        </w:rPr>
        <w:t>us</w:t>
      </w:r>
      <w:r w:rsidR="00B15333" w:rsidRPr="006C3284">
        <w:rPr>
          <w:rFonts w:cstheme="minorHAnsi"/>
          <w:sz w:val="24"/>
          <w:szCs w:val="24"/>
        </w:rPr>
        <w:t xml:space="preserve">e up to 30 MHz of spectrum in the relevant bands </w:t>
      </w:r>
      <w:r w:rsidR="002125A7" w:rsidRPr="006C3284">
        <w:rPr>
          <w:rFonts w:cstheme="minorHAnsi"/>
          <w:sz w:val="24"/>
          <w:szCs w:val="24"/>
        </w:rPr>
        <w:t>(</w:t>
      </w:r>
      <w:r w:rsidR="00B15333" w:rsidRPr="006C3284">
        <w:rPr>
          <w:rFonts w:cstheme="minorHAnsi"/>
          <w:sz w:val="24"/>
          <w:szCs w:val="24"/>
        </w:rPr>
        <w:t xml:space="preserve">per </w:t>
      </w:r>
      <w:r w:rsidR="002125A7" w:rsidRPr="006C3284">
        <w:rPr>
          <w:rFonts w:cstheme="minorHAnsi"/>
          <w:sz w:val="24"/>
          <w:szCs w:val="24"/>
        </w:rPr>
        <w:t xml:space="preserve">Item </w:t>
      </w:r>
      <w:r w:rsidR="00B03058" w:rsidRPr="006C3284">
        <w:rPr>
          <w:rFonts w:cstheme="minorHAnsi"/>
          <w:sz w:val="24"/>
          <w:szCs w:val="24"/>
        </w:rPr>
        <w:t>1 (c)</w:t>
      </w:r>
      <w:r w:rsidR="002125A7" w:rsidRPr="006C3284">
        <w:rPr>
          <w:rFonts w:cstheme="minorHAnsi"/>
          <w:sz w:val="24"/>
          <w:szCs w:val="24"/>
        </w:rPr>
        <w:t>).</w:t>
      </w:r>
    </w:p>
    <w:p w14:paraId="2E2E5B33" w14:textId="53AA4F2A" w:rsidR="00D25921" w:rsidRPr="006C3284" w:rsidRDefault="00D25921" w:rsidP="002125A7">
      <w:pPr>
        <w:rPr>
          <w:rFonts w:cstheme="minorHAnsi"/>
          <w:sz w:val="24"/>
          <w:szCs w:val="24"/>
        </w:rPr>
      </w:pPr>
      <w:r w:rsidRPr="006C3284">
        <w:rPr>
          <w:rFonts w:cstheme="minorHAnsi"/>
          <w:sz w:val="24"/>
          <w:szCs w:val="24"/>
        </w:rPr>
        <w:t xml:space="preserve">40 MHz of spectrum will be allocated in the relevant bands. </w:t>
      </w:r>
      <w:r w:rsidR="00B51477" w:rsidRPr="006C3284">
        <w:rPr>
          <w:rFonts w:cstheme="minorHAnsi"/>
          <w:sz w:val="24"/>
          <w:szCs w:val="24"/>
        </w:rPr>
        <w:t>‘</w:t>
      </w:r>
      <w:r w:rsidR="00B15333" w:rsidRPr="006C3284">
        <w:rPr>
          <w:rFonts w:cstheme="minorHAnsi"/>
          <w:sz w:val="24"/>
          <w:szCs w:val="24"/>
        </w:rPr>
        <w:t>A</w:t>
      </w:r>
      <w:r w:rsidR="00B51477" w:rsidRPr="006C3284">
        <w:rPr>
          <w:rFonts w:cstheme="minorHAnsi"/>
          <w:sz w:val="24"/>
          <w:szCs w:val="24"/>
        </w:rPr>
        <w:t>’</w:t>
      </w:r>
      <w:r w:rsidR="00B15333" w:rsidRPr="006C3284">
        <w:rPr>
          <w:rFonts w:cstheme="minorHAnsi"/>
          <w:sz w:val="24"/>
          <w:szCs w:val="24"/>
        </w:rPr>
        <w:t xml:space="preserve"> cannot </w:t>
      </w:r>
      <w:r w:rsidRPr="006C3284">
        <w:rPr>
          <w:rFonts w:cstheme="minorHAnsi"/>
          <w:sz w:val="24"/>
          <w:szCs w:val="24"/>
        </w:rPr>
        <w:t>us</w:t>
      </w:r>
      <w:r w:rsidR="00B15333" w:rsidRPr="006C3284">
        <w:rPr>
          <w:rFonts w:cstheme="minorHAnsi"/>
          <w:sz w:val="24"/>
          <w:szCs w:val="24"/>
        </w:rPr>
        <w:t>e more than 20</w:t>
      </w:r>
      <w:r w:rsidR="00121713" w:rsidRPr="006C3284">
        <w:rPr>
          <w:rFonts w:cstheme="minorHAnsi"/>
          <w:sz w:val="24"/>
          <w:szCs w:val="24"/>
        </w:rPr>
        <w:t> </w:t>
      </w:r>
      <w:r w:rsidR="00B15333" w:rsidRPr="006C3284">
        <w:rPr>
          <w:rFonts w:cstheme="minorHAnsi"/>
          <w:sz w:val="24"/>
          <w:szCs w:val="24"/>
        </w:rPr>
        <w:t>MHz of spectrum in the relevant bands (</w:t>
      </w:r>
      <w:r w:rsidR="00B22D8A" w:rsidRPr="006C3284">
        <w:rPr>
          <w:rFonts w:cstheme="minorHAnsi"/>
          <w:sz w:val="24"/>
          <w:szCs w:val="24"/>
        </w:rPr>
        <w:t>per</w:t>
      </w:r>
      <w:r w:rsidR="00B15333" w:rsidRPr="006C3284">
        <w:rPr>
          <w:rFonts w:cstheme="minorHAnsi"/>
          <w:sz w:val="24"/>
          <w:szCs w:val="24"/>
        </w:rPr>
        <w:t xml:space="preserve"> 1, above)</w:t>
      </w:r>
      <w:r w:rsidRPr="006C3284">
        <w:rPr>
          <w:rFonts w:cstheme="minorHAnsi"/>
          <w:sz w:val="24"/>
          <w:szCs w:val="24"/>
        </w:rPr>
        <w:t xml:space="preserve">. Any combination of Optus or TPG Telecom and </w:t>
      </w:r>
      <w:r w:rsidR="00B51477" w:rsidRPr="006C3284">
        <w:rPr>
          <w:rFonts w:cstheme="minorHAnsi"/>
          <w:sz w:val="24"/>
          <w:szCs w:val="24"/>
        </w:rPr>
        <w:t>‘</w:t>
      </w:r>
      <w:r w:rsidRPr="006C3284">
        <w:rPr>
          <w:rFonts w:cstheme="minorHAnsi"/>
          <w:sz w:val="24"/>
          <w:szCs w:val="24"/>
        </w:rPr>
        <w:t>A</w:t>
      </w:r>
      <w:r w:rsidR="00B51477" w:rsidRPr="006C3284">
        <w:rPr>
          <w:rFonts w:cstheme="minorHAnsi"/>
          <w:sz w:val="24"/>
          <w:szCs w:val="24"/>
        </w:rPr>
        <w:t>’</w:t>
      </w:r>
      <w:r w:rsidRPr="006C3284">
        <w:rPr>
          <w:rFonts w:cstheme="minorHAnsi"/>
          <w:sz w:val="24"/>
          <w:szCs w:val="24"/>
        </w:rPr>
        <w:t xml:space="preserve"> could not use more than an aggregate of 30 MHz of spectrum.</w:t>
      </w:r>
      <w:r w:rsidR="00472B88" w:rsidRPr="006C3284">
        <w:rPr>
          <w:rFonts w:cstheme="minorHAnsi"/>
          <w:sz w:val="24"/>
          <w:szCs w:val="24"/>
        </w:rPr>
        <w:t xml:space="preserve"> This can be represented in the below equation</w:t>
      </w:r>
      <w:r w:rsidRPr="006C3284">
        <w:rPr>
          <w:rFonts w:cstheme="minorHAnsi"/>
          <w:sz w:val="24"/>
          <w:szCs w:val="24"/>
        </w:rPr>
        <w:t>:</w:t>
      </w:r>
    </w:p>
    <w:p w14:paraId="721EB017" w14:textId="63C4E199" w:rsidR="00D25921" w:rsidRPr="006C3284" w:rsidRDefault="00D25921" w:rsidP="00FD454D">
      <w:pPr>
        <w:spacing w:after="0"/>
        <w:rPr>
          <w:rFonts w:eastAsiaTheme="minorEastAsia" w:cstheme="minorHAnsi"/>
          <w:sz w:val="24"/>
          <w:szCs w:val="24"/>
        </w:rPr>
      </w:pPr>
      <m:oMathPara>
        <m:oMath>
          <m:r>
            <w:rPr>
              <w:rFonts w:ascii="Cambria Math" w:hAnsi="Cambria Math" w:cstheme="minorHAnsi"/>
              <w:sz w:val="24"/>
              <w:szCs w:val="24"/>
            </w:rPr>
            <m:t>A ≤20 MHz</m:t>
          </m:r>
        </m:oMath>
      </m:oMathPara>
    </w:p>
    <w:p w14:paraId="562F2C43" w14:textId="273A18A1" w:rsidR="00472B88" w:rsidRPr="006C3284" w:rsidRDefault="00D25921" w:rsidP="002125A7">
      <w:pPr>
        <w:rPr>
          <w:rFonts w:eastAsiaTheme="minorEastAsia" w:cstheme="minorHAnsi"/>
          <w:sz w:val="24"/>
          <w:szCs w:val="24"/>
        </w:rPr>
      </w:pPr>
      <m:oMathPara>
        <m:oMathParaPr>
          <m:jc m:val="center"/>
        </m:oMathParaPr>
        <m:oMath>
          <m:r>
            <w:rPr>
              <w:rFonts w:ascii="Cambria Math" w:hAnsi="Cambria Math" w:cstheme="minorHAnsi"/>
              <w:sz w:val="24"/>
              <w:szCs w:val="24"/>
            </w:rPr>
            <w:lastRenderedPageBreak/>
            <m:t>A + Optus ≤30 MHz</m:t>
          </m:r>
          <m:r>
            <m:rPr>
              <m:sty m:val="p"/>
            </m:rPr>
            <w:rPr>
              <w:rFonts w:ascii="Cambria Math" w:hAnsi="Cambria Math" w:cstheme="minorHAnsi"/>
              <w:sz w:val="24"/>
              <w:szCs w:val="24"/>
            </w:rPr>
            <w:br/>
          </m:r>
        </m:oMath>
        <m:oMath>
          <m:r>
            <w:rPr>
              <w:rFonts w:ascii="Cambria Math" w:eastAsiaTheme="minorEastAsia" w:hAnsi="Cambria Math" w:cstheme="minorHAnsi"/>
              <w:sz w:val="24"/>
              <w:szCs w:val="24"/>
            </w:rPr>
            <m:t>A +  TPG Telecom ≤30 MHz</m:t>
          </m:r>
        </m:oMath>
      </m:oMathPara>
    </w:p>
    <w:p w14:paraId="50C7FB34" w14:textId="7696FC15" w:rsidR="00D25921" w:rsidRPr="006C3284" w:rsidRDefault="00D25921" w:rsidP="002125A7">
      <w:pPr>
        <w:rPr>
          <w:rFonts w:cstheme="minorHAnsi"/>
          <w:sz w:val="24"/>
          <w:szCs w:val="24"/>
        </w:rPr>
      </w:pPr>
      <w:r w:rsidRPr="006C3284">
        <w:rPr>
          <w:rFonts w:cstheme="minorHAnsi"/>
          <w:sz w:val="24"/>
          <w:szCs w:val="24"/>
        </w:rPr>
        <w:t xml:space="preserve">Assuming </w:t>
      </w:r>
      <w:r w:rsidR="00B51477" w:rsidRPr="006C3284">
        <w:rPr>
          <w:rFonts w:cstheme="minorHAnsi"/>
          <w:sz w:val="24"/>
          <w:szCs w:val="24"/>
        </w:rPr>
        <w:t>‘</w:t>
      </w:r>
      <w:r w:rsidRPr="006C3284">
        <w:rPr>
          <w:rFonts w:cstheme="minorHAnsi"/>
          <w:sz w:val="24"/>
          <w:szCs w:val="24"/>
        </w:rPr>
        <w:t>A</w:t>
      </w:r>
      <w:r w:rsidR="00B51477" w:rsidRPr="006C3284">
        <w:rPr>
          <w:rFonts w:cstheme="minorHAnsi"/>
          <w:sz w:val="24"/>
          <w:szCs w:val="24"/>
        </w:rPr>
        <w:t>’</w:t>
      </w:r>
      <w:r w:rsidRPr="006C3284">
        <w:rPr>
          <w:rFonts w:cstheme="minorHAnsi"/>
          <w:sz w:val="24"/>
          <w:szCs w:val="24"/>
        </w:rPr>
        <w:t xml:space="preserve"> uses </w:t>
      </w:r>
      <w:r w:rsidR="00472B88" w:rsidRPr="006C3284">
        <w:rPr>
          <w:rFonts w:cstheme="minorHAnsi"/>
          <w:sz w:val="24"/>
          <w:szCs w:val="24"/>
        </w:rPr>
        <w:t>the maximum allowed</w:t>
      </w:r>
      <w:r w:rsidRPr="006C3284">
        <w:rPr>
          <w:rFonts w:cstheme="minorHAnsi"/>
          <w:sz w:val="24"/>
          <w:szCs w:val="24"/>
        </w:rPr>
        <w:t xml:space="preserve"> aggregate of 20 MHz of spectrum in the relevant bands:</w:t>
      </w:r>
    </w:p>
    <w:p w14:paraId="41D7A24B" w14:textId="77777777" w:rsidR="00472B88" w:rsidRPr="006C3284" w:rsidRDefault="00D25921" w:rsidP="00FD454D">
      <w:pPr>
        <w:spacing w:after="0"/>
        <w:rPr>
          <w:rFonts w:eastAsiaTheme="minorEastAsia" w:cstheme="minorHAnsi"/>
          <w:sz w:val="24"/>
          <w:szCs w:val="24"/>
        </w:rPr>
      </w:pPr>
      <m:oMathPara>
        <m:oMathParaPr>
          <m:jc m:val="center"/>
        </m:oMathParaPr>
        <m:oMath>
          <m:r>
            <w:rPr>
              <w:rFonts w:ascii="Cambria Math" w:hAnsi="Cambria Math" w:cstheme="minorHAnsi"/>
              <w:sz w:val="24"/>
              <w:szCs w:val="24"/>
            </w:rPr>
            <m:t>20 MHz + Optus ≤30 MHz</m:t>
          </m:r>
        </m:oMath>
      </m:oMathPara>
    </w:p>
    <w:p w14:paraId="54CFA9F9" w14:textId="6F236518" w:rsidR="00472B88" w:rsidRPr="006C3284" w:rsidRDefault="00472B88" w:rsidP="002125A7">
      <w:pPr>
        <w:rPr>
          <w:rFonts w:eastAsiaTheme="minorEastAsia" w:cstheme="minorHAnsi"/>
          <w:sz w:val="24"/>
          <w:szCs w:val="24"/>
        </w:rPr>
      </w:pPr>
      <m:oMathPara>
        <m:oMathParaPr>
          <m:jc m:val="center"/>
        </m:oMathParaPr>
        <m:oMath>
          <m:r>
            <w:rPr>
              <w:rFonts w:ascii="Cambria Math" w:hAnsi="Cambria Math" w:cstheme="minorHAnsi"/>
              <w:sz w:val="24"/>
              <w:szCs w:val="24"/>
            </w:rPr>
            <m:t>20 MHz+TPG Telecom ≤30 MHz</m:t>
          </m:r>
          <m:r>
            <m:rPr>
              <m:sty m:val="p"/>
            </m:rPr>
            <w:rPr>
              <w:rFonts w:ascii="Cambria Math" w:hAnsi="Cambria Math" w:cstheme="minorHAnsi"/>
              <w:sz w:val="24"/>
              <w:szCs w:val="24"/>
            </w:rPr>
            <w:br/>
          </m:r>
        </m:oMath>
        <m:oMath>
          <m:r>
            <w:rPr>
              <w:rFonts w:ascii="Cambria Math" w:eastAsiaTheme="minorEastAsia" w:hAnsi="Cambria Math" w:cstheme="minorHAnsi"/>
              <w:sz w:val="24"/>
              <w:szCs w:val="24"/>
            </w:rPr>
            <m:t>Optus  ≤10 MHz</m:t>
          </m:r>
          <m:r>
            <m:rPr>
              <m:sty m:val="p"/>
            </m:rPr>
            <w:rPr>
              <w:rFonts w:ascii="Cambria Math" w:eastAsiaTheme="minorEastAsia" w:hAnsi="Cambria Math" w:cstheme="minorHAnsi"/>
              <w:sz w:val="24"/>
              <w:szCs w:val="24"/>
            </w:rPr>
            <w:br/>
          </m:r>
        </m:oMath>
        <m:oMath>
          <m:r>
            <w:rPr>
              <w:rFonts w:ascii="Cambria Math" w:eastAsiaTheme="minorEastAsia" w:hAnsi="Cambria Math" w:cstheme="minorHAnsi"/>
              <w:sz w:val="24"/>
              <w:szCs w:val="24"/>
            </w:rPr>
            <m:t>TPG Telecom ≤10 MHz</m:t>
          </m:r>
        </m:oMath>
      </m:oMathPara>
    </w:p>
    <w:p w14:paraId="7E3AA7FD" w14:textId="47ABF29F" w:rsidR="002125A7" w:rsidRPr="006C3284" w:rsidRDefault="00D25921" w:rsidP="002125A7">
      <w:pPr>
        <w:rPr>
          <w:rFonts w:cstheme="minorHAnsi"/>
          <w:sz w:val="24"/>
          <w:szCs w:val="24"/>
        </w:rPr>
      </w:pPr>
      <w:r w:rsidRPr="006C3284">
        <w:rPr>
          <w:rFonts w:cstheme="minorHAnsi"/>
          <w:sz w:val="24"/>
          <w:szCs w:val="24"/>
        </w:rPr>
        <w:t>Therefore,</w:t>
      </w:r>
      <w:r w:rsidR="00B15333" w:rsidRPr="006C3284">
        <w:rPr>
          <w:rFonts w:cstheme="minorHAnsi"/>
          <w:sz w:val="24"/>
          <w:szCs w:val="24"/>
        </w:rPr>
        <w:t xml:space="preserve"> Optus and TPG</w:t>
      </w:r>
      <w:r w:rsidR="00B03058" w:rsidRPr="006C3284">
        <w:rPr>
          <w:rFonts w:cstheme="minorHAnsi"/>
          <w:sz w:val="24"/>
          <w:szCs w:val="24"/>
        </w:rPr>
        <w:t xml:space="preserve"> Telecom</w:t>
      </w:r>
      <w:r w:rsidR="00B15333" w:rsidRPr="006C3284">
        <w:rPr>
          <w:rFonts w:cstheme="minorHAnsi"/>
          <w:sz w:val="24"/>
          <w:szCs w:val="24"/>
        </w:rPr>
        <w:t xml:space="preserve"> would be guaranteed the opportunity to </w:t>
      </w:r>
      <w:r w:rsidRPr="006C3284">
        <w:rPr>
          <w:rFonts w:cstheme="minorHAnsi"/>
          <w:sz w:val="24"/>
          <w:szCs w:val="24"/>
        </w:rPr>
        <w:t>us</w:t>
      </w:r>
      <w:r w:rsidR="00B15333" w:rsidRPr="006C3284">
        <w:rPr>
          <w:rFonts w:cstheme="minorHAnsi"/>
          <w:sz w:val="24"/>
          <w:szCs w:val="24"/>
        </w:rPr>
        <w:t>e at least 10</w:t>
      </w:r>
      <w:r w:rsidR="00121713" w:rsidRPr="006C3284">
        <w:rPr>
          <w:rFonts w:cstheme="minorHAnsi"/>
          <w:sz w:val="24"/>
          <w:szCs w:val="24"/>
        </w:rPr>
        <w:t> </w:t>
      </w:r>
      <w:r w:rsidR="00B15333" w:rsidRPr="006C3284">
        <w:rPr>
          <w:rFonts w:cstheme="minorHAnsi"/>
          <w:sz w:val="24"/>
          <w:szCs w:val="24"/>
        </w:rPr>
        <w:t>MHz</w:t>
      </w:r>
      <w:r w:rsidR="00B22D8A" w:rsidRPr="006C3284">
        <w:rPr>
          <w:rFonts w:cstheme="minorHAnsi"/>
          <w:sz w:val="24"/>
          <w:szCs w:val="24"/>
        </w:rPr>
        <w:t xml:space="preserve"> (i.e. one lot of 2 x 5 MHz)</w:t>
      </w:r>
      <w:r w:rsidR="00B15333" w:rsidRPr="006C3284">
        <w:rPr>
          <w:rFonts w:cstheme="minorHAnsi"/>
          <w:sz w:val="24"/>
          <w:szCs w:val="24"/>
        </w:rPr>
        <w:t xml:space="preserve"> of spectrum in the relevant bands, if they </w:t>
      </w:r>
      <w:r w:rsidR="005E526C" w:rsidRPr="006C3284">
        <w:rPr>
          <w:rFonts w:cstheme="minorHAnsi"/>
          <w:sz w:val="24"/>
          <w:szCs w:val="24"/>
        </w:rPr>
        <w:t xml:space="preserve">have </w:t>
      </w:r>
      <w:r w:rsidR="00472B88" w:rsidRPr="006C3284">
        <w:rPr>
          <w:rFonts w:cstheme="minorHAnsi"/>
          <w:sz w:val="24"/>
          <w:szCs w:val="24"/>
        </w:rPr>
        <w:t xml:space="preserve">each </w:t>
      </w:r>
      <w:r w:rsidR="005E526C" w:rsidRPr="006C3284">
        <w:rPr>
          <w:rFonts w:cstheme="minorHAnsi"/>
          <w:sz w:val="24"/>
          <w:szCs w:val="24"/>
        </w:rPr>
        <w:t>elected to take up the spectrum set-aside.</w:t>
      </w:r>
      <w:r w:rsidRPr="006C3284">
        <w:rPr>
          <w:rFonts w:cstheme="minorHAnsi"/>
          <w:sz w:val="24"/>
          <w:szCs w:val="24"/>
        </w:rPr>
        <w:t xml:space="preserve"> </w:t>
      </w:r>
    </w:p>
    <w:p w14:paraId="55E3C6F7" w14:textId="1C12A70D" w:rsidR="00166276" w:rsidRPr="006C3284" w:rsidRDefault="005E526C" w:rsidP="002125A7">
      <w:pPr>
        <w:rPr>
          <w:rFonts w:cstheme="minorHAnsi"/>
          <w:sz w:val="24"/>
          <w:szCs w:val="24"/>
        </w:rPr>
      </w:pPr>
      <w:r w:rsidRPr="006C3284">
        <w:rPr>
          <w:rFonts w:cstheme="minorHAnsi"/>
          <w:sz w:val="24"/>
          <w:szCs w:val="24"/>
        </w:rPr>
        <w:t>If</w:t>
      </w:r>
      <w:r w:rsidR="00472B88" w:rsidRPr="006C3284">
        <w:rPr>
          <w:rFonts w:cstheme="minorHAnsi"/>
          <w:sz w:val="24"/>
          <w:szCs w:val="24"/>
        </w:rPr>
        <w:t>, for example,</w:t>
      </w:r>
      <w:r w:rsidRPr="006C3284">
        <w:rPr>
          <w:rFonts w:cstheme="minorHAnsi"/>
          <w:sz w:val="24"/>
          <w:szCs w:val="24"/>
        </w:rPr>
        <w:t xml:space="preserve"> Optus </w:t>
      </w:r>
      <w:r w:rsidR="00A7624E" w:rsidRPr="006C3284">
        <w:rPr>
          <w:rFonts w:cstheme="minorHAnsi"/>
          <w:sz w:val="24"/>
          <w:szCs w:val="24"/>
        </w:rPr>
        <w:t>does</w:t>
      </w:r>
      <w:r w:rsidRPr="006C3284">
        <w:rPr>
          <w:rFonts w:cstheme="minorHAnsi"/>
          <w:sz w:val="24"/>
          <w:szCs w:val="24"/>
        </w:rPr>
        <w:t xml:space="preserve"> not</w:t>
      </w:r>
      <w:r w:rsidR="00A7624E" w:rsidRPr="006C3284">
        <w:rPr>
          <w:rFonts w:cstheme="minorHAnsi"/>
          <w:sz w:val="24"/>
          <w:szCs w:val="24"/>
        </w:rPr>
        <w:t xml:space="preserve"> elect</w:t>
      </w:r>
      <w:r w:rsidRPr="006C3284">
        <w:rPr>
          <w:rFonts w:cstheme="minorHAnsi"/>
          <w:sz w:val="24"/>
          <w:szCs w:val="24"/>
        </w:rPr>
        <w:t xml:space="preserve"> to take up the spectrum set-aside</w:t>
      </w:r>
      <w:r w:rsidR="00166276" w:rsidRPr="006C3284">
        <w:rPr>
          <w:rFonts w:cstheme="minorHAnsi"/>
          <w:sz w:val="24"/>
          <w:szCs w:val="24"/>
        </w:rPr>
        <w:t>, but TPG</w:t>
      </w:r>
      <w:r w:rsidR="00B03058" w:rsidRPr="006C3284">
        <w:rPr>
          <w:rFonts w:cstheme="minorHAnsi"/>
          <w:sz w:val="24"/>
          <w:szCs w:val="24"/>
        </w:rPr>
        <w:t xml:space="preserve"> Telecom </w:t>
      </w:r>
      <w:r w:rsidR="00166276" w:rsidRPr="006C3284">
        <w:rPr>
          <w:rFonts w:cstheme="minorHAnsi"/>
          <w:sz w:val="24"/>
          <w:szCs w:val="24"/>
        </w:rPr>
        <w:t>d</w:t>
      </w:r>
      <w:r w:rsidR="00A7624E" w:rsidRPr="006C3284">
        <w:rPr>
          <w:rFonts w:cstheme="minorHAnsi"/>
          <w:sz w:val="24"/>
          <w:szCs w:val="24"/>
        </w:rPr>
        <w:t>oes</w:t>
      </w:r>
      <w:r w:rsidR="00166276" w:rsidRPr="006C3284">
        <w:rPr>
          <w:rFonts w:cstheme="minorHAnsi"/>
          <w:sz w:val="24"/>
          <w:szCs w:val="24"/>
        </w:rPr>
        <w:t xml:space="preserve">, </w:t>
      </w:r>
      <w:r w:rsidR="00A7624E" w:rsidRPr="006C3284">
        <w:rPr>
          <w:rFonts w:cstheme="minorHAnsi"/>
          <w:sz w:val="24"/>
          <w:szCs w:val="24"/>
        </w:rPr>
        <w:t>and</w:t>
      </w:r>
      <w:r w:rsidR="00166276" w:rsidRPr="006C3284">
        <w:rPr>
          <w:rFonts w:cstheme="minorHAnsi"/>
          <w:sz w:val="24"/>
          <w:szCs w:val="24"/>
        </w:rPr>
        <w:t xml:space="preserve"> two other bidders ‘A’ and ‘B’</w:t>
      </w:r>
      <w:r w:rsidR="00A7624E" w:rsidRPr="006C3284">
        <w:rPr>
          <w:rFonts w:cstheme="minorHAnsi"/>
          <w:sz w:val="24"/>
          <w:szCs w:val="24"/>
        </w:rPr>
        <w:t xml:space="preserve"> participate in the auction</w:t>
      </w:r>
      <w:r w:rsidR="004F04D7" w:rsidRPr="006C3284">
        <w:rPr>
          <w:rFonts w:cstheme="minorHAnsi"/>
          <w:sz w:val="24"/>
          <w:szCs w:val="24"/>
        </w:rPr>
        <w:t>, the total aggregate spectrum in the relevant bands that could be acquired at the auction by A and B is 30 MHz (p</w:t>
      </w:r>
      <w:r w:rsidRPr="006C3284">
        <w:rPr>
          <w:rFonts w:cstheme="minorHAnsi"/>
          <w:sz w:val="24"/>
          <w:szCs w:val="24"/>
        </w:rPr>
        <w:t>er item 3</w:t>
      </w:r>
      <w:r w:rsidR="00293CBB" w:rsidRPr="006C3284">
        <w:rPr>
          <w:rFonts w:cstheme="minorHAnsi"/>
          <w:sz w:val="24"/>
          <w:szCs w:val="24"/>
        </w:rPr>
        <w:t xml:space="preserve"> of the table</w:t>
      </w:r>
      <w:r w:rsidR="004F04D7" w:rsidRPr="006C3284">
        <w:rPr>
          <w:rFonts w:cstheme="minorHAnsi"/>
          <w:sz w:val="24"/>
          <w:szCs w:val="24"/>
        </w:rPr>
        <w:t>). T</w:t>
      </w:r>
      <w:r w:rsidR="00B22D8A" w:rsidRPr="006C3284">
        <w:rPr>
          <w:rFonts w:cstheme="minorHAnsi"/>
          <w:sz w:val="24"/>
          <w:szCs w:val="24"/>
        </w:rPr>
        <w:t>he remaining 10 MHz of spectrum in the relevant bands would be set-aside for TPG Telecom</w:t>
      </w:r>
      <w:r w:rsidR="00065CDD" w:rsidRPr="006C3284">
        <w:rPr>
          <w:rFonts w:cstheme="minorHAnsi"/>
          <w:sz w:val="24"/>
          <w:szCs w:val="24"/>
        </w:rPr>
        <w:t>.</w:t>
      </w:r>
    </w:p>
    <w:p w14:paraId="2DE2FB64" w14:textId="29B797B0" w:rsidR="004A61A2" w:rsidRPr="006C3284" w:rsidRDefault="004A61A2" w:rsidP="002125A7">
      <w:pPr>
        <w:rPr>
          <w:rFonts w:cstheme="minorHAnsi"/>
          <w:sz w:val="24"/>
          <w:szCs w:val="24"/>
        </w:rPr>
      </w:pPr>
      <w:r w:rsidRPr="006C3284">
        <w:rPr>
          <w:rFonts w:cstheme="minorHAnsi"/>
          <w:sz w:val="24"/>
          <w:szCs w:val="24"/>
        </w:rPr>
        <w:t>In the event that neither Optus nor TPG Telecom elect to take up the spectrum set-aside, no limit would apply to the aggregate amount of spectrum a person could use in the relevant bands. However, the overall allocation limits</w:t>
      </w:r>
      <w:r w:rsidR="00D7272D" w:rsidRPr="006C3284">
        <w:rPr>
          <w:rFonts w:cstheme="minorHAnsi"/>
          <w:sz w:val="24"/>
          <w:szCs w:val="24"/>
        </w:rPr>
        <w:t xml:space="preserve"> set out in section 7</w:t>
      </w:r>
      <w:r w:rsidRPr="006C3284">
        <w:rPr>
          <w:rFonts w:cstheme="minorHAnsi"/>
          <w:sz w:val="24"/>
          <w:szCs w:val="24"/>
        </w:rPr>
        <w:t xml:space="preserve"> would still apply.</w:t>
      </w:r>
      <w:r w:rsidR="00847B29" w:rsidRPr="006C3284">
        <w:rPr>
          <w:rFonts w:cstheme="minorHAnsi"/>
          <w:sz w:val="24"/>
          <w:szCs w:val="24"/>
        </w:rPr>
        <w:t xml:space="preserve"> The limits in section 7 would also apply if Optus, TPG Telecom or both, elect to take up the set-aside</w:t>
      </w:r>
      <w:r w:rsidR="00223F49" w:rsidRPr="006C3284">
        <w:rPr>
          <w:rFonts w:cstheme="minorHAnsi"/>
          <w:sz w:val="24"/>
          <w:szCs w:val="24"/>
        </w:rPr>
        <w:t>. If Optus or TPG Telecom elect to take up the set-aside, this spectrum would be counted towards the limit provided in section 7</w:t>
      </w:r>
      <w:r w:rsidR="00847B29" w:rsidRPr="006C3284">
        <w:rPr>
          <w:rFonts w:cstheme="minorHAnsi"/>
          <w:sz w:val="24"/>
          <w:szCs w:val="24"/>
        </w:rPr>
        <w:t>.</w:t>
      </w:r>
      <w:r w:rsidRPr="006C3284">
        <w:rPr>
          <w:rFonts w:cstheme="minorHAnsi"/>
          <w:sz w:val="24"/>
          <w:szCs w:val="24"/>
        </w:rPr>
        <w:t xml:space="preserve"> </w:t>
      </w:r>
      <w:r w:rsidR="00D7272D" w:rsidRPr="006C3284">
        <w:rPr>
          <w:rFonts w:cstheme="minorHAnsi"/>
          <w:sz w:val="24"/>
          <w:szCs w:val="24"/>
        </w:rPr>
        <w:t>Any set-aside lots that are not taken up w</w:t>
      </w:r>
      <w:r w:rsidR="00293CBB" w:rsidRPr="006C3284">
        <w:rPr>
          <w:rFonts w:cstheme="minorHAnsi"/>
          <w:sz w:val="24"/>
          <w:szCs w:val="24"/>
        </w:rPr>
        <w:t>ill</w:t>
      </w:r>
      <w:r w:rsidR="00D7272D" w:rsidRPr="006C3284">
        <w:rPr>
          <w:rFonts w:cstheme="minorHAnsi"/>
          <w:sz w:val="24"/>
          <w:szCs w:val="24"/>
        </w:rPr>
        <w:t xml:space="preserve"> be made available for other bidders in the auction</w:t>
      </w:r>
      <w:r w:rsidR="00A7624E" w:rsidRPr="006C3284">
        <w:rPr>
          <w:rFonts w:cstheme="minorHAnsi"/>
          <w:sz w:val="24"/>
          <w:szCs w:val="24"/>
        </w:rPr>
        <w:t xml:space="preserve"> to purchase.</w:t>
      </w:r>
    </w:p>
    <w:p w14:paraId="1CE03B6B" w14:textId="6343DC18" w:rsidR="002A5F19" w:rsidRPr="006C3284" w:rsidRDefault="00D7272D" w:rsidP="002A5F19">
      <w:pPr>
        <w:rPr>
          <w:rFonts w:cstheme="minorHAnsi"/>
          <w:sz w:val="24"/>
          <w:szCs w:val="24"/>
        </w:rPr>
      </w:pPr>
      <w:r w:rsidRPr="006C3284">
        <w:rPr>
          <w:rFonts w:cstheme="minorHAnsi"/>
          <w:sz w:val="24"/>
          <w:szCs w:val="24"/>
        </w:rPr>
        <w:t>Optus and TPG Telecom currently make extensive use of their apparatus licensed holdings in the 900 MHz band to provide mobile services to their respective customers</w:t>
      </w:r>
      <w:r w:rsidR="002A5F19" w:rsidRPr="006C3284">
        <w:rPr>
          <w:rFonts w:cstheme="minorHAnsi"/>
          <w:sz w:val="24"/>
          <w:szCs w:val="24"/>
        </w:rPr>
        <w:t xml:space="preserve">. Supporting continuity of services is </w:t>
      </w:r>
      <w:r w:rsidRPr="006C3284">
        <w:rPr>
          <w:rFonts w:cstheme="minorHAnsi"/>
          <w:sz w:val="24"/>
          <w:szCs w:val="24"/>
        </w:rPr>
        <w:t>one of the Government’s</w:t>
      </w:r>
      <w:r w:rsidR="002A5F19" w:rsidRPr="006C3284">
        <w:rPr>
          <w:rFonts w:cstheme="minorHAnsi"/>
          <w:sz w:val="24"/>
          <w:szCs w:val="24"/>
        </w:rPr>
        <w:t xml:space="preserve"> communications policy objective</w:t>
      </w:r>
      <w:r w:rsidRPr="006C3284">
        <w:rPr>
          <w:rFonts w:cstheme="minorHAnsi"/>
          <w:sz w:val="24"/>
          <w:szCs w:val="24"/>
        </w:rPr>
        <w:t>s</w:t>
      </w:r>
      <w:r w:rsidR="002A5F19" w:rsidRPr="006C3284">
        <w:rPr>
          <w:rFonts w:cstheme="minorHAnsi"/>
          <w:sz w:val="24"/>
          <w:szCs w:val="24"/>
        </w:rPr>
        <w:t xml:space="preserve"> for the 850/900 MHz auction. Guaranteeing Optus and TPG Telecom access to spectrum in the relevant bands as set out in subsection 6(1) promotes this objective, as </w:t>
      </w:r>
      <w:r w:rsidR="000764E9" w:rsidRPr="006C3284">
        <w:rPr>
          <w:rFonts w:cstheme="minorHAnsi"/>
          <w:sz w:val="24"/>
          <w:szCs w:val="24"/>
        </w:rPr>
        <w:t>Optus and TPG Telecom would be able to continue providing services using 900 MHz spectrum with minimal interruptions (pending any necessary retuning following the auction)</w:t>
      </w:r>
      <w:r w:rsidR="002A5F19" w:rsidRPr="006C3284">
        <w:rPr>
          <w:rFonts w:cstheme="minorHAnsi"/>
          <w:sz w:val="24"/>
          <w:szCs w:val="24"/>
        </w:rPr>
        <w:t>.</w:t>
      </w:r>
    </w:p>
    <w:p w14:paraId="0B6C2774" w14:textId="77777777" w:rsidR="00B51477" w:rsidRPr="006C3284" w:rsidRDefault="00B51477" w:rsidP="00B51477">
      <w:pPr>
        <w:rPr>
          <w:rFonts w:cstheme="minorHAnsi"/>
          <w:sz w:val="24"/>
          <w:szCs w:val="24"/>
        </w:rPr>
      </w:pPr>
      <w:r w:rsidRPr="006C3284">
        <w:rPr>
          <w:rFonts w:cstheme="minorHAnsi"/>
          <w:sz w:val="24"/>
          <w:szCs w:val="24"/>
        </w:rPr>
        <w:t>Subsection 6(2) provides, for the purposes of subsection 6(1), that a person</w:t>
      </w:r>
      <w:r w:rsidRPr="006C3284">
        <w:rPr>
          <w:rFonts w:cstheme="minorHAnsi"/>
          <w:b/>
          <w:i/>
          <w:sz w:val="24"/>
          <w:szCs w:val="24"/>
        </w:rPr>
        <w:t xml:space="preserve"> has elected to take up the spectrum set-aside</w:t>
      </w:r>
      <w:r w:rsidRPr="006C3284">
        <w:rPr>
          <w:rFonts w:cstheme="minorHAnsi"/>
          <w:sz w:val="24"/>
          <w:szCs w:val="24"/>
        </w:rPr>
        <w:t xml:space="preserve"> in the allocation of spectrum licences in the 850/900 MHz band if all of the following apply:</w:t>
      </w:r>
    </w:p>
    <w:p w14:paraId="4F3237DA" w14:textId="363C25EB" w:rsidR="00B51477" w:rsidRPr="006C3284" w:rsidRDefault="00B51477" w:rsidP="006C3284">
      <w:pPr>
        <w:spacing w:before="40" w:after="0" w:line="240" w:lineRule="auto"/>
        <w:ind w:left="567" w:hanging="567"/>
        <w:rPr>
          <w:rFonts w:eastAsia="Times New Roman" w:cstheme="minorHAnsi"/>
          <w:sz w:val="24"/>
          <w:szCs w:val="20"/>
          <w:lang w:eastAsia="en-AU"/>
        </w:rPr>
      </w:pPr>
      <w:r w:rsidRPr="006C3284">
        <w:rPr>
          <w:rFonts w:eastAsia="Times New Roman" w:cstheme="minorHAnsi"/>
          <w:szCs w:val="20"/>
          <w:lang w:eastAsia="en-AU"/>
        </w:rPr>
        <w:t>(a)</w:t>
      </w:r>
      <w:r w:rsidRPr="006C3284">
        <w:rPr>
          <w:rFonts w:eastAsia="Times New Roman" w:cstheme="minorHAnsi"/>
          <w:szCs w:val="20"/>
          <w:lang w:eastAsia="en-AU"/>
        </w:rPr>
        <w:tab/>
      </w:r>
      <w:proofErr w:type="gramStart"/>
      <w:r w:rsidRPr="006C3284">
        <w:rPr>
          <w:rFonts w:eastAsia="Times New Roman" w:cstheme="minorHAnsi"/>
          <w:sz w:val="24"/>
          <w:lang w:eastAsia="en-AU"/>
        </w:rPr>
        <w:t>either</w:t>
      </w:r>
      <w:proofErr w:type="gramEnd"/>
      <w:r w:rsidRPr="006C3284">
        <w:rPr>
          <w:rFonts w:eastAsia="Times New Roman" w:cstheme="minorHAnsi"/>
          <w:sz w:val="24"/>
          <w:lang w:eastAsia="en-AU"/>
        </w:rPr>
        <w:t xml:space="preserve"> the person or a body corporate of which the person is a </w:t>
      </w:r>
      <w:r w:rsidR="00B67774" w:rsidRPr="006C3284">
        <w:rPr>
          <w:rFonts w:eastAsia="Times New Roman" w:cstheme="minorHAnsi"/>
          <w:sz w:val="24"/>
          <w:szCs w:val="20"/>
          <w:lang w:eastAsia="en-AU"/>
        </w:rPr>
        <w:t xml:space="preserve">member (in either case, the </w:t>
      </w:r>
      <w:r w:rsidRPr="006C3284">
        <w:rPr>
          <w:rFonts w:eastAsia="Times New Roman" w:cstheme="minorHAnsi"/>
          <w:b/>
          <w:i/>
          <w:sz w:val="24"/>
          <w:szCs w:val="20"/>
          <w:lang w:eastAsia="en-AU"/>
        </w:rPr>
        <w:t>participant</w:t>
      </w:r>
      <w:r w:rsidRPr="006C3284">
        <w:rPr>
          <w:rFonts w:eastAsia="Times New Roman" w:cstheme="minorHAnsi"/>
          <w:sz w:val="24"/>
          <w:szCs w:val="20"/>
          <w:lang w:eastAsia="en-AU"/>
        </w:rPr>
        <w:t xml:space="preserve">) </w:t>
      </w:r>
      <w:r w:rsidRPr="006C3284">
        <w:rPr>
          <w:rFonts w:eastAsia="Times New Roman" w:cstheme="minorHAnsi"/>
          <w:sz w:val="24"/>
          <w:lang w:eastAsia="en-AU"/>
        </w:rPr>
        <w:t>has applied to be registered</w:t>
      </w:r>
      <w:r w:rsidRPr="006C3284">
        <w:rPr>
          <w:rFonts w:eastAsia="Times New Roman" w:cstheme="minorHAnsi"/>
          <w:sz w:val="24"/>
          <w:szCs w:val="20"/>
          <w:lang w:eastAsia="en-AU"/>
        </w:rPr>
        <w:t xml:space="preserve"> with the ACMA for the allocation in accordance with the allocation procedures; </w:t>
      </w:r>
    </w:p>
    <w:p w14:paraId="54958532" w14:textId="17B16697" w:rsidR="00B51477" w:rsidRPr="006C3284" w:rsidRDefault="00B51477" w:rsidP="006C3284">
      <w:pPr>
        <w:spacing w:before="40" w:after="0" w:line="240" w:lineRule="auto"/>
        <w:ind w:left="567" w:hanging="567"/>
        <w:rPr>
          <w:rFonts w:eastAsia="Times New Roman" w:cstheme="minorHAnsi"/>
          <w:color w:val="000000"/>
          <w:sz w:val="24"/>
          <w:lang w:eastAsia="en-AU"/>
        </w:rPr>
      </w:pPr>
      <w:r w:rsidRPr="006C3284">
        <w:rPr>
          <w:rFonts w:eastAsia="Times New Roman" w:cstheme="minorHAnsi"/>
          <w:color w:val="000000"/>
          <w:sz w:val="24"/>
          <w:lang w:eastAsia="en-AU"/>
        </w:rPr>
        <w:t>(b)</w:t>
      </w:r>
      <w:r w:rsidRPr="006C3284">
        <w:rPr>
          <w:rFonts w:eastAsia="Times New Roman" w:cstheme="minorHAnsi"/>
          <w:color w:val="000000"/>
          <w:sz w:val="24"/>
          <w:lang w:eastAsia="en-AU"/>
        </w:rPr>
        <w:tab/>
      </w:r>
      <w:proofErr w:type="gramStart"/>
      <w:r w:rsidRPr="006C3284">
        <w:rPr>
          <w:rFonts w:eastAsia="Times New Roman" w:cstheme="minorHAnsi"/>
          <w:color w:val="000000"/>
          <w:sz w:val="24"/>
          <w:lang w:eastAsia="en-AU"/>
        </w:rPr>
        <w:t>if</w:t>
      </w:r>
      <w:proofErr w:type="gramEnd"/>
      <w:r w:rsidRPr="006C3284">
        <w:rPr>
          <w:rFonts w:eastAsia="Times New Roman" w:cstheme="minorHAnsi"/>
          <w:color w:val="000000"/>
          <w:sz w:val="24"/>
          <w:lang w:eastAsia="en-AU"/>
        </w:rPr>
        <w:t xml:space="preserve">, under the allocation procedures, there is a period of time during which an application for registration may be withdrawn—that period has ended and the participant has not withdrawn their application; </w:t>
      </w:r>
    </w:p>
    <w:p w14:paraId="0723A602" w14:textId="03272F50" w:rsidR="00B51477" w:rsidRPr="006C3284" w:rsidRDefault="00B51477" w:rsidP="006C3284">
      <w:pPr>
        <w:spacing w:before="40" w:after="0" w:line="240" w:lineRule="auto"/>
        <w:ind w:left="567" w:hanging="567"/>
        <w:rPr>
          <w:rFonts w:eastAsia="Times New Roman" w:cstheme="minorHAnsi"/>
          <w:color w:val="000000"/>
          <w:sz w:val="24"/>
          <w:lang w:eastAsia="en-AU"/>
        </w:rPr>
      </w:pPr>
      <w:r w:rsidRPr="006C3284">
        <w:rPr>
          <w:rFonts w:eastAsia="Times New Roman" w:cstheme="minorHAnsi"/>
          <w:color w:val="000000"/>
          <w:sz w:val="24"/>
          <w:lang w:eastAsia="en-AU"/>
        </w:rPr>
        <w:lastRenderedPageBreak/>
        <w:t>(c)</w:t>
      </w:r>
      <w:r w:rsidRPr="006C3284">
        <w:rPr>
          <w:rFonts w:eastAsia="Times New Roman" w:cstheme="minorHAnsi"/>
          <w:color w:val="000000"/>
          <w:sz w:val="24"/>
          <w:lang w:eastAsia="en-AU"/>
        </w:rPr>
        <w:tab/>
      </w:r>
      <w:proofErr w:type="gramStart"/>
      <w:r w:rsidRPr="006C3284">
        <w:rPr>
          <w:rFonts w:eastAsia="Times New Roman" w:cstheme="minorHAnsi"/>
          <w:color w:val="000000"/>
          <w:sz w:val="24"/>
          <w:lang w:eastAsia="en-AU"/>
        </w:rPr>
        <w:t>if</w:t>
      </w:r>
      <w:proofErr w:type="gramEnd"/>
      <w:r w:rsidRPr="006C3284">
        <w:rPr>
          <w:rFonts w:eastAsia="Times New Roman" w:cstheme="minorHAnsi"/>
          <w:color w:val="000000"/>
          <w:sz w:val="24"/>
          <w:lang w:eastAsia="en-AU"/>
        </w:rPr>
        <w:t xml:space="preserve"> the allocation procedures provide for circumstances in which an application for registration is taken to be withdrawn—those circumstances do not apply to the participant; </w:t>
      </w:r>
    </w:p>
    <w:p w14:paraId="7DA46234" w14:textId="3C0BFFA5" w:rsidR="00B51477" w:rsidRPr="006C3284" w:rsidRDefault="00B51477" w:rsidP="006C3284">
      <w:pPr>
        <w:spacing w:before="40" w:after="0" w:line="240" w:lineRule="auto"/>
        <w:ind w:left="567" w:hanging="567"/>
        <w:rPr>
          <w:rFonts w:eastAsia="Times New Roman" w:cstheme="minorHAnsi"/>
          <w:sz w:val="24"/>
          <w:szCs w:val="20"/>
          <w:lang w:eastAsia="en-AU"/>
        </w:rPr>
      </w:pPr>
      <w:r w:rsidRPr="006C3284">
        <w:rPr>
          <w:rFonts w:eastAsia="Times New Roman" w:cstheme="minorHAnsi"/>
          <w:sz w:val="24"/>
          <w:szCs w:val="20"/>
          <w:lang w:eastAsia="en-AU"/>
        </w:rPr>
        <w:t>(</w:t>
      </w:r>
      <w:proofErr w:type="gramStart"/>
      <w:r w:rsidRPr="006C3284">
        <w:rPr>
          <w:rFonts w:eastAsia="Times New Roman" w:cstheme="minorHAnsi"/>
          <w:sz w:val="24"/>
          <w:szCs w:val="20"/>
          <w:lang w:eastAsia="en-AU"/>
        </w:rPr>
        <w:t>d</w:t>
      </w:r>
      <w:proofErr w:type="gramEnd"/>
      <w:r w:rsidRPr="006C3284">
        <w:rPr>
          <w:rFonts w:eastAsia="Times New Roman" w:cstheme="minorHAnsi"/>
          <w:sz w:val="24"/>
          <w:szCs w:val="20"/>
          <w:lang w:eastAsia="en-AU"/>
        </w:rPr>
        <w:t>)</w:t>
      </w:r>
      <w:r w:rsidRPr="006C3284">
        <w:rPr>
          <w:rFonts w:eastAsia="Times New Roman" w:cstheme="minorHAnsi"/>
          <w:sz w:val="24"/>
          <w:szCs w:val="20"/>
          <w:lang w:eastAsia="en-AU"/>
        </w:rPr>
        <w:tab/>
        <w:t xml:space="preserve">if, under the allocation procedures, </w:t>
      </w:r>
      <w:r w:rsidRPr="006C3284">
        <w:rPr>
          <w:rFonts w:eastAsia="Times New Roman" w:cstheme="minorHAnsi"/>
          <w:sz w:val="24"/>
          <w:lang w:eastAsia="en-AU"/>
        </w:rPr>
        <w:t>in order to take up the spectrum set</w:t>
      </w:r>
      <w:r w:rsidRPr="006C3284">
        <w:rPr>
          <w:rFonts w:eastAsia="Times New Roman" w:cstheme="minorHAnsi"/>
          <w:sz w:val="24"/>
          <w:lang w:eastAsia="en-AU"/>
        </w:rPr>
        <w:noBreakHyphen/>
        <w:t>aside, a person is required to do any of the following:</w:t>
      </w:r>
    </w:p>
    <w:p w14:paraId="26587009" w14:textId="159C341F" w:rsidR="00B51477" w:rsidRPr="006C3284" w:rsidRDefault="00B51477" w:rsidP="006C3284">
      <w:pPr>
        <w:tabs>
          <w:tab w:val="right" w:pos="1985"/>
        </w:tabs>
        <w:spacing w:before="40" w:after="0" w:line="240" w:lineRule="auto"/>
        <w:ind w:left="1134" w:hanging="567"/>
        <w:rPr>
          <w:rFonts w:eastAsia="Times New Roman" w:cstheme="minorHAnsi"/>
          <w:sz w:val="24"/>
          <w:szCs w:val="20"/>
          <w:lang w:eastAsia="en-AU"/>
        </w:rPr>
      </w:pPr>
      <w:r w:rsidRPr="006C3284">
        <w:rPr>
          <w:rFonts w:eastAsia="Times New Roman" w:cstheme="minorHAnsi"/>
          <w:sz w:val="24"/>
          <w:szCs w:val="20"/>
          <w:lang w:eastAsia="en-AU"/>
        </w:rPr>
        <w:t>(</w:t>
      </w:r>
      <w:proofErr w:type="spellStart"/>
      <w:proofErr w:type="gramStart"/>
      <w:r w:rsidRPr="006C3284">
        <w:rPr>
          <w:rFonts w:eastAsia="Times New Roman" w:cstheme="minorHAnsi"/>
          <w:sz w:val="24"/>
          <w:szCs w:val="20"/>
          <w:lang w:eastAsia="en-AU"/>
        </w:rPr>
        <w:t>i</w:t>
      </w:r>
      <w:proofErr w:type="spellEnd"/>
      <w:proofErr w:type="gramEnd"/>
      <w:r w:rsidRPr="006C3284">
        <w:rPr>
          <w:rFonts w:eastAsia="Times New Roman" w:cstheme="minorHAnsi"/>
          <w:sz w:val="24"/>
          <w:szCs w:val="20"/>
          <w:lang w:eastAsia="en-AU"/>
        </w:rPr>
        <w:t>)</w:t>
      </w:r>
      <w:r w:rsidRPr="006C3284">
        <w:rPr>
          <w:rFonts w:eastAsia="Times New Roman" w:cstheme="minorHAnsi"/>
          <w:sz w:val="24"/>
          <w:szCs w:val="20"/>
          <w:lang w:eastAsia="en-AU"/>
        </w:rPr>
        <w:tab/>
        <w:t>pay to the ACMA an entry fee, a participation fee, or an application fee (however described);</w:t>
      </w:r>
    </w:p>
    <w:p w14:paraId="29CEC896" w14:textId="01067E5C" w:rsidR="00B51477" w:rsidRPr="006C3284" w:rsidRDefault="00B51477" w:rsidP="006C3284">
      <w:pPr>
        <w:tabs>
          <w:tab w:val="right" w:pos="1985"/>
        </w:tabs>
        <w:spacing w:before="40" w:after="0" w:line="240" w:lineRule="auto"/>
        <w:ind w:left="1134" w:hanging="567"/>
        <w:rPr>
          <w:rFonts w:eastAsia="Times New Roman" w:cstheme="minorHAnsi"/>
          <w:sz w:val="24"/>
          <w:szCs w:val="20"/>
          <w:lang w:eastAsia="en-AU"/>
        </w:rPr>
      </w:pPr>
      <w:r w:rsidRPr="006C3284">
        <w:rPr>
          <w:rFonts w:eastAsia="Times New Roman" w:cstheme="minorHAnsi"/>
          <w:sz w:val="24"/>
          <w:szCs w:val="20"/>
          <w:lang w:eastAsia="en-AU"/>
        </w:rPr>
        <w:t>(ii)</w:t>
      </w:r>
      <w:r w:rsidRPr="006C3284">
        <w:rPr>
          <w:rFonts w:eastAsia="Times New Roman" w:cstheme="minorHAnsi"/>
          <w:sz w:val="24"/>
          <w:szCs w:val="20"/>
          <w:lang w:eastAsia="en-AU"/>
        </w:rPr>
        <w:tab/>
      </w:r>
      <w:proofErr w:type="gramStart"/>
      <w:r w:rsidRPr="006C3284">
        <w:rPr>
          <w:rFonts w:eastAsia="Times New Roman" w:cstheme="minorHAnsi"/>
          <w:sz w:val="24"/>
          <w:szCs w:val="20"/>
          <w:lang w:eastAsia="en-AU"/>
        </w:rPr>
        <w:t>give</w:t>
      </w:r>
      <w:proofErr w:type="gramEnd"/>
      <w:r w:rsidRPr="006C3284">
        <w:rPr>
          <w:rFonts w:eastAsia="Times New Roman" w:cstheme="minorHAnsi"/>
          <w:sz w:val="24"/>
          <w:szCs w:val="20"/>
          <w:lang w:eastAsia="en-AU"/>
        </w:rPr>
        <w:t xml:space="preserve"> the ACMA notification in writing that the person elects to take up the set-aside;</w:t>
      </w:r>
    </w:p>
    <w:p w14:paraId="7CF1E89F" w14:textId="23016CAC" w:rsidR="00B51477" w:rsidRPr="006C3284" w:rsidRDefault="00B51477" w:rsidP="006C3284">
      <w:pPr>
        <w:spacing w:before="40" w:after="0" w:line="240" w:lineRule="auto"/>
        <w:ind w:left="1134" w:hanging="567"/>
        <w:rPr>
          <w:rFonts w:eastAsia="Times New Roman" w:cstheme="minorHAnsi"/>
          <w:strike/>
          <w:sz w:val="24"/>
          <w:szCs w:val="20"/>
          <w:lang w:eastAsia="en-AU"/>
        </w:rPr>
      </w:pPr>
      <w:proofErr w:type="gramStart"/>
      <w:r w:rsidRPr="006C3284">
        <w:rPr>
          <w:rFonts w:eastAsia="Times New Roman" w:cstheme="minorHAnsi"/>
          <w:sz w:val="24"/>
          <w:szCs w:val="20"/>
          <w:lang w:eastAsia="en-AU"/>
        </w:rPr>
        <w:t>the</w:t>
      </w:r>
      <w:proofErr w:type="gramEnd"/>
      <w:r w:rsidRPr="006C3284">
        <w:rPr>
          <w:rFonts w:eastAsia="Times New Roman" w:cstheme="minorHAnsi"/>
          <w:sz w:val="24"/>
          <w:szCs w:val="20"/>
          <w:lang w:eastAsia="en-AU"/>
        </w:rPr>
        <w:t xml:space="preserve"> participant has complied with any such requirements; </w:t>
      </w:r>
    </w:p>
    <w:p w14:paraId="67761C90" w14:textId="038EC9F4" w:rsidR="00B51477" w:rsidRPr="006C3284" w:rsidRDefault="00B51477" w:rsidP="006C3284">
      <w:pPr>
        <w:spacing w:before="40" w:after="0" w:line="240" w:lineRule="auto"/>
        <w:ind w:left="567" w:hanging="567"/>
        <w:rPr>
          <w:rFonts w:eastAsia="Times New Roman" w:cstheme="minorHAnsi"/>
          <w:sz w:val="24"/>
          <w:lang w:eastAsia="en-AU"/>
        </w:rPr>
      </w:pPr>
      <w:r w:rsidRPr="006C3284">
        <w:rPr>
          <w:rFonts w:eastAsia="Times New Roman" w:cstheme="minorHAnsi"/>
          <w:sz w:val="24"/>
          <w:lang w:eastAsia="en-AU"/>
        </w:rPr>
        <w:t>(e)</w:t>
      </w:r>
      <w:r w:rsidRPr="006C3284">
        <w:rPr>
          <w:rFonts w:eastAsia="Times New Roman" w:cstheme="minorHAnsi"/>
          <w:sz w:val="24"/>
          <w:lang w:eastAsia="en-AU"/>
        </w:rPr>
        <w:tab/>
      </w:r>
      <w:proofErr w:type="gramStart"/>
      <w:r w:rsidRPr="006C3284">
        <w:rPr>
          <w:rFonts w:eastAsia="Times New Roman" w:cstheme="minorHAnsi"/>
          <w:sz w:val="24"/>
          <w:lang w:eastAsia="en-AU"/>
        </w:rPr>
        <w:t>if</w:t>
      </w:r>
      <w:proofErr w:type="gramEnd"/>
      <w:r w:rsidRPr="006C3284">
        <w:rPr>
          <w:rFonts w:eastAsia="Times New Roman" w:cstheme="minorHAnsi"/>
          <w:sz w:val="24"/>
          <w:lang w:eastAsia="en-AU"/>
        </w:rPr>
        <w:t>:</w:t>
      </w:r>
    </w:p>
    <w:p w14:paraId="3932A372" w14:textId="2AE04661" w:rsidR="00B51477" w:rsidRPr="006C3284" w:rsidRDefault="00B51477" w:rsidP="006C3284">
      <w:pPr>
        <w:tabs>
          <w:tab w:val="right" w:pos="1985"/>
        </w:tabs>
        <w:spacing w:before="40" w:after="0" w:line="240" w:lineRule="auto"/>
        <w:ind w:left="1134" w:hanging="567"/>
        <w:rPr>
          <w:rFonts w:eastAsia="Times New Roman" w:cstheme="minorHAnsi"/>
          <w:sz w:val="24"/>
          <w:szCs w:val="20"/>
          <w:lang w:eastAsia="en-AU"/>
        </w:rPr>
      </w:pPr>
      <w:r w:rsidRPr="006C3284">
        <w:rPr>
          <w:rFonts w:eastAsia="Times New Roman" w:cstheme="minorHAnsi"/>
          <w:sz w:val="24"/>
          <w:lang w:eastAsia="en-AU"/>
        </w:rPr>
        <w:t>(</w:t>
      </w:r>
      <w:proofErr w:type="spellStart"/>
      <w:r w:rsidRPr="006C3284">
        <w:rPr>
          <w:rFonts w:eastAsia="Times New Roman" w:cstheme="minorHAnsi"/>
          <w:sz w:val="24"/>
          <w:lang w:eastAsia="en-AU"/>
        </w:rPr>
        <w:t>i</w:t>
      </w:r>
      <w:proofErr w:type="spellEnd"/>
      <w:r w:rsidRPr="006C3284">
        <w:rPr>
          <w:rFonts w:eastAsia="Times New Roman" w:cstheme="minorHAnsi"/>
          <w:sz w:val="24"/>
          <w:lang w:eastAsia="en-AU"/>
        </w:rPr>
        <w:t>)</w:t>
      </w:r>
      <w:r w:rsidRPr="006C3284">
        <w:rPr>
          <w:rFonts w:eastAsia="Times New Roman" w:cstheme="minorHAnsi"/>
          <w:sz w:val="24"/>
          <w:lang w:eastAsia="en-AU"/>
        </w:rPr>
        <w:tab/>
        <w:t xml:space="preserve">the </w:t>
      </w:r>
      <w:r w:rsidRPr="006C3284">
        <w:rPr>
          <w:rFonts w:eastAsia="Times New Roman" w:cstheme="minorHAnsi"/>
          <w:sz w:val="24"/>
          <w:szCs w:val="20"/>
          <w:lang w:eastAsia="en-AU"/>
        </w:rPr>
        <w:t>allocation</w:t>
      </w:r>
      <w:r w:rsidRPr="006C3284">
        <w:rPr>
          <w:rFonts w:eastAsia="Times New Roman" w:cstheme="minorHAnsi"/>
          <w:sz w:val="24"/>
          <w:lang w:eastAsia="en-AU"/>
        </w:rPr>
        <w:t xml:space="preserve"> procedures provide for circumstances in which, having complied with any requirements of</w:t>
      </w:r>
      <w:r w:rsidRPr="006C3284">
        <w:rPr>
          <w:rFonts w:eastAsia="Times New Roman" w:cstheme="minorHAnsi"/>
          <w:sz w:val="24"/>
          <w:szCs w:val="20"/>
          <w:lang w:eastAsia="en-AU"/>
        </w:rPr>
        <w:t xml:space="preserve"> the </w:t>
      </w:r>
      <w:r w:rsidRPr="006C3284">
        <w:rPr>
          <w:rFonts w:eastAsia="Times New Roman" w:cstheme="minorHAnsi"/>
          <w:sz w:val="24"/>
          <w:lang w:eastAsia="en-AU"/>
        </w:rPr>
        <w:t>kind referred to in paragraph (d), a person may withdraw their election to take up</w:t>
      </w:r>
      <w:r w:rsidRPr="006C3284">
        <w:rPr>
          <w:rFonts w:eastAsia="Times New Roman" w:cstheme="minorHAnsi"/>
          <w:sz w:val="24"/>
          <w:szCs w:val="20"/>
          <w:lang w:eastAsia="en-AU"/>
        </w:rPr>
        <w:t xml:space="preserve"> the </w:t>
      </w:r>
      <w:r w:rsidRPr="006C3284">
        <w:rPr>
          <w:rFonts w:eastAsia="Times New Roman" w:cstheme="minorHAnsi"/>
          <w:sz w:val="24"/>
          <w:lang w:eastAsia="en-AU"/>
        </w:rPr>
        <w:t>spectrum set-aside; and</w:t>
      </w:r>
    </w:p>
    <w:p w14:paraId="66B50BCD" w14:textId="57E996FD" w:rsidR="00B51477" w:rsidRPr="006C3284" w:rsidRDefault="00B51477" w:rsidP="006C3284">
      <w:pPr>
        <w:tabs>
          <w:tab w:val="right" w:pos="1985"/>
        </w:tabs>
        <w:spacing w:before="40" w:after="0" w:line="240" w:lineRule="auto"/>
        <w:ind w:left="1134" w:hanging="567"/>
        <w:rPr>
          <w:rFonts w:eastAsia="Times New Roman" w:cstheme="minorHAnsi"/>
          <w:sz w:val="24"/>
          <w:lang w:eastAsia="en-AU"/>
        </w:rPr>
      </w:pPr>
      <w:r w:rsidRPr="006C3284">
        <w:rPr>
          <w:rFonts w:eastAsia="Times New Roman" w:cstheme="minorHAnsi"/>
          <w:sz w:val="24"/>
          <w:lang w:eastAsia="en-AU"/>
        </w:rPr>
        <w:t>(ii)</w:t>
      </w:r>
      <w:r w:rsidRPr="006C3284">
        <w:rPr>
          <w:rFonts w:eastAsia="Times New Roman" w:cstheme="minorHAnsi"/>
          <w:sz w:val="24"/>
          <w:lang w:eastAsia="en-AU"/>
        </w:rPr>
        <w:tab/>
      </w:r>
      <w:proofErr w:type="gramStart"/>
      <w:r w:rsidRPr="006C3284">
        <w:rPr>
          <w:rFonts w:eastAsia="Times New Roman" w:cstheme="minorHAnsi"/>
          <w:sz w:val="24"/>
          <w:lang w:eastAsia="en-AU"/>
        </w:rPr>
        <w:t>those</w:t>
      </w:r>
      <w:proofErr w:type="gramEnd"/>
      <w:r w:rsidRPr="006C3284">
        <w:rPr>
          <w:rFonts w:eastAsia="Times New Roman" w:cstheme="minorHAnsi"/>
          <w:sz w:val="24"/>
          <w:lang w:eastAsia="en-AU"/>
        </w:rPr>
        <w:t xml:space="preserve"> circumstances have arisen; </w:t>
      </w:r>
    </w:p>
    <w:p w14:paraId="4A92AAF0" w14:textId="3E8F3A79" w:rsidR="00B51477" w:rsidRPr="006C3284" w:rsidRDefault="00B51477" w:rsidP="006C3284">
      <w:pPr>
        <w:spacing w:before="40" w:line="240" w:lineRule="auto"/>
        <w:ind w:left="1134" w:hanging="567"/>
        <w:rPr>
          <w:rFonts w:eastAsia="Times New Roman" w:cstheme="minorHAnsi"/>
          <w:sz w:val="24"/>
          <w:lang w:eastAsia="en-AU"/>
        </w:rPr>
      </w:pPr>
      <w:proofErr w:type="gramStart"/>
      <w:r w:rsidRPr="006C3284">
        <w:rPr>
          <w:rFonts w:eastAsia="Times New Roman" w:cstheme="minorHAnsi"/>
          <w:sz w:val="24"/>
          <w:lang w:eastAsia="en-AU"/>
        </w:rPr>
        <w:t>the</w:t>
      </w:r>
      <w:proofErr w:type="gramEnd"/>
      <w:r w:rsidRPr="006C3284">
        <w:rPr>
          <w:rFonts w:eastAsia="Times New Roman" w:cstheme="minorHAnsi"/>
          <w:sz w:val="24"/>
          <w:lang w:eastAsia="en-AU"/>
        </w:rPr>
        <w:t xml:space="preserve"> participant </w:t>
      </w:r>
      <w:r w:rsidRPr="006C3284">
        <w:rPr>
          <w:rFonts w:eastAsia="Times New Roman" w:cstheme="minorHAnsi"/>
          <w:sz w:val="24"/>
          <w:szCs w:val="20"/>
          <w:lang w:eastAsia="en-AU"/>
        </w:rPr>
        <w:t xml:space="preserve">has not withdrawn </w:t>
      </w:r>
      <w:r w:rsidR="006C3284" w:rsidRPr="006C3284">
        <w:rPr>
          <w:rFonts w:eastAsia="Times New Roman" w:cstheme="minorHAnsi"/>
          <w:sz w:val="24"/>
          <w:lang w:eastAsia="en-AU"/>
        </w:rPr>
        <w:t>their election.</w:t>
      </w:r>
    </w:p>
    <w:p w14:paraId="54275936" w14:textId="77777777" w:rsidR="00B51477" w:rsidRPr="006C3284" w:rsidRDefault="00B51477" w:rsidP="00B51477">
      <w:pPr>
        <w:rPr>
          <w:rFonts w:cstheme="minorHAnsi"/>
          <w:sz w:val="24"/>
          <w:szCs w:val="24"/>
        </w:rPr>
      </w:pPr>
      <w:r w:rsidRPr="006C3284">
        <w:rPr>
          <w:rFonts w:cstheme="minorHAnsi"/>
          <w:sz w:val="24"/>
          <w:szCs w:val="24"/>
        </w:rPr>
        <w:t xml:space="preserve">Paragraphs 6(2)(a) to (c) ensures that a participant will only be taken to have elected to take up the spectrum set aside if they have applied to be registered with the ACMA for the allocation in accordance with the allocation procedures, and have not withdrawn or be taken to have withdrawn their application for registration. </w:t>
      </w:r>
    </w:p>
    <w:p w14:paraId="04966029" w14:textId="2F511ACD" w:rsidR="00B51477" w:rsidRPr="006C3284" w:rsidRDefault="00B51477" w:rsidP="00B51477">
      <w:pPr>
        <w:rPr>
          <w:rFonts w:cstheme="minorHAnsi"/>
          <w:sz w:val="24"/>
          <w:szCs w:val="24"/>
        </w:rPr>
      </w:pPr>
      <w:r w:rsidRPr="006C3284">
        <w:rPr>
          <w:rFonts w:cstheme="minorHAnsi"/>
          <w:sz w:val="24"/>
          <w:szCs w:val="24"/>
        </w:rPr>
        <w:t xml:space="preserve">ACMA may determine in its allocation procedures requirements that must be met in order for a person to elect to take up the spectrum set-aside. </w:t>
      </w:r>
    </w:p>
    <w:p w14:paraId="17F3BBD2" w14:textId="374BA9FC" w:rsidR="00B51477" w:rsidRPr="006C3284" w:rsidRDefault="00B51477" w:rsidP="00B51477">
      <w:pPr>
        <w:rPr>
          <w:rFonts w:cstheme="minorHAnsi"/>
          <w:sz w:val="24"/>
          <w:szCs w:val="24"/>
        </w:rPr>
      </w:pPr>
      <w:r w:rsidRPr="006C3284">
        <w:rPr>
          <w:rFonts w:cstheme="minorHAnsi"/>
          <w:sz w:val="24"/>
          <w:szCs w:val="24"/>
        </w:rPr>
        <w:t>Paragraphs 6(2</w:t>
      </w:r>
      <w:proofErr w:type="gramStart"/>
      <w:r w:rsidRPr="006C3284">
        <w:rPr>
          <w:rFonts w:cstheme="minorHAnsi"/>
          <w:sz w:val="24"/>
          <w:szCs w:val="24"/>
        </w:rPr>
        <w:t>)(</w:t>
      </w:r>
      <w:proofErr w:type="gramEnd"/>
      <w:r w:rsidRPr="006C3284">
        <w:rPr>
          <w:rFonts w:cstheme="minorHAnsi"/>
          <w:sz w:val="24"/>
          <w:szCs w:val="24"/>
        </w:rPr>
        <w:t>d) and (e) provide that</w:t>
      </w:r>
      <w:r w:rsidR="00B67774" w:rsidRPr="006C3284">
        <w:rPr>
          <w:rFonts w:cstheme="minorHAnsi"/>
          <w:sz w:val="24"/>
          <w:szCs w:val="24"/>
        </w:rPr>
        <w:t>,</w:t>
      </w:r>
      <w:r w:rsidRPr="006C3284">
        <w:rPr>
          <w:rFonts w:cstheme="minorHAnsi"/>
          <w:sz w:val="24"/>
          <w:szCs w:val="24"/>
        </w:rPr>
        <w:t xml:space="preserve"> if</w:t>
      </w:r>
      <w:r w:rsidR="00B67774" w:rsidRPr="006C3284">
        <w:rPr>
          <w:rFonts w:cstheme="minorHAnsi"/>
          <w:sz w:val="24"/>
          <w:szCs w:val="24"/>
        </w:rPr>
        <w:t>,</w:t>
      </w:r>
      <w:r w:rsidRPr="006C3284">
        <w:rPr>
          <w:rFonts w:cstheme="minorHAnsi"/>
          <w:sz w:val="24"/>
          <w:szCs w:val="24"/>
        </w:rPr>
        <w:t xml:space="preserve"> in accordance with these procedures a person pays a fee (however described), gives notification in writing that they elect to take up the set aside, and do not then withdraw their election</w:t>
      </w:r>
      <w:r w:rsidR="00B67774" w:rsidRPr="006C3284">
        <w:rPr>
          <w:rFonts w:cstheme="minorHAnsi"/>
          <w:sz w:val="24"/>
          <w:szCs w:val="24"/>
        </w:rPr>
        <w:t>,</w:t>
      </w:r>
      <w:r w:rsidRPr="006C3284">
        <w:rPr>
          <w:rFonts w:cstheme="minorHAnsi"/>
          <w:sz w:val="24"/>
          <w:szCs w:val="24"/>
        </w:rPr>
        <w:t xml:space="preserve"> if permitted to do so under </w:t>
      </w:r>
      <w:r w:rsidR="00DC3D10" w:rsidRPr="006C3284">
        <w:rPr>
          <w:rFonts w:cstheme="minorHAnsi"/>
          <w:sz w:val="24"/>
          <w:szCs w:val="24"/>
        </w:rPr>
        <w:t xml:space="preserve">circumstances provided for under </w:t>
      </w:r>
      <w:r w:rsidRPr="006C3284">
        <w:rPr>
          <w:rFonts w:cstheme="minorHAnsi"/>
          <w:sz w:val="24"/>
          <w:szCs w:val="24"/>
        </w:rPr>
        <w:t xml:space="preserve">the allocation procedures, they will be taken to have elected to take up the spectrum set-aside. </w:t>
      </w:r>
    </w:p>
    <w:p w14:paraId="7C79203B" w14:textId="557DE3DE" w:rsidR="00B51477" w:rsidRPr="006C3284" w:rsidRDefault="00B51477" w:rsidP="00B51477">
      <w:pPr>
        <w:rPr>
          <w:rFonts w:cstheme="minorHAnsi"/>
          <w:sz w:val="24"/>
          <w:szCs w:val="24"/>
        </w:rPr>
      </w:pPr>
      <w:r w:rsidRPr="006C3284">
        <w:rPr>
          <w:rFonts w:cstheme="minorHAnsi"/>
          <w:sz w:val="24"/>
          <w:szCs w:val="24"/>
        </w:rPr>
        <w:t>This gives ACMA flexibility in how it chooses to deal with set-aside spectrum as part of the allocation procedures, and certainty as to whether a person has elected to take up the spectrum set-aside.</w:t>
      </w:r>
    </w:p>
    <w:p w14:paraId="0774B0C9" w14:textId="5E1B2E06" w:rsidR="002A5F19" w:rsidRPr="006C3284" w:rsidRDefault="006D59A5" w:rsidP="002A5F19">
      <w:pPr>
        <w:rPr>
          <w:rFonts w:cstheme="minorHAnsi"/>
          <w:sz w:val="24"/>
          <w:szCs w:val="24"/>
        </w:rPr>
      </w:pPr>
      <w:r w:rsidRPr="006C3284">
        <w:rPr>
          <w:rFonts w:cstheme="minorHAnsi"/>
          <w:sz w:val="24"/>
          <w:szCs w:val="24"/>
        </w:rPr>
        <w:t>It is intended that i</w:t>
      </w:r>
      <w:r w:rsidR="002A5F19" w:rsidRPr="006C3284">
        <w:rPr>
          <w:rFonts w:cstheme="minorHAnsi"/>
          <w:sz w:val="24"/>
          <w:szCs w:val="24"/>
        </w:rPr>
        <w:t xml:space="preserve">n effect, </w:t>
      </w:r>
      <w:r w:rsidR="0097273D" w:rsidRPr="006C3284">
        <w:rPr>
          <w:rFonts w:cstheme="minorHAnsi"/>
          <w:sz w:val="24"/>
          <w:szCs w:val="24"/>
        </w:rPr>
        <w:t xml:space="preserve">if the usual spectrum auction procedures are prescribed for this auction, </w:t>
      </w:r>
      <w:r w:rsidR="002A5F19" w:rsidRPr="006C3284">
        <w:rPr>
          <w:rFonts w:cstheme="minorHAnsi"/>
          <w:sz w:val="24"/>
          <w:szCs w:val="24"/>
        </w:rPr>
        <w:t xml:space="preserve">subsection 6(2) will require Optus and TPG Telecom to elect to take up the spectrum set-aside by the application deadline set in the allocation procedures. It </w:t>
      </w:r>
      <w:r w:rsidR="0097273D" w:rsidRPr="006C3284">
        <w:rPr>
          <w:rFonts w:cstheme="minorHAnsi"/>
          <w:sz w:val="24"/>
          <w:szCs w:val="24"/>
        </w:rPr>
        <w:t>would be</w:t>
      </w:r>
      <w:r w:rsidR="002A5F19" w:rsidRPr="006C3284">
        <w:rPr>
          <w:rFonts w:cstheme="minorHAnsi"/>
          <w:sz w:val="24"/>
          <w:szCs w:val="24"/>
        </w:rPr>
        <w:t xml:space="preserve"> necessary </w:t>
      </w:r>
      <w:r w:rsidR="0097273D" w:rsidRPr="006C3284">
        <w:rPr>
          <w:rFonts w:cstheme="minorHAnsi"/>
          <w:sz w:val="24"/>
          <w:szCs w:val="24"/>
        </w:rPr>
        <w:t xml:space="preserve">for </w:t>
      </w:r>
      <w:r w:rsidR="002A5F19" w:rsidRPr="006C3284">
        <w:rPr>
          <w:rFonts w:cstheme="minorHAnsi"/>
          <w:sz w:val="24"/>
          <w:szCs w:val="24"/>
        </w:rPr>
        <w:t xml:space="preserve">any spectrum set-asides </w:t>
      </w:r>
      <w:r w:rsidR="0097273D" w:rsidRPr="006C3284">
        <w:rPr>
          <w:rFonts w:cstheme="minorHAnsi"/>
          <w:sz w:val="24"/>
          <w:szCs w:val="24"/>
        </w:rPr>
        <w:t xml:space="preserve">be </w:t>
      </w:r>
      <w:r w:rsidR="002A5F19" w:rsidRPr="006C3284">
        <w:rPr>
          <w:rFonts w:cstheme="minorHAnsi"/>
          <w:sz w:val="24"/>
          <w:szCs w:val="24"/>
        </w:rPr>
        <w:t>taken up by this point as after the application deadline, and before the eligibility deadline of the allocation, applicants must indicate to the ACMA their provisional start demand</w:t>
      </w:r>
      <w:r w:rsidR="00C45E01" w:rsidRPr="006C3284">
        <w:rPr>
          <w:rFonts w:cstheme="minorHAnsi"/>
          <w:sz w:val="24"/>
          <w:szCs w:val="24"/>
        </w:rPr>
        <w:t>s</w:t>
      </w:r>
      <w:r w:rsidR="002A5F19" w:rsidRPr="006C3284">
        <w:rPr>
          <w:rFonts w:cstheme="minorHAnsi"/>
          <w:sz w:val="24"/>
          <w:szCs w:val="24"/>
        </w:rPr>
        <w:t xml:space="preserve"> for the auction. The start demand</w:t>
      </w:r>
      <w:r w:rsidR="00C45E01" w:rsidRPr="006C3284">
        <w:rPr>
          <w:rFonts w:cstheme="minorHAnsi"/>
          <w:sz w:val="24"/>
          <w:szCs w:val="24"/>
        </w:rPr>
        <w:t>s</w:t>
      </w:r>
      <w:r w:rsidR="002A5F19" w:rsidRPr="006C3284">
        <w:rPr>
          <w:rFonts w:cstheme="minorHAnsi"/>
          <w:sz w:val="24"/>
          <w:szCs w:val="24"/>
        </w:rPr>
        <w:t xml:space="preserve"> cannot be greater than the supply of lots at the auction, therefore ACMA</w:t>
      </w:r>
      <w:r w:rsidR="00A7624E" w:rsidRPr="006C3284">
        <w:rPr>
          <w:rFonts w:cstheme="minorHAnsi"/>
          <w:sz w:val="24"/>
          <w:szCs w:val="24"/>
        </w:rPr>
        <w:t>, and potential auction participants,</w:t>
      </w:r>
      <w:r w:rsidR="002A5F19" w:rsidRPr="006C3284">
        <w:rPr>
          <w:rFonts w:cstheme="minorHAnsi"/>
          <w:sz w:val="24"/>
          <w:szCs w:val="24"/>
        </w:rPr>
        <w:t xml:space="preserve"> must know what spectrum is to be set-aside to determine how many lots will be available for bidders at the auction.</w:t>
      </w:r>
    </w:p>
    <w:p w14:paraId="56F5DD18" w14:textId="480BC4F9" w:rsidR="00B67774" w:rsidRPr="006C3284" w:rsidRDefault="00B67774" w:rsidP="006C3284">
      <w:pPr>
        <w:pStyle w:val="Heading3"/>
      </w:pPr>
      <w:r w:rsidRPr="006C3284">
        <w:t>Section 7—Limit applying to all persons and relevant groups of persons</w:t>
      </w:r>
    </w:p>
    <w:p w14:paraId="2DAF45EC" w14:textId="795E78E0" w:rsidR="00B67774" w:rsidRPr="006C3284" w:rsidRDefault="00B67774" w:rsidP="002A5F19">
      <w:pPr>
        <w:rPr>
          <w:rFonts w:cstheme="minorHAnsi"/>
          <w:sz w:val="24"/>
          <w:szCs w:val="24"/>
        </w:rPr>
      </w:pPr>
      <w:r w:rsidRPr="006C3284">
        <w:rPr>
          <w:rFonts w:cstheme="minorHAnsi"/>
          <w:sz w:val="24"/>
          <w:szCs w:val="24"/>
        </w:rPr>
        <w:lastRenderedPageBreak/>
        <w:t xml:space="preserve">Section 7 sets out limits applying to all persons and relevant groups of persons as to how much spectrum they may use in the </w:t>
      </w:r>
      <w:r w:rsidR="00324254" w:rsidRPr="006C3284">
        <w:rPr>
          <w:rFonts w:cstheme="minorHAnsi"/>
          <w:sz w:val="24"/>
          <w:szCs w:val="24"/>
        </w:rPr>
        <w:t>sub-</w:t>
      </w:r>
      <w:r w:rsidRPr="006C3284">
        <w:rPr>
          <w:rFonts w:cstheme="minorHAnsi"/>
          <w:sz w:val="24"/>
          <w:szCs w:val="24"/>
        </w:rPr>
        <w:t>1 GHz band in each relevant area.</w:t>
      </w:r>
    </w:p>
    <w:p w14:paraId="545406C0" w14:textId="5CBF46A2" w:rsidR="00B67774" w:rsidRPr="006C3284" w:rsidRDefault="00B67774" w:rsidP="002A5F19">
      <w:pPr>
        <w:rPr>
          <w:rFonts w:cstheme="minorHAnsi"/>
          <w:sz w:val="24"/>
          <w:szCs w:val="24"/>
        </w:rPr>
      </w:pPr>
      <w:r w:rsidRPr="006C3284">
        <w:rPr>
          <w:rFonts w:cstheme="minorHAnsi"/>
          <w:sz w:val="24"/>
          <w:szCs w:val="24"/>
        </w:rPr>
        <w:t>Paragraph 7(1</w:t>
      </w:r>
      <w:proofErr w:type="gramStart"/>
      <w:r w:rsidRPr="006C3284">
        <w:rPr>
          <w:rFonts w:cstheme="minorHAnsi"/>
          <w:sz w:val="24"/>
          <w:szCs w:val="24"/>
        </w:rPr>
        <w:t>)(</w:t>
      </w:r>
      <w:proofErr w:type="gramEnd"/>
      <w:r w:rsidRPr="006C3284">
        <w:rPr>
          <w:rFonts w:cstheme="minorHAnsi"/>
          <w:sz w:val="24"/>
          <w:szCs w:val="24"/>
        </w:rPr>
        <w:t xml:space="preserve">a) sets out that for this section, the limits imposed must apply in relation to the </w:t>
      </w:r>
      <w:r w:rsidR="006E33C5" w:rsidRPr="006C3284">
        <w:rPr>
          <w:rFonts w:cstheme="minorHAnsi"/>
          <w:sz w:val="24"/>
          <w:szCs w:val="24"/>
        </w:rPr>
        <w:t>sub-</w:t>
      </w:r>
      <w:r w:rsidRPr="006C3284">
        <w:rPr>
          <w:rFonts w:cstheme="minorHAnsi"/>
          <w:sz w:val="24"/>
          <w:szCs w:val="24"/>
        </w:rPr>
        <w:t xml:space="preserve">1 GHz band in </w:t>
      </w:r>
      <w:r w:rsidR="00ED3063" w:rsidRPr="006C3284">
        <w:rPr>
          <w:rFonts w:cstheme="minorHAnsi"/>
          <w:sz w:val="24"/>
          <w:szCs w:val="24"/>
        </w:rPr>
        <w:t>the metropolitan</w:t>
      </w:r>
      <w:r w:rsidRPr="006C3284">
        <w:rPr>
          <w:rFonts w:cstheme="minorHAnsi"/>
          <w:sz w:val="24"/>
          <w:szCs w:val="24"/>
        </w:rPr>
        <w:t xml:space="preserve"> area</w:t>
      </w:r>
      <w:r w:rsidR="00ED3063" w:rsidRPr="006C3284">
        <w:rPr>
          <w:rFonts w:cstheme="minorHAnsi"/>
          <w:sz w:val="24"/>
          <w:szCs w:val="24"/>
        </w:rPr>
        <w:t xml:space="preserve"> and the regional</w:t>
      </w:r>
      <w:r w:rsidRPr="006C3284">
        <w:rPr>
          <w:rFonts w:cstheme="minorHAnsi"/>
          <w:sz w:val="24"/>
          <w:szCs w:val="24"/>
        </w:rPr>
        <w:t xml:space="preserve"> area.</w:t>
      </w:r>
      <w:r w:rsidR="00664997" w:rsidRPr="006C3284">
        <w:rPr>
          <w:rFonts w:cstheme="minorHAnsi"/>
          <w:sz w:val="24"/>
          <w:szCs w:val="24"/>
        </w:rPr>
        <w:t xml:space="preserve"> This is intended to make clear that </w:t>
      </w:r>
      <w:r w:rsidR="00C45E01" w:rsidRPr="006C3284">
        <w:rPr>
          <w:rFonts w:cstheme="minorHAnsi"/>
          <w:sz w:val="24"/>
          <w:szCs w:val="24"/>
        </w:rPr>
        <w:t xml:space="preserve">the </w:t>
      </w:r>
      <w:r w:rsidR="00664997" w:rsidRPr="006C3284">
        <w:rPr>
          <w:rFonts w:cstheme="minorHAnsi"/>
          <w:sz w:val="24"/>
          <w:szCs w:val="24"/>
        </w:rPr>
        <w:t xml:space="preserve">ACMA must impose limits on the aggregate of the parts of the spectrum that any person or specified group of persons may use in the </w:t>
      </w:r>
      <w:r w:rsidR="006E33C5" w:rsidRPr="006C3284">
        <w:rPr>
          <w:rFonts w:cstheme="minorHAnsi"/>
          <w:sz w:val="24"/>
          <w:szCs w:val="24"/>
        </w:rPr>
        <w:t>sub-</w:t>
      </w:r>
      <w:r w:rsidR="00664997" w:rsidRPr="006C3284">
        <w:rPr>
          <w:rFonts w:cstheme="minorHAnsi"/>
          <w:sz w:val="24"/>
          <w:szCs w:val="24"/>
        </w:rPr>
        <w:t xml:space="preserve">1 GHz band as a result of the allocation of spectrum licences in the 850/900 MHz band. Spectrum within the </w:t>
      </w:r>
      <w:r w:rsidR="006E33C5" w:rsidRPr="006C3284">
        <w:rPr>
          <w:rFonts w:cstheme="minorHAnsi"/>
          <w:sz w:val="24"/>
          <w:szCs w:val="24"/>
        </w:rPr>
        <w:t>sub-</w:t>
      </w:r>
      <w:r w:rsidR="00664997" w:rsidRPr="006C3284">
        <w:rPr>
          <w:rFonts w:cstheme="minorHAnsi"/>
          <w:sz w:val="24"/>
          <w:szCs w:val="24"/>
        </w:rPr>
        <w:t xml:space="preserve">1 GHz band, of which the 850/900 MHz band is part, is a close substitute for the 850/900 MHz band, particularly in relation to the deployment of mobile networks in Australia. Therefore, it is appropriate to take into account existing holdings in the </w:t>
      </w:r>
      <w:r w:rsidR="006E33C5" w:rsidRPr="006C3284">
        <w:rPr>
          <w:rFonts w:cstheme="minorHAnsi"/>
          <w:sz w:val="24"/>
          <w:szCs w:val="24"/>
        </w:rPr>
        <w:t>sub-</w:t>
      </w:r>
      <w:r w:rsidR="00664997" w:rsidRPr="006C3284">
        <w:rPr>
          <w:rFonts w:cstheme="minorHAnsi"/>
          <w:sz w:val="24"/>
          <w:szCs w:val="24"/>
        </w:rPr>
        <w:t xml:space="preserve">1 GHz band for the purposes of the allocation of the 850/900 MHz band. </w:t>
      </w:r>
    </w:p>
    <w:p w14:paraId="21046CA1" w14:textId="32E61A41" w:rsidR="00B67774" w:rsidRPr="006C3284" w:rsidRDefault="00B67774" w:rsidP="002A5F19">
      <w:pPr>
        <w:rPr>
          <w:rFonts w:cstheme="minorHAnsi"/>
          <w:sz w:val="24"/>
          <w:szCs w:val="24"/>
        </w:rPr>
      </w:pPr>
      <w:r w:rsidRPr="006C3284">
        <w:rPr>
          <w:rFonts w:cstheme="minorHAnsi"/>
          <w:sz w:val="24"/>
          <w:szCs w:val="24"/>
        </w:rPr>
        <w:t>Paragraph 7(1</w:t>
      </w:r>
      <w:proofErr w:type="gramStart"/>
      <w:r w:rsidRPr="006C3284">
        <w:rPr>
          <w:rFonts w:cstheme="minorHAnsi"/>
          <w:sz w:val="24"/>
          <w:szCs w:val="24"/>
        </w:rPr>
        <w:t>)(</w:t>
      </w:r>
      <w:proofErr w:type="gramEnd"/>
      <w:r w:rsidRPr="006C3284">
        <w:rPr>
          <w:rFonts w:cstheme="minorHAnsi"/>
          <w:sz w:val="24"/>
          <w:szCs w:val="24"/>
        </w:rPr>
        <w:t xml:space="preserve">b) sets out that the limits imposed must ensure that no person or relevant group of persons may use no more than an aggregate of 82 MHz of the </w:t>
      </w:r>
      <w:r w:rsidR="006E33C5" w:rsidRPr="006C3284">
        <w:rPr>
          <w:rFonts w:cstheme="minorHAnsi"/>
          <w:sz w:val="24"/>
          <w:szCs w:val="24"/>
        </w:rPr>
        <w:t>sub-</w:t>
      </w:r>
      <w:r w:rsidRPr="006C3284">
        <w:rPr>
          <w:rFonts w:cstheme="minorHAnsi"/>
          <w:sz w:val="24"/>
          <w:szCs w:val="24"/>
        </w:rPr>
        <w:t>1 GHz band</w:t>
      </w:r>
      <w:r w:rsidR="006E33C5" w:rsidRPr="006C3284">
        <w:rPr>
          <w:rFonts w:cstheme="minorHAnsi"/>
          <w:sz w:val="24"/>
          <w:szCs w:val="24"/>
        </w:rPr>
        <w:t xml:space="preserve"> under spectrum licences</w:t>
      </w:r>
      <w:r w:rsidRPr="006C3284">
        <w:rPr>
          <w:rFonts w:cstheme="minorHAnsi"/>
          <w:sz w:val="24"/>
          <w:szCs w:val="24"/>
        </w:rPr>
        <w:t xml:space="preserve"> in the </w:t>
      </w:r>
      <w:r w:rsidR="00ED3063" w:rsidRPr="006C3284">
        <w:rPr>
          <w:rFonts w:cstheme="minorHAnsi"/>
          <w:sz w:val="24"/>
          <w:szCs w:val="24"/>
        </w:rPr>
        <w:t xml:space="preserve">metropolitan area or the regional </w:t>
      </w:r>
      <w:r w:rsidRPr="006C3284">
        <w:rPr>
          <w:rFonts w:cstheme="minorHAnsi"/>
          <w:sz w:val="24"/>
          <w:szCs w:val="24"/>
        </w:rPr>
        <w:t>area.</w:t>
      </w:r>
      <w:r w:rsidR="007072CD" w:rsidRPr="006C3284">
        <w:rPr>
          <w:rFonts w:cstheme="minorHAnsi"/>
        </w:rPr>
        <w:t xml:space="preserve"> </w:t>
      </w:r>
      <w:r w:rsidR="00ED3063" w:rsidRPr="006C3284">
        <w:rPr>
          <w:rFonts w:cstheme="minorHAnsi"/>
          <w:sz w:val="24"/>
          <w:szCs w:val="24"/>
        </w:rPr>
        <w:t>That is, a person, or relevant group of persons, may use up to 82 MHz of spectrum</w:t>
      </w:r>
      <w:r w:rsidR="006E33C5" w:rsidRPr="006C3284">
        <w:rPr>
          <w:rFonts w:cstheme="minorHAnsi"/>
          <w:sz w:val="24"/>
          <w:szCs w:val="24"/>
        </w:rPr>
        <w:t xml:space="preserve"> under spectrum licences</w:t>
      </w:r>
      <w:r w:rsidR="00ED3063" w:rsidRPr="006C3284">
        <w:rPr>
          <w:rFonts w:cstheme="minorHAnsi"/>
          <w:sz w:val="24"/>
          <w:szCs w:val="24"/>
        </w:rPr>
        <w:t xml:space="preserve"> in the metropolitan area and regional area, but cannot use more than 82 MHz</w:t>
      </w:r>
      <w:r w:rsidR="006E33C5" w:rsidRPr="006C3284">
        <w:rPr>
          <w:rFonts w:cstheme="minorHAnsi"/>
          <w:sz w:val="24"/>
          <w:szCs w:val="24"/>
        </w:rPr>
        <w:t xml:space="preserve"> of spectrum under spectrum licences</w:t>
      </w:r>
      <w:r w:rsidR="00ED3063" w:rsidRPr="006C3284">
        <w:rPr>
          <w:rFonts w:cstheme="minorHAnsi"/>
          <w:sz w:val="24"/>
          <w:szCs w:val="24"/>
        </w:rPr>
        <w:t xml:space="preserve"> in either area. T</w:t>
      </w:r>
      <w:r w:rsidR="007072CD" w:rsidRPr="006C3284">
        <w:rPr>
          <w:rFonts w:cstheme="minorHAnsi"/>
          <w:sz w:val="24"/>
          <w:szCs w:val="24"/>
        </w:rPr>
        <w:t>he intent of the 82 MHz limit is to prevent monopolisation of spectrum</w:t>
      </w:r>
      <w:r w:rsidR="006E33C5" w:rsidRPr="006C3284">
        <w:rPr>
          <w:rFonts w:cstheme="minorHAnsi"/>
          <w:sz w:val="24"/>
          <w:szCs w:val="24"/>
        </w:rPr>
        <w:t xml:space="preserve">-licensed spectrum </w:t>
      </w:r>
      <w:r w:rsidR="007072CD" w:rsidRPr="006C3284">
        <w:rPr>
          <w:rFonts w:cstheme="minorHAnsi"/>
          <w:sz w:val="24"/>
          <w:szCs w:val="24"/>
        </w:rPr>
        <w:t xml:space="preserve">in the </w:t>
      </w:r>
      <w:r w:rsidR="006E33C5" w:rsidRPr="006C3284">
        <w:rPr>
          <w:rFonts w:cstheme="minorHAnsi"/>
          <w:sz w:val="24"/>
          <w:szCs w:val="24"/>
        </w:rPr>
        <w:t>sub-</w:t>
      </w:r>
      <w:r w:rsidR="007072CD" w:rsidRPr="006C3284">
        <w:rPr>
          <w:rFonts w:cstheme="minorHAnsi"/>
          <w:sz w:val="24"/>
          <w:szCs w:val="24"/>
        </w:rPr>
        <w:t>1 GHz band</w:t>
      </w:r>
      <w:r w:rsidR="00CF5D2C" w:rsidRPr="006C3284">
        <w:rPr>
          <w:rFonts w:cstheme="minorHAnsi"/>
          <w:sz w:val="24"/>
          <w:szCs w:val="24"/>
        </w:rPr>
        <w:t xml:space="preserve"> and</w:t>
      </w:r>
      <w:r w:rsidR="007072CD" w:rsidRPr="006C3284">
        <w:rPr>
          <w:rFonts w:cstheme="minorHAnsi"/>
          <w:sz w:val="24"/>
          <w:szCs w:val="24"/>
        </w:rPr>
        <w:t xml:space="preserve"> partially address the disparity in </w:t>
      </w:r>
      <w:r w:rsidR="006E33C5" w:rsidRPr="006C3284">
        <w:rPr>
          <w:rFonts w:cstheme="minorHAnsi"/>
          <w:sz w:val="24"/>
          <w:szCs w:val="24"/>
        </w:rPr>
        <w:t>sub-</w:t>
      </w:r>
      <w:r w:rsidR="007072CD" w:rsidRPr="006C3284">
        <w:rPr>
          <w:rFonts w:cstheme="minorHAnsi"/>
          <w:sz w:val="24"/>
          <w:szCs w:val="24"/>
        </w:rPr>
        <w:t xml:space="preserve">1 GHz band </w:t>
      </w:r>
      <w:r w:rsidR="006E33C5" w:rsidRPr="006C3284">
        <w:rPr>
          <w:rFonts w:cstheme="minorHAnsi"/>
          <w:sz w:val="24"/>
          <w:szCs w:val="24"/>
        </w:rPr>
        <w:t>spectrum</w:t>
      </w:r>
      <w:r w:rsidR="00C57076" w:rsidRPr="006C3284">
        <w:rPr>
          <w:rFonts w:cstheme="minorHAnsi"/>
          <w:sz w:val="24"/>
          <w:szCs w:val="24"/>
        </w:rPr>
        <w:t>-</w:t>
      </w:r>
      <w:r w:rsidR="006E33C5" w:rsidRPr="006C3284">
        <w:rPr>
          <w:rFonts w:cstheme="minorHAnsi"/>
          <w:sz w:val="24"/>
          <w:szCs w:val="24"/>
        </w:rPr>
        <w:t>licen</w:t>
      </w:r>
      <w:r w:rsidR="00324254" w:rsidRPr="006C3284">
        <w:rPr>
          <w:rFonts w:cstheme="minorHAnsi"/>
          <w:sz w:val="24"/>
          <w:szCs w:val="24"/>
        </w:rPr>
        <w:t>sed</w:t>
      </w:r>
      <w:r w:rsidR="006E33C5" w:rsidRPr="006C3284">
        <w:rPr>
          <w:rFonts w:cstheme="minorHAnsi"/>
          <w:sz w:val="24"/>
          <w:szCs w:val="24"/>
        </w:rPr>
        <w:t xml:space="preserve"> </w:t>
      </w:r>
      <w:r w:rsidR="007072CD" w:rsidRPr="006C3284">
        <w:rPr>
          <w:rFonts w:cstheme="minorHAnsi"/>
          <w:sz w:val="24"/>
          <w:szCs w:val="24"/>
        </w:rPr>
        <w:t>holdings between MNOs</w:t>
      </w:r>
      <w:r w:rsidR="00CF5D2C" w:rsidRPr="006C3284">
        <w:rPr>
          <w:rFonts w:cstheme="minorHAnsi"/>
          <w:sz w:val="24"/>
          <w:szCs w:val="24"/>
        </w:rPr>
        <w:t>.</w:t>
      </w:r>
      <w:r w:rsidR="007072CD" w:rsidRPr="006C3284">
        <w:rPr>
          <w:rFonts w:cstheme="minorHAnsi"/>
          <w:sz w:val="24"/>
          <w:szCs w:val="24"/>
        </w:rPr>
        <w:t xml:space="preserve"> </w:t>
      </w:r>
      <w:r w:rsidR="00CF5D2C" w:rsidRPr="006C3284">
        <w:rPr>
          <w:rFonts w:cstheme="minorHAnsi"/>
          <w:sz w:val="24"/>
          <w:szCs w:val="24"/>
        </w:rPr>
        <w:t>This limit will still enable</w:t>
      </w:r>
      <w:r w:rsidR="007072CD" w:rsidRPr="006C3284">
        <w:rPr>
          <w:rFonts w:cstheme="minorHAnsi"/>
          <w:sz w:val="24"/>
          <w:szCs w:val="24"/>
        </w:rPr>
        <w:t xml:space="preserve"> competition between MNOs, and any other bidders, at</w:t>
      </w:r>
      <w:r w:rsidR="00CF5D2C" w:rsidRPr="006C3284">
        <w:rPr>
          <w:rFonts w:cstheme="minorHAnsi"/>
          <w:sz w:val="24"/>
          <w:szCs w:val="24"/>
        </w:rPr>
        <w:t xml:space="preserve"> the</w:t>
      </w:r>
      <w:r w:rsidR="007072CD" w:rsidRPr="006C3284">
        <w:rPr>
          <w:rFonts w:cstheme="minorHAnsi"/>
          <w:sz w:val="24"/>
          <w:szCs w:val="24"/>
        </w:rPr>
        <w:t xml:space="preserve"> auction to efficiently allocate the spectrum available.</w:t>
      </w:r>
      <w:r w:rsidR="00ED3063" w:rsidRPr="006C3284">
        <w:rPr>
          <w:rFonts w:cstheme="minorHAnsi"/>
          <w:sz w:val="24"/>
          <w:szCs w:val="24"/>
        </w:rPr>
        <w:t xml:space="preserve"> The limit applies to the metropolitan area and regional area individually to account for existing asymmetry in spectrum holdings due to the geographical disaggregation of spectrum licences in the 800 MHz band.</w:t>
      </w:r>
    </w:p>
    <w:p w14:paraId="2FAFAD84" w14:textId="53E115E2" w:rsidR="00B67774" w:rsidRPr="006C3284" w:rsidRDefault="002D36D6" w:rsidP="002A5F19">
      <w:pPr>
        <w:rPr>
          <w:rFonts w:cstheme="minorHAnsi"/>
          <w:sz w:val="24"/>
          <w:szCs w:val="24"/>
        </w:rPr>
      </w:pPr>
      <w:r w:rsidRPr="006C3284">
        <w:rPr>
          <w:rFonts w:cstheme="minorHAnsi"/>
          <w:sz w:val="24"/>
          <w:szCs w:val="24"/>
        </w:rPr>
        <w:t>Paragraph 7(1)(c) sets out</w:t>
      </w:r>
      <w:r w:rsidR="00B67774" w:rsidRPr="006C3284">
        <w:rPr>
          <w:rFonts w:cstheme="minorHAnsi"/>
          <w:sz w:val="24"/>
          <w:szCs w:val="24"/>
        </w:rPr>
        <w:t xml:space="preserve"> where, immediately prior to any allocation of a spectrum licence that is enabled by the </w:t>
      </w:r>
      <w:r w:rsidRPr="006C3284">
        <w:rPr>
          <w:rFonts w:cstheme="minorHAnsi"/>
          <w:sz w:val="24"/>
          <w:szCs w:val="24"/>
        </w:rPr>
        <w:t>re-allocation declaration</w:t>
      </w:r>
      <w:r w:rsidR="006F648C" w:rsidRPr="006C3284">
        <w:rPr>
          <w:rFonts w:cstheme="minorHAnsi"/>
          <w:sz w:val="24"/>
          <w:szCs w:val="24"/>
        </w:rPr>
        <w:t xml:space="preserve"> a person</w:t>
      </w:r>
      <w:r w:rsidRPr="006C3284">
        <w:rPr>
          <w:rFonts w:cstheme="minorHAnsi"/>
          <w:sz w:val="24"/>
          <w:szCs w:val="24"/>
        </w:rPr>
        <w:t>,</w:t>
      </w:r>
      <w:r w:rsidR="006F648C" w:rsidRPr="006C3284">
        <w:rPr>
          <w:rFonts w:cstheme="minorHAnsi"/>
          <w:sz w:val="24"/>
          <w:szCs w:val="24"/>
        </w:rPr>
        <w:t xml:space="preserve"> or relevant group of persons</w:t>
      </w:r>
      <w:r w:rsidRPr="006C3284">
        <w:rPr>
          <w:rFonts w:cstheme="minorHAnsi"/>
          <w:sz w:val="24"/>
          <w:szCs w:val="24"/>
        </w:rPr>
        <w:t>,</w:t>
      </w:r>
      <w:r w:rsidR="006F648C" w:rsidRPr="006C3284">
        <w:rPr>
          <w:rFonts w:cstheme="minorHAnsi"/>
          <w:sz w:val="24"/>
          <w:szCs w:val="24"/>
        </w:rPr>
        <w:t xml:space="preserve"> holds a relevant spectrum licence that authorises the operation of radiocommunications devices in one or more parts of a </w:t>
      </w:r>
      <w:r w:rsidR="001B30C9" w:rsidRPr="006C3284">
        <w:rPr>
          <w:rFonts w:cstheme="minorHAnsi"/>
          <w:sz w:val="24"/>
          <w:szCs w:val="24"/>
        </w:rPr>
        <w:t>metropolitan</w:t>
      </w:r>
      <w:r w:rsidR="006F648C" w:rsidRPr="006C3284">
        <w:rPr>
          <w:rFonts w:cstheme="minorHAnsi"/>
          <w:sz w:val="24"/>
          <w:szCs w:val="24"/>
        </w:rPr>
        <w:t xml:space="preserve"> area (but not the entire</w:t>
      </w:r>
      <w:r w:rsidR="001B30C9" w:rsidRPr="006C3284">
        <w:rPr>
          <w:rFonts w:cstheme="minorHAnsi"/>
          <w:sz w:val="24"/>
          <w:szCs w:val="24"/>
        </w:rPr>
        <w:t xml:space="preserve"> metropolitan</w:t>
      </w:r>
      <w:r w:rsidR="006F648C" w:rsidRPr="006C3284">
        <w:rPr>
          <w:rFonts w:cstheme="minorHAnsi"/>
          <w:sz w:val="24"/>
          <w:szCs w:val="24"/>
        </w:rPr>
        <w:t xml:space="preserve"> area), and the aggregate population of that part or those parts of the </w:t>
      </w:r>
      <w:r w:rsidR="001B30C9" w:rsidRPr="006C3284">
        <w:rPr>
          <w:rFonts w:cstheme="minorHAnsi"/>
          <w:sz w:val="24"/>
          <w:szCs w:val="24"/>
        </w:rPr>
        <w:t>metropolitan</w:t>
      </w:r>
      <w:r w:rsidR="006F648C" w:rsidRPr="006C3284">
        <w:rPr>
          <w:rFonts w:cstheme="minorHAnsi"/>
          <w:sz w:val="24"/>
          <w:szCs w:val="24"/>
        </w:rPr>
        <w:t xml:space="preserve"> area is insignificant, the </w:t>
      </w:r>
      <w:r w:rsidR="001B30C9" w:rsidRPr="006C3284">
        <w:rPr>
          <w:rFonts w:cstheme="minorHAnsi"/>
          <w:sz w:val="24"/>
          <w:szCs w:val="24"/>
        </w:rPr>
        <w:t>relevant spectrum licence is to be treated as if it did not apply in the metropolitan area</w:t>
      </w:r>
      <w:r w:rsidR="006F648C" w:rsidRPr="006C3284">
        <w:rPr>
          <w:rFonts w:cstheme="minorHAnsi"/>
          <w:sz w:val="24"/>
          <w:szCs w:val="24"/>
        </w:rPr>
        <w:t>. That is, these</w:t>
      </w:r>
      <w:r w:rsidR="008D2E40" w:rsidRPr="006C3284">
        <w:rPr>
          <w:rFonts w:cstheme="minorHAnsi"/>
          <w:sz w:val="24"/>
          <w:szCs w:val="24"/>
        </w:rPr>
        <w:t xml:space="preserve"> particular</w:t>
      </w:r>
      <w:r w:rsidR="006F648C" w:rsidRPr="006C3284">
        <w:rPr>
          <w:rFonts w:cstheme="minorHAnsi"/>
          <w:sz w:val="24"/>
          <w:szCs w:val="24"/>
        </w:rPr>
        <w:t xml:space="preserve"> existing holdings are not to be taken into account for the purposes of applying the allocation limit</w:t>
      </w:r>
      <w:r w:rsidR="008D2E40" w:rsidRPr="006C3284">
        <w:rPr>
          <w:rFonts w:cstheme="minorHAnsi"/>
          <w:sz w:val="24"/>
          <w:szCs w:val="24"/>
        </w:rPr>
        <w:t xml:space="preserve"> provided by this section </w:t>
      </w:r>
      <w:r w:rsidR="006F648C" w:rsidRPr="006C3284">
        <w:rPr>
          <w:rFonts w:cstheme="minorHAnsi"/>
          <w:sz w:val="24"/>
          <w:szCs w:val="24"/>
        </w:rPr>
        <w:t>to a person or specified group of persons in relation to th</w:t>
      </w:r>
      <w:r w:rsidR="001B30C9" w:rsidRPr="006C3284">
        <w:rPr>
          <w:rFonts w:cstheme="minorHAnsi"/>
          <w:sz w:val="24"/>
          <w:szCs w:val="24"/>
        </w:rPr>
        <w:t>e metropolitan</w:t>
      </w:r>
      <w:r w:rsidR="006F648C" w:rsidRPr="006C3284">
        <w:rPr>
          <w:rFonts w:cstheme="minorHAnsi"/>
          <w:sz w:val="24"/>
          <w:szCs w:val="24"/>
        </w:rPr>
        <w:t xml:space="preserve"> area.</w:t>
      </w:r>
    </w:p>
    <w:p w14:paraId="74522F69" w14:textId="219BA401" w:rsidR="00C95EFF" w:rsidRPr="006C3284" w:rsidRDefault="00C95EFF" w:rsidP="00C95EFF">
      <w:pPr>
        <w:pStyle w:val="paragraphsub"/>
        <w:shd w:val="clear" w:color="auto" w:fill="FFFFFF"/>
        <w:spacing w:before="40" w:beforeAutospacing="0" w:after="240" w:afterAutospacing="0" w:line="276" w:lineRule="auto"/>
        <w:rPr>
          <w:rFonts w:asciiTheme="minorHAnsi" w:hAnsiTheme="minorHAnsi" w:cstheme="minorHAnsi"/>
          <w:b/>
          <w:i/>
          <w:color w:val="000000"/>
          <w:szCs w:val="22"/>
        </w:rPr>
      </w:pPr>
      <w:r w:rsidRPr="006C3284">
        <w:rPr>
          <w:rFonts w:asciiTheme="minorHAnsi" w:hAnsiTheme="minorHAnsi" w:cstheme="minorHAnsi"/>
        </w:rPr>
        <w:t xml:space="preserve">Paragraph </w:t>
      </w:r>
      <w:r w:rsidR="006F648C" w:rsidRPr="006C3284">
        <w:rPr>
          <w:rFonts w:asciiTheme="minorHAnsi" w:hAnsiTheme="minorHAnsi" w:cstheme="minorHAnsi"/>
        </w:rPr>
        <w:t>7(2)</w:t>
      </w:r>
      <w:r w:rsidRPr="006C3284">
        <w:rPr>
          <w:rFonts w:asciiTheme="minorHAnsi" w:hAnsiTheme="minorHAnsi" w:cstheme="minorHAnsi"/>
        </w:rPr>
        <w:t>(a)</w:t>
      </w:r>
      <w:r w:rsidR="006F648C" w:rsidRPr="006C3284">
        <w:rPr>
          <w:rFonts w:asciiTheme="minorHAnsi" w:hAnsiTheme="minorHAnsi" w:cstheme="minorHAnsi"/>
        </w:rPr>
        <w:t xml:space="preserve"> </w:t>
      </w:r>
      <w:r w:rsidRPr="006C3284">
        <w:rPr>
          <w:rFonts w:asciiTheme="minorHAnsi" w:hAnsiTheme="minorHAnsi" w:cstheme="minorHAnsi"/>
        </w:rPr>
        <w:t xml:space="preserve">defines, for the purposes of paragraph (1)(c), a </w:t>
      </w:r>
      <w:r w:rsidRPr="006C3284">
        <w:rPr>
          <w:rFonts w:asciiTheme="minorHAnsi" w:hAnsiTheme="minorHAnsi" w:cstheme="minorHAnsi"/>
          <w:b/>
          <w:i/>
          <w:color w:val="000000"/>
          <w:szCs w:val="22"/>
        </w:rPr>
        <w:t xml:space="preserve">relevant spectrum licence </w:t>
      </w:r>
      <w:r w:rsidRPr="006C3284">
        <w:rPr>
          <w:rFonts w:asciiTheme="minorHAnsi" w:hAnsiTheme="minorHAnsi" w:cstheme="minorHAnsi"/>
          <w:color w:val="000000"/>
          <w:szCs w:val="22"/>
        </w:rPr>
        <w:t>to mean a spectrum licence in the 800 MHz band that is in force immediately before the deadline for applications for registration under the allocation procedures.</w:t>
      </w:r>
    </w:p>
    <w:p w14:paraId="466A68C7" w14:textId="365285D5" w:rsidR="006F648C" w:rsidRPr="006C3284" w:rsidRDefault="00C95EFF" w:rsidP="002A5F19">
      <w:pPr>
        <w:rPr>
          <w:rFonts w:cstheme="minorHAnsi"/>
          <w:sz w:val="24"/>
          <w:szCs w:val="24"/>
        </w:rPr>
      </w:pPr>
      <w:r w:rsidRPr="006C3284">
        <w:rPr>
          <w:rFonts w:cstheme="minorHAnsi"/>
          <w:sz w:val="24"/>
          <w:szCs w:val="24"/>
        </w:rPr>
        <w:t>Paragraphs 7(2</w:t>
      </w:r>
      <w:proofErr w:type="gramStart"/>
      <w:r w:rsidRPr="006C3284">
        <w:rPr>
          <w:rFonts w:cstheme="minorHAnsi"/>
          <w:sz w:val="24"/>
          <w:szCs w:val="24"/>
        </w:rPr>
        <w:t>)(</w:t>
      </w:r>
      <w:proofErr w:type="gramEnd"/>
      <w:r w:rsidRPr="006C3284">
        <w:rPr>
          <w:rFonts w:cstheme="minorHAnsi"/>
          <w:sz w:val="24"/>
          <w:szCs w:val="24"/>
        </w:rPr>
        <w:t>b) and 7(2)(c) provide</w:t>
      </w:r>
      <w:r w:rsidR="006F648C" w:rsidRPr="006C3284">
        <w:rPr>
          <w:rFonts w:cstheme="minorHAnsi"/>
          <w:sz w:val="24"/>
          <w:szCs w:val="24"/>
        </w:rPr>
        <w:t xml:space="preserve"> that the population of one or more parts of</w:t>
      </w:r>
      <w:r w:rsidR="001B30C9" w:rsidRPr="006C3284">
        <w:rPr>
          <w:rFonts w:cstheme="minorHAnsi"/>
          <w:sz w:val="24"/>
          <w:szCs w:val="24"/>
        </w:rPr>
        <w:t xml:space="preserve"> the metropolitan</w:t>
      </w:r>
      <w:r w:rsidR="006F648C" w:rsidRPr="006C3284">
        <w:rPr>
          <w:rFonts w:cstheme="minorHAnsi"/>
          <w:sz w:val="24"/>
          <w:szCs w:val="24"/>
        </w:rPr>
        <w:t xml:space="preserve"> area is </w:t>
      </w:r>
      <w:r w:rsidR="006F648C" w:rsidRPr="006C3284">
        <w:rPr>
          <w:rFonts w:cstheme="minorHAnsi"/>
          <w:b/>
          <w:i/>
          <w:sz w:val="24"/>
          <w:szCs w:val="24"/>
        </w:rPr>
        <w:t>insignificant</w:t>
      </w:r>
      <w:r w:rsidR="006F648C" w:rsidRPr="006C3284">
        <w:rPr>
          <w:rFonts w:cstheme="minorHAnsi"/>
          <w:sz w:val="24"/>
          <w:szCs w:val="24"/>
        </w:rPr>
        <w:t xml:space="preserve"> if, and only if, the population of those parts of the </w:t>
      </w:r>
      <w:r w:rsidR="001B30C9" w:rsidRPr="006C3284">
        <w:rPr>
          <w:rFonts w:cstheme="minorHAnsi"/>
          <w:sz w:val="24"/>
          <w:szCs w:val="24"/>
        </w:rPr>
        <w:t>metropolitan</w:t>
      </w:r>
      <w:r w:rsidR="006F648C" w:rsidRPr="006C3284">
        <w:rPr>
          <w:rFonts w:cstheme="minorHAnsi"/>
          <w:sz w:val="24"/>
          <w:szCs w:val="24"/>
        </w:rPr>
        <w:t xml:space="preserve"> area are less than 15% of the total population of th</w:t>
      </w:r>
      <w:r w:rsidR="001B30C9" w:rsidRPr="006C3284">
        <w:rPr>
          <w:rFonts w:cstheme="minorHAnsi"/>
          <w:sz w:val="24"/>
          <w:szCs w:val="24"/>
        </w:rPr>
        <w:t>e metropolitan</w:t>
      </w:r>
      <w:r w:rsidR="006F648C" w:rsidRPr="006C3284">
        <w:rPr>
          <w:rFonts w:cstheme="minorHAnsi"/>
          <w:sz w:val="24"/>
          <w:szCs w:val="24"/>
        </w:rPr>
        <w:t xml:space="preserve"> area</w:t>
      </w:r>
      <w:r w:rsidR="00D12980" w:rsidRPr="006C3284">
        <w:rPr>
          <w:rFonts w:cstheme="minorHAnsi"/>
          <w:sz w:val="24"/>
          <w:szCs w:val="24"/>
        </w:rPr>
        <w:t>,</w:t>
      </w:r>
      <w:r w:rsidR="006F648C" w:rsidRPr="006C3284">
        <w:rPr>
          <w:rFonts w:cstheme="minorHAnsi"/>
          <w:sz w:val="24"/>
          <w:szCs w:val="24"/>
        </w:rPr>
        <w:t xml:space="preserve"> </w:t>
      </w:r>
      <w:r w:rsidR="006F648C" w:rsidRPr="006C3284">
        <w:rPr>
          <w:rFonts w:cstheme="minorHAnsi"/>
          <w:sz w:val="24"/>
          <w:szCs w:val="24"/>
        </w:rPr>
        <w:lastRenderedPageBreak/>
        <w:t>determined in accordance with the HCIS – List of Population document published by ACMA on its website, as that document existed at the time this instrument was made.</w:t>
      </w:r>
    </w:p>
    <w:p w14:paraId="49708E2B" w14:textId="6DEE2FE0" w:rsidR="00F93E90" w:rsidRPr="006C3284" w:rsidRDefault="00D12980" w:rsidP="002A5F19">
      <w:pPr>
        <w:rPr>
          <w:rFonts w:cstheme="minorHAnsi"/>
          <w:sz w:val="24"/>
          <w:szCs w:val="24"/>
        </w:rPr>
      </w:pPr>
      <w:r w:rsidRPr="006C3284">
        <w:rPr>
          <w:rFonts w:cstheme="minorHAnsi"/>
          <w:sz w:val="24"/>
          <w:szCs w:val="24"/>
        </w:rPr>
        <w:t>The intention of paragraph 7(1</w:t>
      </w:r>
      <w:proofErr w:type="gramStart"/>
      <w:r w:rsidRPr="006C3284">
        <w:rPr>
          <w:rFonts w:cstheme="minorHAnsi"/>
          <w:sz w:val="24"/>
          <w:szCs w:val="24"/>
        </w:rPr>
        <w:t>)(</w:t>
      </w:r>
      <w:proofErr w:type="gramEnd"/>
      <w:r w:rsidRPr="006C3284">
        <w:rPr>
          <w:rFonts w:cstheme="minorHAnsi"/>
          <w:sz w:val="24"/>
          <w:szCs w:val="24"/>
        </w:rPr>
        <w:t xml:space="preserve">c) and subsection 7(2) is that a person’s existing entitlement to use a part of the spectrum </w:t>
      </w:r>
      <w:r w:rsidR="001B30C9" w:rsidRPr="006C3284">
        <w:rPr>
          <w:rFonts w:cstheme="minorHAnsi"/>
          <w:sz w:val="24"/>
          <w:szCs w:val="24"/>
        </w:rPr>
        <w:t>under a relevant spectrum licence,</w:t>
      </w:r>
      <w:r w:rsidRPr="006C3284">
        <w:rPr>
          <w:rFonts w:cstheme="minorHAnsi"/>
          <w:sz w:val="24"/>
          <w:szCs w:val="24"/>
        </w:rPr>
        <w:t xml:space="preserve"> in one or more parts of </w:t>
      </w:r>
      <w:r w:rsidR="001B30C9" w:rsidRPr="006C3284">
        <w:rPr>
          <w:rFonts w:cstheme="minorHAnsi"/>
          <w:sz w:val="24"/>
          <w:szCs w:val="24"/>
        </w:rPr>
        <w:t>the</w:t>
      </w:r>
      <w:r w:rsidRPr="006C3284">
        <w:rPr>
          <w:rFonts w:cstheme="minorHAnsi"/>
          <w:sz w:val="24"/>
          <w:szCs w:val="24"/>
        </w:rPr>
        <w:t xml:space="preserve"> </w:t>
      </w:r>
      <w:r w:rsidR="001B30C9" w:rsidRPr="006C3284">
        <w:rPr>
          <w:rFonts w:cstheme="minorHAnsi"/>
          <w:sz w:val="24"/>
          <w:szCs w:val="24"/>
        </w:rPr>
        <w:t xml:space="preserve"> metropolitan</w:t>
      </w:r>
      <w:r w:rsidRPr="006C3284">
        <w:rPr>
          <w:rFonts w:cstheme="minorHAnsi"/>
          <w:sz w:val="24"/>
          <w:szCs w:val="24"/>
        </w:rPr>
        <w:t xml:space="preserve"> area</w:t>
      </w:r>
      <w:r w:rsidR="001B30C9" w:rsidRPr="006C3284">
        <w:rPr>
          <w:rFonts w:cstheme="minorHAnsi"/>
          <w:sz w:val="24"/>
          <w:szCs w:val="24"/>
        </w:rPr>
        <w:t>,</w:t>
      </w:r>
      <w:r w:rsidRPr="006C3284">
        <w:rPr>
          <w:rFonts w:cstheme="minorHAnsi"/>
          <w:sz w:val="24"/>
          <w:szCs w:val="24"/>
        </w:rPr>
        <w:t xml:space="preserve"> should be considered insignificant and should not impact on that person’s ability to acquire additional spectrum in the </w:t>
      </w:r>
      <w:r w:rsidR="001B30C9" w:rsidRPr="006C3284">
        <w:rPr>
          <w:rFonts w:cstheme="minorHAnsi"/>
          <w:sz w:val="24"/>
          <w:szCs w:val="24"/>
        </w:rPr>
        <w:t>metropolitan</w:t>
      </w:r>
      <w:r w:rsidRPr="006C3284">
        <w:rPr>
          <w:rFonts w:cstheme="minorHAnsi"/>
          <w:sz w:val="24"/>
          <w:szCs w:val="24"/>
        </w:rPr>
        <w:t xml:space="preserve"> area where they have a reach of less than 15 per cent of the total population of the </w:t>
      </w:r>
      <w:r w:rsidR="001B30C9" w:rsidRPr="006C3284">
        <w:rPr>
          <w:rFonts w:cstheme="minorHAnsi"/>
          <w:sz w:val="24"/>
          <w:szCs w:val="24"/>
        </w:rPr>
        <w:t>metropolitan</w:t>
      </w:r>
      <w:r w:rsidRPr="006C3284">
        <w:rPr>
          <w:rFonts w:cstheme="minorHAnsi"/>
          <w:sz w:val="24"/>
          <w:szCs w:val="24"/>
        </w:rPr>
        <w:t xml:space="preserve"> area in that particular part of the spectrum. </w:t>
      </w:r>
    </w:p>
    <w:p w14:paraId="521F26EC" w14:textId="49F20ADB" w:rsidR="006F648C" w:rsidRPr="006C3284" w:rsidRDefault="00C95EFF" w:rsidP="002A5F19">
      <w:pPr>
        <w:rPr>
          <w:rFonts w:cstheme="minorHAnsi"/>
          <w:sz w:val="24"/>
          <w:szCs w:val="24"/>
        </w:rPr>
      </w:pPr>
      <w:r w:rsidRPr="006C3284">
        <w:rPr>
          <w:rFonts w:cstheme="minorHAnsi"/>
          <w:sz w:val="24"/>
          <w:szCs w:val="24"/>
        </w:rPr>
        <w:t xml:space="preserve">The boundaries of the metropolitan area and regional area </w:t>
      </w:r>
      <w:r w:rsidR="00ED3063" w:rsidRPr="006C3284">
        <w:rPr>
          <w:rFonts w:cstheme="minorHAnsi"/>
          <w:sz w:val="24"/>
          <w:szCs w:val="24"/>
        </w:rPr>
        <w:t>may</w:t>
      </w:r>
      <w:r w:rsidRPr="006C3284">
        <w:rPr>
          <w:rFonts w:cstheme="minorHAnsi"/>
          <w:sz w:val="24"/>
          <w:szCs w:val="24"/>
        </w:rPr>
        <w:t xml:space="preserve"> not align with the boundaries of existing spectrum licences in the 800 MHz band. </w:t>
      </w:r>
      <w:r w:rsidR="00F93E90" w:rsidRPr="006C3284">
        <w:rPr>
          <w:rFonts w:cstheme="minorHAnsi"/>
          <w:sz w:val="24"/>
          <w:szCs w:val="24"/>
        </w:rPr>
        <w:t>The intent of this subsection is to clarify the application of the allocation limits in any areas where these licence boundaries</w:t>
      </w:r>
      <w:r w:rsidR="00ED3063" w:rsidRPr="006C3284">
        <w:rPr>
          <w:rFonts w:cstheme="minorHAnsi"/>
          <w:sz w:val="24"/>
          <w:szCs w:val="24"/>
        </w:rPr>
        <w:t xml:space="preserve"> may</w:t>
      </w:r>
      <w:r w:rsidR="00F93E90" w:rsidRPr="006C3284">
        <w:rPr>
          <w:rFonts w:cstheme="minorHAnsi"/>
          <w:sz w:val="24"/>
          <w:szCs w:val="24"/>
        </w:rPr>
        <w:t xml:space="preserve"> overlap.</w:t>
      </w:r>
    </w:p>
    <w:p w14:paraId="5A2ADDE3" w14:textId="03514B24" w:rsidR="002D36D6" w:rsidRPr="006C3284" w:rsidRDefault="002D36D6" w:rsidP="002A5F19">
      <w:pPr>
        <w:rPr>
          <w:rFonts w:cstheme="minorHAnsi"/>
          <w:sz w:val="24"/>
          <w:szCs w:val="24"/>
        </w:rPr>
      </w:pPr>
      <w:r w:rsidRPr="006C3284">
        <w:rPr>
          <w:rFonts w:cstheme="minorHAnsi"/>
          <w:sz w:val="24"/>
          <w:szCs w:val="24"/>
        </w:rPr>
        <w:t>For example, if:</w:t>
      </w:r>
    </w:p>
    <w:p w14:paraId="60BC68A3" w14:textId="1C6AD6F3" w:rsidR="002D36D6" w:rsidRPr="006C3284" w:rsidRDefault="002D36D6" w:rsidP="006C3284">
      <w:pPr>
        <w:pStyle w:val="ListParagraph"/>
        <w:numPr>
          <w:ilvl w:val="0"/>
          <w:numId w:val="32"/>
        </w:numPr>
        <w:ind w:left="567" w:hanging="567"/>
        <w:rPr>
          <w:rFonts w:cstheme="minorHAnsi"/>
          <w:sz w:val="24"/>
          <w:szCs w:val="24"/>
        </w:rPr>
      </w:pPr>
      <w:r w:rsidRPr="006C3284">
        <w:rPr>
          <w:rFonts w:cstheme="minorHAnsi"/>
          <w:sz w:val="24"/>
          <w:szCs w:val="24"/>
        </w:rPr>
        <w:t>a person was entitled to use part of the spectrum in the 800 MHz band under a spectrum licence; and</w:t>
      </w:r>
    </w:p>
    <w:p w14:paraId="49C4DE9A" w14:textId="65AF9358" w:rsidR="002D36D6" w:rsidRPr="006C3284" w:rsidRDefault="002D36D6" w:rsidP="006C3284">
      <w:pPr>
        <w:pStyle w:val="ListParagraph"/>
        <w:numPr>
          <w:ilvl w:val="0"/>
          <w:numId w:val="32"/>
        </w:numPr>
        <w:ind w:left="567" w:hanging="567"/>
        <w:rPr>
          <w:rFonts w:cstheme="minorHAnsi"/>
          <w:sz w:val="24"/>
          <w:szCs w:val="24"/>
        </w:rPr>
      </w:pPr>
      <w:r w:rsidRPr="006C3284">
        <w:rPr>
          <w:rFonts w:cstheme="minorHAnsi"/>
          <w:sz w:val="24"/>
          <w:szCs w:val="24"/>
        </w:rPr>
        <w:t>the licence area overlapped partly with the</w:t>
      </w:r>
      <w:r w:rsidR="001B30C9" w:rsidRPr="006C3284">
        <w:rPr>
          <w:rFonts w:cstheme="minorHAnsi"/>
          <w:sz w:val="24"/>
          <w:szCs w:val="24"/>
        </w:rPr>
        <w:t xml:space="preserve"> metropolitan</w:t>
      </w:r>
      <w:r w:rsidRPr="006C3284">
        <w:rPr>
          <w:rFonts w:cstheme="minorHAnsi"/>
          <w:sz w:val="24"/>
          <w:szCs w:val="24"/>
        </w:rPr>
        <w:t xml:space="preserve"> area for the purposes of the Direction; and</w:t>
      </w:r>
    </w:p>
    <w:p w14:paraId="63A4C953" w14:textId="7469C618" w:rsidR="002D36D6" w:rsidRPr="006C3284" w:rsidRDefault="002D36D6" w:rsidP="006C3284">
      <w:pPr>
        <w:pStyle w:val="ListParagraph"/>
        <w:numPr>
          <w:ilvl w:val="0"/>
          <w:numId w:val="32"/>
        </w:numPr>
        <w:ind w:left="567" w:hanging="567"/>
        <w:rPr>
          <w:rFonts w:cstheme="minorHAnsi"/>
          <w:sz w:val="24"/>
          <w:szCs w:val="24"/>
        </w:rPr>
      </w:pPr>
      <w:r w:rsidRPr="006C3284">
        <w:rPr>
          <w:rFonts w:cstheme="minorHAnsi"/>
          <w:sz w:val="24"/>
          <w:szCs w:val="24"/>
        </w:rPr>
        <w:t xml:space="preserve">the population of the part of the licence area which overlaps with the </w:t>
      </w:r>
      <w:r w:rsidR="001B30C9" w:rsidRPr="006C3284">
        <w:rPr>
          <w:rFonts w:cstheme="minorHAnsi"/>
          <w:sz w:val="24"/>
          <w:szCs w:val="24"/>
        </w:rPr>
        <w:t>metropolitan</w:t>
      </w:r>
      <w:r w:rsidRPr="006C3284">
        <w:rPr>
          <w:rFonts w:cstheme="minorHAnsi"/>
          <w:sz w:val="24"/>
          <w:szCs w:val="24"/>
        </w:rPr>
        <w:t xml:space="preserve"> area has a population </w:t>
      </w:r>
      <w:r w:rsidR="00DC3464" w:rsidRPr="006C3284">
        <w:rPr>
          <w:rFonts w:cstheme="minorHAnsi"/>
          <w:sz w:val="24"/>
          <w:szCs w:val="24"/>
        </w:rPr>
        <w:t>that consists of 11</w:t>
      </w:r>
      <w:r w:rsidRPr="006C3284">
        <w:rPr>
          <w:rFonts w:cstheme="minorHAnsi"/>
          <w:sz w:val="24"/>
          <w:szCs w:val="24"/>
        </w:rPr>
        <w:t xml:space="preserve">% of the total population of the </w:t>
      </w:r>
      <w:r w:rsidR="001B30C9" w:rsidRPr="006C3284">
        <w:rPr>
          <w:rFonts w:cstheme="minorHAnsi"/>
          <w:sz w:val="24"/>
          <w:szCs w:val="24"/>
        </w:rPr>
        <w:t>metropolitan</w:t>
      </w:r>
      <w:r w:rsidRPr="006C3284">
        <w:rPr>
          <w:rFonts w:cstheme="minorHAnsi"/>
          <w:sz w:val="24"/>
          <w:szCs w:val="24"/>
        </w:rPr>
        <w:t xml:space="preserve"> area;</w:t>
      </w:r>
    </w:p>
    <w:p w14:paraId="3C713264" w14:textId="1B3C08F0" w:rsidR="00125997" w:rsidRPr="006C3284" w:rsidRDefault="002D36D6" w:rsidP="002A5F19">
      <w:pPr>
        <w:rPr>
          <w:rFonts w:cstheme="minorHAnsi"/>
          <w:sz w:val="24"/>
          <w:szCs w:val="24"/>
        </w:rPr>
      </w:pPr>
      <w:proofErr w:type="gramStart"/>
      <w:r w:rsidRPr="006C3284">
        <w:rPr>
          <w:rFonts w:cstheme="minorHAnsi"/>
          <w:sz w:val="24"/>
          <w:szCs w:val="24"/>
        </w:rPr>
        <w:t>then</w:t>
      </w:r>
      <w:proofErr w:type="gramEnd"/>
      <w:r w:rsidRPr="006C3284">
        <w:rPr>
          <w:rFonts w:cstheme="minorHAnsi"/>
          <w:sz w:val="24"/>
          <w:szCs w:val="24"/>
        </w:rPr>
        <w:t xml:space="preserve"> the person’s spectrum holdings in that part of the </w:t>
      </w:r>
      <w:r w:rsidR="001B30C9" w:rsidRPr="006C3284">
        <w:rPr>
          <w:rFonts w:cstheme="minorHAnsi"/>
          <w:sz w:val="24"/>
          <w:szCs w:val="24"/>
        </w:rPr>
        <w:t>metropolitan</w:t>
      </w:r>
      <w:r w:rsidRPr="006C3284">
        <w:rPr>
          <w:rFonts w:cstheme="minorHAnsi"/>
          <w:sz w:val="24"/>
          <w:szCs w:val="24"/>
        </w:rPr>
        <w:t xml:space="preserve"> area would not be intended to be taken into account for the purposes of applying the limits to the applicant in relation to the</w:t>
      </w:r>
      <w:r w:rsidR="001B30C9" w:rsidRPr="006C3284">
        <w:rPr>
          <w:rFonts w:cstheme="minorHAnsi"/>
          <w:sz w:val="24"/>
          <w:szCs w:val="24"/>
        </w:rPr>
        <w:t xml:space="preserve"> metropolitan</w:t>
      </w:r>
      <w:r w:rsidRPr="006C3284">
        <w:rPr>
          <w:rFonts w:cstheme="minorHAnsi"/>
          <w:sz w:val="24"/>
          <w:szCs w:val="24"/>
        </w:rPr>
        <w:t xml:space="preserve"> area.</w:t>
      </w:r>
    </w:p>
    <w:sectPr w:rsidR="00125997" w:rsidRPr="006C3284" w:rsidSect="00FF2634">
      <w:headerReference w:type="default" r:id="rId11"/>
      <w:footerReference w:type="default" r:id="rId12"/>
      <w:pgSz w:w="11906" w:h="16838"/>
      <w:pgMar w:top="1843" w:right="1440" w:bottom="1440" w:left="1440" w:header="708" w:footer="43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FF75D" w16cid:durableId="2416FF8E"/>
  <w16cid:commentId w16cid:paraId="768F656E" w16cid:durableId="2416FFB8"/>
  <w16cid:commentId w16cid:paraId="72862CBD" w16cid:durableId="24170030"/>
  <w16cid:commentId w16cid:paraId="775A64A3" w16cid:durableId="241936E0"/>
  <w16cid:commentId w16cid:paraId="5D5DE4AF" w16cid:durableId="24170067"/>
  <w16cid:commentId w16cid:paraId="7FCD6F7C" w16cid:durableId="24170072"/>
  <w16cid:commentId w16cid:paraId="76119AD9" w16cid:durableId="241700A5"/>
  <w16cid:commentId w16cid:paraId="14DC336C" w16cid:durableId="241700B5"/>
  <w16cid:commentId w16cid:paraId="187C8FB0" w16cid:durableId="24182F76"/>
  <w16cid:commentId w16cid:paraId="3422851D" w16cid:durableId="241700D7"/>
  <w16cid:commentId w16cid:paraId="555BDF98" w16cid:durableId="24182FA9"/>
  <w16cid:commentId w16cid:paraId="78E0D5E7" w16cid:durableId="241700EC"/>
  <w16cid:commentId w16cid:paraId="55A8FF88" w16cid:durableId="24170104"/>
  <w16cid:commentId w16cid:paraId="010B8E2D" w16cid:durableId="24182FDA"/>
  <w16cid:commentId w16cid:paraId="3CAC6BE5" w16cid:durableId="24170146"/>
  <w16cid:commentId w16cid:paraId="7D32FC97" w16cid:durableId="24170171"/>
  <w16cid:commentId w16cid:paraId="5FDEB556" w16cid:durableId="24183019"/>
  <w16cid:commentId w16cid:paraId="07BDA1B6" w16cid:durableId="241701DD"/>
  <w16cid:commentId w16cid:paraId="6621F26A" w16cid:durableId="241701F3"/>
  <w16cid:commentId w16cid:paraId="559E42D6" w16cid:durableId="2417022A"/>
  <w16cid:commentId w16cid:paraId="4B257A5B" w16cid:durableId="24170238"/>
  <w16cid:commentId w16cid:paraId="35FC52CF" w16cid:durableId="24183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FE367" w14:textId="77777777" w:rsidR="0068317E" w:rsidRDefault="0068317E" w:rsidP="0074754E">
      <w:pPr>
        <w:spacing w:after="0" w:line="240" w:lineRule="auto"/>
      </w:pPr>
      <w:r>
        <w:separator/>
      </w:r>
    </w:p>
  </w:endnote>
  <w:endnote w:type="continuationSeparator" w:id="0">
    <w:p w14:paraId="696ACF38" w14:textId="77777777" w:rsidR="0068317E" w:rsidRDefault="0068317E" w:rsidP="0074754E">
      <w:pPr>
        <w:spacing w:after="0" w:line="240" w:lineRule="auto"/>
      </w:pPr>
      <w:r>
        <w:continuationSeparator/>
      </w:r>
    </w:p>
  </w:endnote>
  <w:endnote w:type="continuationNotice" w:id="1">
    <w:p w14:paraId="2B1079D7" w14:textId="77777777" w:rsidR="0068317E" w:rsidRDefault="00683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1966537872"/>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23C38059" w14:textId="395FE399" w:rsidR="00D167A8" w:rsidRPr="00FF2634" w:rsidRDefault="00FF2634" w:rsidP="00FF2634">
            <w:pPr>
              <w:pStyle w:val="Header"/>
              <w:rPr>
                <w:sz w:val="20"/>
                <w:szCs w:val="20"/>
              </w:rPr>
            </w:pPr>
            <w:r w:rsidRPr="00FF2634">
              <w:rPr>
                <w:rFonts w:cstheme="minorHAnsi"/>
                <w:sz w:val="20"/>
                <w:szCs w:val="20"/>
              </w:rPr>
              <w:t>Exposure draft—</w:t>
            </w:r>
            <w:r w:rsidRPr="00FF2634">
              <w:t xml:space="preserve"> </w:t>
            </w:r>
            <w:r w:rsidR="00D167A8" w:rsidRPr="00FF2634">
              <w:rPr>
                <w:sz w:val="20"/>
                <w:szCs w:val="20"/>
              </w:rPr>
              <w:t xml:space="preserve">Radiocommunications (Spectrum </w:t>
            </w:r>
            <w:r w:rsidR="00287DC8" w:rsidRPr="00FF2634">
              <w:rPr>
                <w:sz w:val="20"/>
                <w:szCs w:val="20"/>
              </w:rPr>
              <w:t>Licence Limits</w:t>
            </w:r>
            <w:r w:rsidR="00D167A8" w:rsidRPr="00FF2634">
              <w:rPr>
                <w:sz w:val="20"/>
                <w:szCs w:val="20"/>
              </w:rPr>
              <w:t>—8</w:t>
            </w:r>
            <w:r w:rsidR="00A40CBD" w:rsidRPr="00FF2634">
              <w:rPr>
                <w:sz w:val="20"/>
                <w:szCs w:val="20"/>
              </w:rPr>
              <w:t>50</w:t>
            </w:r>
            <w:r w:rsidR="00D167A8" w:rsidRPr="00FF2634">
              <w:rPr>
                <w:sz w:val="20"/>
                <w:szCs w:val="20"/>
              </w:rPr>
              <w:t>/900 MHz Band) D</w:t>
            </w:r>
            <w:r w:rsidR="00287DC8" w:rsidRPr="00FF2634">
              <w:rPr>
                <w:sz w:val="20"/>
                <w:szCs w:val="20"/>
              </w:rPr>
              <w:t>irection 2021</w:t>
            </w:r>
          </w:p>
          <w:p w14:paraId="29CD9C5D" w14:textId="2CCBA9B8" w:rsidR="006C3284" w:rsidRPr="00FF2634" w:rsidRDefault="00FF2634" w:rsidP="006C3284">
            <w:pPr>
              <w:pStyle w:val="Header"/>
              <w:jc w:val="center"/>
              <w:rPr>
                <w:rFonts w:cstheme="minorHAnsi"/>
                <w:sz w:val="20"/>
                <w:szCs w:val="20"/>
              </w:rPr>
            </w:pPr>
            <w:r w:rsidRPr="00FF2634">
              <w:rPr>
                <w:rFonts w:cstheme="minorHAnsi"/>
                <w:sz w:val="20"/>
                <w:szCs w:val="20"/>
              </w:rPr>
              <w:tab/>
            </w:r>
            <w:r w:rsidRPr="00FF2634">
              <w:rPr>
                <w:rFonts w:cstheme="minorHAnsi"/>
                <w:sz w:val="20"/>
                <w:szCs w:val="20"/>
              </w:rPr>
              <w:tab/>
            </w:r>
            <w:proofErr w:type="gramStart"/>
            <w:r w:rsidRPr="00FF2634">
              <w:rPr>
                <w:rFonts w:cstheme="minorHAnsi"/>
                <w:sz w:val="20"/>
                <w:szCs w:val="20"/>
              </w:rPr>
              <w:t>page</w:t>
            </w:r>
            <w:proofErr w:type="gramEnd"/>
            <w:r w:rsidRPr="00FF2634">
              <w:rPr>
                <w:rFonts w:cstheme="minorHAnsi"/>
                <w:sz w:val="20"/>
                <w:szCs w:val="20"/>
              </w:rPr>
              <w:t xml:space="preserve"> </w:t>
            </w:r>
            <w:r w:rsidR="006C3284" w:rsidRPr="00FF2634">
              <w:rPr>
                <w:rFonts w:cstheme="minorHAnsi"/>
                <w:bCs/>
                <w:sz w:val="20"/>
                <w:szCs w:val="20"/>
              </w:rPr>
              <w:fldChar w:fldCharType="begin"/>
            </w:r>
            <w:r w:rsidR="006C3284" w:rsidRPr="00FF2634">
              <w:rPr>
                <w:rFonts w:cstheme="minorHAnsi"/>
                <w:bCs/>
                <w:sz w:val="20"/>
                <w:szCs w:val="20"/>
              </w:rPr>
              <w:instrText xml:space="preserve"> PAGE </w:instrText>
            </w:r>
            <w:r w:rsidR="006C3284" w:rsidRPr="00FF2634">
              <w:rPr>
                <w:rFonts w:cstheme="minorHAnsi"/>
                <w:bCs/>
                <w:sz w:val="20"/>
                <w:szCs w:val="20"/>
              </w:rPr>
              <w:fldChar w:fldCharType="separate"/>
            </w:r>
            <w:r w:rsidR="000A05C5">
              <w:rPr>
                <w:rFonts w:cstheme="minorHAnsi"/>
                <w:bCs/>
                <w:noProof/>
                <w:sz w:val="20"/>
                <w:szCs w:val="20"/>
              </w:rPr>
              <w:t>14</w:t>
            </w:r>
            <w:r w:rsidR="006C3284" w:rsidRPr="00FF2634">
              <w:rPr>
                <w:rFonts w:cstheme="minorHAnsi"/>
                <w:bCs/>
                <w:sz w:val="20"/>
                <w:szCs w:val="20"/>
              </w:rPr>
              <w:fldChar w:fldCharType="end"/>
            </w:r>
            <w:r w:rsidRPr="00FF2634">
              <w:rPr>
                <w:rFonts w:cstheme="minorHAnsi"/>
                <w:sz w:val="20"/>
                <w:szCs w:val="20"/>
              </w:rPr>
              <w:t xml:space="preserve"> of </w:t>
            </w:r>
            <w:r w:rsidR="006C3284" w:rsidRPr="00FF2634">
              <w:rPr>
                <w:rFonts w:cstheme="minorHAnsi"/>
                <w:bCs/>
                <w:sz w:val="20"/>
                <w:szCs w:val="20"/>
              </w:rPr>
              <w:fldChar w:fldCharType="begin"/>
            </w:r>
            <w:r w:rsidR="006C3284" w:rsidRPr="00FF2634">
              <w:rPr>
                <w:rFonts w:cstheme="minorHAnsi"/>
                <w:bCs/>
                <w:sz w:val="20"/>
                <w:szCs w:val="20"/>
              </w:rPr>
              <w:instrText xml:space="preserve"> NUMPAGES  </w:instrText>
            </w:r>
            <w:r w:rsidR="006C3284" w:rsidRPr="00FF2634">
              <w:rPr>
                <w:rFonts w:cstheme="minorHAnsi"/>
                <w:bCs/>
                <w:sz w:val="20"/>
                <w:szCs w:val="20"/>
              </w:rPr>
              <w:fldChar w:fldCharType="separate"/>
            </w:r>
            <w:r w:rsidR="000A05C5">
              <w:rPr>
                <w:rFonts w:cstheme="minorHAnsi"/>
                <w:bCs/>
                <w:noProof/>
                <w:sz w:val="20"/>
                <w:szCs w:val="20"/>
              </w:rPr>
              <w:t>14</w:t>
            </w:r>
            <w:r w:rsidR="006C3284" w:rsidRPr="00FF263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BE7C" w14:textId="77777777" w:rsidR="0068317E" w:rsidRDefault="0068317E" w:rsidP="0074754E">
      <w:pPr>
        <w:spacing w:after="0" w:line="240" w:lineRule="auto"/>
      </w:pPr>
      <w:r>
        <w:separator/>
      </w:r>
    </w:p>
  </w:footnote>
  <w:footnote w:type="continuationSeparator" w:id="0">
    <w:p w14:paraId="16265B73" w14:textId="77777777" w:rsidR="0068317E" w:rsidRDefault="0068317E" w:rsidP="0074754E">
      <w:pPr>
        <w:spacing w:after="0" w:line="240" w:lineRule="auto"/>
      </w:pPr>
      <w:r>
        <w:continuationSeparator/>
      </w:r>
    </w:p>
  </w:footnote>
  <w:footnote w:type="continuationNotice" w:id="1">
    <w:p w14:paraId="0218A5A4" w14:textId="77777777" w:rsidR="0068317E" w:rsidRDefault="006831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3469" w14:textId="77777777" w:rsidR="0068317E" w:rsidRDefault="0068317E" w:rsidP="0074754E">
    <w:pPr>
      <w:pStyle w:val="Header"/>
      <w:jc w:val="center"/>
      <w:rPr>
        <w:rFonts w:ascii="Arial" w:hAnsi="Arial" w:cs="Arial"/>
        <w:b/>
        <w:sz w:val="44"/>
        <w:szCs w:val="44"/>
      </w:rPr>
    </w:pPr>
    <w:r w:rsidRPr="00655612">
      <w:rPr>
        <w:rFonts w:ascii="Arial" w:hAnsi="Arial" w:cs="Arial"/>
        <w:b/>
        <w:sz w:val="44"/>
        <w:szCs w:val="44"/>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775"/>
    <w:multiLevelType w:val="hybridMultilevel"/>
    <w:tmpl w:val="5E4E3534"/>
    <w:lvl w:ilvl="0" w:tplc="97644FDE">
      <w:start w:val="1"/>
      <w:numFmt w:val="lowerRoman"/>
      <w:lvlText w:val="(%1)"/>
      <w:lvlJc w:val="left"/>
      <w:pPr>
        <w:ind w:left="108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4E772F"/>
    <w:multiLevelType w:val="hybridMultilevel"/>
    <w:tmpl w:val="56126848"/>
    <w:lvl w:ilvl="0" w:tplc="38080356">
      <w:start w:val="1"/>
      <w:numFmt w:val="lowerLetter"/>
      <w:lvlText w:val="(%1)"/>
      <w:lvlJc w:val="left"/>
      <w:pPr>
        <w:ind w:left="720" w:hanging="360"/>
      </w:pPr>
      <w:rPr>
        <w:rFonts w:hint="default"/>
      </w:rPr>
    </w:lvl>
    <w:lvl w:ilvl="1" w:tplc="3808035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23C20"/>
    <w:multiLevelType w:val="hybridMultilevel"/>
    <w:tmpl w:val="B6FA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9190B"/>
    <w:multiLevelType w:val="hybridMultilevel"/>
    <w:tmpl w:val="79007FB6"/>
    <w:lvl w:ilvl="0" w:tplc="77AA26A8">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4F824D8"/>
    <w:multiLevelType w:val="hybridMultilevel"/>
    <w:tmpl w:val="5E88E898"/>
    <w:lvl w:ilvl="0" w:tplc="A0901D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177342"/>
    <w:multiLevelType w:val="hybridMultilevel"/>
    <w:tmpl w:val="DF16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55C92"/>
    <w:multiLevelType w:val="hybridMultilevel"/>
    <w:tmpl w:val="4324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073AB"/>
    <w:multiLevelType w:val="hybridMultilevel"/>
    <w:tmpl w:val="D9368E5E"/>
    <w:lvl w:ilvl="0" w:tplc="5954791E">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1E9A2628"/>
    <w:multiLevelType w:val="hybridMultilevel"/>
    <w:tmpl w:val="274A9B1E"/>
    <w:lvl w:ilvl="0" w:tplc="380803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D267EA"/>
    <w:multiLevelType w:val="hybridMultilevel"/>
    <w:tmpl w:val="8FEA7EBE"/>
    <w:lvl w:ilvl="0" w:tplc="A0901D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B07261"/>
    <w:multiLevelType w:val="hybridMultilevel"/>
    <w:tmpl w:val="F6B89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A563BE"/>
    <w:multiLevelType w:val="hybridMultilevel"/>
    <w:tmpl w:val="AF68DD0E"/>
    <w:lvl w:ilvl="0" w:tplc="8AEC1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BC46BD"/>
    <w:multiLevelType w:val="hybridMultilevel"/>
    <w:tmpl w:val="F8044560"/>
    <w:lvl w:ilvl="0" w:tplc="A0901D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AA5267"/>
    <w:multiLevelType w:val="hybridMultilevel"/>
    <w:tmpl w:val="0AB4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E7F22"/>
    <w:multiLevelType w:val="hybridMultilevel"/>
    <w:tmpl w:val="0EAE9D68"/>
    <w:lvl w:ilvl="0" w:tplc="3808035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A76533"/>
    <w:multiLevelType w:val="hybridMultilevel"/>
    <w:tmpl w:val="363CF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BF2D37"/>
    <w:multiLevelType w:val="hybridMultilevel"/>
    <w:tmpl w:val="98A2EBE6"/>
    <w:lvl w:ilvl="0" w:tplc="153CE5C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4466393B"/>
    <w:multiLevelType w:val="hybridMultilevel"/>
    <w:tmpl w:val="A8A66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B27017"/>
    <w:multiLevelType w:val="hybridMultilevel"/>
    <w:tmpl w:val="E01C199A"/>
    <w:lvl w:ilvl="0" w:tplc="380803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DA5C6C"/>
    <w:multiLevelType w:val="hybridMultilevel"/>
    <w:tmpl w:val="CE2E3796"/>
    <w:lvl w:ilvl="0" w:tplc="A0901D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D34726"/>
    <w:multiLevelType w:val="hybridMultilevel"/>
    <w:tmpl w:val="69A431B4"/>
    <w:lvl w:ilvl="0" w:tplc="380803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216F86"/>
    <w:multiLevelType w:val="hybridMultilevel"/>
    <w:tmpl w:val="2F32F70A"/>
    <w:lvl w:ilvl="0" w:tplc="EA4CF50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6500D4"/>
    <w:multiLevelType w:val="hybridMultilevel"/>
    <w:tmpl w:val="79FC202E"/>
    <w:lvl w:ilvl="0" w:tplc="C97299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DA623E"/>
    <w:multiLevelType w:val="hybridMultilevel"/>
    <w:tmpl w:val="F39AFEDC"/>
    <w:lvl w:ilvl="0" w:tplc="38080356">
      <w:start w:val="1"/>
      <w:numFmt w:val="lowerLetter"/>
      <w:lvlText w:val="(%1)"/>
      <w:lvlJc w:val="left"/>
      <w:pPr>
        <w:ind w:left="720" w:hanging="360"/>
      </w:pPr>
      <w:rPr>
        <w:rFonts w:hint="default"/>
      </w:rPr>
    </w:lvl>
    <w:lvl w:ilvl="1" w:tplc="A0901D8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D368D2"/>
    <w:multiLevelType w:val="hybridMultilevel"/>
    <w:tmpl w:val="6D3ADABC"/>
    <w:lvl w:ilvl="0" w:tplc="64F4677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681523"/>
    <w:multiLevelType w:val="hybridMultilevel"/>
    <w:tmpl w:val="B342924E"/>
    <w:lvl w:ilvl="0" w:tplc="D682B60E">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6" w15:restartNumberingAfterBreak="0">
    <w:nsid w:val="6F9B4ADC"/>
    <w:multiLevelType w:val="hybridMultilevel"/>
    <w:tmpl w:val="3BF6B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64289"/>
    <w:multiLevelType w:val="hybridMultilevel"/>
    <w:tmpl w:val="68B8D40E"/>
    <w:lvl w:ilvl="0" w:tplc="380803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F80102"/>
    <w:multiLevelType w:val="hybridMultilevel"/>
    <w:tmpl w:val="FDFC6C94"/>
    <w:lvl w:ilvl="0" w:tplc="7E7AAF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2212935"/>
    <w:multiLevelType w:val="hybridMultilevel"/>
    <w:tmpl w:val="44AE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FD5CE2"/>
    <w:multiLevelType w:val="hybridMultilevel"/>
    <w:tmpl w:val="EB92CB1A"/>
    <w:lvl w:ilvl="0" w:tplc="F58CBA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5E1942"/>
    <w:multiLevelType w:val="hybridMultilevel"/>
    <w:tmpl w:val="A462B3A0"/>
    <w:lvl w:ilvl="0" w:tplc="380803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E7356CC"/>
    <w:multiLevelType w:val="hybridMultilevel"/>
    <w:tmpl w:val="B0A2A54C"/>
    <w:lvl w:ilvl="0" w:tplc="A0901D80">
      <w:start w:val="1"/>
      <w:numFmt w:val="lowerRoman"/>
      <w:lvlText w:val="(%1)"/>
      <w:lvlJc w:val="left"/>
      <w:pPr>
        <w:ind w:left="720" w:hanging="360"/>
      </w:pPr>
      <w:rPr>
        <w:rFonts w:hint="default"/>
      </w:rPr>
    </w:lvl>
    <w:lvl w:ilvl="1" w:tplc="E4D8BB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6"/>
  </w:num>
  <w:num w:numId="4">
    <w:abstractNumId w:val="26"/>
  </w:num>
  <w:num w:numId="5">
    <w:abstractNumId w:val="5"/>
  </w:num>
  <w:num w:numId="6">
    <w:abstractNumId w:val="13"/>
  </w:num>
  <w:num w:numId="7">
    <w:abstractNumId w:val="29"/>
  </w:num>
  <w:num w:numId="8">
    <w:abstractNumId w:val="20"/>
  </w:num>
  <w:num w:numId="9">
    <w:abstractNumId w:val="10"/>
  </w:num>
  <w:num w:numId="10">
    <w:abstractNumId w:val="31"/>
  </w:num>
  <w:num w:numId="11">
    <w:abstractNumId w:val="28"/>
  </w:num>
  <w:num w:numId="12">
    <w:abstractNumId w:val="27"/>
  </w:num>
  <w:num w:numId="13">
    <w:abstractNumId w:val="24"/>
  </w:num>
  <w:num w:numId="14">
    <w:abstractNumId w:val="4"/>
  </w:num>
  <w:num w:numId="15">
    <w:abstractNumId w:val="16"/>
  </w:num>
  <w:num w:numId="16">
    <w:abstractNumId w:val="32"/>
  </w:num>
  <w:num w:numId="17">
    <w:abstractNumId w:val="3"/>
  </w:num>
  <w:num w:numId="18">
    <w:abstractNumId w:val="9"/>
  </w:num>
  <w:num w:numId="19">
    <w:abstractNumId w:val="7"/>
  </w:num>
  <w:num w:numId="20">
    <w:abstractNumId w:val="11"/>
  </w:num>
  <w:num w:numId="21">
    <w:abstractNumId w:val="23"/>
  </w:num>
  <w:num w:numId="22">
    <w:abstractNumId w:val="8"/>
  </w:num>
  <w:num w:numId="23">
    <w:abstractNumId w:val="22"/>
  </w:num>
  <w:num w:numId="24">
    <w:abstractNumId w:val="12"/>
  </w:num>
  <w:num w:numId="25">
    <w:abstractNumId w:val="25"/>
  </w:num>
  <w:num w:numId="26">
    <w:abstractNumId w:val="0"/>
  </w:num>
  <w:num w:numId="27">
    <w:abstractNumId w:val="14"/>
  </w:num>
  <w:num w:numId="28">
    <w:abstractNumId w:val="1"/>
  </w:num>
  <w:num w:numId="29">
    <w:abstractNumId w:val="19"/>
  </w:num>
  <w:num w:numId="30">
    <w:abstractNumId w:val="21"/>
  </w:num>
  <w:num w:numId="31">
    <w:abstractNumId w:val="18"/>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A8"/>
    <w:rsid w:val="00001E66"/>
    <w:rsid w:val="0001511A"/>
    <w:rsid w:val="00017F88"/>
    <w:rsid w:val="0005010C"/>
    <w:rsid w:val="00050D68"/>
    <w:rsid w:val="00065CDD"/>
    <w:rsid w:val="000764E9"/>
    <w:rsid w:val="0008005B"/>
    <w:rsid w:val="0008020A"/>
    <w:rsid w:val="00081B1F"/>
    <w:rsid w:val="000945AF"/>
    <w:rsid w:val="00094676"/>
    <w:rsid w:val="000A05C5"/>
    <w:rsid w:val="000B2581"/>
    <w:rsid w:val="000B56AF"/>
    <w:rsid w:val="000C3B9B"/>
    <w:rsid w:val="000D6CBD"/>
    <w:rsid w:val="000E34D8"/>
    <w:rsid w:val="000F1B62"/>
    <w:rsid w:val="000F4382"/>
    <w:rsid w:val="00106BD5"/>
    <w:rsid w:val="00121713"/>
    <w:rsid w:val="001235BA"/>
    <w:rsid w:val="00125997"/>
    <w:rsid w:val="00136FF5"/>
    <w:rsid w:val="00141302"/>
    <w:rsid w:val="00144F37"/>
    <w:rsid w:val="00150AB2"/>
    <w:rsid w:val="00166276"/>
    <w:rsid w:val="0017650F"/>
    <w:rsid w:val="00176D5C"/>
    <w:rsid w:val="00176FBD"/>
    <w:rsid w:val="00183729"/>
    <w:rsid w:val="00183D4B"/>
    <w:rsid w:val="0019079E"/>
    <w:rsid w:val="00195A12"/>
    <w:rsid w:val="001A1089"/>
    <w:rsid w:val="001B30C9"/>
    <w:rsid w:val="001B4070"/>
    <w:rsid w:val="001B6B98"/>
    <w:rsid w:val="001B7C4A"/>
    <w:rsid w:val="001C13BA"/>
    <w:rsid w:val="001E0E0F"/>
    <w:rsid w:val="001E2D68"/>
    <w:rsid w:val="001E4A23"/>
    <w:rsid w:val="001F6AEF"/>
    <w:rsid w:val="00202613"/>
    <w:rsid w:val="002125A7"/>
    <w:rsid w:val="0021696E"/>
    <w:rsid w:val="00223202"/>
    <w:rsid w:val="00223F49"/>
    <w:rsid w:val="00226B8E"/>
    <w:rsid w:val="00240743"/>
    <w:rsid w:val="0024205F"/>
    <w:rsid w:val="0024272D"/>
    <w:rsid w:val="00257AD9"/>
    <w:rsid w:val="00260200"/>
    <w:rsid w:val="00273232"/>
    <w:rsid w:val="00275B2C"/>
    <w:rsid w:val="0027623B"/>
    <w:rsid w:val="0028155D"/>
    <w:rsid w:val="00287DC8"/>
    <w:rsid w:val="00292DCE"/>
    <w:rsid w:val="00293CBB"/>
    <w:rsid w:val="002A1E45"/>
    <w:rsid w:val="002A5F19"/>
    <w:rsid w:val="002B3AAE"/>
    <w:rsid w:val="002B428C"/>
    <w:rsid w:val="002B7D47"/>
    <w:rsid w:val="002B7F9F"/>
    <w:rsid w:val="002C1604"/>
    <w:rsid w:val="002D13BA"/>
    <w:rsid w:val="002D36D6"/>
    <w:rsid w:val="002E1516"/>
    <w:rsid w:val="002E1A17"/>
    <w:rsid w:val="002E3BCB"/>
    <w:rsid w:val="002F1CFA"/>
    <w:rsid w:val="003012B7"/>
    <w:rsid w:val="003111DF"/>
    <w:rsid w:val="00313A01"/>
    <w:rsid w:val="00324254"/>
    <w:rsid w:val="00342F11"/>
    <w:rsid w:val="003645DB"/>
    <w:rsid w:val="00366045"/>
    <w:rsid w:val="00367EAE"/>
    <w:rsid w:val="003714A3"/>
    <w:rsid w:val="003B23FB"/>
    <w:rsid w:val="003B530F"/>
    <w:rsid w:val="003D515A"/>
    <w:rsid w:val="003F2159"/>
    <w:rsid w:val="003F3042"/>
    <w:rsid w:val="003F604D"/>
    <w:rsid w:val="0040346C"/>
    <w:rsid w:val="00403D4B"/>
    <w:rsid w:val="004059A0"/>
    <w:rsid w:val="00421C5B"/>
    <w:rsid w:val="00421DDA"/>
    <w:rsid w:val="00424E8A"/>
    <w:rsid w:val="00425006"/>
    <w:rsid w:val="004379C7"/>
    <w:rsid w:val="0045027F"/>
    <w:rsid w:val="00472B88"/>
    <w:rsid w:val="004841EC"/>
    <w:rsid w:val="00492C1C"/>
    <w:rsid w:val="00495BE3"/>
    <w:rsid w:val="004A61A2"/>
    <w:rsid w:val="004A662C"/>
    <w:rsid w:val="004C5A04"/>
    <w:rsid w:val="004C6A4E"/>
    <w:rsid w:val="004D270B"/>
    <w:rsid w:val="004D70DE"/>
    <w:rsid w:val="004D7466"/>
    <w:rsid w:val="004E264B"/>
    <w:rsid w:val="004E4ECD"/>
    <w:rsid w:val="004E5B8E"/>
    <w:rsid w:val="004F04D7"/>
    <w:rsid w:val="004F375E"/>
    <w:rsid w:val="004F572E"/>
    <w:rsid w:val="00510C13"/>
    <w:rsid w:val="00522B86"/>
    <w:rsid w:val="00540B77"/>
    <w:rsid w:val="005444B1"/>
    <w:rsid w:val="00565D87"/>
    <w:rsid w:val="00572545"/>
    <w:rsid w:val="00574786"/>
    <w:rsid w:val="0058206F"/>
    <w:rsid w:val="005852F5"/>
    <w:rsid w:val="00586A6F"/>
    <w:rsid w:val="00590BE2"/>
    <w:rsid w:val="00593306"/>
    <w:rsid w:val="00595EDE"/>
    <w:rsid w:val="005B0779"/>
    <w:rsid w:val="005B7DD5"/>
    <w:rsid w:val="005C04D5"/>
    <w:rsid w:val="005C14BD"/>
    <w:rsid w:val="005C50D6"/>
    <w:rsid w:val="005E1849"/>
    <w:rsid w:val="005E43B3"/>
    <w:rsid w:val="005E526C"/>
    <w:rsid w:val="005F091B"/>
    <w:rsid w:val="005F6165"/>
    <w:rsid w:val="005F6D98"/>
    <w:rsid w:val="00611125"/>
    <w:rsid w:val="006114A2"/>
    <w:rsid w:val="00614DA8"/>
    <w:rsid w:val="00632DBD"/>
    <w:rsid w:val="006361A8"/>
    <w:rsid w:val="0063669A"/>
    <w:rsid w:val="00644F04"/>
    <w:rsid w:val="00655FAE"/>
    <w:rsid w:val="00661EEA"/>
    <w:rsid w:val="00664997"/>
    <w:rsid w:val="00665ED4"/>
    <w:rsid w:val="00666DF5"/>
    <w:rsid w:val="00674C02"/>
    <w:rsid w:val="0068317E"/>
    <w:rsid w:val="006911CF"/>
    <w:rsid w:val="006A013A"/>
    <w:rsid w:val="006A3087"/>
    <w:rsid w:val="006A4122"/>
    <w:rsid w:val="006C042A"/>
    <w:rsid w:val="006C3284"/>
    <w:rsid w:val="006C4B23"/>
    <w:rsid w:val="006D59A5"/>
    <w:rsid w:val="006E31F7"/>
    <w:rsid w:val="006E33C5"/>
    <w:rsid w:val="006F210C"/>
    <w:rsid w:val="006F648C"/>
    <w:rsid w:val="007072CD"/>
    <w:rsid w:val="00723969"/>
    <w:rsid w:val="00724260"/>
    <w:rsid w:val="00730B4E"/>
    <w:rsid w:val="007338D4"/>
    <w:rsid w:val="00733B54"/>
    <w:rsid w:val="007417BB"/>
    <w:rsid w:val="00746ED5"/>
    <w:rsid w:val="0074754E"/>
    <w:rsid w:val="0075230E"/>
    <w:rsid w:val="0076183D"/>
    <w:rsid w:val="007648FA"/>
    <w:rsid w:val="00773326"/>
    <w:rsid w:val="00773D17"/>
    <w:rsid w:val="00774BED"/>
    <w:rsid w:val="00785827"/>
    <w:rsid w:val="007950B1"/>
    <w:rsid w:val="007A3027"/>
    <w:rsid w:val="007A331C"/>
    <w:rsid w:val="007B75D3"/>
    <w:rsid w:val="007D1359"/>
    <w:rsid w:val="007F0421"/>
    <w:rsid w:val="007F5A23"/>
    <w:rsid w:val="007F671A"/>
    <w:rsid w:val="007F691E"/>
    <w:rsid w:val="007F74DF"/>
    <w:rsid w:val="0080114A"/>
    <w:rsid w:val="00807F38"/>
    <w:rsid w:val="0081005F"/>
    <w:rsid w:val="00810E8D"/>
    <w:rsid w:val="00822123"/>
    <w:rsid w:val="00833BC2"/>
    <w:rsid w:val="00833FCB"/>
    <w:rsid w:val="00847935"/>
    <w:rsid w:val="00847B29"/>
    <w:rsid w:val="0085001A"/>
    <w:rsid w:val="008622AE"/>
    <w:rsid w:val="00863958"/>
    <w:rsid w:val="0087569E"/>
    <w:rsid w:val="00876D76"/>
    <w:rsid w:val="008911AB"/>
    <w:rsid w:val="008A08A5"/>
    <w:rsid w:val="008B2EFB"/>
    <w:rsid w:val="008B3B7D"/>
    <w:rsid w:val="008B7B4F"/>
    <w:rsid w:val="008B7E39"/>
    <w:rsid w:val="008C3D56"/>
    <w:rsid w:val="008D2E40"/>
    <w:rsid w:val="008D42AD"/>
    <w:rsid w:val="008D7906"/>
    <w:rsid w:val="008E1098"/>
    <w:rsid w:val="008E4AD7"/>
    <w:rsid w:val="008E5177"/>
    <w:rsid w:val="008E75FE"/>
    <w:rsid w:val="00934DA0"/>
    <w:rsid w:val="00944FC9"/>
    <w:rsid w:val="00950EAF"/>
    <w:rsid w:val="009517D5"/>
    <w:rsid w:val="00965AB1"/>
    <w:rsid w:val="0097273D"/>
    <w:rsid w:val="009873AC"/>
    <w:rsid w:val="009A42B2"/>
    <w:rsid w:val="009B7F6A"/>
    <w:rsid w:val="009C29DB"/>
    <w:rsid w:val="009C7DBF"/>
    <w:rsid w:val="009D22BD"/>
    <w:rsid w:val="009D2456"/>
    <w:rsid w:val="009E37C8"/>
    <w:rsid w:val="00A03E10"/>
    <w:rsid w:val="00A349FC"/>
    <w:rsid w:val="00A40CBD"/>
    <w:rsid w:val="00A46AEE"/>
    <w:rsid w:val="00A5088B"/>
    <w:rsid w:val="00A6002F"/>
    <w:rsid w:val="00A72417"/>
    <w:rsid w:val="00A7624E"/>
    <w:rsid w:val="00A80026"/>
    <w:rsid w:val="00A872B7"/>
    <w:rsid w:val="00A94DB0"/>
    <w:rsid w:val="00AB72BA"/>
    <w:rsid w:val="00AC07C8"/>
    <w:rsid w:val="00AC2A2B"/>
    <w:rsid w:val="00AD4D07"/>
    <w:rsid w:val="00AF49F1"/>
    <w:rsid w:val="00B03058"/>
    <w:rsid w:val="00B059D0"/>
    <w:rsid w:val="00B15333"/>
    <w:rsid w:val="00B22255"/>
    <w:rsid w:val="00B22D8A"/>
    <w:rsid w:val="00B25A75"/>
    <w:rsid w:val="00B320BC"/>
    <w:rsid w:val="00B340FE"/>
    <w:rsid w:val="00B504B4"/>
    <w:rsid w:val="00B51477"/>
    <w:rsid w:val="00B51FC5"/>
    <w:rsid w:val="00B522DF"/>
    <w:rsid w:val="00B642DF"/>
    <w:rsid w:val="00B67774"/>
    <w:rsid w:val="00B67CDC"/>
    <w:rsid w:val="00B741E1"/>
    <w:rsid w:val="00B750D3"/>
    <w:rsid w:val="00B8240E"/>
    <w:rsid w:val="00B902A0"/>
    <w:rsid w:val="00B909BB"/>
    <w:rsid w:val="00B954D0"/>
    <w:rsid w:val="00B975F0"/>
    <w:rsid w:val="00BA028F"/>
    <w:rsid w:val="00BA0434"/>
    <w:rsid w:val="00BA15D1"/>
    <w:rsid w:val="00BB71E4"/>
    <w:rsid w:val="00BC6F4E"/>
    <w:rsid w:val="00BF0DE6"/>
    <w:rsid w:val="00C01042"/>
    <w:rsid w:val="00C01CBD"/>
    <w:rsid w:val="00C1644E"/>
    <w:rsid w:val="00C16BD8"/>
    <w:rsid w:val="00C22C61"/>
    <w:rsid w:val="00C33C1B"/>
    <w:rsid w:val="00C36250"/>
    <w:rsid w:val="00C36B9C"/>
    <w:rsid w:val="00C36F46"/>
    <w:rsid w:val="00C37D02"/>
    <w:rsid w:val="00C45E01"/>
    <w:rsid w:val="00C55B28"/>
    <w:rsid w:val="00C57076"/>
    <w:rsid w:val="00C627C9"/>
    <w:rsid w:val="00C63349"/>
    <w:rsid w:val="00C664D4"/>
    <w:rsid w:val="00C727F1"/>
    <w:rsid w:val="00C73F1E"/>
    <w:rsid w:val="00C95199"/>
    <w:rsid w:val="00C954D0"/>
    <w:rsid w:val="00C95EFF"/>
    <w:rsid w:val="00CC7102"/>
    <w:rsid w:val="00CE1499"/>
    <w:rsid w:val="00CE4B20"/>
    <w:rsid w:val="00CE52CF"/>
    <w:rsid w:val="00CE5D73"/>
    <w:rsid w:val="00CF11EA"/>
    <w:rsid w:val="00CF5D2C"/>
    <w:rsid w:val="00CF745F"/>
    <w:rsid w:val="00D0317C"/>
    <w:rsid w:val="00D12980"/>
    <w:rsid w:val="00D15374"/>
    <w:rsid w:val="00D167A8"/>
    <w:rsid w:val="00D25921"/>
    <w:rsid w:val="00D41D6C"/>
    <w:rsid w:val="00D4239F"/>
    <w:rsid w:val="00D52EBA"/>
    <w:rsid w:val="00D53200"/>
    <w:rsid w:val="00D610CA"/>
    <w:rsid w:val="00D61512"/>
    <w:rsid w:val="00D62E2F"/>
    <w:rsid w:val="00D62FE6"/>
    <w:rsid w:val="00D7272D"/>
    <w:rsid w:val="00D76549"/>
    <w:rsid w:val="00D77749"/>
    <w:rsid w:val="00D94F15"/>
    <w:rsid w:val="00D966AB"/>
    <w:rsid w:val="00DA511F"/>
    <w:rsid w:val="00DB2978"/>
    <w:rsid w:val="00DB649E"/>
    <w:rsid w:val="00DC3464"/>
    <w:rsid w:val="00DC3D10"/>
    <w:rsid w:val="00DD2EC4"/>
    <w:rsid w:val="00DD46BA"/>
    <w:rsid w:val="00DF72E5"/>
    <w:rsid w:val="00E571EC"/>
    <w:rsid w:val="00E65583"/>
    <w:rsid w:val="00E70B3C"/>
    <w:rsid w:val="00E74649"/>
    <w:rsid w:val="00E74BFC"/>
    <w:rsid w:val="00E87761"/>
    <w:rsid w:val="00E91E1B"/>
    <w:rsid w:val="00E92D25"/>
    <w:rsid w:val="00E95786"/>
    <w:rsid w:val="00EC24F8"/>
    <w:rsid w:val="00ED3063"/>
    <w:rsid w:val="00ED3660"/>
    <w:rsid w:val="00ED5005"/>
    <w:rsid w:val="00EE2550"/>
    <w:rsid w:val="00EE5438"/>
    <w:rsid w:val="00EF2490"/>
    <w:rsid w:val="00EF5C84"/>
    <w:rsid w:val="00F03235"/>
    <w:rsid w:val="00F168E3"/>
    <w:rsid w:val="00F20804"/>
    <w:rsid w:val="00F34E50"/>
    <w:rsid w:val="00F4362E"/>
    <w:rsid w:val="00F47DA6"/>
    <w:rsid w:val="00F57A0C"/>
    <w:rsid w:val="00F725E2"/>
    <w:rsid w:val="00F735BE"/>
    <w:rsid w:val="00F85EBA"/>
    <w:rsid w:val="00F9191D"/>
    <w:rsid w:val="00F91970"/>
    <w:rsid w:val="00F93E90"/>
    <w:rsid w:val="00FA4A2A"/>
    <w:rsid w:val="00FA77C2"/>
    <w:rsid w:val="00FD454D"/>
    <w:rsid w:val="00FE6987"/>
    <w:rsid w:val="00FF2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51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284"/>
  </w:style>
  <w:style w:type="paragraph" w:styleId="Heading1">
    <w:name w:val="heading 1"/>
    <w:basedOn w:val="Normal"/>
    <w:next w:val="Normal"/>
    <w:link w:val="Heading1Char"/>
    <w:uiPriority w:val="9"/>
    <w:qFormat/>
    <w:rsid w:val="006C3284"/>
    <w:pPr>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6C3284"/>
    <w:pPr>
      <w:outlineLvl w:val="1"/>
    </w:pPr>
    <w:rPr>
      <w:rFonts w:cstheme="minorHAnsi"/>
      <w:b/>
      <w:sz w:val="26"/>
      <w:szCs w:val="26"/>
    </w:rPr>
  </w:style>
  <w:style w:type="paragraph" w:styleId="Heading3">
    <w:name w:val="heading 3"/>
    <w:basedOn w:val="Normal"/>
    <w:next w:val="Normal"/>
    <w:link w:val="Heading3Char"/>
    <w:uiPriority w:val="9"/>
    <w:unhideWhenUsed/>
    <w:qFormat/>
    <w:rsid w:val="006C3284"/>
    <w:pPr>
      <w:outlineLvl w:val="2"/>
    </w:pPr>
    <w:rPr>
      <w:rFonts w:cstheme="minorHAnsi"/>
      <w:b/>
      <w:sz w:val="24"/>
      <w:szCs w:val="24"/>
    </w:rPr>
  </w:style>
  <w:style w:type="paragraph" w:styleId="Heading4">
    <w:name w:val="heading 4"/>
    <w:basedOn w:val="Normal"/>
    <w:next w:val="Normal"/>
    <w:link w:val="Heading4Char"/>
    <w:uiPriority w:val="9"/>
    <w:unhideWhenUsed/>
    <w:qFormat/>
    <w:rsid w:val="006C328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72E"/>
    <w:pPr>
      <w:ind w:left="720"/>
      <w:contextualSpacing/>
    </w:pPr>
  </w:style>
  <w:style w:type="character" w:styleId="CommentReference">
    <w:name w:val="annotation reference"/>
    <w:basedOn w:val="DefaultParagraphFont"/>
    <w:uiPriority w:val="99"/>
    <w:semiHidden/>
    <w:unhideWhenUsed/>
    <w:rsid w:val="0024205F"/>
    <w:rPr>
      <w:sz w:val="16"/>
      <w:szCs w:val="16"/>
    </w:rPr>
  </w:style>
  <w:style w:type="paragraph" w:styleId="CommentText">
    <w:name w:val="annotation text"/>
    <w:basedOn w:val="Normal"/>
    <w:link w:val="CommentTextChar"/>
    <w:uiPriority w:val="99"/>
    <w:semiHidden/>
    <w:unhideWhenUsed/>
    <w:rsid w:val="0024205F"/>
    <w:pPr>
      <w:spacing w:line="240" w:lineRule="auto"/>
    </w:pPr>
    <w:rPr>
      <w:sz w:val="20"/>
      <w:szCs w:val="20"/>
    </w:rPr>
  </w:style>
  <w:style w:type="character" w:customStyle="1" w:styleId="CommentTextChar">
    <w:name w:val="Comment Text Char"/>
    <w:basedOn w:val="DefaultParagraphFont"/>
    <w:link w:val="CommentText"/>
    <w:uiPriority w:val="99"/>
    <w:semiHidden/>
    <w:rsid w:val="0024205F"/>
    <w:rPr>
      <w:sz w:val="20"/>
      <w:szCs w:val="20"/>
    </w:rPr>
  </w:style>
  <w:style w:type="paragraph" w:styleId="CommentSubject">
    <w:name w:val="annotation subject"/>
    <w:basedOn w:val="CommentText"/>
    <w:next w:val="CommentText"/>
    <w:link w:val="CommentSubjectChar"/>
    <w:uiPriority w:val="99"/>
    <w:semiHidden/>
    <w:unhideWhenUsed/>
    <w:rsid w:val="0024205F"/>
    <w:rPr>
      <w:b/>
      <w:bCs/>
    </w:rPr>
  </w:style>
  <w:style w:type="character" w:customStyle="1" w:styleId="CommentSubjectChar">
    <w:name w:val="Comment Subject Char"/>
    <w:basedOn w:val="CommentTextChar"/>
    <w:link w:val="CommentSubject"/>
    <w:uiPriority w:val="99"/>
    <w:semiHidden/>
    <w:rsid w:val="0024205F"/>
    <w:rPr>
      <w:b/>
      <w:bCs/>
      <w:sz w:val="20"/>
      <w:szCs w:val="20"/>
    </w:rPr>
  </w:style>
  <w:style w:type="paragraph" w:styleId="BalloonText">
    <w:name w:val="Balloon Text"/>
    <w:basedOn w:val="Normal"/>
    <w:link w:val="BalloonTextChar"/>
    <w:uiPriority w:val="99"/>
    <w:semiHidden/>
    <w:unhideWhenUsed/>
    <w:rsid w:val="00242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5F"/>
    <w:rPr>
      <w:rFonts w:ascii="Segoe UI" w:hAnsi="Segoe UI" w:cs="Segoe UI"/>
      <w:sz w:val="18"/>
      <w:szCs w:val="18"/>
    </w:rPr>
  </w:style>
  <w:style w:type="character" w:styleId="Hyperlink">
    <w:name w:val="Hyperlink"/>
    <w:basedOn w:val="DefaultParagraphFont"/>
    <w:uiPriority w:val="99"/>
    <w:unhideWhenUsed/>
    <w:rsid w:val="0024205F"/>
    <w:rPr>
      <w:color w:val="0563C1" w:themeColor="hyperlink"/>
      <w:u w:val="single"/>
    </w:rPr>
  </w:style>
  <w:style w:type="paragraph" w:customStyle="1" w:styleId="paragraph">
    <w:name w:val="paragraph"/>
    <w:aliases w:val="a"/>
    <w:basedOn w:val="Normal"/>
    <w:rsid w:val="007B75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7B75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aliases w:val="aa"/>
    <w:basedOn w:val="Normal"/>
    <w:rsid w:val="00B902A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D25921"/>
    <w:rPr>
      <w:color w:val="808080"/>
    </w:rPr>
  </w:style>
  <w:style w:type="paragraph" w:customStyle="1" w:styleId="Definition">
    <w:name w:val="Definition"/>
    <w:aliases w:val="dd"/>
    <w:basedOn w:val="Normal"/>
    <w:rsid w:val="00AB72BA"/>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74754E"/>
    <w:pPr>
      <w:tabs>
        <w:tab w:val="center" w:pos="4513"/>
        <w:tab w:val="right" w:pos="9026"/>
      </w:tabs>
      <w:spacing w:after="0" w:line="240" w:lineRule="auto"/>
    </w:pPr>
  </w:style>
  <w:style w:type="character" w:customStyle="1" w:styleId="HeaderChar">
    <w:name w:val="Header Char"/>
    <w:basedOn w:val="DefaultParagraphFont"/>
    <w:link w:val="Header"/>
    <w:rsid w:val="0074754E"/>
  </w:style>
  <w:style w:type="paragraph" w:styleId="Footer">
    <w:name w:val="footer"/>
    <w:basedOn w:val="Normal"/>
    <w:link w:val="FooterChar"/>
    <w:uiPriority w:val="99"/>
    <w:unhideWhenUsed/>
    <w:rsid w:val="00747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4E"/>
  </w:style>
  <w:style w:type="paragraph" w:customStyle="1" w:styleId="subsection">
    <w:name w:val="subsection"/>
    <w:aliases w:val="ss,Subsection"/>
    <w:basedOn w:val="Normal"/>
    <w:link w:val="subsectionChar"/>
    <w:rsid w:val="008D2E4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D2E40"/>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6C3284"/>
    <w:rPr>
      <w:rFonts w:cstheme="minorHAnsi"/>
      <w:b/>
      <w:sz w:val="24"/>
      <w:szCs w:val="24"/>
    </w:rPr>
  </w:style>
  <w:style w:type="character" w:customStyle="1" w:styleId="Heading2Char">
    <w:name w:val="Heading 2 Char"/>
    <w:basedOn w:val="DefaultParagraphFont"/>
    <w:link w:val="Heading2"/>
    <w:uiPriority w:val="9"/>
    <w:rsid w:val="006C3284"/>
    <w:rPr>
      <w:rFonts w:cstheme="minorHAnsi"/>
      <w:b/>
      <w:sz w:val="26"/>
      <w:szCs w:val="26"/>
    </w:rPr>
  </w:style>
  <w:style w:type="character" w:customStyle="1" w:styleId="Heading3Char">
    <w:name w:val="Heading 3 Char"/>
    <w:basedOn w:val="DefaultParagraphFont"/>
    <w:link w:val="Heading3"/>
    <w:uiPriority w:val="9"/>
    <w:rsid w:val="006C3284"/>
    <w:rPr>
      <w:rFonts w:cstheme="minorHAnsi"/>
      <w:b/>
      <w:sz w:val="24"/>
      <w:szCs w:val="24"/>
    </w:rPr>
  </w:style>
  <w:style w:type="character" w:customStyle="1" w:styleId="Heading4Char">
    <w:name w:val="Heading 4 Char"/>
    <w:basedOn w:val="DefaultParagraphFont"/>
    <w:link w:val="Heading4"/>
    <w:uiPriority w:val="9"/>
    <w:rsid w:val="006C328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9719">
      <w:bodyDiv w:val="1"/>
      <w:marLeft w:val="0"/>
      <w:marRight w:val="0"/>
      <w:marTop w:val="0"/>
      <w:marBottom w:val="0"/>
      <w:divBdr>
        <w:top w:val="none" w:sz="0" w:space="0" w:color="auto"/>
        <w:left w:val="none" w:sz="0" w:space="0" w:color="auto"/>
        <w:bottom w:val="none" w:sz="0" w:space="0" w:color="auto"/>
        <w:right w:val="none" w:sz="0" w:space="0" w:color="auto"/>
      </w:divBdr>
    </w:div>
    <w:div w:id="195317152">
      <w:bodyDiv w:val="1"/>
      <w:marLeft w:val="0"/>
      <w:marRight w:val="0"/>
      <w:marTop w:val="0"/>
      <w:marBottom w:val="0"/>
      <w:divBdr>
        <w:top w:val="none" w:sz="0" w:space="0" w:color="auto"/>
        <w:left w:val="none" w:sz="0" w:space="0" w:color="auto"/>
        <w:bottom w:val="none" w:sz="0" w:space="0" w:color="auto"/>
        <w:right w:val="none" w:sz="0" w:space="0" w:color="auto"/>
      </w:divBdr>
    </w:div>
    <w:div w:id="567543362">
      <w:bodyDiv w:val="1"/>
      <w:marLeft w:val="0"/>
      <w:marRight w:val="0"/>
      <w:marTop w:val="0"/>
      <w:marBottom w:val="0"/>
      <w:divBdr>
        <w:top w:val="none" w:sz="0" w:space="0" w:color="auto"/>
        <w:left w:val="none" w:sz="0" w:space="0" w:color="auto"/>
        <w:bottom w:val="none" w:sz="0" w:space="0" w:color="auto"/>
        <w:right w:val="none" w:sz="0" w:space="0" w:color="auto"/>
      </w:divBdr>
    </w:div>
    <w:div w:id="883911909">
      <w:bodyDiv w:val="1"/>
      <w:marLeft w:val="0"/>
      <w:marRight w:val="0"/>
      <w:marTop w:val="0"/>
      <w:marBottom w:val="0"/>
      <w:divBdr>
        <w:top w:val="none" w:sz="0" w:space="0" w:color="auto"/>
        <w:left w:val="none" w:sz="0" w:space="0" w:color="auto"/>
        <w:bottom w:val="none" w:sz="0" w:space="0" w:color="auto"/>
        <w:right w:val="none" w:sz="0" w:space="0" w:color="auto"/>
      </w:divBdr>
    </w:div>
    <w:div w:id="1133060611">
      <w:bodyDiv w:val="1"/>
      <w:marLeft w:val="0"/>
      <w:marRight w:val="0"/>
      <w:marTop w:val="0"/>
      <w:marBottom w:val="0"/>
      <w:divBdr>
        <w:top w:val="none" w:sz="0" w:space="0" w:color="auto"/>
        <w:left w:val="none" w:sz="0" w:space="0" w:color="auto"/>
        <w:bottom w:val="none" w:sz="0" w:space="0" w:color="auto"/>
        <w:right w:val="none" w:sz="0" w:space="0" w:color="auto"/>
      </w:divBdr>
    </w:div>
    <w:div w:id="1187059293">
      <w:bodyDiv w:val="1"/>
      <w:marLeft w:val="0"/>
      <w:marRight w:val="0"/>
      <w:marTop w:val="0"/>
      <w:marBottom w:val="0"/>
      <w:divBdr>
        <w:top w:val="none" w:sz="0" w:space="0" w:color="auto"/>
        <w:left w:val="none" w:sz="0" w:space="0" w:color="auto"/>
        <w:bottom w:val="none" w:sz="0" w:space="0" w:color="auto"/>
        <w:right w:val="none" w:sz="0" w:space="0" w:color="auto"/>
      </w:divBdr>
    </w:div>
    <w:div w:id="1482039731">
      <w:bodyDiv w:val="1"/>
      <w:marLeft w:val="0"/>
      <w:marRight w:val="0"/>
      <w:marTop w:val="0"/>
      <w:marBottom w:val="0"/>
      <w:divBdr>
        <w:top w:val="none" w:sz="0" w:space="0" w:color="auto"/>
        <w:left w:val="none" w:sz="0" w:space="0" w:color="auto"/>
        <w:bottom w:val="none" w:sz="0" w:space="0" w:color="auto"/>
        <w:right w:val="none" w:sz="0" w:space="0" w:color="auto"/>
      </w:divBdr>
    </w:div>
    <w:div w:id="1540632555">
      <w:bodyDiv w:val="1"/>
      <w:marLeft w:val="0"/>
      <w:marRight w:val="0"/>
      <w:marTop w:val="0"/>
      <w:marBottom w:val="0"/>
      <w:divBdr>
        <w:top w:val="none" w:sz="0" w:space="0" w:color="auto"/>
        <w:left w:val="none" w:sz="0" w:space="0" w:color="auto"/>
        <w:bottom w:val="none" w:sz="0" w:space="0" w:color="auto"/>
        <w:right w:val="none" w:sz="0" w:space="0" w:color="auto"/>
      </w:divBdr>
    </w:div>
    <w:div w:id="1921215439">
      <w:bodyDiv w:val="1"/>
      <w:marLeft w:val="0"/>
      <w:marRight w:val="0"/>
      <w:marTop w:val="0"/>
      <w:marBottom w:val="0"/>
      <w:divBdr>
        <w:top w:val="none" w:sz="0" w:space="0" w:color="auto"/>
        <w:left w:val="none" w:sz="0" w:space="0" w:color="auto"/>
        <w:bottom w:val="none" w:sz="0" w:space="0" w:color="auto"/>
        <w:right w:val="none" w:sz="0" w:space="0" w:color="auto"/>
      </w:divBdr>
    </w:div>
    <w:div w:id="2117165954">
      <w:bodyDiv w:val="1"/>
      <w:marLeft w:val="0"/>
      <w:marRight w:val="0"/>
      <w:marTop w:val="0"/>
      <w:marBottom w:val="0"/>
      <w:divBdr>
        <w:top w:val="none" w:sz="0" w:space="0" w:color="auto"/>
        <w:left w:val="none" w:sz="0" w:space="0" w:color="auto"/>
        <w:bottom w:val="none" w:sz="0" w:space="0" w:color="auto"/>
        <w:right w:val="none" w:sz="0" w:space="0" w:color="auto"/>
      </w:divBdr>
    </w:div>
    <w:div w:id="21260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15AF3653B774FA445D75666336D2C" ma:contentTypeVersion="0" ma:contentTypeDescription="Create a new document." ma:contentTypeScope="" ma:versionID="9dd9398abbaf4d76f49f1cbbcbd7c8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DA57-6745-47B2-BCAD-351333A09C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D0C9FB-3899-4182-9FD3-C9024CC0E9B5}">
  <ds:schemaRefs>
    <ds:schemaRef ds:uri="http://schemas.microsoft.com/sharepoint/v3/contenttype/forms"/>
  </ds:schemaRefs>
</ds:datastoreItem>
</file>

<file path=customXml/itemProps3.xml><?xml version="1.0" encoding="utf-8"?>
<ds:datastoreItem xmlns:ds="http://schemas.openxmlformats.org/officeDocument/2006/customXml" ds:itemID="{31ABBD06-59CF-49F9-A18F-5E8099F0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BC428F-910D-4348-9BEE-F169FAF3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6055</Words>
  <Characters>30156</Characters>
  <Application>Microsoft Office Word</Application>
  <DocSecurity>0</DocSecurity>
  <Lines>494</Lines>
  <Paragraphs>181</Paragraphs>
  <ScaleCrop>false</ScaleCrop>
  <HeadingPairs>
    <vt:vector size="2" baseType="variant">
      <vt:variant>
        <vt:lpstr>Title</vt:lpstr>
      </vt:variant>
      <vt:variant>
        <vt:i4>1</vt:i4>
      </vt:variant>
    </vt:vector>
  </HeadingPairs>
  <TitlesOfParts>
    <vt:vector size="1" baseType="lpstr">
      <vt:lpstr>Exposure draft—Radiocommunications (Spectrum Licence Limits—850/900 MHz Band) Direction</vt:lpstr>
    </vt:vector>
  </TitlesOfParts>
  <Manager/>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draft—Radiocommunications (Spectrum Licence Limits—850/900 MHz Band) Direction</dc:title>
  <dc:subject/>
  <dc:creator/>
  <cp:keywords/>
  <dc:description/>
  <cp:lastModifiedBy/>
  <cp:revision>1</cp:revision>
  <dcterms:created xsi:type="dcterms:W3CDTF">2021-04-22T07:44:00Z</dcterms:created>
  <dcterms:modified xsi:type="dcterms:W3CDTF">2021-04-22T08:00:00Z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add96687-8e9f-4d33-96d1-40232b6c26f1</vt:lpwstr>
  </property>
  <property fmtid="{D5CDD505-2E9C-101B-9397-08002B2CF9AE}" pid="3" name="ContentTypeId">
    <vt:lpwstr>0x010100ED515AF3653B774FA445D75666336D2C</vt:lpwstr>
  </property>
  <property fmtid="{D5CDD505-2E9C-101B-9397-08002B2CF9AE}" pid="4" name="TrimRevisionNumber">
    <vt:i4>14</vt:i4>
  </property>
</Properties>
</file>